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9C20C" w14:textId="37A1DA2D" w:rsidR="00083745" w:rsidRDefault="00CB08D6" w:rsidP="00CB08D6">
      <w:pPr>
        <w:pStyle w:val="Heading1"/>
      </w:pPr>
      <w:bookmarkStart w:id="0" w:name="ChapterNumber"/>
      <w:r>
        <w:t>13</w:t>
      </w:r>
      <w:bookmarkEnd w:id="0"/>
      <w:r>
        <w:tab/>
      </w:r>
      <w:bookmarkStart w:id="1" w:name="ChapterTitle"/>
      <w:r>
        <w:t>Mental health management</w:t>
      </w:r>
      <w:bookmarkEnd w:id="1"/>
    </w:p>
    <w:p w14:paraId="2FA60261" w14:textId="55ADDE3B" w:rsidR="001B26A2" w:rsidRDefault="00D95E5E" w:rsidP="00BB66DB">
      <w:pPr>
        <w:pStyle w:val="TOC1"/>
        <w:ind w:left="907" w:hanging="907"/>
        <w:rPr>
          <w:noProof/>
        </w:rPr>
      </w:pPr>
      <w:r w:rsidRPr="00854255">
        <w:rPr>
          <w:b w:val="0"/>
        </w:rPr>
        <w:t>CONTENTS</w:t>
      </w:r>
    </w:p>
    <w:p w14:paraId="0EB609AD" w14:textId="15034296" w:rsidR="001B26A2" w:rsidRDefault="001B26A2">
      <w:pPr>
        <w:pStyle w:val="TOC2"/>
        <w:tabs>
          <w:tab w:val="left" w:pos="1320"/>
        </w:tabs>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r>
      <w:r>
        <w:rPr>
          <w:noProof/>
        </w:rPr>
        <w:t>Profile of mental health management</w:t>
      </w:r>
      <w:r>
        <w:rPr>
          <w:noProof/>
        </w:rPr>
        <w:tab/>
      </w:r>
      <w:r w:rsidR="00E90D6C">
        <w:rPr>
          <w:noProof/>
        </w:rPr>
        <w:t>13.</w:t>
      </w:r>
      <w:r w:rsidR="00225448">
        <w:rPr>
          <w:noProof/>
        </w:rPr>
        <w:t>1</w:t>
      </w:r>
    </w:p>
    <w:p w14:paraId="789DDB6E" w14:textId="21E9DDA0" w:rsidR="001B26A2" w:rsidRDefault="001B26A2">
      <w:pPr>
        <w:pStyle w:val="TOC2"/>
        <w:tabs>
          <w:tab w:val="left" w:pos="1320"/>
        </w:tabs>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r>
      <w:r>
        <w:rPr>
          <w:noProof/>
        </w:rPr>
        <w:t>Framework of performance indicators</w:t>
      </w:r>
      <w:r>
        <w:rPr>
          <w:noProof/>
        </w:rPr>
        <w:tab/>
      </w:r>
      <w:r w:rsidR="00E90D6C">
        <w:rPr>
          <w:noProof/>
        </w:rPr>
        <w:t>13.</w:t>
      </w:r>
      <w:r w:rsidR="00225448">
        <w:rPr>
          <w:noProof/>
        </w:rPr>
        <w:t>6</w:t>
      </w:r>
    </w:p>
    <w:p w14:paraId="5AF803E5" w14:textId="7194E13A" w:rsidR="001B26A2" w:rsidRDefault="001B26A2">
      <w:pPr>
        <w:pStyle w:val="TOC2"/>
        <w:tabs>
          <w:tab w:val="left" w:pos="1320"/>
        </w:tabs>
        <w:rPr>
          <w:rFonts w:asciiTheme="minorHAnsi" w:eastAsiaTheme="minorEastAsia" w:hAnsiTheme="minorHAnsi" w:cstheme="minorBidi"/>
          <w:noProof/>
          <w:sz w:val="22"/>
          <w:szCs w:val="22"/>
          <w:lang w:eastAsia="en-AU"/>
        </w:rPr>
      </w:pPr>
      <w:r>
        <w:rPr>
          <w:noProof/>
        </w:rPr>
        <w:t>13.3</w:t>
      </w:r>
      <w:r>
        <w:rPr>
          <w:rFonts w:asciiTheme="minorHAnsi" w:eastAsiaTheme="minorEastAsia" w:hAnsiTheme="minorHAnsi" w:cstheme="minorBidi"/>
          <w:noProof/>
          <w:sz w:val="22"/>
          <w:szCs w:val="22"/>
          <w:lang w:eastAsia="en-AU"/>
        </w:rPr>
        <w:tab/>
      </w:r>
      <w:r>
        <w:rPr>
          <w:noProof/>
        </w:rPr>
        <w:t>Key performance indicator results</w:t>
      </w:r>
      <w:r>
        <w:rPr>
          <w:noProof/>
        </w:rPr>
        <w:tab/>
      </w:r>
      <w:r w:rsidR="00E90D6C">
        <w:rPr>
          <w:noProof/>
        </w:rPr>
        <w:t>13.</w:t>
      </w:r>
      <w:r w:rsidR="00225448">
        <w:rPr>
          <w:noProof/>
        </w:rPr>
        <w:t>8</w:t>
      </w:r>
    </w:p>
    <w:p w14:paraId="77BA489F" w14:textId="79F812EA" w:rsidR="001B26A2" w:rsidRDefault="001B26A2">
      <w:pPr>
        <w:pStyle w:val="TOC2"/>
        <w:tabs>
          <w:tab w:val="left" w:pos="1320"/>
        </w:tabs>
        <w:rPr>
          <w:rFonts w:asciiTheme="minorHAnsi" w:eastAsiaTheme="minorEastAsia" w:hAnsiTheme="minorHAnsi" w:cstheme="minorBidi"/>
          <w:noProof/>
          <w:sz w:val="22"/>
          <w:szCs w:val="22"/>
          <w:lang w:eastAsia="en-AU"/>
        </w:rPr>
      </w:pPr>
      <w:r>
        <w:rPr>
          <w:noProof/>
        </w:rPr>
        <w:t>13.4</w:t>
      </w:r>
      <w:r>
        <w:rPr>
          <w:rFonts w:asciiTheme="minorHAnsi" w:eastAsiaTheme="minorEastAsia" w:hAnsiTheme="minorHAnsi" w:cstheme="minorBidi"/>
          <w:noProof/>
          <w:sz w:val="22"/>
          <w:szCs w:val="22"/>
          <w:lang w:eastAsia="en-AU"/>
        </w:rPr>
        <w:tab/>
      </w:r>
      <w:r>
        <w:rPr>
          <w:noProof/>
        </w:rPr>
        <w:t>Definitions of key terms</w:t>
      </w:r>
      <w:r>
        <w:rPr>
          <w:noProof/>
        </w:rPr>
        <w:tab/>
      </w:r>
      <w:r w:rsidR="00E90D6C">
        <w:rPr>
          <w:noProof/>
        </w:rPr>
        <w:t>13.</w:t>
      </w:r>
      <w:r w:rsidR="00225448">
        <w:rPr>
          <w:noProof/>
        </w:rPr>
        <w:t>33</w:t>
      </w:r>
    </w:p>
    <w:p w14:paraId="4080F333" w14:textId="0F7AFA61" w:rsidR="001B26A2" w:rsidRDefault="001B26A2">
      <w:pPr>
        <w:pStyle w:val="TOC2"/>
        <w:tabs>
          <w:tab w:val="left" w:pos="1320"/>
        </w:tabs>
        <w:rPr>
          <w:rFonts w:asciiTheme="minorHAnsi" w:eastAsiaTheme="minorEastAsia" w:hAnsiTheme="minorHAnsi" w:cstheme="minorBidi"/>
          <w:noProof/>
          <w:sz w:val="22"/>
          <w:szCs w:val="22"/>
          <w:lang w:eastAsia="en-AU"/>
        </w:rPr>
      </w:pPr>
      <w:r>
        <w:rPr>
          <w:noProof/>
        </w:rPr>
        <w:t>13.5</w:t>
      </w:r>
      <w:r>
        <w:rPr>
          <w:rFonts w:asciiTheme="minorHAnsi" w:eastAsiaTheme="minorEastAsia" w:hAnsiTheme="minorHAnsi" w:cstheme="minorBidi"/>
          <w:noProof/>
          <w:sz w:val="22"/>
          <w:szCs w:val="22"/>
          <w:lang w:eastAsia="en-AU"/>
        </w:rPr>
        <w:tab/>
      </w:r>
      <w:r>
        <w:rPr>
          <w:noProof/>
        </w:rPr>
        <w:t>References</w:t>
      </w:r>
      <w:r>
        <w:rPr>
          <w:noProof/>
        </w:rPr>
        <w:tab/>
      </w:r>
      <w:r w:rsidR="00E90D6C">
        <w:rPr>
          <w:noProof/>
        </w:rPr>
        <w:t>13.</w:t>
      </w:r>
      <w:r w:rsidR="00225448">
        <w:rPr>
          <w:noProof/>
        </w:rPr>
        <w:t>38</w:t>
      </w:r>
    </w:p>
    <w:p w14:paraId="2DFEB3AF" w14:textId="501E2AEB" w:rsidR="00D95E5E" w:rsidRPr="00D95E5E" w:rsidRDefault="00D95E5E" w:rsidP="00D95E5E">
      <w:pPr>
        <w:keepNext/>
        <w:spacing w:before="360" w:line="80" w:lineRule="exact"/>
        <w:rPr>
          <w:szCs w:val="20"/>
        </w:rPr>
      </w:pPr>
      <w:r w:rsidRPr="00D95E5E">
        <w:rPr>
          <w:sz w:val="26"/>
        </w:rPr>
        <w:t xml:space="preserve"> </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95E5E" w:rsidRPr="00D95E5E" w14:paraId="78CC4B7B" w14:textId="77777777" w:rsidTr="00EF526A">
        <w:tc>
          <w:tcPr>
            <w:tcW w:w="8789" w:type="dxa"/>
            <w:tcBorders>
              <w:top w:val="single" w:sz="6" w:space="0" w:color="78A22F"/>
              <w:left w:val="nil"/>
              <w:bottom w:val="nil"/>
              <w:right w:val="nil"/>
            </w:tcBorders>
            <w:shd w:val="clear" w:color="auto" w:fill="F2F2F2"/>
          </w:tcPr>
          <w:p w14:paraId="1F401758" w14:textId="77777777" w:rsidR="00D95E5E" w:rsidRPr="00D95E5E" w:rsidRDefault="00D95E5E" w:rsidP="00D95E5E">
            <w:pPr>
              <w:keepNext/>
              <w:keepLines/>
              <w:spacing w:before="120" w:line="280" w:lineRule="exact"/>
              <w:ind w:left="1474" w:hanging="1474"/>
              <w:rPr>
                <w:rFonts w:ascii="Arial" w:hAnsi="Arial"/>
                <w:b/>
              </w:rPr>
            </w:pPr>
            <w:r w:rsidRPr="00D95E5E">
              <w:rPr>
                <w:rFonts w:ascii="Arial" w:hAnsi="Arial"/>
                <w:b/>
              </w:rPr>
              <w:t>Attachment tables</w:t>
            </w:r>
          </w:p>
        </w:tc>
      </w:tr>
      <w:tr w:rsidR="00D95E5E" w:rsidRPr="00D95E5E" w14:paraId="3D35B75C" w14:textId="77777777" w:rsidTr="00EF526A">
        <w:trPr>
          <w:cantSplit/>
        </w:trPr>
        <w:tc>
          <w:tcPr>
            <w:tcW w:w="8789" w:type="dxa"/>
            <w:tcBorders>
              <w:top w:val="nil"/>
              <w:left w:val="nil"/>
              <w:bottom w:val="nil"/>
              <w:right w:val="nil"/>
            </w:tcBorders>
            <w:shd w:val="clear" w:color="auto" w:fill="F2F2F2"/>
          </w:tcPr>
          <w:p w14:paraId="50789695" w14:textId="0BD36BCA" w:rsidR="00D95E5E" w:rsidRPr="00D95E5E" w:rsidRDefault="00D95E5E" w:rsidP="00C116FB">
            <w:pPr>
              <w:keepNext/>
              <w:spacing w:before="120" w:line="260" w:lineRule="atLeast"/>
              <w:jc w:val="both"/>
              <w:rPr>
                <w:rFonts w:ascii="Arial" w:hAnsi="Arial"/>
                <w:sz w:val="20"/>
                <w:szCs w:val="20"/>
              </w:rPr>
            </w:pPr>
            <w:r w:rsidRPr="00D95E5E">
              <w:rPr>
                <w:rFonts w:ascii="Arial" w:hAnsi="Arial"/>
                <w:sz w:val="20"/>
                <w:szCs w:val="20"/>
              </w:rPr>
              <w:t>Attachment tables are identified in references throughout this chapter by a ‘1</w:t>
            </w:r>
            <w:r w:rsidR="0076411D">
              <w:rPr>
                <w:rFonts w:ascii="Arial" w:hAnsi="Arial"/>
                <w:sz w:val="20"/>
                <w:szCs w:val="20"/>
              </w:rPr>
              <w:t>3</w:t>
            </w:r>
            <w:r w:rsidRPr="00D95E5E">
              <w:rPr>
                <w:rFonts w:ascii="Arial" w:hAnsi="Arial"/>
                <w:sz w:val="20"/>
                <w:szCs w:val="20"/>
              </w:rPr>
              <w:t>A’ prefix (for example, table</w:t>
            </w:r>
            <w:r w:rsidR="0022260C">
              <w:rPr>
                <w:rFonts w:ascii="Arial" w:hAnsi="Arial"/>
                <w:sz w:val="20"/>
                <w:szCs w:val="20"/>
              </w:rPr>
              <w:t> </w:t>
            </w:r>
            <w:r w:rsidRPr="00D95E5E">
              <w:rPr>
                <w:rFonts w:ascii="Arial" w:hAnsi="Arial"/>
                <w:sz w:val="20"/>
                <w:szCs w:val="20"/>
              </w:rPr>
              <w:t>1</w:t>
            </w:r>
            <w:r w:rsidR="0076411D">
              <w:rPr>
                <w:rFonts w:ascii="Arial" w:hAnsi="Arial"/>
                <w:sz w:val="20"/>
                <w:szCs w:val="20"/>
              </w:rPr>
              <w:t>3</w:t>
            </w:r>
            <w:r w:rsidR="004C1228">
              <w:rPr>
                <w:rFonts w:ascii="Arial" w:hAnsi="Arial"/>
                <w:sz w:val="20"/>
                <w:szCs w:val="20"/>
              </w:rPr>
              <w:t>A.1)</w:t>
            </w:r>
            <w:r w:rsidR="000B3DF0">
              <w:rPr>
                <w:rFonts w:ascii="Arial" w:hAnsi="Arial"/>
                <w:sz w:val="20"/>
                <w:szCs w:val="20"/>
              </w:rPr>
              <w:t xml:space="preserve"> and </w:t>
            </w:r>
            <w:r w:rsidR="00296306">
              <w:rPr>
                <w:rFonts w:ascii="Arial" w:hAnsi="Arial"/>
                <w:sz w:val="20"/>
                <w:szCs w:val="20"/>
              </w:rPr>
              <w:t xml:space="preserve">are available from the </w:t>
            </w:r>
            <w:r w:rsidRPr="00D95E5E">
              <w:rPr>
                <w:rFonts w:ascii="Arial" w:hAnsi="Arial"/>
                <w:sz w:val="20"/>
                <w:szCs w:val="20"/>
              </w:rPr>
              <w:t xml:space="preserve">website </w:t>
            </w:r>
            <w:r w:rsidR="000B69A0" w:rsidRPr="001D1186">
              <w:rPr>
                <w:rFonts w:ascii="Arial" w:hAnsi="Arial"/>
                <w:sz w:val="20"/>
                <w:szCs w:val="20"/>
              </w:rPr>
              <w:t>www.pc.gov.au/rogs/</w:t>
            </w:r>
            <w:r w:rsidR="000B69A0">
              <w:rPr>
                <w:rFonts w:ascii="Arial" w:hAnsi="Arial"/>
                <w:sz w:val="20"/>
                <w:szCs w:val="20"/>
              </w:rPr>
              <w:t>201</w:t>
            </w:r>
            <w:r w:rsidR="00E35D4D">
              <w:rPr>
                <w:rFonts w:ascii="Arial" w:hAnsi="Arial"/>
                <w:sz w:val="20"/>
                <w:szCs w:val="20"/>
              </w:rPr>
              <w:t>8</w:t>
            </w:r>
            <w:r w:rsidR="00BD5F3E">
              <w:rPr>
                <w:rFonts w:ascii="Arial" w:hAnsi="Arial"/>
                <w:sz w:val="20"/>
                <w:szCs w:val="20"/>
              </w:rPr>
              <w:t>.</w:t>
            </w:r>
          </w:p>
        </w:tc>
      </w:tr>
      <w:tr w:rsidR="00D95E5E" w:rsidRPr="00D95E5E" w14:paraId="24C589FA" w14:textId="77777777" w:rsidTr="00EF526A">
        <w:trPr>
          <w:cantSplit/>
        </w:trPr>
        <w:tc>
          <w:tcPr>
            <w:tcW w:w="8789" w:type="dxa"/>
            <w:tcBorders>
              <w:top w:val="nil"/>
              <w:left w:val="nil"/>
              <w:bottom w:val="single" w:sz="6" w:space="0" w:color="78A22F"/>
              <w:right w:val="nil"/>
            </w:tcBorders>
            <w:shd w:val="clear" w:color="auto" w:fill="F2F2F2"/>
          </w:tcPr>
          <w:p w14:paraId="50C8071B" w14:textId="77777777" w:rsidR="00D95E5E" w:rsidRPr="00D95E5E" w:rsidRDefault="00D95E5E" w:rsidP="00D95E5E">
            <w:pPr>
              <w:keepNext/>
              <w:spacing w:line="120" w:lineRule="exact"/>
              <w:jc w:val="both"/>
              <w:rPr>
                <w:rFonts w:ascii="Arial" w:hAnsi="Arial"/>
                <w:sz w:val="20"/>
                <w:szCs w:val="20"/>
              </w:rPr>
            </w:pPr>
          </w:p>
        </w:tc>
      </w:tr>
      <w:tr w:rsidR="00D95E5E" w:rsidRPr="00D95E5E" w14:paraId="5BD65C41" w14:textId="77777777" w:rsidTr="00EF526A">
        <w:tc>
          <w:tcPr>
            <w:tcW w:w="8789" w:type="dxa"/>
            <w:tcBorders>
              <w:top w:val="single" w:sz="6" w:space="0" w:color="78A22F"/>
              <w:left w:val="nil"/>
              <w:bottom w:val="nil"/>
              <w:right w:val="nil"/>
            </w:tcBorders>
          </w:tcPr>
          <w:p w14:paraId="494AF644" w14:textId="3061680B" w:rsidR="00D95E5E" w:rsidRPr="00D95E5E" w:rsidRDefault="00D95E5E" w:rsidP="00D95E5E">
            <w:pPr>
              <w:spacing w:before="60" w:after="60" w:line="80" w:lineRule="exact"/>
              <w:jc w:val="both"/>
              <w:rPr>
                <w:rFonts w:ascii="Arial" w:hAnsi="Arial"/>
                <w:sz w:val="14"/>
                <w:szCs w:val="20"/>
              </w:rPr>
            </w:pPr>
          </w:p>
        </w:tc>
      </w:tr>
    </w:tbl>
    <w:p w14:paraId="499E0361" w14:textId="6826B3C3" w:rsidR="00D61A40" w:rsidRDefault="00D95E5E" w:rsidP="006B4DF1">
      <w:pPr>
        <w:pStyle w:val="BodyText"/>
        <w:rPr>
          <w:shd w:val="clear" w:color="auto" w:fill="FFFFFF" w:themeFill="background1"/>
        </w:rPr>
      </w:pPr>
      <w:r w:rsidRPr="00D95E5E">
        <w:t>This chapter reports on the Australian, State and Territory governments’ management of mental health and mental illnesses</w:t>
      </w:r>
      <w:r w:rsidR="00E41164">
        <w:t>. P</w:t>
      </w:r>
      <w:r w:rsidR="006B4DF1">
        <w:t xml:space="preserve">erformance reporting </w:t>
      </w:r>
      <w:r w:rsidR="00490D00">
        <w:t>focuses</w:t>
      </w:r>
      <w:r w:rsidR="006B4DF1">
        <w:t xml:space="preserve"> on </w:t>
      </w:r>
      <w:r w:rsidR="00D61A40">
        <w:t>State and Territory governments’ specialised mental health services</w:t>
      </w:r>
      <w:r w:rsidR="005405C6">
        <w:t>,</w:t>
      </w:r>
      <w:r w:rsidR="00D61A40">
        <w:t xml:space="preserve"> and </w:t>
      </w:r>
      <w:r w:rsidR="006B4DF1">
        <w:t xml:space="preserve">mental health services subsidised under the </w:t>
      </w:r>
      <w:r w:rsidR="006B4DF1">
        <w:rPr>
          <w:shd w:val="clear" w:color="auto" w:fill="FFFFFF" w:themeFill="background1"/>
        </w:rPr>
        <w:t>Medicare Benefits Schedule</w:t>
      </w:r>
      <w:r w:rsidR="009F1049">
        <w:rPr>
          <w:shd w:val="clear" w:color="auto" w:fill="FFFFFF" w:themeFill="background1"/>
        </w:rPr>
        <w:t xml:space="preserve"> (MBS)</w:t>
      </w:r>
      <w:r w:rsidR="006B4DF1" w:rsidRPr="005673E9">
        <w:rPr>
          <w:shd w:val="clear" w:color="auto" w:fill="FFFFFF" w:themeFill="background1"/>
        </w:rPr>
        <w:t xml:space="preserve"> </w:t>
      </w:r>
      <w:r w:rsidR="006B4DF1">
        <w:rPr>
          <w:shd w:val="clear" w:color="auto" w:fill="FFFFFF" w:themeFill="background1"/>
        </w:rPr>
        <w:t>(</w:t>
      </w:r>
      <w:r w:rsidR="00D61A40">
        <w:t xml:space="preserve">provided by General Practitioners (GPs), </w:t>
      </w:r>
      <w:r w:rsidR="00D61A40" w:rsidRPr="005673E9">
        <w:rPr>
          <w:shd w:val="clear" w:color="auto" w:fill="FFFFFF" w:themeFill="background1"/>
        </w:rPr>
        <w:t>psychiatrists, psychologists and other allied health professionals</w:t>
      </w:r>
      <w:r w:rsidR="006B4DF1">
        <w:rPr>
          <w:shd w:val="clear" w:color="auto" w:fill="FFFFFF" w:themeFill="background1"/>
        </w:rPr>
        <w:t>)</w:t>
      </w:r>
      <w:r w:rsidR="007D60F2">
        <w:rPr>
          <w:shd w:val="clear" w:color="auto" w:fill="FFFFFF" w:themeFill="background1"/>
        </w:rPr>
        <w:t>.</w:t>
      </w:r>
    </w:p>
    <w:p w14:paraId="4DF46AF1" w14:textId="04ED2B7B" w:rsidR="00206030" w:rsidRPr="00206030" w:rsidRDefault="00E35D4D" w:rsidP="003C3880">
      <w:pPr>
        <w:pStyle w:val="BodyText"/>
      </w:pPr>
      <w:r>
        <w:t>Further information on the Report on Government Services including other reported service areas, the glossary and list of abbreviations is available at www.pc.gov.au/rogs/2018</w:t>
      </w:r>
      <w:r w:rsidR="00206030" w:rsidRPr="00206030">
        <w:t>.</w:t>
      </w:r>
    </w:p>
    <w:p w14:paraId="34B77D10" w14:textId="089F7635" w:rsidR="001F1DD0" w:rsidRDefault="00CB08D6" w:rsidP="004A11D8">
      <w:pPr>
        <w:pStyle w:val="Heading2"/>
      </w:pPr>
      <w:bookmarkStart w:id="2" w:name="_Toc461444231"/>
      <w:r>
        <w:t>13.</w:t>
      </w:r>
      <w:r w:rsidR="00B81273">
        <w:rPr>
          <w:noProof/>
        </w:rPr>
        <w:t>1</w:t>
      </w:r>
      <w:r w:rsidR="001F1DD0">
        <w:tab/>
      </w:r>
      <w:r w:rsidR="001F1DD0" w:rsidRPr="009B1F5D">
        <w:t>Profile of mental health management</w:t>
      </w:r>
      <w:bookmarkEnd w:id="2"/>
    </w:p>
    <w:p w14:paraId="7E459CA9" w14:textId="77777777" w:rsidR="00F4722B" w:rsidRDefault="00F4722B" w:rsidP="00F4722B">
      <w:pPr>
        <w:pStyle w:val="BodyText"/>
      </w:pPr>
      <w:r>
        <w:t xml:space="preserve">Mental health relates to an individual’s ability to negotiate the daily challenges and social interactions of life without experiencing undue emotional </w:t>
      </w:r>
      <w:r w:rsidR="007A07C8">
        <w:t>or behavioural incapacity (DHAC </w:t>
      </w:r>
      <w:r>
        <w:t>1999). The World Health Organization describes positive mental health as:</w:t>
      </w:r>
    </w:p>
    <w:p w14:paraId="4F97F508" w14:textId="6378EC75" w:rsidR="00F4722B" w:rsidRDefault="000E4A09" w:rsidP="00F4722B">
      <w:pPr>
        <w:pStyle w:val="Quote"/>
      </w:pPr>
      <w:r>
        <w:t>…</w:t>
      </w:r>
      <w:r w:rsidR="00BA1594">
        <w:t xml:space="preserve"> </w:t>
      </w:r>
      <w:r w:rsidR="00F4722B">
        <w:t>a state of well</w:t>
      </w:r>
      <w:r w:rsidR="00F4722B">
        <w:noBreakHyphen/>
        <w:t>being in which the individual realizes his or her own abilities, can cope with the normal stresses of life, can work productively and fruitfully, and is able to make a contribution to his or her community (WHO 2001).</w:t>
      </w:r>
    </w:p>
    <w:p w14:paraId="13A014A4" w14:textId="77777777" w:rsidR="00F4722B" w:rsidRDefault="00F4722B" w:rsidP="006C2DE1">
      <w:pPr>
        <w:pStyle w:val="BodyText"/>
      </w:pPr>
      <w:r>
        <w:t xml:space="preserve">Mental illness is a term that describes a diverse range of behavioural and psychological conditions. These conditions can affect an individual’s mental health, functioning and </w:t>
      </w:r>
      <w:r>
        <w:lastRenderedPageBreak/>
        <w:t>quality of life. Each mental illness is unique in its incidence across the lifespan, causal factors and treatments.</w:t>
      </w:r>
    </w:p>
    <w:p w14:paraId="7F449E28" w14:textId="77777777" w:rsidR="00456117" w:rsidRDefault="00456117" w:rsidP="00456117">
      <w:pPr>
        <w:pStyle w:val="Heading3"/>
      </w:pPr>
      <w:r w:rsidRPr="00456117">
        <w:t xml:space="preserve">Service </w:t>
      </w:r>
      <w:r w:rsidR="004136B5">
        <w:t>o</w:t>
      </w:r>
      <w:r w:rsidRPr="00456117">
        <w:t>verview</w:t>
      </w:r>
    </w:p>
    <w:p w14:paraId="067468C9" w14:textId="4F92596E" w:rsidR="008F07E7" w:rsidRDefault="008F07E7" w:rsidP="008F07E7">
      <w:pPr>
        <w:pStyle w:val="BodyText"/>
      </w:pPr>
      <w:r>
        <w:t xml:space="preserve">There are a range of </w:t>
      </w:r>
      <w:r w:rsidR="001978C8">
        <w:t xml:space="preserve">services provided or funded by </w:t>
      </w:r>
      <w:r>
        <w:t xml:space="preserve">Australian, State </w:t>
      </w:r>
      <w:r w:rsidR="00642EB9">
        <w:t>and</w:t>
      </w:r>
      <w:r>
        <w:t xml:space="preserve"> Territory governments that are specifically designed to meet the needs of people with mental health issues; the key services are:</w:t>
      </w:r>
    </w:p>
    <w:p w14:paraId="3AE48B10" w14:textId="77777777" w:rsidR="008F07E7" w:rsidRDefault="008F07E7" w:rsidP="00F4722B">
      <w:pPr>
        <w:pStyle w:val="ListBullet"/>
      </w:pPr>
      <w:r>
        <w:t>MBS subsidised mental health specific services that are partially or fully funded under Medicare on a fee</w:t>
      </w:r>
      <w:r w:rsidR="00AB25A8">
        <w:noBreakHyphen/>
      </w:r>
      <w:r>
        <w:t>for</w:t>
      </w:r>
      <w:r w:rsidR="00AB25A8">
        <w:noBreakHyphen/>
      </w:r>
      <w:r>
        <w:t>service basis and are provided by GPs, psychiatrists, psychologists or other allied health professionals under specific mental health items.</w:t>
      </w:r>
    </w:p>
    <w:p w14:paraId="6CB7A673" w14:textId="16642CB2" w:rsidR="006B4DF1" w:rsidRDefault="00652DA7" w:rsidP="00F4722B">
      <w:pPr>
        <w:pStyle w:val="ListBullet"/>
      </w:pPr>
      <w:r>
        <w:t>State and Territory g</w:t>
      </w:r>
      <w:r w:rsidR="006B4DF1">
        <w:t>overnment specialised mental health services</w:t>
      </w:r>
      <w:r w:rsidR="005405C6">
        <w:t xml:space="preserve"> (treat</w:t>
      </w:r>
      <w:r w:rsidR="00DE4A28">
        <w:t>ing</w:t>
      </w:r>
      <w:r w:rsidR="005405C6">
        <w:t xml:space="preserve"> mostly low prevalence, but severe, mental illnesses)</w:t>
      </w:r>
      <w:r w:rsidR="006B4DF1">
        <w:t>, which include:</w:t>
      </w:r>
    </w:p>
    <w:p w14:paraId="5C79681C" w14:textId="77777777" w:rsidR="008F07E7" w:rsidRDefault="008F07E7" w:rsidP="00062D60">
      <w:pPr>
        <w:pStyle w:val="ListBullet2"/>
      </w:pPr>
      <w:r>
        <w:t>Admitted patient care in public hospitals — specialised services provided to inpatients in stand</w:t>
      </w:r>
      <w:r w:rsidR="00AB25A8">
        <w:noBreakHyphen/>
      </w:r>
      <w:r>
        <w:t>alone psychiatric hospitals or psychiatric units in general acute hospitals.</w:t>
      </w:r>
    </w:p>
    <w:p w14:paraId="389BEE63" w14:textId="77777777" w:rsidR="008F07E7" w:rsidRDefault="008F07E7" w:rsidP="00062D60">
      <w:pPr>
        <w:pStyle w:val="ListBullet2"/>
      </w:pPr>
      <w:r>
        <w:t>Community</w:t>
      </w:r>
      <w:r w:rsidR="00AB25A8">
        <w:noBreakHyphen/>
      </w:r>
      <w:r>
        <w:t>based public mental health services, comprising:</w:t>
      </w:r>
    </w:p>
    <w:p w14:paraId="51151B3D" w14:textId="77777777" w:rsidR="008F07E7" w:rsidRDefault="008F07E7" w:rsidP="00062D60">
      <w:pPr>
        <w:pStyle w:val="ListBullet3"/>
      </w:pPr>
      <w:r>
        <w:t>ambulatory care services provided by outpatient clinics (hospital and clinic based), mobile assessment and treatment teams, day programs and other services dedicated to assessment, treatment, rehabilitation and care</w:t>
      </w:r>
    </w:p>
    <w:p w14:paraId="31C2D3BE" w14:textId="77777777" w:rsidR="008F07E7" w:rsidRDefault="008F07E7" w:rsidP="00062D60">
      <w:pPr>
        <w:pStyle w:val="ListBullet3"/>
      </w:pPr>
      <w:r>
        <w:t>residential services that provide beds in the community, staffed onsite by mental health professionals</w:t>
      </w:r>
      <w:r w:rsidR="006B4DF1">
        <w:t>.</w:t>
      </w:r>
    </w:p>
    <w:p w14:paraId="1A41FF09" w14:textId="4832174C" w:rsidR="008F07E7" w:rsidRDefault="008F07E7" w:rsidP="00F4722B">
      <w:pPr>
        <w:pStyle w:val="ListBullet"/>
      </w:pPr>
      <w:r>
        <w:t>Not</w:t>
      </w:r>
      <w:r w:rsidR="00AB25A8">
        <w:noBreakHyphen/>
      </w:r>
      <w:r>
        <w:t>for</w:t>
      </w:r>
      <w:r w:rsidR="00AB25A8">
        <w:noBreakHyphen/>
      </w:r>
      <w:r>
        <w:t>profit,</w:t>
      </w:r>
      <w:r w:rsidR="008B214A">
        <w:t xml:space="preserve"> non</w:t>
      </w:r>
      <w:r w:rsidR="008B214A">
        <w:noBreakHyphen/>
        <w:t>government organisation (</w:t>
      </w:r>
      <w:r>
        <w:t>NGO</w:t>
      </w:r>
      <w:r w:rsidR="008B214A">
        <w:t>)</w:t>
      </w:r>
      <w:r>
        <w:t xml:space="preserve"> services, funded by the Australian, State and Territory governments to provide community</w:t>
      </w:r>
      <w:r w:rsidR="00AB25A8">
        <w:noBreakHyphen/>
      </w:r>
      <w:r>
        <w:t>based support for people with psychiatric disability, including accommodation, outreach to people living in their own homes, residential rehabilitation units, recreational programs, self</w:t>
      </w:r>
      <w:r w:rsidR="00AB25A8">
        <w:noBreakHyphen/>
      </w:r>
      <w:r>
        <w:t>help and mutual support groups, carer respite services and system</w:t>
      </w:r>
      <w:r w:rsidR="00AB25A8">
        <w:noBreakHyphen/>
      </w:r>
      <w:r>
        <w:t>wide advocacy (DoHA 2010).</w:t>
      </w:r>
    </w:p>
    <w:p w14:paraId="70E1BC08" w14:textId="77777777" w:rsidR="00E1533C" w:rsidRPr="00E1533C" w:rsidRDefault="00E1533C" w:rsidP="00E1533C">
      <w:pPr>
        <w:pStyle w:val="ListBullet"/>
      </w:pPr>
      <w:r w:rsidRPr="00E1533C">
        <w:t xml:space="preserve">A staged implementation of the National Disability Insurance Scheme (NDIS) began in July 2013. People with a psychiatric disability who have significant and permanent functional impairment will be eligible to access funding through the NDIS. In addition, people with a disability other than a psychiatric disability, may also be </w:t>
      </w:r>
      <w:r w:rsidR="009F1049">
        <w:t>eligible for funding</w:t>
      </w:r>
      <w:r w:rsidR="009F1049" w:rsidRPr="00E1533C">
        <w:t xml:space="preserve"> </w:t>
      </w:r>
      <w:r w:rsidRPr="00E1533C">
        <w:t>for mental health</w:t>
      </w:r>
      <w:r w:rsidR="00AB25A8">
        <w:noBreakHyphen/>
      </w:r>
      <w:r w:rsidRPr="00E1533C">
        <w:t>related services and support if required.</w:t>
      </w:r>
    </w:p>
    <w:p w14:paraId="1EF76EDA" w14:textId="5F4E51A1" w:rsidR="008F07E7" w:rsidRDefault="008F07E7" w:rsidP="00F4722B">
      <w:pPr>
        <w:pStyle w:val="BodyText"/>
      </w:pPr>
      <w:r>
        <w:t xml:space="preserve">There are also other health services </w:t>
      </w:r>
      <w:r w:rsidR="00C16CC1" w:rsidRPr="00035E36">
        <w:t xml:space="preserve">(for example, </w:t>
      </w:r>
      <w:r w:rsidR="00515FC1" w:rsidRPr="00035E36">
        <w:t>services for people with disability</w:t>
      </w:r>
      <w:r w:rsidR="00C16CC1" w:rsidRPr="00035E36">
        <w:t>)</w:t>
      </w:r>
      <w:r w:rsidR="00C16CC1">
        <w:t xml:space="preserve"> </w:t>
      </w:r>
      <w:r>
        <w:t xml:space="preserve">provided and/or funded by governments that make a significant contribution to the mental health treatment of people with a mental illness, but are not specialised or </w:t>
      </w:r>
      <w:r w:rsidRPr="00B40852">
        <w:t xml:space="preserve">specific mental health services. </w:t>
      </w:r>
      <w:r w:rsidR="00B40852" w:rsidRPr="00B40852">
        <w:t>I</w:t>
      </w:r>
      <w:r w:rsidRPr="00B40852">
        <w:t>nformation on these non</w:t>
      </w:r>
      <w:r w:rsidR="00AB25A8">
        <w:noBreakHyphen/>
      </w:r>
      <w:r w:rsidRPr="00B40852">
        <w:t>specialised</w:t>
      </w:r>
      <w:r w:rsidR="00B40852" w:rsidRPr="00B40852">
        <w:t xml:space="preserve"> services provided in hospitals can be found in </w:t>
      </w:r>
      <w:r w:rsidR="00B40852" w:rsidRPr="00B40852">
        <w:rPr>
          <w:i/>
        </w:rPr>
        <w:t>Mental Health Services in Australia</w:t>
      </w:r>
      <w:r w:rsidR="00B40852" w:rsidRPr="00B40852">
        <w:t xml:space="preserve"> (AIHW 201</w:t>
      </w:r>
      <w:r w:rsidR="0085757F">
        <w:t>7</w:t>
      </w:r>
      <w:r w:rsidR="003052D0">
        <w:t>a</w:t>
      </w:r>
      <w:r w:rsidR="00B40852" w:rsidRPr="00B40852">
        <w:t>).</w:t>
      </w:r>
    </w:p>
    <w:p w14:paraId="1564630F" w14:textId="77777777" w:rsidR="00456117" w:rsidRPr="00456117" w:rsidRDefault="00456117" w:rsidP="00456117">
      <w:pPr>
        <w:pStyle w:val="Heading3"/>
      </w:pPr>
      <w:r>
        <w:lastRenderedPageBreak/>
        <w:t>Roles and Responsibilities</w:t>
      </w:r>
    </w:p>
    <w:p w14:paraId="47390353" w14:textId="77777777" w:rsidR="009B1F5D" w:rsidRDefault="009B1F5D" w:rsidP="002315C6">
      <w:pPr>
        <w:pStyle w:val="BodyText"/>
      </w:pPr>
      <w:r>
        <w:t>State and Territory governments are responsible for the funding, delivery and</w:t>
      </w:r>
      <w:r w:rsidR="006F5E0F">
        <w:t>/or</w:t>
      </w:r>
      <w:r>
        <w:t xml:space="preserve"> management of specialised mental health services including </w:t>
      </w:r>
      <w:r w:rsidR="00B03D4A">
        <w:t>in</w:t>
      </w:r>
      <w:r>
        <w:t>patient</w:t>
      </w:r>
      <w:r w:rsidR="00E5099A">
        <w:t>/admitted</w:t>
      </w:r>
      <w:r>
        <w:t xml:space="preserve"> care in hospitals, community</w:t>
      </w:r>
      <w:r w:rsidR="00C6566D">
        <w:noBreakHyphen/>
      </w:r>
      <w:r>
        <w:t xml:space="preserve">based ambulatory care </w:t>
      </w:r>
      <w:r w:rsidR="00E5099A">
        <w:t>a</w:t>
      </w:r>
      <w:r>
        <w:t>nd community</w:t>
      </w:r>
      <w:r w:rsidR="00C6566D">
        <w:noBreakHyphen/>
      </w:r>
      <w:r>
        <w:t xml:space="preserve">based residential care. </w:t>
      </w:r>
    </w:p>
    <w:p w14:paraId="71416EED" w14:textId="77777777" w:rsidR="00C6566D" w:rsidRDefault="009B1F5D" w:rsidP="00D71789">
      <w:pPr>
        <w:pStyle w:val="BodyText"/>
      </w:pPr>
      <w:r>
        <w:t xml:space="preserve">The Australian Government is responsible for the </w:t>
      </w:r>
      <w:r w:rsidR="009D4B2E">
        <w:t xml:space="preserve">oversight and </w:t>
      </w:r>
      <w:r>
        <w:t xml:space="preserve">funding of </w:t>
      </w:r>
      <w:r w:rsidR="006F5E0F">
        <w:t xml:space="preserve">a </w:t>
      </w:r>
      <w:r w:rsidR="003C78E9">
        <w:t xml:space="preserve">range of </w:t>
      </w:r>
      <w:r>
        <w:t>mental health services and programs</w:t>
      </w:r>
      <w:r w:rsidR="006F5E0F">
        <w:t xml:space="preserve"> that</w:t>
      </w:r>
      <w:r w:rsidR="009D4B2E">
        <w:t xml:space="preserve"> are primarily provided or delivered by private practitioners or NGO</w:t>
      </w:r>
      <w:r w:rsidR="00461318">
        <w:t>s</w:t>
      </w:r>
      <w:r w:rsidR="009D4B2E">
        <w:t xml:space="preserve">. These services and programs </w:t>
      </w:r>
      <w:r w:rsidR="003C78E9">
        <w:t>includ</w:t>
      </w:r>
      <w:r w:rsidR="009D4B2E">
        <w:t>e</w:t>
      </w:r>
      <w:r w:rsidR="003C78E9">
        <w:t xml:space="preserve"> </w:t>
      </w:r>
      <w:r>
        <w:t>MBS</w:t>
      </w:r>
      <w:r w:rsidR="003978B7">
        <w:t xml:space="preserve"> </w:t>
      </w:r>
      <w:r>
        <w:t>subsidised services provided by GPs (</w:t>
      </w:r>
      <w:r w:rsidR="00E5099A">
        <w:t xml:space="preserve">under </w:t>
      </w:r>
      <w:r>
        <w:t>both general and specific mental health items), private psychiatrists and allied mental health professionals</w:t>
      </w:r>
      <w:r w:rsidR="00EC4B61">
        <w:t>,</w:t>
      </w:r>
      <w:r>
        <w:t xml:space="preserve"> </w:t>
      </w:r>
      <w:r w:rsidR="009D4B2E">
        <w:t>P</w:t>
      </w:r>
      <w:r>
        <w:t>harmaceutical Benefits Scheme (PBS) funded mental</w:t>
      </w:r>
      <w:r w:rsidR="000A530B">
        <w:t xml:space="preserve"> </w:t>
      </w:r>
      <w:r>
        <w:t>health</w:t>
      </w:r>
      <w:r w:rsidR="000A530B">
        <w:noBreakHyphen/>
      </w:r>
      <w:r>
        <w:t xml:space="preserve">related medications </w:t>
      </w:r>
      <w:r w:rsidR="00EC4B61">
        <w:t xml:space="preserve">and </w:t>
      </w:r>
      <w:r>
        <w:t>other programs</w:t>
      </w:r>
      <w:r w:rsidR="009D4B2E">
        <w:t xml:space="preserve"> </w:t>
      </w:r>
      <w:r>
        <w:t xml:space="preserve">designed </w:t>
      </w:r>
      <w:r w:rsidR="008B1A32">
        <w:t>to prevent suicide or i</w:t>
      </w:r>
      <w:r>
        <w:t>ncrease the level of social support and community</w:t>
      </w:r>
      <w:r w:rsidR="00063E26">
        <w:noBreakHyphen/>
      </w:r>
      <w:r>
        <w:t xml:space="preserve">based care for people with a mental illness and </w:t>
      </w:r>
      <w:r w:rsidR="00EC4B61">
        <w:t>their carers</w:t>
      </w:r>
      <w:r>
        <w:t>.</w:t>
      </w:r>
      <w:r w:rsidR="003C78E9">
        <w:t xml:space="preserve"> </w:t>
      </w:r>
      <w:r w:rsidR="00D62DEA">
        <w:rPr>
          <w:shd w:val="clear" w:color="auto" w:fill="FFFFFF" w:themeFill="background1"/>
        </w:rPr>
        <w:t>T</w:t>
      </w:r>
      <w:r w:rsidR="00361EB3" w:rsidRPr="005673E9">
        <w:rPr>
          <w:shd w:val="clear" w:color="auto" w:fill="FFFFFF" w:themeFill="background1"/>
        </w:rPr>
        <w:t xml:space="preserve">he Australian Government also </w:t>
      </w:r>
      <w:r w:rsidR="00EC4B61">
        <w:rPr>
          <w:shd w:val="clear" w:color="auto" w:fill="FFFFFF" w:themeFill="background1"/>
        </w:rPr>
        <w:t>funds</w:t>
      </w:r>
      <w:r w:rsidR="00361EB3" w:rsidRPr="005673E9">
        <w:rPr>
          <w:shd w:val="clear" w:color="auto" w:fill="FFFFFF" w:themeFill="background1"/>
        </w:rPr>
        <w:t xml:space="preserve"> State and Territory governments for health services</w:t>
      </w:r>
      <w:r w:rsidR="00CB129F">
        <w:rPr>
          <w:shd w:val="clear" w:color="auto" w:fill="FFFFFF" w:themeFill="background1"/>
        </w:rPr>
        <w:t>,</w:t>
      </w:r>
      <w:r w:rsidR="00361EB3" w:rsidRPr="005673E9">
        <w:rPr>
          <w:shd w:val="clear" w:color="auto" w:fill="FFFFFF" w:themeFill="background1"/>
        </w:rPr>
        <w:t xml:space="preserve"> </w:t>
      </w:r>
      <w:r w:rsidR="00D62DEA">
        <w:rPr>
          <w:shd w:val="clear" w:color="auto" w:fill="FFFFFF" w:themeFill="background1"/>
        </w:rPr>
        <w:t xml:space="preserve">most recently </w:t>
      </w:r>
      <w:r w:rsidR="006E744F">
        <w:rPr>
          <w:shd w:val="clear" w:color="auto" w:fill="FFFFFF" w:themeFill="background1"/>
        </w:rPr>
        <w:t>through</w:t>
      </w:r>
      <w:r w:rsidR="00D62DEA">
        <w:rPr>
          <w:shd w:val="clear" w:color="auto" w:fill="FFFFFF" w:themeFill="background1"/>
        </w:rPr>
        <w:t xml:space="preserve"> the</w:t>
      </w:r>
      <w:r w:rsidR="00361EB3" w:rsidRPr="005673E9">
        <w:rPr>
          <w:shd w:val="clear" w:color="auto" w:fill="FFFFFF" w:themeFill="background1"/>
        </w:rPr>
        <w:t xml:space="preserve"> approaches specified in the National Health Reform Agreement</w:t>
      </w:r>
      <w:r w:rsidR="00770022" w:rsidRPr="005673E9">
        <w:rPr>
          <w:shd w:val="clear" w:color="auto" w:fill="FFFFFF" w:themeFill="background1"/>
        </w:rPr>
        <w:t xml:space="preserve"> (NHRA</w:t>
      </w:r>
      <w:r w:rsidR="00F32AD3">
        <w:rPr>
          <w:shd w:val="clear" w:color="auto" w:fill="FFFFFF" w:themeFill="background1"/>
        </w:rPr>
        <w:t>) which includes a</w:t>
      </w:r>
      <w:r w:rsidR="00361EB3" w:rsidRPr="005673E9">
        <w:rPr>
          <w:shd w:val="clear" w:color="auto" w:fill="FFFFFF" w:themeFill="background1"/>
        </w:rPr>
        <w:t xml:space="preserve"> mental health </w:t>
      </w:r>
      <w:r w:rsidR="00F32AD3">
        <w:rPr>
          <w:shd w:val="clear" w:color="auto" w:fill="FFFFFF" w:themeFill="background1"/>
        </w:rPr>
        <w:t>component.</w:t>
      </w:r>
    </w:p>
    <w:p w14:paraId="764969E3" w14:textId="77777777" w:rsidR="00F4722B" w:rsidRPr="00C362D4" w:rsidRDefault="00F4722B" w:rsidP="006C2DE1">
      <w:pPr>
        <w:pStyle w:val="BodyText"/>
      </w:pPr>
      <w:r w:rsidRPr="00C362D4">
        <w:t>A number of national</w:t>
      </w:r>
      <w:r w:rsidR="00B451BE" w:rsidRPr="00C362D4">
        <w:t xml:space="preserve"> initiatives and nationally</w:t>
      </w:r>
      <w:r w:rsidRPr="00C362D4">
        <w:t xml:space="preserve"> agreed strategies and plans underpin </w:t>
      </w:r>
      <w:r w:rsidR="00B451BE" w:rsidRPr="00C362D4">
        <w:t>the delivery and monitoring of mental health services in</w:t>
      </w:r>
      <w:r w:rsidR="00AF6188" w:rsidRPr="00C362D4">
        <w:t xml:space="preserve"> </w:t>
      </w:r>
      <w:r w:rsidRPr="00C362D4">
        <w:t>Australia</w:t>
      </w:r>
      <w:r w:rsidR="00B451BE" w:rsidRPr="00C362D4">
        <w:t xml:space="preserve"> including</w:t>
      </w:r>
      <w:r w:rsidRPr="00C362D4">
        <w:t>:</w:t>
      </w:r>
    </w:p>
    <w:p w14:paraId="797029F7" w14:textId="77777777" w:rsidR="00F4722B" w:rsidRPr="00C362D4" w:rsidRDefault="006C2DE1" w:rsidP="00F4722B">
      <w:pPr>
        <w:pStyle w:val="ListBullet"/>
      </w:pPr>
      <w:r w:rsidRPr="00C362D4">
        <w:t xml:space="preserve">the </w:t>
      </w:r>
      <w:r w:rsidRPr="00DE09D5">
        <w:rPr>
          <w:i/>
        </w:rPr>
        <w:t xml:space="preserve">Mental Health Statement </w:t>
      </w:r>
      <w:r w:rsidR="00F4722B" w:rsidRPr="00DE09D5">
        <w:rPr>
          <w:i/>
        </w:rPr>
        <w:t>of Rights and Responsibilities</w:t>
      </w:r>
      <w:r w:rsidR="00F4722B" w:rsidRPr="00C362D4">
        <w:t xml:space="preserve"> </w:t>
      </w:r>
      <w:r w:rsidR="00B451BE" w:rsidRPr="00C362D4">
        <w:t>(Australian Health Ministers 1991)</w:t>
      </w:r>
    </w:p>
    <w:p w14:paraId="5F06D659" w14:textId="77777777" w:rsidR="00F4722B" w:rsidRPr="00DE09D5" w:rsidRDefault="006C2DE1" w:rsidP="00F4722B">
      <w:pPr>
        <w:pStyle w:val="ListBullet"/>
        <w:rPr>
          <w:i/>
        </w:rPr>
      </w:pPr>
      <w:r w:rsidRPr="00C362D4">
        <w:t xml:space="preserve">the </w:t>
      </w:r>
      <w:r w:rsidRPr="00DE09D5">
        <w:rPr>
          <w:i/>
        </w:rPr>
        <w:t xml:space="preserve">National Mental Health Policy 2008 </w:t>
      </w:r>
    </w:p>
    <w:p w14:paraId="245A0AA5" w14:textId="2D5E3A78" w:rsidR="00D00204" w:rsidRPr="00D00204" w:rsidRDefault="00F4722B" w:rsidP="00D00204">
      <w:pPr>
        <w:pStyle w:val="ListBullet"/>
      </w:pPr>
      <w:r w:rsidRPr="00C362D4">
        <w:t>the</w:t>
      </w:r>
      <w:r w:rsidR="006C2DE1" w:rsidRPr="00C362D4">
        <w:t xml:space="preserve"> </w:t>
      </w:r>
      <w:r w:rsidR="003052D0">
        <w:rPr>
          <w:i/>
        </w:rPr>
        <w:t>National Mental Health Strategy</w:t>
      </w:r>
      <w:r w:rsidR="006C2DE1" w:rsidRPr="00D00204">
        <w:t xml:space="preserve"> </w:t>
      </w:r>
      <w:r w:rsidR="004C4169" w:rsidRPr="00D00204">
        <w:t>(</w:t>
      </w:r>
      <w:proofErr w:type="spellStart"/>
      <w:r w:rsidR="004C4169" w:rsidRPr="00D00204">
        <w:t>DoH</w:t>
      </w:r>
      <w:proofErr w:type="spellEnd"/>
      <w:r w:rsidR="004C4169" w:rsidRPr="00D00204">
        <w:t> 2014)</w:t>
      </w:r>
    </w:p>
    <w:p w14:paraId="2D572E84" w14:textId="0946D663" w:rsidR="00F4722B" w:rsidRPr="0095776C" w:rsidRDefault="00D00204" w:rsidP="007E23D7">
      <w:pPr>
        <w:pStyle w:val="ListBullet"/>
      </w:pPr>
      <w:r>
        <w:t>f</w:t>
      </w:r>
      <w:r w:rsidRPr="00D00204">
        <w:t>ive</w:t>
      </w:r>
      <w:r w:rsidRPr="00D00204">
        <w:noBreakHyphen/>
        <w:t>yearly</w:t>
      </w:r>
      <w:r w:rsidR="00F4722B" w:rsidRPr="00D00204">
        <w:t xml:space="preserve"> </w:t>
      </w:r>
      <w:r w:rsidR="006C2DE1" w:rsidRPr="00D00204">
        <w:t>National Mental Health Plan</w:t>
      </w:r>
      <w:r w:rsidR="00C362D4" w:rsidRPr="00D00204">
        <w:t>s</w:t>
      </w:r>
      <w:r w:rsidR="001B1EB5" w:rsidRPr="00D00204">
        <w:t>, t</w:t>
      </w:r>
      <w:r w:rsidR="002C775B" w:rsidRPr="00D00204">
        <w:t>he most</w:t>
      </w:r>
      <w:r w:rsidR="00F4722B" w:rsidRPr="00D00204">
        <w:t xml:space="preserve"> recent of which</w:t>
      </w:r>
      <w:r w:rsidR="006C2DE1" w:rsidRPr="00D00204">
        <w:t xml:space="preserve"> </w:t>
      </w:r>
      <w:r w:rsidR="00F4722B" w:rsidRPr="00D00204">
        <w:t xml:space="preserve">― the </w:t>
      </w:r>
      <w:r w:rsidR="001B1EB5" w:rsidRPr="007E23D7">
        <w:rPr>
          <w:i/>
        </w:rPr>
        <w:t xml:space="preserve">Fifth </w:t>
      </w:r>
      <w:r w:rsidR="00312758" w:rsidRPr="007E23D7">
        <w:rPr>
          <w:i/>
        </w:rPr>
        <w:t xml:space="preserve">National Mental Health and Suicide Prevention </w:t>
      </w:r>
      <w:r w:rsidR="006C2DE1" w:rsidRPr="007E23D7">
        <w:rPr>
          <w:i/>
        </w:rPr>
        <w:t>Plan</w:t>
      </w:r>
      <w:r w:rsidR="006C2DE1" w:rsidRPr="00D00204">
        <w:t xml:space="preserve"> </w:t>
      </w:r>
      <w:r w:rsidR="00312758" w:rsidRPr="00D00204">
        <w:t xml:space="preserve">– </w:t>
      </w:r>
      <w:r w:rsidR="00312758" w:rsidRPr="007E23D7">
        <w:t xml:space="preserve">was </w:t>
      </w:r>
      <w:r w:rsidRPr="007E23D7">
        <w:t>endorsed by the COAG Health Council on 4</w:t>
      </w:r>
      <w:r w:rsidR="00BA1594">
        <w:t> </w:t>
      </w:r>
      <w:r w:rsidRPr="007E23D7">
        <w:t>August 2017</w:t>
      </w:r>
      <w:r w:rsidR="0085757F">
        <w:t>.</w:t>
      </w:r>
    </w:p>
    <w:p w14:paraId="04A037E0" w14:textId="77777777" w:rsidR="009B1F5D" w:rsidRDefault="009B1F5D" w:rsidP="009B1F5D">
      <w:pPr>
        <w:pStyle w:val="Heading3"/>
      </w:pPr>
      <w:r>
        <w:t>Funding</w:t>
      </w:r>
    </w:p>
    <w:p w14:paraId="118C4F84" w14:textId="053AB386" w:rsidR="0010468D" w:rsidRPr="00117EFB" w:rsidRDefault="007E23D7" w:rsidP="00035E36">
      <w:pPr>
        <w:pStyle w:val="BodyText"/>
      </w:pPr>
      <w:r>
        <w:t>Nationally</w:t>
      </w:r>
      <w:r w:rsidR="007862A4">
        <w:t>, r</w:t>
      </w:r>
      <w:r w:rsidR="009B1F5D">
        <w:t xml:space="preserve">eal government </w:t>
      </w:r>
      <w:r w:rsidR="009B1F5D" w:rsidRPr="00DD5C45">
        <w:t xml:space="preserve">recurrent </w:t>
      </w:r>
      <w:r w:rsidR="009B1F5D" w:rsidRPr="00117EFB">
        <w:t xml:space="preserve">expenditure of around </w:t>
      </w:r>
      <w:r w:rsidR="009B1F5D" w:rsidRPr="00035E36">
        <w:t>$</w:t>
      </w:r>
      <w:r w:rsidR="00ED664C" w:rsidRPr="00035E36">
        <w:t>8.</w:t>
      </w:r>
      <w:r w:rsidR="00130587" w:rsidRPr="00035E36">
        <w:t>5</w:t>
      </w:r>
      <w:r w:rsidR="00580D9C" w:rsidRPr="00035E36">
        <w:t> </w:t>
      </w:r>
      <w:r w:rsidR="009B1F5D" w:rsidRPr="00035E36">
        <w:t>billion</w:t>
      </w:r>
      <w:r w:rsidR="009B1F5D" w:rsidRPr="00117EFB">
        <w:t xml:space="preserve"> was allocated to mental health services in </w:t>
      </w:r>
      <w:r w:rsidRPr="00117EFB">
        <w:t>2015</w:t>
      </w:r>
      <w:r w:rsidR="00BA1594">
        <w:noBreakHyphen/>
      </w:r>
      <w:r w:rsidRPr="00117EFB">
        <w:t>16</w:t>
      </w:r>
      <w:r w:rsidR="006A4CD2">
        <w:t xml:space="preserve">, equivalent to </w:t>
      </w:r>
      <w:r w:rsidR="006A4CD2" w:rsidRPr="00035E36">
        <w:t>$35</w:t>
      </w:r>
      <w:r w:rsidR="001E7BC7" w:rsidRPr="00035E36">
        <w:t>4</w:t>
      </w:r>
      <w:r w:rsidR="006A4CD2" w:rsidRPr="00035E36">
        <w:t>.</w:t>
      </w:r>
      <w:r w:rsidR="001E7BC7" w:rsidRPr="00035E36">
        <w:t>79</w:t>
      </w:r>
      <w:r w:rsidR="001940ED">
        <w:t> </w:t>
      </w:r>
      <w:r w:rsidR="006A4CD2" w:rsidRPr="00035E36">
        <w:t>per</w:t>
      </w:r>
      <w:r w:rsidR="001940ED">
        <w:t> </w:t>
      </w:r>
      <w:r w:rsidR="006A4CD2" w:rsidRPr="00035E36">
        <w:t>person</w:t>
      </w:r>
      <w:r w:rsidR="006A4CD2">
        <w:t xml:space="preserve"> in the population</w:t>
      </w:r>
      <w:r w:rsidR="009B1F5D" w:rsidRPr="00117EFB">
        <w:t xml:space="preserve"> (table</w:t>
      </w:r>
      <w:r w:rsidR="0022260C" w:rsidRPr="00117EFB">
        <w:t> </w:t>
      </w:r>
      <w:r w:rsidR="001B26A2" w:rsidRPr="00117EFB">
        <w:t>13A.</w:t>
      </w:r>
      <w:r w:rsidR="00FF7DC1" w:rsidRPr="00117EFB">
        <w:t>1</w:t>
      </w:r>
      <w:r w:rsidR="006A4CD2">
        <w:t xml:space="preserve"> and figure</w:t>
      </w:r>
      <w:r w:rsidR="00BA1594">
        <w:t> </w:t>
      </w:r>
      <w:r w:rsidR="006A4CD2">
        <w:t>13.1</w:t>
      </w:r>
      <w:r w:rsidR="009B1F5D" w:rsidRPr="00117EFB">
        <w:t xml:space="preserve">). State and Territory governments made the largest contribution </w:t>
      </w:r>
      <w:r w:rsidR="009B1F5D" w:rsidRPr="00D14AB2">
        <w:t>($</w:t>
      </w:r>
      <w:r w:rsidR="00ED664C" w:rsidRPr="00D14AB2">
        <w:t>5.</w:t>
      </w:r>
      <w:r w:rsidR="00940418" w:rsidRPr="00D14AB2">
        <w:t>4</w:t>
      </w:r>
      <w:r w:rsidR="00E83D6F">
        <w:t> </w:t>
      </w:r>
      <w:r w:rsidR="009B1F5D" w:rsidRPr="00D14AB2">
        <w:t>billion</w:t>
      </w:r>
      <w:r w:rsidR="009B1F5D" w:rsidRPr="00117EFB">
        <w:t xml:space="preserve"> or </w:t>
      </w:r>
      <w:r w:rsidR="00940418" w:rsidRPr="00035E36">
        <w:t>63.</w:t>
      </w:r>
      <w:r w:rsidR="00130587" w:rsidRPr="00035E36">
        <w:t>1</w:t>
      </w:r>
      <w:r w:rsidR="001940ED">
        <w:t> </w:t>
      </w:r>
      <w:r w:rsidR="009B1F5D" w:rsidRPr="00035E36">
        <w:t>per</w:t>
      </w:r>
      <w:r w:rsidR="006062EF" w:rsidRPr="00035E36">
        <w:t> </w:t>
      </w:r>
      <w:r w:rsidR="009B1F5D" w:rsidRPr="00035E36">
        <w:t>cent</w:t>
      </w:r>
      <w:r w:rsidR="009B1F5D" w:rsidRPr="00117EFB">
        <w:t xml:space="preserve">, </w:t>
      </w:r>
      <w:r w:rsidR="00146269" w:rsidRPr="00117EFB">
        <w:t>which</w:t>
      </w:r>
      <w:r w:rsidR="009B1F5D" w:rsidRPr="00117EFB">
        <w:t xml:space="preserve"> includes Australian Government funding under the </w:t>
      </w:r>
      <w:r w:rsidR="006C3116" w:rsidRPr="00117EFB">
        <w:t>NHRA</w:t>
      </w:r>
      <w:r w:rsidR="00146269" w:rsidRPr="00117EFB">
        <w:t>), with Australian Government expenditure of</w:t>
      </w:r>
      <w:r w:rsidR="009B1F5D" w:rsidRPr="00117EFB">
        <w:t xml:space="preserve"> </w:t>
      </w:r>
      <w:r w:rsidR="009B1F5D" w:rsidRPr="00035E36">
        <w:t>$</w:t>
      </w:r>
      <w:r w:rsidR="00DD5C45" w:rsidRPr="00035E36">
        <w:t>3.</w:t>
      </w:r>
      <w:r w:rsidR="007F0BC8" w:rsidRPr="00035E36">
        <w:t>1</w:t>
      </w:r>
      <w:r w:rsidR="00AD03E6" w:rsidRPr="00035E36">
        <w:t> </w:t>
      </w:r>
      <w:r w:rsidR="009B1F5D" w:rsidRPr="00035E36">
        <w:t>billion</w:t>
      </w:r>
      <w:r w:rsidR="009B1F5D" w:rsidRPr="00117EFB">
        <w:t xml:space="preserve"> (table</w:t>
      </w:r>
      <w:r w:rsidR="00C6566D" w:rsidRPr="00117EFB">
        <w:t> </w:t>
      </w:r>
      <w:r w:rsidR="001B26A2" w:rsidRPr="00117EFB">
        <w:t>13A.</w:t>
      </w:r>
      <w:r w:rsidR="00FF7DC1" w:rsidRPr="00117EFB">
        <w:t>1</w:t>
      </w:r>
      <w:r w:rsidR="00F0526A" w:rsidRPr="00117EFB">
        <w:t>).</w:t>
      </w:r>
    </w:p>
    <w:p w14:paraId="15391430" w14:textId="1BE84990" w:rsidR="002C5790" w:rsidRDefault="002C5790" w:rsidP="00074248">
      <w:pPr>
        <w:pStyle w:val="BodyText"/>
      </w:pPr>
      <w:r w:rsidRPr="00074248">
        <w:t xml:space="preserve">Expenditure on MBS subsidised services was the largest component of Australian Government expenditure on mental health services in </w:t>
      </w:r>
      <w:r w:rsidR="007E23D7">
        <w:t>2015</w:t>
      </w:r>
      <w:r w:rsidR="00BA1594">
        <w:noBreakHyphen/>
      </w:r>
      <w:r w:rsidR="007E23D7">
        <w:t>16</w:t>
      </w:r>
      <w:r w:rsidRPr="00074248">
        <w:t xml:space="preserve"> ($</w:t>
      </w:r>
      <w:r w:rsidR="0027059E">
        <w:t>1</w:t>
      </w:r>
      <w:r w:rsidR="00DE4A28">
        <w:t>.</w:t>
      </w:r>
      <w:r w:rsidR="0027059E">
        <w:t>1</w:t>
      </w:r>
      <w:r w:rsidR="00DE4A28">
        <w:t> b</w:t>
      </w:r>
      <w:r w:rsidRPr="00074248">
        <w:t xml:space="preserve">illion or </w:t>
      </w:r>
      <w:r w:rsidR="0027059E" w:rsidRPr="00035E36">
        <w:t>36.</w:t>
      </w:r>
      <w:r w:rsidR="009E20FA" w:rsidRPr="00035E36">
        <w:t>0</w:t>
      </w:r>
      <w:r w:rsidRPr="00035E36">
        <w:t> per cent</w:t>
      </w:r>
      <w:r w:rsidRPr="00074248">
        <w:t>) (table </w:t>
      </w:r>
      <w:r w:rsidR="001B26A2" w:rsidRPr="00074248">
        <w:t>13A.</w:t>
      </w:r>
      <w:r w:rsidR="00FF7DC1" w:rsidRPr="00074248">
        <w:t>2</w:t>
      </w:r>
      <w:r w:rsidRPr="00074248">
        <w:t>). This comprised MBS payments for psychologists and other allied health professionals (</w:t>
      </w:r>
      <w:r w:rsidR="009E20FA" w:rsidRPr="00035E36">
        <w:t>16.5</w:t>
      </w:r>
      <w:r w:rsidR="0027059E" w:rsidRPr="00035E36">
        <w:t> </w:t>
      </w:r>
      <w:r w:rsidRPr="00035E36">
        <w:t>per cent</w:t>
      </w:r>
      <w:r w:rsidRPr="00074248">
        <w:t>), consultant psychiatrists (</w:t>
      </w:r>
      <w:r w:rsidR="001E7BC7" w:rsidRPr="00035E36">
        <w:t>10.9</w:t>
      </w:r>
      <w:r w:rsidRPr="00035E36">
        <w:t> per cent</w:t>
      </w:r>
      <w:r w:rsidRPr="00074248">
        <w:t xml:space="preserve">) and </w:t>
      </w:r>
      <w:r w:rsidR="00652DA7">
        <w:t>GP</w:t>
      </w:r>
      <w:r w:rsidR="0027059E">
        <w:t> </w:t>
      </w:r>
      <w:r w:rsidRPr="00074248">
        <w:t>services (</w:t>
      </w:r>
      <w:r w:rsidR="001E7BC7" w:rsidRPr="00035E36">
        <w:t>8.6</w:t>
      </w:r>
      <w:r w:rsidRPr="00035E36">
        <w:t> per cent</w:t>
      </w:r>
      <w:r w:rsidRPr="00074248">
        <w:t>) (table </w:t>
      </w:r>
      <w:r w:rsidR="001B26A2" w:rsidRPr="00074248">
        <w:t>13A.</w:t>
      </w:r>
      <w:r w:rsidR="00FF7DC1" w:rsidRPr="00074248">
        <w:t>2</w:t>
      </w:r>
      <w:r w:rsidRPr="00074248">
        <w:t>). Another significant area of Australian Government</w:t>
      </w:r>
      <w:r w:rsidRPr="008773C0">
        <w:t xml:space="preserve"> expenditure on mental health services in </w:t>
      </w:r>
      <w:r w:rsidR="0027059E">
        <w:t>2015</w:t>
      </w:r>
      <w:r w:rsidR="00BA1594">
        <w:noBreakHyphen/>
      </w:r>
      <w:r w:rsidR="0027059E">
        <w:t>16</w:t>
      </w:r>
      <w:r w:rsidRPr="008773C0">
        <w:t xml:space="preserve"> was expenditure under the PBS for mental</w:t>
      </w:r>
      <w:r>
        <w:noBreakHyphen/>
      </w:r>
      <w:r w:rsidRPr="008773C0">
        <w:t xml:space="preserve">health related </w:t>
      </w:r>
      <w:r w:rsidRPr="00074248">
        <w:t>medications ($</w:t>
      </w:r>
      <w:r w:rsidR="0027059E">
        <w:t>548.6</w:t>
      </w:r>
      <w:r w:rsidRPr="00074248">
        <w:t> million</w:t>
      </w:r>
      <w:r w:rsidRPr="00D243D3">
        <w:t>) (table </w:t>
      </w:r>
      <w:r w:rsidR="001B26A2" w:rsidRPr="00D243D3">
        <w:t>13A.</w:t>
      </w:r>
      <w:r w:rsidR="00FF7DC1" w:rsidRPr="00D243D3">
        <w:t>2</w:t>
      </w:r>
      <w:r w:rsidRPr="00D243D3">
        <w:t>).</w:t>
      </w:r>
    </w:p>
    <w:p w14:paraId="49C8453C" w14:textId="7F1B384E" w:rsidR="002C5790" w:rsidRPr="000575B5" w:rsidRDefault="002C5790" w:rsidP="00074248">
      <w:pPr>
        <w:pStyle w:val="BodyText"/>
      </w:pPr>
      <w:r w:rsidRPr="00074248">
        <w:lastRenderedPageBreak/>
        <w:t>Nationally,</w:t>
      </w:r>
      <w:r w:rsidRPr="00A11523">
        <w:t xml:space="preserve"> expenditure on admitted patient services is the </w:t>
      </w:r>
      <w:r w:rsidRPr="00940418">
        <w:t>largest component of State and Territory governments’ expenditure on specialised mental health services ($</w:t>
      </w:r>
      <w:r w:rsidR="00A11523" w:rsidRPr="00940418">
        <w:t>2.</w:t>
      </w:r>
      <w:r w:rsidR="00940418" w:rsidRPr="00940418">
        <w:t>4</w:t>
      </w:r>
      <w:r w:rsidRPr="00940418">
        <w:t xml:space="preserve"> billion or </w:t>
      </w:r>
      <w:r w:rsidR="00940418" w:rsidRPr="0018633A">
        <w:rPr>
          <w:shd w:val="clear" w:color="auto" w:fill="FFFFFF" w:themeFill="background1"/>
        </w:rPr>
        <w:t>44.</w:t>
      </w:r>
      <w:r w:rsidR="007F0BC8" w:rsidRPr="0018633A">
        <w:rPr>
          <w:shd w:val="clear" w:color="auto" w:fill="FFFFFF" w:themeFill="background1"/>
        </w:rPr>
        <w:t>1</w:t>
      </w:r>
      <w:r w:rsidRPr="0018633A">
        <w:rPr>
          <w:shd w:val="clear" w:color="auto" w:fill="FFFFFF" w:themeFill="background1"/>
        </w:rPr>
        <w:t> per cent</w:t>
      </w:r>
      <w:r w:rsidR="00580D9C" w:rsidRPr="00940418">
        <w:t>)</w:t>
      </w:r>
      <w:r w:rsidRPr="00940418">
        <w:t xml:space="preserve"> in </w:t>
      </w:r>
      <w:r w:rsidR="0027059E" w:rsidRPr="00940418">
        <w:t>2015</w:t>
      </w:r>
      <w:r w:rsidR="00BA1594">
        <w:noBreakHyphen/>
      </w:r>
      <w:r w:rsidR="0027059E" w:rsidRPr="00940418">
        <w:t>16</w:t>
      </w:r>
      <w:r w:rsidRPr="00940418">
        <w:t>, followed by expenditure on community</w:t>
      </w:r>
      <w:r w:rsidR="00463329" w:rsidRPr="00A11523">
        <w:noBreakHyphen/>
      </w:r>
      <w:r w:rsidRPr="00A11523">
        <w:t>based ambulatory services ($</w:t>
      </w:r>
      <w:r w:rsidR="00940418">
        <w:t>2.0</w:t>
      </w:r>
      <w:r w:rsidRPr="00A11523">
        <w:t xml:space="preserve"> billion </w:t>
      </w:r>
      <w:r w:rsidRPr="00940418">
        <w:t xml:space="preserve">or </w:t>
      </w:r>
      <w:r w:rsidR="00A11523" w:rsidRPr="00940418">
        <w:t>37.6</w:t>
      </w:r>
      <w:r w:rsidRPr="00940418">
        <w:t> per</w:t>
      </w:r>
      <w:r w:rsidR="000575B5">
        <w:t> </w:t>
      </w:r>
      <w:r>
        <w:t xml:space="preserve">cent) </w:t>
      </w:r>
      <w:r w:rsidRPr="00D243D3">
        <w:t>(</w:t>
      </w:r>
      <w:r w:rsidR="00467AF7" w:rsidRPr="00D243D3">
        <w:t>table</w:t>
      </w:r>
      <w:r w:rsidR="00AB25A8">
        <w:t> </w:t>
      </w:r>
      <w:r w:rsidR="001B26A2" w:rsidRPr="00D243D3">
        <w:t>13A.</w:t>
      </w:r>
      <w:r w:rsidR="00FF7DC1" w:rsidRPr="00D243D3">
        <w:t>3</w:t>
      </w:r>
      <w:r w:rsidRPr="00D243D3">
        <w:t>).</w:t>
      </w:r>
      <w:r w:rsidRPr="00CB129F">
        <w:t xml:space="preserve"> </w:t>
      </w:r>
      <w:r w:rsidRPr="00E43450">
        <w:t xml:space="preserve">State and Territory governments’ expenditure on </w:t>
      </w:r>
      <w:r w:rsidRPr="00940418">
        <w:t>specialised mental health services, by source of funds and depreciation (which is excluded from reporting) are in tables </w:t>
      </w:r>
      <w:r w:rsidR="001B26A2" w:rsidRPr="00940418">
        <w:t>13A.</w:t>
      </w:r>
      <w:r w:rsidR="00FF7DC1" w:rsidRPr="00940418">
        <w:t>4</w:t>
      </w:r>
      <w:r w:rsidRPr="00940418">
        <w:t xml:space="preserve"> and </w:t>
      </w:r>
      <w:r w:rsidR="001B26A2" w:rsidRPr="00940418">
        <w:t>13A.</w:t>
      </w:r>
      <w:r w:rsidR="00A11523" w:rsidRPr="00940418">
        <w:t>5 respectively.</w:t>
      </w:r>
    </w:p>
    <w:p w14:paraId="2314F9CC" w14:textId="23E12C57" w:rsidR="00164B4B" w:rsidRPr="00940418" w:rsidRDefault="00164B4B" w:rsidP="0072107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164B4B" w:rsidRPr="00940418" w14:paraId="369944D1" w14:textId="77777777" w:rsidTr="00EF526A">
        <w:trPr>
          <w:tblHeader/>
        </w:trPr>
        <w:tc>
          <w:tcPr>
            <w:tcW w:w="8789" w:type="dxa"/>
            <w:tcBorders>
              <w:top w:val="single" w:sz="6" w:space="0" w:color="78A22F"/>
              <w:left w:val="nil"/>
              <w:bottom w:val="nil"/>
              <w:right w:val="nil"/>
            </w:tcBorders>
            <w:shd w:val="clear" w:color="auto" w:fill="auto"/>
          </w:tcPr>
          <w:p w14:paraId="76BFC945" w14:textId="0D572BDD" w:rsidR="000575B5" w:rsidRPr="000575B5" w:rsidRDefault="00164B4B" w:rsidP="000575B5">
            <w:pPr>
              <w:pStyle w:val="FigureTitle"/>
              <w:rPr>
                <w:position w:val="6"/>
                <w:sz w:val="18"/>
              </w:rPr>
            </w:pPr>
            <w:r w:rsidRPr="00940418">
              <w:rPr>
                <w:b w:val="0"/>
              </w:rPr>
              <w:t xml:space="preserve">Figure </w:t>
            </w:r>
            <w:r w:rsidR="00A21D8E">
              <w:rPr>
                <w:b w:val="0"/>
              </w:rPr>
              <w:t>13.1</w:t>
            </w:r>
            <w:r w:rsidRPr="00940418">
              <w:tab/>
              <w:t>Real recurrent governments’ expenditure on mental health services, by funding source (201</w:t>
            </w:r>
            <w:r w:rsidR="006F2BBA" w:rsidRPr="00940418">
              <w:t>5</w:t>
            </w:r>
            <w:r w:rsidRPr="00940418">
              <w:noBreakHyphen/>
              <w:t>1</w:t>
            </w:r>
            <w:r w:rsidR="006F2BBA" w:rsidRPr="00940418">
              <w:t>6</w:t>
            </w:r>
            <w:r w:rsidRPr="00940418">
              <w:t xml:space="preserve"> dollars)</w:t>
            </w:r>
            <w:r w:rsidRPr="00940418">
              <w:rPr>
                <w:rStyle w:val="NoteLabel"/>
                <w:b/>
              </w:rPr>
              <w:t>a</w:t>
            </w:r>
          </w:p>
        </w:tc>
      </w:tr>
      <w:tr w:rsidR="00164B4B" w:rsidRPr="00940418" w14:paraId="76B9B3F0" w14:textId="77777777" w:rsidTr="00EF526A">
        <w:trPr>
          <w:trHeight w:val="4520"/>
        </w:trPr>
        <w:tc>
          <w:tcPr>
            <w:tcW w:w="8789" w:type="dxa"/>
            <w:tcBorders>
              <w:top w:val="nil"/>
              <w:left w:val="nil"/>
              <w:bottom w:val="nil"/>
              <w:right w:val="nil"/>
            </w:tcBorders>
            <w:shd w:val="clear" w:color="auto" w:fill="auto"/>
            <w:tcMar>
              <w:top w:w="28" w:type="dxa"/>
              <w:bottom w:w="28" w:type="dxa"/>
            </w:tcMar>
          </w:tcPr>
          <w:tbl>
            <w:tblPr>
              <w:tblW w:w="8504" w:type="dxa"/>
              <w:jc w:val="center"/>
              <w:tblLayout w:type="fixed"/>
              <w:tblCellMar>
                <w:top w:w="28" w:type="dxa"/>
              </w:tblCellMar>
              <w:tblLook w:val="0000" w:firstRow="0" w:lastRow="0" w:firstColumn="0" w:lastColumn="0" w:noHBand="0" w:noVBand="0"/>
              <w:tblDescription w:val="Nested table used for design layout."/>
            </w:tblPr>
            <w:tblGrid>
              <w:gridCol w:w="8504"/>
            </w:tblGrid>
            <w:tr w:rsidR="00164B4B" w:rsidRPr="00940418" w14:paraId="49C63803" w14:textId="77777777" w:rsidTr="00D502E5">
              <w:trPr>
                <w:trHeight w:val="4507"/>
                <w:tblHeader/>
                <w:jc w:val="center"/>
              </w:trPr>
              <w:tc>
                <w:tcPr>
                  <w:tcW w:w="8504" w:type="dxa"/>
                </w:tcPr>
                <w:p w14:paraId="30F1DD5E" w14:textId="37B657FF" w:rsidR="00164B4B" w:rsidRPr="00940418" w:rsidRDefault="00D502E5" w:rsidP="00250AEB">
                  <w:pPr>
                    <w:pStyle w:val="Figure"/>
                  </w:pPr>
                  <w:r>
                    <w:rPr>
                      <w:noProof/>
                    </w:rPr>
                    <w:drawing>
                      <wp:inline distT="0" distB="0" distL="0" distR="0" wp14:anchorId="695AAFAB" wp14:editId="678FE621">
                        <wp:extent cx="5262880" cy="2716530"/>
                        <wp:effectExtent l="0" t="0" r="0" b="7620"/>
                        <wp:docPr id="3" name="Chart 3" descr="More details can be found within the text surrounding this image." title="Figure 13.1 Real recurrent governments' expenditure on mental health services, by funding source (2015-16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545FB543" w14:textId="77777777" w:rsidR="00164B4B" w:rsidRPr="00940418" w:rsidRDefault="00164B4B" w:rsidP="00721073">
            <w:pPr>
              <w:pStyle w:val="Figure"/>
            </w:pPr>
          </w:p>
        </w:tc>
      </w:tr>
      <w:tr w:rsidR="00164B4B" w:rsidRPr="00940418" w14:paraId="1C0BB087" w14:textId="77777777" w:rsidTr="00EF526A">
        <w:tc>
          <w:tcPr>
            <w:tcW w:w="8789" w:type="dxa"/>
            <w:tcBorders>
              <w:top w:val="nil"/>
              <w:left w:val="nil"/>
              <w:bottom w:val="nil"/>
              <w:right w:val="nil"/>
            </w:tcBorders>
            <w:shd w:val="clear" w:color="auto" w:fill="auto"/>
          </w:tcPr>
          <w:p w14:paraId="4D38EDE8" w14:textId="48B97656" w:rsidR="00164B4B" w:rsidRPr="00940418" w:rsidRDefault="00164B4B" w:rsidP="00247A1E">
            <w:pPr>
              <w:pStyle w:val="Note"/>
            </w:pPr>
            <w:r w:rsidRPr="00940418">
              <w:rPr>
                <w:rStyle w:val="NoteLabel"/>
              </w:rPr>
              <w:t>a</w:t>
            </w:r>
            <w:r w:rsidRPr="00940418">
              <w:t xml:space="preserve"> See table 13A.</w:t>
            </w:r>
            <w:r w:rsidR="00FF7DC1" w:rsidRPr="00940418">
              <w:t>1</w:t>
            </w:r>
            <w:r w:rsidRPr="00940418">
              <w:t xml:space="preserve"> for detailed footnotes and caveats</w:t>
            </w:r>
            <w:r w:rsidR="00592060" w:rsidRPr="00940418">
              <w:t>.</w:t>
            </w:r>
          </w:p>
        </w:tc>
      </w:tr>
      <w:tr w:rsidR="00164B4B" w:rsidRPr="00940418" w14:paraId="5425D0D6" w14:textId="77777777" w:rsidTr="00EF526A">
        <w:tc>
          <w:tcPr>
            <w:tcW w:w="8789" w:type="dxa"/>
            <w:tcBorders>
              <w:top w:val="nil"/>
              <w:left w:val="nil"/>
              <w:bottom w:val="nil"/>
              <w:right w:val="nil"/>
            </w:tcBorders>
            <w:shd w:val="clear" w:color="auto" w:fill="auto"/>
          </w:tcPr>
          <w:p w14:paraId="077FFD51" w14:textId="77777777" w:rsidR="00164B4B" w:rsidRPr="00940418" w:rsidRDefault="00164B4B" w:rsidP="00AB25A8">
            <w:pPr>
              <w:pStyle w:val="Source"/>
            </w:pPr>
            <w:r w:rsidRPr="00940418">
              <w:rPr>
                <w:i/>
              </w:rPr>
              <w:t>Source</w:t>
            </w:r>
            <w:r w:rsidRPr="00940418">
              <w:t>: Department of Health (unpublished); Australian Institute of Health and Welfare (AIHW) (unpublished) Mental Health Establishments (MHE) National Minimum Data Set (NMDS); table 13A.</w:t>
            </w:r>
            <w:r w:rsidR="00FF7DC1" w:rsidRPr="00940418">
              <w:t>1</w:t>
            </w:r>
            <w:r w:rsidR="00AB25A8" w:rsidRPr="00940418">
              <w:t>.</w:t>
            </w:r>
          </w:p>
        </w:tc>
      </w:tr>
      <w:tr w:rsidR="00164B4B" w:rsidRPr="00940418" w14:paraId="50A83F89" w14:textId="77777777" w:rsidTr="00EF526A">
        <w:tc>
          <w:tcPr>
            <w:tcW w:w="8789" w:type="dxa"/>
            <w:tcBorders>
              <w:top w:val="nil"/>
              <w:left w:val="nil"/>
              <w:bottom w:val="single" w:sz="6" w:space="0" w:color="78A22F"/>
              <w:right w:val="nil"/>
            </w:tcBorders>
            <w:shd w:val="clear" w:color="auto" w:fill="auto"/>
          </w:tcPr>
          <w:p w14:paraId="49C9755D" w14:textId="77777777" w:rsidR="00164B4B" w:rsidRPr="00940418" w:rsidRDefault="00164B4B" w:rsidP="00721073">
            <w:pPr>
              <w:pStyle w:val="Figurespace"/>
            </w:pPr>
          </w:p>
        </w:tc>
      </w:tr>
      <w:tr w:rsidR="00164B4B" w:rsidRPr="00940418" w14:paraId="75BA0CAD" w14:textId="77777777" w:rsidTr="00EF526A">
        <w:tc>
          <w:tcPr>
            <w:tcW w:w="8789" w:type="dxa"/>
            <w:tcBorders>
              <w:top w:val="single" w:sz="6" w:space="0" w:color="78A22F"/>
              <w:left w:val="nil"/>
              <w:bottom w:val="nil"/>
              <w:right w:val="nil"/>
            </w:tcBorders>
          </w:tcPr>
          <w:p w14:paraId="619A40EF" w14:textId="106EBDE1" w:rsidR="00164B4B" w:rsidRPr="00940418" w:rsidRDefault="00164B4B" w:rsidP="00721073">
            <w:pPr>
              <w:pStyle w:val="BoxSpaceBelow"/>
            </w:pPr>
          </w:p>
        </w:tc>
      </w:tr>
    </w:tbl>
    <w:p w14:paraId="7D8552B6" w14:textId="77777777" w:rsidR="006F4273" w:rsidRDefault="006F4273" w:rsidP="00067BA2">
      <w:pPr>
        <w:pStyle w:val="Heading3"/>
        <w:spacing w:before="480"/>
      </w:pPr>
      <w:r w:rsidRPr="00940418">
        <w:t>Size and scope of sector</w:t>
      </w:r>
    </w:p>
    <w:p w14:paraId="7EC318B5" w14:textId="7D6B6883" w:rsidR="00456117" w:rsidRPr="00195C26" w:rsidRDefault="00456117" w:rsidP="000B2DF7">
      <w:pPr>
        <w:pStyle w:val="BodyText"/>
      </w:pPr>
      <w:r w:rsidRPr="00BB1AF8">
        <w:t xml:space="preserve">In </w:t>
      </w:r>
      <w:r w:rsidRPr="00940418">
        <w:t>201</w:t>
      </w:r>
      <w:r w:rsidR="006F2BBA" w:rsidRPr="00940418">
        <w:t>5</w:t>
      </w:r>
      <w:r w:rsidRPr="00940418">
        <w:noBreakHyphen/>
        <w:t>1</w:t>
      </w:r>
      <w:r w:rsidR="006F2BBA" w:rsidRPr="00940418">
        <w:t>6</w:t>
      </w:r>
      <w:r w:rsidRPr="00940418">
        <w:t xml:space="preserve">, </w:t>
      </w:r>
      <w:r w:rsidR="00BB1AF8" w:rsidRPr="00940418">
        <w:t>1.8</w:t>
      </w:r>
      <w:r w:rsidR="004E34B2" w:rsidRPr="00940418">
        <w:t> </w:t>
      </w:r>
      <w:r w:rsidRPr="00940418">
        <w:t xml:space="preserve">per cent and </w:t>
      </w:r>
      <w:r w:rsidR="00940418" w:rsidRPr="00940418">
        <w:t>9.6</w:t>
      </w:r>
      <w:r w:rsidR="00BB1AF8" w:rsidRPr="00940418">
        <w:t> </w:t>
      </w:r>
      <w:r w:rsidR="000575B5">
        <w:t>per </w:t>
      </w:r>
      <w:r w:rsidRPr="00940418">
        <w:t>cent of the total population received State and Territory governments’ specialised</w:t>
      </w:r>
      <w:r w:rsidRPr="00BB1AF8">
        <w:t xml:space="preserve"> mental health services and MBS</w:t>
      </w:r>
      <w:r w:rsidR="005948BD">
        <w:t>/</w:t>
      </w:r>
      <w:r w:rsidR="00B66F95" w:rsidRPr="00B66F95">
        <w:t xml:space="preserve"> Department of Veterans’ Affairs </w:t>
      </w:r>
      <w:r w:rsidR="00B66F95">
        <w:t>(</w:t>
      </w:r>
      <w:r w:rsidR="005948BD">
        <w:t>DVA</w:t>
      </w:r>
      <w:r w:rsidR="00B66F95">
        <w:t>)</w:t>
      </w:r>
      <w:r w:rsidRPr="00BB1AF8">
        <w:t xml:space="preserve"> services, respectively</w:t>
      </w:r>
      <w:r w:rsidR="00716156" w:rsidRPr="00BB1AF8">
        <w:t xml:space="preserve"> (</w:t>
      </w:r>
      <w:r w:rsidR="001B26A2" w:rsidRPr="00BB1AF8">
        <w:t>figure</w:t>
      </w:r>
      <w:r w:rsidR="00AB25A8">
        <w:t> </w:t>
      </w:r>
      <w:r w:rsidR="00A21D8E">
        <w:t>13.2</w:t>
      </w:r>
      <w:r w:rsidR="00716156" w:rsidRPr="00BB1AF8">
        <w:t>)</w:t>
      </w:r>
      <w:r w:rsidRPr="00BB1AF8">
        <w:t>. While the proportion of the population using State and Territory governments’ specialised mental health services has remained relatively constant</w:t>
      </w:r>
      <w:r w:rsidR="00E90D6C" w:rsidRPr="00BB1AF8">
        <w:t>,</w:t>
      </w:r>
      <w:r w:rsidRPr="00BB1AF8">
        <w:t xml:space="preserve"> the proportion using MBS</w:t>
      </w:r>
      <w:r w:rsidR="005948BD">
        <w:t>/DVA</w:t>
      </w:r>
      <w:r w:rsidRPr="00BB1AF8">
        <w:t xml:space="preserve"> services </w:t>
      </w:r>
      <w:r w:rsidRPr="00AE361A">
        <w:t xml:space="preserve">has increased steadily over time from </w:t>
      </w:r>
      <w:r w:rsidR="0027059E">
        <w:t>5.9</w:t>
      </w:r>
      <w:r w:rsidR="00135317" w:rsidRPr="00D243D3">
        <w:t> </w:t>
      </w:r>
      <w:r w:rsidRPr="00D243D3">
        <w:t>per</w:t>
      </w:r>
      <w:r w:rsidR="00135317" w:rsidRPr="00D243D3">
        <w:t> </w:t>
      </w:r>
      <w:r w:rsidRPr="00D243D3">
        <w:t>cent in 200</w:t>
      </w:r>
      <w:r w:rsidR="006F2BBA">
        <w:t>8</w:t>
      </w:r>
      <w:r w:rsidRPr="00D243D3">
        <w:noBreakHyphen/>
        <w:t>0</w:t>
      </w:r>
      <w:r w:rsidR="006F2BBA">
        <w:t>9</w:t>
      </w:r>
      <w:r w:rsidRPr="00D243D3">
        <w:t xml:space="preserve"> to </w:t>
      </w:r>
      <w:r w:rsidR="0057233F">
        <w:t>9.6</w:t>
      </w:r>
      <w:r w:rsidR="004E34B2" w:rsidRPr="00D243D3">
        <w:t> </w:t>
      </w:r>
      <w:r w:rsidR="000575B5">
        <w:t>per </w:t>
      </w:r>
      <w:r w:rsidRPr="00D243D3">
        <w:t>cent in 201</w:t>
      </w:r>
      <w:r w:rsidR="006F2BBA">
        <w:t>5</w:t>
      </w:r>
      <w:r w:rsidRPr="00D243D3">
        <w:noBreakHyphen/>
        <w:t>1</w:t>
      </w:r>
      <w:r w:rsidR="006F2BBA">
        <w:t>6</w:t>
      </w:r>
      <w:r w:rsidRPr="00D243D3">
        <w:t xml:space="preserve"> (table </w:t>
      </w:r>
      <w:r w:rsidR="001B26A2" w:rsidRPr="00D243D3">
        <w:t>13A.</w:t>
      </w:r>
      <w:r w:rsidR="00FF7DC1" w:rsidRPr="00D243D3">
        <w:t>7</w:t>
      </w:r>
      <w:r w:rsidRPr="00D243D3">
        <w:t xml:space="preserve">). Much of this growth has come from greater utilisation of GP mental health specific services (from </w:t>
      </w:r>
      <w:r w:rsidR="0027059E">
        <w:t>4.4 per cent</w:t>
      </w:r>
      <w:r w:rsidRPr="00D243D3">
        <w:t xml:space="preserve"> to </w:t>
      </w:r>
      <w:r w:rsidR="0057233F">
        <w:t>7.9</w:t>
      </w:r>
      <w:r w:rsidRPr="00D243D3">
        <w:t> per cent) and other allied health services (1.</w:t>
      </w:r>
      <w:r w:rsidR="0027059E">
        <w:t>7</w:t>
      </w:r>
      <w:r w:rsidRPr="00D243D3">
        <w:t xml:space="preserve"> per cent to </w:t>
      </w:r>
      <w:r w:rsidR="0057233F">
        <w:t>3.0</w:t>
      </w:r>
      <w:r w:rsidR="004E34B2" w:rsidRPr="00D243D3">
        <w:t> </w:t>
      </w:r>
      <w:r w:rsidR="000575B5">
        <w:t>per </w:t>
      </w:r>
      <w:r w:rsidRPr="00D243D3">
        <w:t>cent) over that period (table </w:t>
      </w:r>
      <w:r w:rsidR="001B26A2" w:rsidRPr="00D243D3">
        <w:t>13A</w:t>
      </w:r>
      <w:r w:rsidR="001B26A2" w:rsidRPr="00195C26">
        <w:t>.</w:t>
      </w:r>
      <w:r w:rsidR="00FF7DC1" w:rsidRPr="00195C26">
        <w:t>7</w:t>
      </w:r>
      <w:r w:rsidRPr="00195C26">
        <w:t>).</w:t>
      </w:r>
    </w:p>
    <w:p w14:paraId="1D97DD0E" w14:textId="77777777" w:rsidR="00CD7F6A" w:rsidRPr="00195C26" w:rsidRDefault="00CD7F6A" w:rsidP="00CD7F6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93CBA" w:rsidRPr="00AE7145" w14:paraId="5FFEFDAC" w14:textId="77777777" w:rsidTr="00EF526A">
        <w:tc>
          <w:tcPr>
            <w:tcW w:w="8789" w:type="dxa"/>
            <w:tcBorders>
              <w:top w:val="single" w:sz="6" w:space="0" w:color="78A22F"/>
              <w:left w:val="nil"/>
              <w:bottom w:val="nil"/>
              <w:right w:val="nil"/>
            </w:tcBorders>
            <w:shd w:val="clear" w:color="auto" w:fill="FFFFFF" w:themeFill="background1"/>
          </w:tcPr>
          <w:p w14:paraId="66081AF4" w14:textId="50AF66B9" w:rsidR="00993CBA" w:rsidRPr="00AE7145" w:rsidRDefault="00993CBA" w:rsidP="00A21D8E">
            <w:pPr>
              <w:pStyle w:val="FigureTitle"/>
            </w:pPr>
            <w:r w:rsidRPr="00195C26">
              <w:rPr>
                <w:b w:val="0"/>
              </w:rPr>
              <w:t xml:space="preserve">Figure </w:t>
            </w:r>
            <w:r w:rsidR="00A21D8E">
              <w:rPr>
                <w:b w:val="0"/>
              </w:rPr>
              <w:t>13.2</w:t>
            </w:r>
            <w:r w:rsidRPr="00195C26">
              <w:tab/>
            </w:r>
            <w:r w:rsidRPr="0027059E">
              <w:t>Population receiving mental health services, by service type, 201</w:t>
            </w:r>
            <w:r w:rsidR="006F2BBA" w:rsidRPr="0027059E">
              <w:t>5</w:t>
            </w:r>
            <w:r w:rsidRPr="0027059E">
              <w:noBreakHyphen/>
              <w:t>1</w:t>
            </w:r>
            <w:r w:rsidR="006F2BBA" w:rsidRPr="0027059E">
              <w:t>6</w:t>
            </w:r>
            <w:r w:rsidR="00BB1AF8" w:rsidRPr="0027059E">
              <w:rPr>
                <w:rStyle w:val="NoteLabel"/>
                <w:b/>
              </w:rPr>
              <w:t>a</w:t>
            </w:r>
          </w:p>
        </w:tc>
      </w:tr>
      <w:tr w:rsidR="00993CBA" w:rsidRPr="00AE7145" w14:paraId="57507C94" w14:textId="77777777" w:rsidTr="00EF526A">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993CBA" w:rsidRPr="00AE7145" w14:paraId="1854B604" w14:textId="77777777" w:rsidTr="005E7FA2">
              <w:trPr>
                <w:jc w:val="center"/>
              </w:trPr>
              <w:tc>
                <w:tcPr>
                  <w:tcW w:w="8504" w:type="dxa"/>
                  <w:tcBorders>
                    <w:top w:val="nil"/>
                    <w:bottom w:val="nil"/>
                    <w:right w:val="nil"/>
                  </w:tcBorders>
                </w:tcPr>
                <w:p w14:paraId="54569310" w14:textId="669C8B28" w:rsidR="00EB7C00" w:rsidRPr="00AB25A8" w:rsidRDefault="005E7FA2" w:rsidP="00AB25A8">
                  <w:pPr>
                    <w:pStyle w:val="Figure"/>
                  </w:pPr>
                  <w:r>
                    <w:rPr>
                      <w:noProof/>
                    </w:rPr>
                    <w:drawing>
                      <wp:inline distT="0" distB="0" distL="0" distR="0" wp14:anchorId="1E9363D0" wp14:editId="71F84225">
                        <wp:extent cx="5226645" cy="2700000"/>
                        <wp:effectExtent l="0" t="0" r="0" b="5715"/>
                        <wp:docPr id="10" name="Chart 10" descr="More details can be found within the text surrounding this image." title="Figure 13.2 Population receiving mental health services, by service type,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4D76BD5" w14:textId="77777777" w:rsidR="00993CBA" w:rsidRPr="00AE7145" w:rsidRDefault="00993CBA" w:rsidP="00DC07ED">
            <w:pPr>
              <w:pStyle w:val="Figure"/>
            </w:pPr>
          </w:p>
        </w:tc>
      </w:tr>
      <w:tr w:rsidR="00993CBA" w:rsidRPr="00D243D3" w14:paraId="2BAA04AF" w14:textId="77777777" w:rsidTr="00EF526A">
        <w:tc>
          <w:tcPr>
            <w:tcW w:w="8789" w:type="dxa"/>
            <w:tcBorders>
              <w:top w:val="nil"/>
              <w:left w:val="nil"/>
              <w:bottom w:val="nil"/>
              <w:right w:val="nil"/>
            </w:tcBorders>
            <w:shd w:val="clear" w:color="auto" w:fill="FFFFFF" w:themeFill="background1"/>
          </w:tcPr>
          <w:p w14:paraId="45C82E6E" w14:textId="77777777" w:rsidR="00993CBA" w:rsidRPr="00D243D3" w:rsidRDefault="00993CBA" w:rsidP="008C15AA">
            <w:pPr>
              <w:pStyle w:val="Note"/>
            </w:pPr>
            <w:r w:rsidRPr="00D243D3">
              <w:rPr>
                <w:rStyle w:val="NoteLabel"/>
              </w:rPr>
              <w:t>a</w:t>
            </w:r>
            <w:r w:rsidRPr="00D243D3">
              <w:t xml:space="preserve"> See table </w:t>
            </w:r>
            <w:r w:rsidR="001B26A2" w:rsidRPr="00D243D3">
              <w:t>13A.</w:t>
            </w:r>
            <w:r w:rsidR="000E066C" w:rsidRPr="00D243D3">
              <w:t>7</w:t>
            </w:r>
            <w:r w:rsidRPr="00D243D3">
              <w:t xml:space="preserve"> for detailed definitions, footnotes and caveats.</w:t>
            </w:r>
          </w:p>
        </w:tc>
      </w:tr>
      <w:tr w:rsidR="00993CBA" w:rsidRPr="00AE7145" w14:paraId="0BDFDE39" w14:textId="77777777" w:rsidTr="00EF526A">
        <w:tc>
          <w:tcPr>
            <w:tcW w:w="8789" w:type="dxa"/>
            <w:tcBorders>
              <w:top w:val="nil"/>
              <w:left w:val="nil"/>
              <w:bottom w:val="nil"/>
              <w:right w:val="nil"/>
            </w:tcBorders>
            <w:shd w:val="clear" w:color="auto" w:fill="auto"/>
          </w:tcPr>
          <w:p w14:paraId="3482756E" w14:textId="4F8D5E5C" w:rsidR="00993CBA" w:rsidRPr="00AE7145" w:rsidRDefault="00993CBA" w:rsidP="000E066C">
            <w:pPr>
              <w:pStyle w:val="Source"/>
              <w:rPr>
                <w:i/>
              </w:rPr>
            </w:pPr>
            <w:r w:rsidRPr="00D243D3">
              <w:rPr>
                <w:i/>
              </w:rPr>
              <w:t>Source</w:t>
            </w:r>
            <w:r w:rsidRPr="00D243D3">
              <w:t>:</w:t>
            </w:r>
            <w:r w:rsidRPr="00D243D3">
              <w:rPr>
                <w:i/>
              </w:rPr>
              <w:t xml:space="preserve"> </w:t>
            </w:r>
            <w:r w:rsidRPr="00D243D3">
              <w:t xml:space="preserve">AIHW (unpublished) derived from data provided by State and Territory governments and Australian Government, Department of Health and DVA; ABS (unpublished) </w:t>
            </w:r>
            <w:r w:rsidRPr="00F01788">
              <w:t>Estimated Residential Population</w:t>
            </w:r>
            <w:r w:rsidR="001940ED">
              <w:t>, 30 </w:t>
            </w:r>
            <w:r w:rsidRPr="00D243D3">
              <w:t>June (prior to relevant period); table </w:t>
            </w:r>
            <w:r w:rsidR="001B26A2" w:rsidRPr="00D243D3">
              <w:t>13A.</w:t>
            </w:r>
            <w:r w:rsidR="000E066C" w:rsidRPr="00D243D3">
              <w:t>7</w:t>
            </w:r>
            <w:r w:rsidRPr="00D243D3">
              <w:t>.</w:t>
            </w:r>
          </w:p>
        </w:tc>
      </w:tr>
      <w:tr w:rsidR="00993CBA" w:rsidRPr="00AE7145" w14:paraId="53578001" w14:textId="77777777" w:rsidTr="00EF526A">
        <w:tc>
          <w:tcPr>
            <w:tcW w:w="8789" w:type="dxa"/>
            <w:tcBorders>
              <w:top w:val="nil"/>
              <w:left w:val="nil"/>
              <w:bottom w:val="single" w:sz="6" w:space="0" w:color="78A22F"/>
              <w:right w:val="nil"/>
            </w:tcBorders>
            <w:shd w:val="clear" w:color="auto" w:fill="auto"/>
          </w:tcPr>
          <w:p w14:paraId="265CDB58" w14:textId="77777777" w:rsidR="00993CBA" w:rsidRPr="00AE7145" w:rsidRDefault="00993CBA" w:rsidP="00DC07ED">
            <w:pPr>
              <w:pStyle w:val="Figurespace"/>
            </w:pPr>
          </w:p>
        </w:tc>
      </w:tr>
      <w:tr w:rsidR="00993CBA" w:rsidRPr="00AE7145" w14:paraId="69D27097" w14:textId="77777777" w:rsidTr="00EF526A">
        <w:tc>
          <w:tcPr>
            <w:tcW w:w="8789" w:type="dxa"/>
            <w:tcBorders>
              <w:top w:val="single" w:sz="6" w:space="0" w:color="78A22F"/>
              <w:left w:val="nil"/>
              <w:bottom w:val="nil"/>
              <w:right w:val="nil"/>
            </w:tcBorders>
          </w:tcPr>
          <w:p w14:paraId="5ED699AD" w14:textId="03772407" w:rsidR="00993CBA" w:rsidRPr="00AE7145" w:rsidRDefault="00993CBA" w:rsidP="00DC07ED">
            <w:pPr>
              <w:pStyle w:val="BoxSpaceBelow"/>
            </w:pPr>
          </w:p>
        </w:tc>
      </w:tr>
    </w:tbl>
    <w:p w14:paraId="49363C87" w14:textId="2F46626D" w:rsidR="00456117" w:rsidRPr="00DC07ED" w:rsidRDefault="00DC07ED" w:rsidP="00456117">
      <w:pPr>
        <w:pStyle w:val="BodyText"/>
        <w:rPr>
          <w:shd w:val="clear" w:color="auto" w:fill="FFFFFF" w:themeFill="background1"/>
        </w:rPr>
      </w:pPr>
      <w:r w:rsidRPr="00DC07ED">
        <w:rPr>
          <w:shd w:val="clear" w:color="auto" w:fill="FFFFFF" w:themeFill="background1"/>
        </w:rPr>
        <w:t>I</w:t>
      </w:r>
      <w:r w:rsidR="00456117" w:rsidRPr="00DC07ED">
        <w:rPr>
          <w:shd w:val="clear" w:color="auto" w:fill="FFFFFF" w:themeFill="background1"/>
        </w:rPr>
        <w:t xml:space="preserve">nformation on the proportion of </w:t>
      </w:r>
      <w:r w:rsidR="00456117" w:rsidRPr="00062D60">
        <w:rPr>
          <w:i/>
          <w:shd w:val="clear" w:color="auto" w:fill="FFFFFF" w:themeFill="background1"/>
        </w:rPr>
        <w:t>new</w:t>
      </w:r>
      <w:r w:rsidR="00456117" w:rsidRPr="00DC07ED">
        <w:rPr>
          <w:shd w:val="clear" w:color="auto" w:fill="FFFFFF" w:themeFill="background1"/>
        </w:rPr>
        <w:t xml:space="preserve"> </w:t>
      </w:r>
      <w:r w:rsidR="001F18B0" w:rsidRPr="002734EE">
        <w:t>consumers</w:t>
      </w:r>
      <w:r w:rsidR="001F18B0" w:rsidRPr="00DC07ED">
        <w:rPr>
          <w:shd w:val="clear" w:color="auto" w:fill="FFFFFF" w:themeFill="background1"/>
        </w:rPr>
        <w:t xml:space="preserve"> </w:t>
      </w:r>
      <w:r w:rsidR="00456117" w:rsidRPr="00DC07ED">
        <w:rPr>
          <w:shd w:val="clear" w:color="auto" w:fill="FFFFFF" w:themeFill="background1"/>
        </w:rPr>
        <w:t>who access</w:t>
      </w:r>
      <w:r w:rsidR="002D3B8D">
        <w:rPr>
          <w:shd w:val="clear" w:color="auto" w:fill="FFFFFF" w:themeFill="background1"/>
        </w:rPr>
        <w:t>ed</w:t>
      </w:r>
      <w:r w:rsidR="00456117" w:rsidRPr="00DC07ED">
        <w:rPr>
          <w:shd w:val="clear" w:color="auto" w:fill="FFFFFF" w:themeFill="background1"/>
        </w:rPr>
        <w:t xml:space="preserve"> State and Territory governments’ specialised and MBS subsidised mental health services are available in </w:t>
      </w:r>
      <w:r w:rsidR="00456117" w:rsidRPr="007D7305">
        <w:rPr>
          <w:shd w:val="clear" w:color="auto" w:fill="FFFFFF" w:themeFill="background1"/>
        </w:rPr>
        <w:t>tables</w:t>
      </w:r>
      <w:r w:rsidR="00AB25A8">
        <w:rPr>
          <w:shd w:val="clear" w:color="auto" w:fill="FFFFFF" w:themeFill="background1"/>
        </w:rPr>
        <w:t> </w:t>
      </w:r>
      <w:r w:rsidR="000E066C" w:rsidRPr="007D7305">
        <w:rPr>
          <w:shd w:val="clear" w:color="auto" w:fill="FFFFFF" w:themeFill="background1"/>
        </w:rPr>
        <w:t>13A.8</w:t>
      </w:r>
      <w:r w:rsidRPr="007D7305">
        <w:rPr>
          <w:shd w:val="clear" w:color="auto" w:fill="FFFFFF" w:themeFill="background1"/>
        </w:rPr>
        <w:t>–</w:t>
      </w:r>
      <w:r w:rsidR="000E066C" w:rsidRPr="007D7305">
        <w:rPr>
          <w:shd w:val="clear" w:color="auto" w:fill="FFFFFF" w:themeFill="background1"/>
        </w:rPr>
        <w:t>9</w:t>
      </w:r>
      <w:r w:rsidRPr="007D7305">
        <w:rPr>
          <w:shd w:val="clear" w:color="auto" w:fill="FFFFFF" w:themeFill="background1"/>
        </w:rPr>
        <w:t>.</w:t>
      </w:r>
    </w:p>
    <w:p w14:paraId="40BCE18E" w14:textId="77777777" w:rsidR="00AF2AF6" w:rsidRDefault="00AF2AF6" w:rsidP="000F3DCD">
      <w:pPr>
        <w:pStyle w:val="Heading4"/>
        <w:spacing w:before="360"/>
      </w:pPr>
      <w:r w:rsidRPr="00AF2AF6">
        <w:t xml:space="preserve">MBS </w:t>
      </w:r>
      <w:r w:rsidRPr="004035B3">
        <w:t>subsidised</w:t>
      </w:r>
      <w:r w:rsidRPr="00AF2AF6">
        <w:t xml:space="preserve"> mental health services</w:t>
      </w:r>
    </w:p>
    <w:p w14:paraId="2F3FB156" w14:textId="74B3E7EB" w:rsidR="006B612A" w:rsidRPr="0027059E" w:rsidRDefault="004035B3" w:rsidP="0027059E">
      <w:pPr>
        <w:pStyle w:val="BodyText"/>
      </w:pPr>
      <w:r w:rsidRPr="00542698">
        <w:rPr>
          <w:shd w:val="clear" w:color="auto" w:fill="FFFFFF" w:themeFill="background1"/>
        </w:rPr>
        <w:t>In</w:t>
      </w:r>
      <w:r w:rsidRPr="00AB0424">
        <w:rPr>
          <w:shd w:val="clear" w:color="auto" w:fill="FFFFFF" w:themeFill="background1"/>
        </w:rPr>
        <w:t xml:space="preserve"> 201</w:t>
      </w:r>
      <w:r w:rsidR="006F2BBA">
        <w:rPr>
          <w:shd w:val="clear" w:color="auto" w:fill="FFFFFF" w:themeFill="background1"/>
        </w:rPr>
        <w:t>5</w:t>
      </w:r>
      <w:r w:rsidRPr="00AB0424">
        <w:rPr>
          <w:shd w:val="clear" w:color="auto" w:fill="FFFFFF" w:themeFill="background1"/>
        </w:rPr>
        <w:noBreakHyphen/>
      </w:r>
      <w:r w:rsidRPr="00E22E4C">
        <w:rPr>
          <w:shd w:val="clear" w:color="auto" w:fill="FFFFFF" w:themeFill="background1"/>
        </w:rPr>
        <w:t>1</w:t>
      </w:r>
      <w:r w:rsidR="006F2BBA">
        <w:rPr>
          <w:shd w:val="clear" w:color="auto" w:fill="FFFFFF" w:themeFill="background1"/>
        </w:rPr>
        <w:t>6</w:t>
      </w:r>
      <w:r w:rsidRPr="00AB0424">
        <w:rPr>
          <w:shd w:val="clear" w:color="auto" w:fill="FFFFFF" w:themeFill="background1"/>
        </w:rPr>
        <w:t xml:space="preserve">, </w:t>
      </w:r>
      <w:r w:rsidRPr="00E22E4C">
        <w:rPr>
          <w:shd w:val="clear" w:color="auto" w:fill="FFFFFF" w:themeFill="background1"/>
        </w:rPr>
        <w:t>GPs</w:t>
      </w:r>
      <w:r w:rsidRPr="00AB0424">
        <w:rPr>
          <w:shd w:val="clear" w:color="auto" w:fill="FFFFFF" w:themeFill="background1"/>
        </w:rPr>
        <w:t xml:space="preserve"> </w:t>
      </w:r>
      <w:r w:rsidRPr="00E378AF">
        <w:rPr>
          <w:shd w:val="clear" w:color="auto" w:fill="FFFFFF" w:themeFill="background1"/>
        </w:rPr>
        <w:t xml:space="preserve">provided </w:t>
      </w:r>
      <w:r w:rsidR="00E378AF" w:rsidRPr="00E378AF">
        <w:rPr>
          <w:shd w:val="clear" w:color="auto" w:fill="FFFFFF" w:themeFill="background1"/>
        </w:rPr>
        <w:t>3.2</w:t>
      </w:r>
      <w:r w:rsidR="004E34B2" w:rsidRPr="00E378AF">
        <w:rPr>
          <w:shd w:val="clear" w:color="auto" w:fill="FFFFFF" w:themeFill="background1"/>
        </w:rPr>
        <w:t> </w:t>
      </w:r>
      <w:r w:rsidRPr="00E378AF">
        <w:rPr>
          <w:shd w:val="clear" w:color="auto" w:fill="FFFFFF" w:themeFill="background1"/>
        </w:rPr>
        <w:t xml:space="preserve">million MBS subsidised specific mental health items. A </w:t>
      </w:r>
      <w:r w:rsidRPr="00E378AF">
        <w:t xml:space="preserve">further </w:t>
      </w:r>
      <w:r w:rsidR="00E378AF" w:rsidRPr="00E378AF">
        <w:rPr>
          <w:shd w:val="clear" w:color="auto" w:fill="FFFFFF" w:themeFill="background1"/>
        </w:rPr>
        <w:t>7.4</w:t>
      </w:r>
      <w:r w:rsidR="004E34B2" w:rsidRPr="00E378AF">
        <w:rPr>
          <w:shd w:val="clear" w:color="auto" w:fill="FFFFFF" w:themeFill="background1"/>
        </w:rPr>
        <w:t> </w:t>
      </w:r>
      <w:r w:rsidRPr="00E378AF">
        <w:rPr>
          <w:shd w:val="clear" w:color="auto" w:fill="FFFFFF" w:themeFill="background1"/>
        </w:rPr>
        <w:t>million</w:t>
      </w:r>
      <w:r w:rsidRPr="00E378AF">
        <w:t xml:space="preserve"> MBS subsidised mental health services were provided by psychiatrists </w:t>
      </w:r>
      <w:r w:rsidRPr="00E378AF">
        <w:rPr>
          <w:shd w:val="clear" w:color="auto" w:fill="FFFFFF" w:themeFill="background1"/>
        </w:rPr>
        <w:t>(</w:t>
      </w:r>
      <w:r w:rsidR="00E378AF" w:rsidRPr="00E378AF">
        <w:rPr>
          <w:shd w:val="clear" w:color="auto" w:fill="FFFFFF" w:themeFill="background1"/>
        </w:rPr>
        <w:t>2.4</w:t>
      </w:r>
      <w:r w:rsidR="004E34B2" w:rsidRPr="00E378AF">
        <w:rPr>
          <w:shd w:val="clear" w:color="auto" w:fill="FFFFFF" w:themeFill="background1"/>
        </w:rPr>
        <w:t> </w:t>
      </w:r>
      <w:r w:rsidRPr="00E378AF">
        <w:rPr>
          <w:shd w:val="clear" w:color="auto" w:fill="FFFFFF" w:themeFill="background1"/>
        </w:rPr>
        <w:t>million</w:t>
      </w:r>
      <w:r w:rsidRPr="00E378AF">
        <w:t xml:space="preserve">), psychologists </w:t>
      </w:r>
      <w:r w:rsidR="004E34B2" w:rsidRPr="00E378AF">
        <w:t>(</w:t>
      </w:r>
      <w:r w:rsidR="00E378AF" w:rsidRPr="00E378AF">
        <w:t>4.7</w:t>
      </w:r>
      <w:r w:rsidRPr="00E378AF">
        <w:t xml:space="preserve"> million) and allied health professionals </w:t>
      </w:r>
      <w:r w:rsidRPr="00E378AF">
        <w:rPr>
          <w:shd w:val="clear" w:color="auto" w:fill="FFFFFF" w:themeFill="background1"/>
        </w:rPr>
        <w:t>(</w:t>
      </w:r>
      <w:r w:rsidR="002A3B35" w:rsidRPr="00E378AF">
        <w:rPr>
          <w:shd w:val="clear" w:color="auto" w:fill="FFFFFF" w:themeFill="background1"/>
        </w:rPr>
        <w:t>0.</w:t>
      </w:r>
      <w:r w:rsidR="00E378AF" w:rsidRPr="00E378AF">
        <w:rPr>
          <w:shd w:val="clear" w:color="auto" w:fill="FFFFFF" w:themeFill="background1"/>
        </w:rPr>
        <w:t>4</w:t>
      </w:r>
      <w:r w:rsidRPr="00E378AF">
        <w:rPr>
          <w:shd w:val="clear" w:color="auto" w:fill="FFFFFF" w:themeFill="background1"/>
        </w:rPr>
        <w:t> million</w:t>
      </w:r>
      <w:r w:rsidRPr="00E378AF">
        <w:t>)</w:t>
      </w:r>
      <w:r w:rsidR="00135317" w:rsidRPr="00E378AF">
        <w:t xml:space="preserve">. </w:t>
      </w:r>
      <w:r w:rsidRPr="00E378AF">
        <w:t>Service usage rates varied across states and territories (</w:t>
      </w:r>
      <w:r w:rsidR="00716156" w:rsidRPr="007D7305">
        <w:t>table</w:t>
      </w:r>
      <w:r w:rsidR="00EB7C00" w:rsidRPr="007D7305">
        <w:t> </w:t>
      </w:r>
      <w:r w:rsidR="001B26A2" w:rsidRPr="007D7305">
        <w:t>13A.</w:t>
      </w:r>
      <w:r w:rsidR="000E066C" w:rsidRPr="007D7305">
        <w:t>10</w:t>
      </w:r>
      <w:r w:rsidR="00716156" w:rsidRPr="007D7305">
        <w:t>)</w:t>
      </w:r>
      <w:r w:rsidR="002B2F24" w:rsidRPr="007D7305">
        <w:t>.</w:t>
      </w:r>
    </w:p>
    <w:p w14:paraId="398301D7" w14:textId="0CA070C1" w:rsidR="00175597" w:rsidRDefault="00C045ED" w:rsidP="000F3DCD">
      <w:pPr>
        <w:pStyle w:val="Heading4"/>
        <w:spacing w:before="360"/>
      </w:pPr>
      <w:r>
        <w:t>S</w:t>
      </w:r>
      <w:r w:rsidR="00D61A40">
        <w:t xml:space="preserve">tate and Territory governments’ specialised </w:t>
      </w:r>
      <w:r w:rsidR="00175597">
        <w:t>mental health services</w:t>
      </w:r>
    </w:p>
    <w:p w14:paraId="71EA6786" w14:textId="65AC99C2" w:rsidR="00EB040E" w:rsidRPr="00716156" w:rsidRDefault="00EB040E" w:rsidP="00062D60">
      <w:pPr>
        <w:pStyle w:val="BodyText"/>
      </w:pPr>
      <w:r w:rsidRPr="00E378AF">
        <w:t>Across states and territories, the mix of admitted patient and community</w:t>
      </w:r>
      <w:r w:rsidR="00463329" w:rsidRPr="00E378AF">
        <w:noBreakHyphen/>
      </w:r>
      <w:r w:rsidRPr="00E378AF">
        <w:t>based services and care types can differ. As the unit of activity varies across t</w:t>
      </w:r>
      <w:r w:rsidR="004445A0" w:rsidRPr="00E378AF">
        <w:t>hese three</w:t>
      </w:r>
      <w:r w:rsidR="004445A0" w:rsidRPr="007D7305">
        <w:t xml:space="preserve"> service types</w:t>
      </w:r>
      <w:r w:rsidRPr="007D7305">
        <w:t>, service mix differences</w:t>
      </w:r>
      <w:r>
        <w:t xml:space="preserve"> can be partly </w:t>
      </w:r>
      <w:r w:rsidRPr="007D7305">
        <w:t>understood by considering items which have comparable measurement such as expenditure (</w:t>
      </w:r>
      <w:r w:rsidR="00716156" w:rsidRPr="007D7305">
        <w:t>table </w:t>
      </w:r>
      <w:r w:rsidR="001B26A2" w:rsidRPr="007D7305">
        <w:t>13A.</w:t>
      </w:r>
      <w:r w:rsidR="000E066C" w:rsidRPr="007D7305">
        <w:t>3</w:t>
      </w:r>
      <w:r w:rsidRPr="007D7305">
        <w:t>), numbers of full</w:t>
      </w:r>
      <w:r w:rsidR="00B63E5F" w:rsidRPr="007D7305">
        <w:t xml:space="preserve"> </w:t>
      </w:r>
      <w:r w:rsidRPr="007D7305">
        <w:t>time equivalent (FTE) direct care staff (</w:t>
      </w:r>
      <w:r w:rsidR="00AF2AF6" w:rsidRPr="007D7305">
        <w:t>table </w:t>
      </w:r>
      <w:r w:rsidR="001B26A2" w:rsidRPr="007D7305">
        <w:t>13A.</w:t>
      </w:r>
      <w:r w:rsidR="000E066C" w:rsidRPr="007D7305">
        <w:t>11</w:t>
      </w:r>
      <w:r w:rsidRPr="007D7305">
        <w:t>), accrued mental health patient days (</w:t>
      </w:r>
      <w:r w:rsidR="00AF2AF6" w:rsidRPr="007D7305">
        <w:t>table </w:t>
      </w:r>
      <w:r w:rsidR="001B26A2" w:rsidRPr="007D7305">
        <w:t>13A.</w:t>
      </w:r>
      <w:r w:rsidR="000E066C" w:rsidRPr="007D7305">
        <w:t>12</w:t>
      </w:r>
      <w:r w:rsidRPr="007D7305">
        <w:t>) and mental health beds (</w:t>
      </w:r>
      <w:r w:rsidR="00AF2AF6" w:rsidRPr="007D7305">
        <w:t>table </w:t>
      </w:r>
      <w:r w:rsidR="001B26A2" w:rsidRPr="007D7305">
        <w:t>13A.</w:t>
      </w:r>
      <w:r w:rsidR="000E066C" w:rsidRPr="007D7305">
        <w:t>13</w:t>
      </w:r>
      <w:r w:rsidR="009D1B4A" w:rsidRPr="007D7305">
        <w:t>).</w:t>
      </w:r>
    </w:p>
    <w:p w14:paraId="48927864" w14:textId="5A9E82C0" w:rsidR="00FE06A8" w:rsidRPr="009754CD" w:rsidRDefault="006F2D82" w:rsidP="00FE06A8">
      <w:pPr>
        <w:pStyle w:val="BodyText"/>
        <w:rPr>
          <w:color w:val="808080" w:themeColor="background1" w:themeShade="80"/>
          <w:shd w:val="clear" w:color="auto" w:fill="FFFFFF" w:themeFill="background1"/>
        </w:rPr>
      </w:pPr>
      <w:r w:rsidRPr="00716156">
        <w:lastRenderedPageBreak/>
        <w:t>Additional</w:t>
      </w:r>
      <w:r>
        <w:t xml:space="preserve"> data are also available on the most common principal </w:t>
      </w:r>
      <w:r w:rsidR="00F538A3">
        <w:t xml:space="preserve">diagnosis for admitted patients, </w:t>
      </w:r>
      <w:r w:rsidR="00257B3C">
        <w:t>community</w:t>
      </w:r>
      <w:r w:rsidR="00463329">
        <w:noBreakHyphen/>
      </w:r>
      <w:r w:rsidR="00257B3C">
        <w:t>based ambulatory contacts by age group</w:t>
      </w:r>
      <w:r w:rsidR="00F538A3">
        <w:t xml:space="preserve"> and s</w:t>
      </w:r>
      <w:r w:rsidR="00F538A3" w:rsidRPr="00F538A3">
        <w:t>pecialised mental health care by Indigenous status</w:t>
      </w:r>
      <w:r w:rsidR="00257B3C">
        <w:t xml:space="preserve"> </w:t>
      </w:r>
      <w:r w:rsidR="00FE06A8">
        <w:t xml:space="preserve">in </w:t>
      </w:r>
      <w:r w:rsidR="00FE06A8" w:rsidRPr="00542698">
        <w:rPr>
          <w:i/>
          <w:shd w:val="clear" w:color="auto" w:fill="FFFFFF" w:themeFill="background1"/>
        </w:rPr>
        <w:t xml:space="preserve">Mental Health Services in </w:t>
      </w:r>
      <w:r w:rsidR="00FE06A8" w:rsidRPr="00365EC8">
        <w:rPr>
          <w:i/>
          <w:shd w:val="clear" w:color="auto" w:fill="FFFFFF" w:themeFill="background1"/>
        </w:rPr>
        <w:t xml:space="preserve">Australia </w:t>
      </w:r>
      <w:r w:rsidR="00FE06A8" w:rsidRPr="00365EC8">
        <w:rPr>
          <w:shd w:val="clear" w:color="auto" w:fill="FFFFFF" w:themeFill="background1"/>
        </w:rPr>
        <w:t>(AIHW 201</w:t>
      </w:r>
      <w:r w:rsidR="00365EC8">
        <w:rPr>
          <w:shd w:val="clear" w:color="auto" w:fill="FFFFFF" w:themeFill="background1"/>
        </w:rPr>
        <w:t>7</w:t>
      </w:r>
      <w:r w:rsidR="003052D0">
        <w:rPr>
          <w:shd w:val="clear" w:color="auto" w:fill="FFFFFF" w:themeFill="background1"/>
        </w:rPr>
        <w:t>a</w:t>
      </w:r>
      <w:r w:rsidR="00FE06A8" w:rsidRPr="00365EC8">
        <w:rPr>
          <w:shd w:val="clear" w:color="auto" w:fill="FFFFFF" w:themeFill="background1"/>
        </w:rPr>
        <w:t>).</w:t>
      </w:r>
      <w:r w:rsidR="00FE06A8" w:rsidRPr="00CD3DF1">
        <w:rPr>
          <w:shd w:val="clear" w:color="auto" w:fill="FFFFFF" w:themeFill="background1"/>
        </w:rPr>
        <w:t xml:space="preserve"> </w:t>
      </w:r>
    </w:p>
    <w:p w14:paraId="36215FC8" w14:textId="77777777" w:rsidR="00461318" w:rsidRDefault="00461318" w:rsidP="00D71789">
      <w:pPr>
        <w:pStyle w:val="Heading4"/>
        <w:keepNext w:val="0"/>
        <w:widowControl w:val="0"/>
      </w:pPr>
      <w:r>
        <w:t>Government funded not</w:t>
      </w:r>
      <w:r>
        <w:noBreakHyphen/>
        <w:t>for</w:t>
      </w:r>
      <w:r>
        <w:noBreakHyphen/>
        <w:t>profit, NGO services</w:t>
      </w:r>
    </w:p>
    <w:p w14:paraId="39645220" w14:textId="2A1E332D" w:rsidR="00461318" w:rsidRPr="005A57ED" w:rsidRDefault="00F92EEE" w:rsidP="002734EE">
      <w:pPr>
        <w:pStyle w:val="BodyText"/>
      </w:pPr>
      <w:r w:rsidRPr="002734EE">
        <w:t>Support services for people whose lives are affected by mental illness are transitioning to the NDIS. By 2019</w:t>
      </w:r>
      <w:r w:rsidR="00C543CD">
        <w:noBreakHyphen/>
      </w:r>
      <w:r w:rsidRPr="002734EE">
        <w:t xml:space="preserve">20, all clients and care recipients will have transitioned to the NDIS or continuity of support arrangements, and </w:t>
      </w:r>
      <w:r w:rsidR="00461318" w:rsidRPr="005A57ED">
        <w:t xml:space="preserve">Personal Helpers and Mentors </w:t>
      </w:r>
      <w:r w:rsidR="005A57ED" w:rsidRPr="005A57ED">
        <w:t>and</w:t>
      </w:r>
      <w:r w:rsidR="00461318" w:rsidRPr="005A57ED">
        <w:t xml:space="preserve"> </w:t>
      </w:r>
      <w:r w:rsidR="00461318" w:rsidRPr="007D7305">
        <w:t>Menta</w:t>
      </w:r>
      <w:r w:rsidR="00087685" w:rsidRPr="007D7305">
        <w:t xml:space="preserve">l Health Respite Carer </w:t>
      </w:r>
      <w:r w:rsidR="00087685" w:rsidRPr="002734EE">
        <w:t>Support</w:t>
      </w:r>
      <w:r w:rsidRPr="002734EE">
        <w:t xml:space="preserve"> will be closed</w:t>
      </w:r>
      <w:r w:rsidR="00E83D6F">
        <w:t xml:space="preserve"> (DSS </w:t>
      </w:r>
      <w:r w:rsidR="009D1B00" w:rsidRPr="002734EE">
        <w:t>201</w:t>
      </w:r>
      <w:r w:rsidR="005363C0" w:rsidRPr="002734EE">
        <w:t>6</w:t>
      </w:r>
      <w:r w:rsidR="009D1B00" w:rsidRPr="002734EE">
        <w:t>)</w:t>
      </w:r>
      <w:r w:rsidRPr="002734EE">
        <w:t>.</w:t>
      </w:r>
      <w:r w:rsidR="00461318" w:rsidRPr="002734EE">
        <w:t xml:space="preserve"> </w:t>
      </w:r>
      <w:r w:rsidRPr="002734EE">
        <w:t>Historical participation data are available in</w:t>
      </w:r>
      <w:r>
        <w:t xml:space="preserve"> </w:t>
      </w:r>
      <w:r w:rsidR="00461318" w:rsidRPr="007D7305">
        <w:t>table</w:t>
      </w:r>
      <w:r w:rsidR="00463329" w:rsidRPr="007D7305">
        <w:t> </w:t>
      </w:r>
      <w:r w:rsidR="001B26A2" w:rsidRPr="007D7305">
        <w:t>13A.</w:t>
      </w:r>
      <w:r w:rsidR="000E066C" w:rsidRPr="007D7305">
        <w:t>14</w:t>
      </w:r>
      <w:r w:rsidR="00461318" w:rsidRPr="007D7305">
        <w:t>.</w:t>
      </w:r>
    </w:p>
    <w:p w14:paraId="58AF60A1" w14:textId="775E3EE1" w:rsidR="00460879" w:rsidRDefault="00CB08D6" w:rsidP="00460879">
      <w:pPr>
        <w:pStyle w:val="Heading2"/>
      </w:pPr>
      <w:bookmarkStart w:id="3" w:name="_Toc461444232"/>
      <w:r>
        <w:t>13.</w:t>
      </w:r>
      <w:r w:rsidR="00B81273">
        <w:rPr>
          <w:noProof/>
        </w:rPr>
        <w:t>2</w:t>
      </w:r>
      <w:r w:rsidR="00460879">
        <w:tab/>
      </w:r>
      <w:r w:rsidR="00460879" w:rsidRPr="00460879">
        <w:t>Framework of performance indicators</w:t>
      </w:r>
      <w:bookmarkEnd w:id="3"/>
      <w:r w:rsidR="00460879" w:rsidRPr="00460879">
        <w:t xml:space="preserve"> </w:t>
      </w:r>
    </w:p>
    <w:p w14:paraId="5B1AD382" w14:textId="2BA868B7" w:rsidR="00835C4B" w:rsidRPr="00B40852" w:rsidRDefault="00835C4B" w:rsidP="002315C6">
      <w:pPr>
        <w:pStyle w:val="BodyText"/>
      </w:pPr>
      <w:r w:rsidRPr="00835C4B">
        <w:t>Box</w:t>
      </w:r>
      <w:r w:rsidR="00AB25A8">
        <w:t> </w:t>
      </w:r>
      <w:r w:rsidR="00CB08D6">
        <w:t>13.1</w:t>
      </w:r>
      <w:r>
        <w:t xml:space="preserve"> </w:t>
      </w:r>
      <w:r w:rsidRPr="00835C4B">
        <w:t xml:space="preserve">describes the vision and objectives for </w:t>
      </w:r>
      <w:r>
        <w:t>mental health</w:t>
      </w:r>
      <w:r w:rsidRPr="00835C4B">
        <w:t xml:space="preserve"> </w:t>
      </w:r>
      <w:r>
        <w:t>services</w:t>
      </w:r>
      <w:r w:rsidR="00B40852">
        <w:t xml:space="preserve">. </w:t>
      </w:r>
      <w:r w:rsidR="00B40852" w:rsidRPr="00B40852">
        <w:t xml:space="preserve">The vision and objectives </w:t>
      </w:r>
      <w:r w:rsidR="00B40852">
        <w:t>draw</w:t>
      </w:r>
      <w:r w:rsidR="00C618D1">
        <w:t xml:space="preserve"> on</w:t>
      </w:r>
      <w:r w:rsidR="002340DD">
        <w:t xml:space="preserve"> </w:t>
      </w:r>
      <w:r w:rsidR="00B40852">
        <w:t>governments</w:t>
      </w:r>
      <w:r w:rsidR="00642EB9">
        <w:t>’</w:t>
      </w:r>
      <w:r w:rsidR="00B40852">
        <w:t xml:space="preserve"> broad objectives as expressed </w:t>
      </w:r>
      <w:r w:rsidR="00642EB9">
        <w:t xml:space="preserve">in </w:t>
      </w:r>
      <w:r w:rsidR="00B40852">
        <w:t xml:space="preserve">the </w:t>
      </w:r>
      <w:r w:rsidR="00B40852" w:rsidRPr="00B40852">
        <w:rPr>
          <w:i/>
        </w:rPr>
        <w:t>National Mental Health Policy 2008</w:t>
      </w:r>
      <w:r w:rsidR="00B40852">
        <w:rPr>
          <w:i/>
        </w:rPr>
        <w:t xml:space="preserve"> </w:t>
      </w:r>
      <w:r w:rsidR="00B40852">
        <w:t xml:space="preserve">and the </w:t>
      </w:r>
      <w:r w:rsidR="003B0D43" w:rsidRPr="003B0D43">
        <w:rPr>
          <w:i/>
        </w:rPr>
        <w:t>Fifth National Mental Health and Suicide Prevention Plan</w:t>
      </w:r>
      <w:r w:rsidR="003B0D43">
        <w:t xml:space="preserve">. </w:t>
      </w:r>
    </w:p>
    <w:p w14:paraId="2F3105F5" w14:textId="04524DFE" w:rsidR="00B6160E" w:rsidRDefault="00B6160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B6160E" w14:paraId="4F609CCA" w14:textId="77777777" w:rsidTr="00EF526A">
        <w:tc>
          <w:tcPr>
            <w:tcW w:w="8789" w:type="dxa"/>
            <w:tcBorders>
              <w:top w:val="single" w:sz="6" w:space="0" w:color="78A22F"/>
              <w:left w:val="nil"/>
              <w:bottom w:val="nil"/>
              <w:right w:val="nil"/>
            </w:tcBorders>
            <w:shd w:val="clear" w:color="auto" w:fill="F2F2F2"/>
          </w:tcPr>
          <w:p w14:paraId="06BE58C8" w14:textId="66CDD2B1" w:rsidR="00B6160E" w:rsidRDefault="00EF1423" w:rsidP="00B6160E">
            <w:pPr>
              <w:pStyle w:val="BoxTitle"/>
            </w:pPr>
            <w:bookmarkStart w:id="4" w:name="OLE_LINK1"/>
            <w:r>
              <w:rPr>
                <w:b w:val="0"/>
              </w:rPr>
              <w:t>Box </w:t>
            </w:r>
            <w:r w:rsidR="00CB08D6">
              <w:rPr>
                <w:b w:val="0"/>
              </w:rPr>
              <w:t>13.</w:t>
            </w:r>
            <w:r w:rsidR="00B81273">
              <w:rPr>
                <w:b w:val="0"/>
                <w:noProof/>
              </w:rPr>
              <w:t>1</w:t>
            </w:r>
            <w:bookmarkEnd w:id="4"/>
            <w:r w:rsidR="00B6160E">
              <w:tab/>
              <w:t>Objectives</w:t>
            </w:r>
          </w:p>
        </w:tc>
      </w:tr>
      <w:tr w:rsidR="00B6160E" w14:paraId="28A0CFFA" w14:textId="77777777" w:rsidTr="00EF526A">
        <w:tc>
          <w:tcPr>
            <w:tcW w:w="8789" w:type="dxa"/>
            <w:tcBorders>
              <w:top w:val="nil"/>
              <w:left w:val="nil"/>
              <w:bottom w:val="nil"/>
              <w:right w:val="nil"/>
            </w:tcBorders>
            <w:shd w:val="clear" w:color="auto" w:fill="F2F2F2"/>
          </w:tcPr>
          <w:p w14:paraId="486BCAB2" w14:textId="77777777" w:rsidR="00B6160E" w:rsidRDefault="00B6160E" w:rsidP="00B6160E">
            <w:pPr>
              <w:pStyle w:val="Box"/>
            </w:pPr>
            <w:r>
              <w:t>Mental health services aim to:</w:t>
            </w:r>
          </w:p>
          <w:p w14:paraId="6A4BFC48" w14:textId="183177A0" w:rsidR="00B6160E" w:rsidRDefault="00B6160E" w:rsidP="00B6160E">
            <w:pPr>
              <w:pStyle w:val="BoxListBullet"/>
            </w:pPr>
            <w:r>
              <w:t>promote mental health and wellbeing, and where possible prevent the development of mental health problems, mental illness and suicide, and</w:t>
            </w:r>
          </w:p>
          <w:p w14:paraId="001A4C66" w14:textId="339C411C" w:rsidR="00B6160E" w:rsidRDefault="00B6160E" w:rsidP="00B6160E">
            <w:pPr>
              <w:pStyle w:val="BoxListBullet"/>
            </w:pPr>
            <w:r>
              <w:t>when mental health problems and illness do occur, reduce the impact (including the effects of stigma and discrimination), promote recovery and physical health and encourage meaningful participation in society, by providing services that:</w:t>
            </w:r>
          </w:p>
          <w:p w14:paraId="0BF18A4C" w14:textId="77777777" w:rsidR="00B6160E" w:rsidRDefault="00B6160E" w:rsidP="00B6160E">
            <w:pPr>
              <w:pStyle w:val="BoxListBullet2"/>
            </w:pPr>
            <w:r>
              <w:t>are high quality, safe and responsive to consumer and carer goals</w:t>
            </w:r>
          </w:p>
          <w:p w14:paraId="4C5343A7" w14:textId="77777777" w:rsidR="00B6160E" w:rsidRDefault="00B6160E" w:rsidP="00B6160E">
            <w:pPr>
              <w:pStyle w:val="BoxListBullet2"/>
            </w:pPr>
            <w:r>
              <w:t>facilitate early detection of mental health issues and mental illness, followed by appropriate intervention</w:t>
            </w:r>
          </w:p>
          <w:p w14:paraId="78AB7AE3" w14:textId="77777777" w:rsidR="00B6160E" w:rsidRDefault="00B6160E" w:rsidP="00B6160E">
            <w:pPr>
              <w:pStyle w:val="BoxListBullet2"/>
            </w:pPr>
            <w:r>
              <w:t>are coordinated and provide continuity of care</w:t>
            </w:r>
          </w:p>
          <w:p w14:paraId="65963F70" w14:textId="77777777" w:rsidR="00B6160E" w:rsidRDefault="00B6160E" w:rsidP="00B6160E">
            <w:pPr>
              <w:pStyle w:val="BoxListBullet2"/>
            </w:pPr>
            <w:r>
              <w:t>are timely, affordable and readily available to those who need them</w:t>
            </w:r>
          </w:p>
          <w:p w14:paraId="500C97F5" w14:textId="47B91709" w:rsidR="00B6160E" w:rsidRDefault="00B6160E" w:rsidP="00B6160E">
            <w:pPr>
              <w:pStyle w:val="BoxListBullet2"/>
            </w:pPr>
            <w:r>
              <w:t>are sustainable.</w:t>
            </w:r>
          </w:p>
          <w:p w14:paraId="0E2E7DE7" w14:textId="77777777" w:rsidR="00B6160E" w:rsidRDefault="00B6160E" w:rsidP="00B6160E">
            <w:pPr>
              <w:pStyle w:val="Box"/>
            </w:pPr>
            <w:r>
              <w:t>Governments aim for mental health services to meet these objectives in an equitable and efficient manner.</w:t>
            </w:r>
          </w:p>
        </w:tc>
      </w:tr>
      <w:tr w:rsidR="00B6160E" w14:paraId="7F3597AF" w14:textId="77777777" w:rsidTr="00EF526A">
        <w:tc>
          <w:tcPr>
            <w:tcW w:w="8789" w:type="dxa"/>
            <w:tcBorders>
              <w:top w:val="nil"/>
              <w:left w:val="nil"/>
              <w:bottom w:val="single" w:sz="6" w:space="0" w:color="78A22F"/>
              <w:right w:val="nil"/>
            </w:tcBorders>
            <w:shd w:val="clear" w:color="auto" w:fill="F2F2F2"/>
          </w:tcPr>
          <w:p w14:paraId="3C57611E" w14:textId="77777777" w:rsidR="00B6160E" w:rsidRDefault="00B6160E">
            <w:pPr>
              <w:pStyle w:val="Box"/>
              <w:spacing w:before="0" w:line="120" w:lineRule="exact"/>
            </w:pPr>
          </w:p>
        </w:tc>
      </w:tr>
      <w:tr w:rsidR="00B6160E" w:rsidRPr="000863A5" w14:paraId="629D686C" w14:textId="77777777" w:rsidTr="00EF526A">
        <w:tc>
          <w:tcPr>
            <w:tcW w:w="8789" w:type="dxa"/>
            <w:tcBorders>
              <w:top w:val="single" w:sz="6" w:space="0" w:color="78A22F"/>
              <w:left w:val="nil"/>
              <w:bottom w:val="nil"/>
              <w:right w:val="nil"/>
            </w:tcBorders>
          </w:tcPr>
          <w:p w14:paraId="460901F8" w14:textId="6486B375" w:rsidR="00B6160E" w:rsidRPr="00626D32" w:rsidRDefault="00B6160E" w:rsidP="00835C4B">
            <w:pPr>
              <w:pStyle w:val="BoxSpaceBelow"/>
            </w:pPr>
          </w:p>
        </w:tc>
      </w:tr>
    </w:tbl>
    <w:p w14:paraId="4BBBF590" w14:textId="01121576" w:rsidR="00B6160E" w:rsidRDefault="00C618D1" w:rsidP="00C618D1">
      <w:pPr>
        <w:pStyle w:val="BodyText"/>
      </w:pPr>
      <w:r w:rsidRPr="00F83671">
        <w:t>The performance indicator framework provides information on equity, efficiency and effectiveness, and distinguishes the outputs and outcomes of</w:t>
      </w:r>
      <w:r>
        <w:t xml:space="preserve"> mental health services </w:t>
      </w:r>
      <w:r w:rsidR="009D4675">
        <w:t>(</w:t>
      </w:r>
      <w:r>
        <w:t>figure </w:t>
      </w:r>
      <w:r w:rsidR="00A21D8E">
        <w:t>13.3</w:t>
      </w:r>
      <w:r w:rsidR="009D4675">
        <w:t xml:space="preserve">). </w:t>
      </w:r>
    </w:p>
    <w:p w14:paraId="04C87899" w14:textId="656D5C8D" w:rsidR="00C618D1" w:rsidRDefault="00C618D1" w:rsidP="00C618D1">
      <w:pPr>
        <w:pStyle w:val="BodyText"/>
        <w:rPr>
          <w:szCs w:val="26"/>
        </w:rPr>
      </w:pPr>
      <w:r w:rsidRPr="00F83671">
        <w:t>The performance indicator framework shows which data are complete and comparable in the 201</w:t>
      </w:r>
      <w:r w:rsidR="00580D9C">
        <w:t>8</w:t>
      </w:r>
      <w:r w:rsidRPr="00F83671">
        <w:t xml:space="preserve"> Report. For data that are not considered directly comparable, text includes relevant </w:t>
      </w:r>
      <w:r w:rsidRPr="00F83671">
        <w:lastRenderedPageBreak/>
        <w:t xml:space="preserve">caveats and supporting commentary. </w:t>
      </w:r>
      <w:r w:rsidR="00DE2FEF">
        <w:t>Chapter </w:t>
      </w:r>
      <w:r w:rsidR="00DE2FEF" w:rsidRPr="00DE2FEF">
        <w:t xml:space="preserve">1 discusses data comparability, data completeness and information on data quality from a Report wide perspective. </w:t>
      </w:r>
      <w:r>
        <w:rPr>
          <w:szCs w:val="26"/>
        </w:rPr>
        <w:t>In addition</w:t>
      </w:r>
      <w:r w:rsidR="00AE73F2">
        <w:rPr>
          <w:szCs w:val="26"/>
        </w:rPr>
        <w:t xml:space="preserve"> to section</w:t>
      </w:r>
      <w:r w:rsidR="00AB25A8">
        <w:rPr>
          <w:szCs w:val="26"/>
        </w:rPr>
        <w:t> </w:t>
      </w:r>
      <w:r w:rsidR="00AE73F2">
        <w:rPr>
          <w:szCs w:val="26"/>
        </w:rPr>
        <w:t>13.1</w:t>
      </w:r>
      <w:r>
        <w:rPr>
          <w:szCs w:val="26"/>
        </w:rPr>
        <w:t xml:space="preserve">, </w:t>
      </w:r>
      <w:r w:rsidR="00AE73F2">
        <w:rPr>
          <w:szCs w:val="26"/>
        </w:rPr>
        <w:t>the Report’s statistical context chapter (c</w:t>
      </w:r>
      <w:r>
        <w:rPr>
          <w:szCs w:val="26"/>
        </w:rPr>
        <w:t>hapter</w:t>
      </w:r>
      <w:r w:rsidR="00AB25A8">
        <w:rPr>
          <w:szCs w:val="26"/>
        </w:rPr>
        <w:t> </w:t>
      </w:r>
      <w:r>
        <w:rPr>
          <w:szCs w:val="26"/>
        </w:rPr>
        <w:t>2</w:t>
      </w:r>
      <w:r w:rsidR="00AE73F2">
        <w:rPr>
          <w:szCs w:val="26"/>
        </w:rPr>
        <w:t>)</w:t>
      </w:r>
      <w:r>
        <w:rPr>
          <w:szCs w:val="26"/>
        </w:rPr>
        <w:t xml:space="preserve"> </w:t>
      </w:r>
      <w:r w:rsidRPr="00912D61">
        <w:rPr>
          <w:szCs w:val="26"/>
        </w:rPr>
        <w:t>contains data that may assist in interpreting the performance indicators presented in this chapter.</w:t>
      </w:r>
      <w:r w:rsidR="00A228CC">
        <w:rPr>
          <w:szCs w:val="26"/>
        </w:rPr>
        <w:t xml:space="preserve"> </w:t>
      </w:r>
      <w:r w:rsidR="00A228CC" w:rsidRPr="00A228CC">
        <w:rPr>
          <w:szCs w:val="26"/>
        </w:rPr>
        <w:t>Chapters</w:t>
      </w:r>
      <w:r w:rsidR="00BA1594">
        <w:rPr>
          <w:szCs w:val="26"/>
        </w:rPr>
        <w:t> </w:t>
      </w:r>
      <w:r w:rsidR="00A228CC" w:rsidRPr="00A228CC">
        <w:rPr>
          <w:szCs w:val="26"/>
        </w:rPr>
        <w:t>1 and 2 are available from the website at www.pc.gov.au/rogs/2018</w:t>
      </w:r>
      <w:r w:rsidR="00A228CC">
        <w:rPr>
          <w:szCs w:val="26"/>
        </w:rPr>
        <w:t>.</w:t>
      </w:r>
    </w:p>
    <w:p w14:paraId="19C72C8C" w14:textId="07BD5574" w:rsidR="00C618D1" w:rsidRPr="00917502" w:rsidRDefault="00C36B19" w:rsidP="00C618D1">
      <w:pPr>
        <w:pStyle w:val="BodyText"/>
      </w:pPr>
      <w:r w:rsidRPr="00C36B19">
        <w:t xml:space="preserve">Improvements to performance reporting for </w:t>
      </w:r>
      <w:r w:rsidR="00A228CC">
        <w:t xml:space="preserve">mental health </w:t>
      </w:r>
      <w:r w:rsidRPr="00C36B19">
        <w:t>services are ongoing and include identifying data sources to fill gaps in reporting for performance indicators and measures, and improving the comparability and completeness of data</w:t>
      </w:r>
      <w:r w:rsidR="002271F2">
        <w:t>.</w:t>
      </w:r>
    </w:p>
    <w:p w14:paraId="0904BBB9" w14:textId="661D352E" w:rsidR="009D4675" w:rsidRDefault="009D4675" w:rsidP="009D4675">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D4675" w14:paraId="1039BF09" w14:textId="77777777" w:rsidTr="00EF526A">
        <w:tc>
          <w:tcPr>
            <w:tcW w:w="8789" w:type="dxa"/>
            <w:tcBorders>
              <w:top w:val="single" w:sz="6" w:space="0" w:color="78A22F"/>
              <w:left w:val="nil"/>
              <w:bottom w:val="nil"/>
              <w:right w:val="nil"/>
            </w:tcBorders>
            <w:shd w:val="clear" w:color="auto" w:fill="auto"/>
          </w:tcPr>
          <w:p w14:paraId="15A258EA" w14:textId="5A41A4D2" w:rsidR="002534AE" w:rsidRPr="002534AE" w:rsidRDefault="00EF1423" w:rsidP="00C543CD">
            <w:pPr>
              <w:pStyle w:val="FigureTitle"/>
            </w:pPr>
            <w:r>
              <w:rPr>
                <w:b w:val="0"/>
              </w:rPr>
              <w:t>Figure </w:t>
            </w:r>
            <w:r w:rsidR="00A21D8E">
              <w:rPr>
                <w:b w:val="0"/>
              </w:rPr>
              <w:t>13.3</w:t>
            </w:r>
            <w:r w:rsidR="009D4675">
              <w:tab/>
            </w:r>
            <w:r w:rsidR="009D4675" w:rsidRPr="009D4675">
              <w:t>Mental health management performance indicator framework</w:t>
            </w:r>
          </w:p>
        </w:tc>
      </w:tr>
      <w:tr w:rsidR="009D4675" w14:paraId="6929AE7A" w14:textId="77777777" w:rsidTr="00EF526A">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D4675" w14:paraId="652F2684" w14:textId="77777777" w:rsidTr="009D4675">
              <w:trPr>
                <w:jc w:val="center"/>
              </w:trPr>
              <w:tc>
                <w:tcPr>
                  <w:tcW w:w="5000" w:type="pct"/>
                  <w:tcBorders>
                    <w:top w:val="nil"/>
                    <w:bottom w:val="nil"/>
                  </w:tcBorders>
                </w:tcPr>
                <w:p w14:paraId="12626E53" w14:textId="34DC0146" w:rsidR="009D4675" w:rsidRPr="001940ED" w:rsidRDefault="00666559" w:rsidP="001940ED">
                  <w:pPr>
                    <w:pStyle w:val="BodyText"/>
                  </w:pPr>
                  <w:r w:rsidRPr="001940ED">
                    <w:rPr>
                      <w:noProof/>
                    </w:rPr>
                    <w:drawing>
                      <wp:inline distT="0" distB="0" distL="0" distR="0" wp14:anchorId="615B9BDC" wp14:editId="5AA17072">
                        <wp:extent cx="5396230" cy="6483985"/>
                        <wp:effectExtent l="0" t="0" r="0" b="0"/>
                        <wp:docPr id="2" name="Picture 2" descr="More details can be found within the text surrounding this image." title="FIgure 13.3 Mental health management performance indicato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6483985"/>
                                </a:xfrm>
                                <a:prstGeom prst="rect">
                                  <a:avLst/>
                                </a:prstGeom>
                                <a:noFill/>
                                <a:ln>
                                  <a:noFill/>
                                </a:ln>
                              </pic:spPr>
                            </pic:pic>
                          </a:graphicData>
                        </a:graphic>
                      </wp:inline>
                    </w:drawing>
                  </w:r>
                </w:p>
              </w:tc>
            </w:tr>
          </w:tbl>
          <w:p w14:paraId="5CE570EA" w14:textId="77777777" w:rsidR="009D4675" w:rsidRDefault="009D4675" w:rsidP="009D4675">
            <w:pPr>
              <w:pStyle w:val="Figure"/>
            </w:pPr>
          </w:p>
        </w:tc>
      </w:tr>
      <w:tr w:rsidR="009D4675" w14:paraId="3FC8B59B" w14:textId="77777777" w:rsidTr="00EF526A">
        <w:tc>
          <w:tcPr>
            <w:tcW w:w="8789" w:type="dxa"/>
            <w:tcBorders>
              <w:top w:val="nil"/>
              <w:left w:val="nil"/>
              <w:bottom w:val="single" w:sz="6" w:space="0" w:color="78A22F"/>
              <w:right w:val="nil"/>
            </w:tcBorders>
            <w:shd w:val="clear" w:color="auto" w:fill="auto"/>
          </w:tcPr>
          <w:p w14:paraId="7F17669E" w14:textId="77777777" w:rsidR="009D4675" w:rsidRDefault="009D4675" w:rsidP="009D4675">
            <w:pPr>
              <w:pStyle w:val="Figurespace"/>
            </w:pPr>
          </w:p>
        </w:tc>
      </w:tr>
      <w:tr w:rsidR="009D4675" w:rsidRPr="000863A5" w14:paraId="20D85368" w14:textId="77777777" w:rsidTr="00EF526A">
        <w:tc>
          <w:tcPr>
            <w:tcW w:w="8789" w:type="dxa"/>
            <w:tcBorders>
              <w:top w:val="single" w:sz="6" w:space="0" w:color="78A22F"/>
              <w:left w:val="nil"/>
              <w:bottom w:val="nil"/>
              <w:right w:val="nil"/>
            </w:tcBorders>
          </w:tcPr>
          <w:p w14:paraId="11EBDF0B" w14:textId="098E1236" w:rsidR="009D4675" w:rsidRPr="00626D32" w:rsidRDefault="009D4675" w:rsidP="009D4675">
            <w:pPr>
              <w:pStyle w:val="BoxSpaceBelow"/>
            </w:pPr>
          </w:p>
        </w:tc>
      </w:tr>
    </w:tbl>
    <w:p w14:paraId="26048F47" w14:textId="38932989" w:rsidR="009D4675" w:rsidRDefault="00CB08D6" w:rsidP="009D4675">
      <w:pPr>
        <w:pStyle w:val="Heading2"/>
      </w:pPr>
      <w:bookmarkStart w:id="5" w:name="_Toc461444233"/>
      <w:r>
        <w:t>13.</w:t>
      </w:r>
      <w:r w:rsidR="00B81273">
        <w:rPr>
          <w:noProof/>
        </w:rPr>
        <w:t>3</w:t>
      </w:r>
      <w:r w:rsidR="009D4675">
        <w:tab/>
      </w:r>
      <w:r w:rsidR="009D4675" w:rsidRPr="009D4675">
        <w:t>Key performance indicator</w:t>
      </w:r>
      <w:r w:rsidR="00F01381">
        <w:t xml:space="preserve"> results</w:t>
      </w:r>
      <w:bookmarkEnd w:id="5"/>
    </w:p>
    <w:p w14:paraId="17F9701C" w14:textId="1E46943C" w:rsidR="00D875F4" w:rsidRDefault="00D875F4" w:rsidP="00D71789">
      <w:pPr>
        <w:pStyle w:val="BodyText"/>
      </w:pPr>
      <w:r>
        <w:t xml:space="preserve">Different delivery contexts, locations and types of </w:t>
      </w:r>
      <w:r w:rsidR="001F18B0" w:rsidRPr="00C543CD">
        <w:t>consumers</w:t>
      </w:r>
      <w:r w:rsidR="001F18B0">
        <w:t xml:space="preserve"> </w:t>
      </w:r>
      <w:r>
        <w:t xml:space="preserve">can affect the equity, effectiveness and efficiency of mental health management services. </w:t>
      </w:r>
    </w:p>
    <w:p w14:paraId="574EA96D" w14:textId="77777777" w:rsidR="009D4675" w:rsidRPr="009754CD" w:rsidRDefault="009D4675" w:rsidP="009D4675">
      <w:pPr>
        <w:pStyle w:val="Heading3"/>
      </w:pPr>
      <w:r w:rsidRPr="009754CD">
        <w:lastRenderedPageBreak/>
        <w:t>Outputs</w:t>
      </w:r>
    </w:p>
    <w:p w14:paraId="7FC6B0D5" w14:textId="77777777" w:rsidR="00FA29A6" w:rsidRPr="009754CD" w:rsidRDefault="00FA29A6" w:rsidP="00FA29A6">
      <w:pPr>
        <w:pStyle w:val="BodyText"/>
      </w:pPr>
      <w:r w:rsidRPr="009754CD">
        <w:t xml:space="preserve">Outputs are the services delivered (while outcomes are the impact of these services on the status of an individual or group) (see chapter 1). Output information is critical for equitable, efficient and effective management of government services. </w:t>
      </w:r>
    </w:p>
    <w:p w14:paraId="047ACD59" w14:textId="77777777" w:rsidR="000B3B63" w:rsidRPr="009754CD" w:rsidRDefault="002A558D" w:rsidP="004A02A7">
      <w:pPr>
        <w:pStyle w:val="Heading4"/>
      </w:pPr>
      <w:r w:rsidRPr="009754CD">
        <w:t>Equity</w:t>
      </w:r>
    </w:p>
    <w:p w14:paraId="76248D72" w14:textId="77777777" w:rsidR="00041DCC" w:rsidRPr="009754CD" w:rsidRDefault="000B3B63" w:rsidP="004A02A7">
      <w:pPr>
        <w:pStyle w:val="Heading5"/>
      </w:pPr>
      <w:r w:rsidRPr="009754CD">
        <w:t>A</w:t>
      </w:r>
      <w:r w:rsidR="00041DCC" w:rsidRPr="009754CD">
        <w:t>ccess — mental health service use by selected community groups</w:t>
      </w:r>
    </w:p>
    <w:p w14:paraId="73533E81" w14:textId="30C2B28A" w:rsidR="00C12122" w:rsidRDefault="00041DCC" w:rsidP="001015D3">
      <w:pPr>
        <w:pStyle w:val="BodyText"/>
      </w:pPr>
      <w:r w:rsidRPr="009754CD">
        <w:t>‘Mental health service use by selected community groups’ is an indicator of governments’ objective to provide</w:t>
      </w:r>
      <w:r w:rsidR="00194149" w:rsidRPr="009754CD">
        <w:t xml:space="preserve"> </w:t>
      </w:r>
      <w:r w:rsidRPr="009754CD">
        <w:t xml:space="preserve">mental health services </w:t>
      </w:r>
      <w:r w:rsidR="008075B2">
        <w:t>in an equitable manner</w:t>
      </w:r>
      <w:r w:rsidRPr="009754CD">
        <w:t xml:space="preserve"> (box</w:t>
      </w:r>
      <w:r w:rsidR="0022260C" w:rsidRPr="009754CD">
        <w:t> </w:t>
      </w:r>
      <w:r w:rsidR="00A21D8E">
        <w:t>13.2</w:t>
      </w:r>
      <w:r w:rsidRPr="009754CD">
        <w:t>).</w:t>
      </w:r>
    </w:p>
    <w:p w14:paraId="5B91D0E0" w14:textId="59AD4A5B" w:rsidR="00041DCC" w:rsidRPr="009754CD" w:rsidRDefault="00041DCC" w:rsidP="00B81977">
      <w:pPr>
        <w:pStyle w:val="BoxSpaceAbove"/>
        <w:widowControl w:val="0"/>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41DCC" w:rsidRPr="009754CD" w14:paraId="1B5EB8F7" w14:textId="77777777" w:rsidTr="00EF526A">
        <w:trPr>
          <w:cantSplit/>
        </w:trPr>
        <w:tc>
          <w:tcPr>
            <w:tcW w:w="8789" w:type="dxa"/>
            <w:tcBorders>
              <w:top w:val="single" w:sz="6" w:space="0" w:color="78A22F"/>
              <w:left w:val="nil"/>
              <w:bottom w:val="nil"/>
              <w:right w:val="nil"/>
            </w:tcBorders>
            <w:shd w:val="clear" w:color="auto" w:fill="F2F2F2"/>
          </w:tcPr>
          <w:p w14:paraId="0406FE84" w14:textId="250C5382" w:rsidR="00041DCC" w:rsidRPr="009754CD" w:rsidRDefault="00EF1423" w:rsidP="00A21D8E">
            <w:pPr>
              <w:pStyle w:val="BoxTitle"/>
              <w:keepLines w:val="0"/>
              <w:widowControl w:val="0"/>
            </w:pPr>
            <w:r>
              <w:rPr>
                <w:b w:val="0"/>
              </w:rPr>
              <w:t>Box </w:t>
            </w:r>
            <w:r w:rsidR="00A21D8E">
              <w:rPr>
                <w:b w:val="0"/>
              </w:rPr>
              <w:t>13.2</w:t>
            </w:r>
            <w:r w:rsidR="00041DCC" w:rsidRPr="009754CD">
              <w:tab/>
              <w:t>Mental health service use by selected community groups</w:t>
            </w:r>
          </w:p>
        </w:tc>
      </w:tr>
      <w:tr w:rsidR="00041DCC" w:rsidRPr="0039622B" w14:paraId="6B893CDB" w14:textId="77777777" w:rsidTr="00EF526A">
        <w:trPr>
          <w:cantSplit/>
        </w:trPr>
        <w:tc>
          <w:tcPr>
            <w:tcW w:w="8789" w:type="dxa"/>
            <w:tcBorders>
              <w:top w:val="nil"/>
              <w:left w:val="nil"/>
              <w:bottom w:val="nil"/>
              <w:right w:val="nil"/>
            </w:tcBorders>
            <w:shd w:val="clear" w:color="auto" w:fill="F2F2F2"/>
          </w:tcPr>
          <w:p w14:paraId="1BEA9940" w14:textId="77777777" w:rsidR="00D61A40" w:rsidRPr="009754CD" w:rsidRDefault="00041DCC" w:rsidP="00B81977">
            <w:pPr>
              <w:pStyle w:val="Box"/>
              <w:widowControl w:val="0"/>
            </w:pPr>
            <w:r w:rsidRPr="009754CD">
              <w:t>‘Mental health service use by selected community groups’ is defined by two measures</w:t>
            </w:r>
            <w:r w:rsidR="00D61A40" w:rsidRPr="009754CD">
              <w:t>:</w:t>
            </w:r>
          </w:p>
          <w:p w14:paraId="1205E499" w14:textId="77777777" w:rsidR="00041DCC" w:rsidRPr="009754CD" w:rsidRDefault="00D61A40" w:rsidP="00B81977">
            <w:pPr>
              <w:pStyle w:val="BoxListBullet"/>
              <w:widowControl w:val="0"/>
            </w:pPr>
            <w:r w:rsidRPr="009754CD">
              <w:t xml:space="preserve">the </w:t>
            </w:r>
            <w:r w:rsidR="001950CE" w:rsidRPr="009754CD">
              <w:t>proportion of the population in a selected community group using</w:t>
            </w:r>
            <w:r w:rsidRPr="009754CD">
              <w:t xml:space="preserve"> the service, compared to the proportion of the population outside the selected community group, for each of</w:t>
            </w:r>
            <w:r w:rsidR="00041DCC" w:rsidRPr="009754CD">
              <w:t>:</w:t>
            </w:r>
          </w:p>
          <w:p w14:paraId="071F8BD7" w14:textId="77777777" w:rsidR="00041DCC" w:rsidRPr="009754CD" w:rsidRDefault="00041DCC" w:rsidP="00B81977">
            <w:pPr>
              <w:pStyle w:val="BoxListBullet2"/>
              <w:widowControl w:val="0"/>
            </w:pPr>
            <w:r w:rsidRPr="009754CD">
              <w:t xml:space="preserve">State and Territory </w:t>
            </w:r>
            <w:r w:rsidR="001950CE" w:rsidRPr="009754CD">
              <w:t xml:space="preserve">governments’ </w:t>
            </w:r>
            <w:r w:rsidRPr="009754CD">
              <w:t xml:space="preserve">specialised </w:t>
            </w:r>
            <w:r w:rsidR="00D61A40" w:rsidRPr="009754CD">
              <w:t xml:space="preserve">public </w:t>
            </w:r>
            <w:r w:rsidRPr="009754CD">
              <w:t xml:space="preserve">mental health services </w:t>
            </w:r>
          </w:p>
          <w:p w14:paraId="60446ACE" w14:textId="77777777" w:rsidR="00041DCC" w:rsidRPr="009754CD" w:rsidRDefault="003978B7" w:rsidP="00B81977">
            <w:pPr>
              <w:pStyle w:val="BoxListBullet2"/>
              <w:widowControl w:val="0"/>
            </w:pPr>
            <w:r w:rsidRPr="009754CD">
              <w:t xml:space="preserve">MBS </w:t>
            </w:r>
            <w:r w:rsidR="00041DCC" w:rsidRPr="009754CD">
              <w:t>subsidised mental health services.</w:t>
            </w:r>
          </w:p>
          <w:p w14:paraId="3BC2476A" w14:textId="77777777" w:rsidR="00041DCC" w:rsidRPr="009754CD" w:rsidRDefault="00041DCC" w:rsidP="00B81977">
            <w:pPr>
              <w:pStyle w:val="Box"/>
              <w:widowControl w:val="0"/>
            </w:pPr>
            <w:r w:rsidRPr="009754CD">
              <w:t xml:space="preserve">The selected community groups reported are </w:t>
            </w:r>
            <w:r w:rsidR="002F225B" w:rsidRPr="009754CD">
              <w:t>Aboriginal and Torres Strait Islander Australians</w:t>
            </w:r>
            <w:r w:rsidRPr="009754CD">
              <w:t xml:space="preserve">, people from outer regional, remote and very remote locations and people residing in low </w:t>
            </w:r>
            <w:r w:rsidR="00BD5F3E" w:rsidRPr="009754CD">
              <w:t>socioeconomic</w:t>
            </w:r>
            <w:r w:rsidRPr="009754CD">
              <w:t xml:space="preserve"> areas.</w:t>
            </w:r>
          </w:p>
          <w:p w14:paraId="273A7A89" w14:textId="77777777" w:rsidR="00041DCC" w:rsidRPr="009754CD" w:rsidRDefault="00AE73F2" w:rsidP="00B81977">
            <w:pPr>
              <w:pStyle w:val="Box"/>
              <w:widowControl w:val="0"/>
            </w:pPr>
            <w:r>
              <w:t>Results for t</w:t>
            </w:r>
            <w:r w:rsidR="00041DCC" w:rsidRPr="009754CD">
              <w:t xml:space="preserve">his indicator </w:t>
            </w:r>
            <w:r>
              <w:t>should be interpreted with caution</w:t>
            </w:r>
            <w:r w:rsidR="00041DCC" w:rsidRPr="009754CD">
              <w:t>. Variations in use could be due to variations in access, but could also be a result of differences in the prevalence of mental illness. It also does not provide information on whether the services are appropriate for the needs of the people receiving them, or correctly targeted to those most in need.</w:t>
            </w:r>
          </w:p>
          <w:p w14:paraId="097BA91F" w14:textId="200A5131" w:rsidR="00041DCC" w:rsidRPr="009754CD" w:rsidRDefault="00041DCC" w:rsidP="00B81977">
            <w:pPr>
              <w:pStyle w:val="Box"/>
              <w:widowControl w:val="0"/>
            </w:pPr>
            <w:r w:rsidRPr="009754CD">
              <w:t xml:space="preserve">Data reported for the State and Territory </w:t>
            </w:r>
            <w:r w:rsidR="00613479" w:rsidRPr="009754CD">
              <w:t xml:space="preserve">governments’ </w:t>
            </w:r>
            <w:r w:rsidRPr="009754CD">
              <w:t xml:space="preserve">specialised </w:t>
            </w:r>
            <w:r w:rsidR="00613479" w:rsidRPr="009754CD">
              <w:t xml:space="preserve">public </w:t>
            </w:r>
            <w:r w:rsidRPr="009754CD">
              <w:t>mental health services</w:t>
            </w:r>
            <w:r w:rsidR="004B610A">
              <w:t>’</w:t>
            </w:r>
            <w:r w:rsidRPr="009754CD">
              <w:t xml:space="preserve"> measure:</w:t>
            </w:r>
          </w:p>
          <w:p w14:paraId="6813CB72" w14:textId="77777777" w:rsidR="00041DCC" w:rsidRPr="009754CD" w:rsidRDefault="002241CC" w:rsidP="00B81977">
            <w:pPr>
              <w:pStyle w:val="BoxListBullet"/>
              <w:widowControl w:val="0"/>
            </w:pPr>
            <w:r w:rsidRPr="009754CD">
              <w:t>may not be comparable (subject to caveats) within jurisdictions over time and may not be comparable across jurisdictions</w:t>
            </w:r>
          </w:p>
          <w:p w14:paraId="5A70D5AA" w14:textId="541F9A2E" w:rsidR="0052275A" w:rsidRPr="000B2DF7" w:rsidRDefault="008B602C" w:rsidP="00B81977">
            <w:pPr>
              <w:pStyle w:val="BoxListBullet"/>
              <w:widowControl w:val="0"/>
            </w:pPr>
            <w:r w:rsidRPr="0061119E">
              <w:t xml:space="preserve">are </w:t>
            </w:r>
            <w:r w:rsidR="006931BA" w:rsidRPr="000B2DF7">
              <w:t>complete (subject to caveats) for the current reporting period. All required 201</w:t>
            </w:r>
            <w:r w:rsidR="00A2380B">
              <w:t>5</w:t>
            </w:r>
            <w:r w:rsidR="006931BA" w:rsidRPr="000B2DF7">
              <w:noBreakHyphen/>
              <w:t>1</w:t>
            </w:r>
            <w:r w:rsidR="00A2380B">
              <w:t>6</w:t>
            </w:r>
            <w:r w:rsidR="006931BA" w:rsidRPr="000B2DF7">
              <w:t xml:space="preserve"> data are available for all jurisdictions.</w:t>
            </w:r>
          </w:p>
          <w:p w14:paraId="35C1C143" w14:textId="77777777" w:rsidR="00C4599D" w:rsidRPr="009754CD" w:rsidRDefault="00C4599D" w:rsidP="00B81977">
            <w:pPr>
              <w:pStyle w:val="Box"/>
              <w:widowControl w:val="0"/>
              <w:rPr>
                <w:szCs w:val="24"/>
              </w:rPr>
            </w:pPr>
            <w:r w:rsidRPr="009754CD">
              <w:t>Data reported for the MBS subsidised mental health services measure are:</w:t>
            </w:r>
          </w:p>
          <w:p w14:paraId="651FED65" w14:textId="64A60A81" w:rsidR="00C4599D" w:rsidRPr="009754CD" w:rsidRDefault="00C4599D" w:rsidP="003F3744">
            <w:pPr>
              <w:pStyle w:val="BoxListBullet"/>
            </w:pPr>
            <w:r w:rsidRPr="009754CD">
              <w:t>comparable (subject to caveats) across jurisdictions</w:t>
            </w:r>
            <w:r w:rsidR="00AE73F2">
              <w:t>,</w:t>
            </w:r>
            <w:r w:rsidRPr="009754CD">
              <w:t xml:space="preserve"> but a break in series means that data from 2011</w:t>
            </w:r>
            <w:r w:rsidRPr="009754CD">
              <w:noBreakHyphen/>
              <w:t>12 onwards by geographic location and</w:t>
            </w:r>
            <w:r w:rsidR="003F3744">
              <w:t xml:space="preserve"> </w:t>
            </w:r>
            <w:r w:rsidR="003F3744" w:rsidRPr="003F3744">
              <w:t>Socio</w:t>
            </w:r>
            <w:r w:rsidR="00355934">
              <w:noBreakHyphen/>
            </w:r>
            <w:r w:rsidR="003F3744" w:rsidRPr="003F3744">
              <w:t>Economic Indexes for Areas</w:t>
            </w:r>
            <w:r w:rsidRPr="009754CD">
              <w:t xml:space="preserve"> </w:t>
            </w:r>
            <w:r w:rsidR="003F3744">
              <w:t>(</w:t>
            </w:r>
            <w:r w:rsidRPr="009754CD">
              <w:t>SEIFA</w:t>
            </w:r>
            <w:r w:rsidR="003F3744">
              <w:t>)</w:t>
            </w:r>
            <w:r w:rsidRPr="009754CD">
              <w:t xml:space="preserve"> are not comparab</w:t>
            </w:r>
            <w:r w:rsidR="00E90D6C">
              <w:t>le to data for previous years’</w:t>
            </w:r>
          </w:p>
          <w:p w14:paraId="14E33587" w14:textId="01E8511C" w:rsidR="00AF0C75" w:rsidRPr="009754CD" w:rsidRDefault="00C4599D" w:rsidP="00B81977">
            <w:pPr>
              <w:pStyle w:val="BoxListBullet"/>
              <w:widowControl w:val="0"/>
              <w:rPr>
                <w:szCs w:val="24"/>
              </w:rPr>
            </w:pPr>
            <w:r w:rsidRPr="009754CD">
              <w:t>complete (subject to caveats) for the current re</w:t>
            </w:r>
            <w:r w:rsidR="00E90D6C">
              <w:t xml:space="preserve">porting period. </w:t>
            </w:r>
            <w:r w:rsidRPr="009754CD">
              <w:t>All required 201</w:t>
            </w:r>
            <w:r w:rsidR="00A2380B">
              <w:t>5</w:t>
            </w:r>
            <w:r w:rsidRPr="009754CD">
              <w:noBreakHyphen/>
              <w:t>1</w:t>
            </w:r>
            <w:r w:rsidR="00A2380B">
              <w:t>6</w:t>
            </w:r>
            <w:r w:rsidRPr="009754CD">
              <w:t xml:space="preserve"> data are available for all jurisdictions</w:t>
            </w:r>
            <w:r w:rsidR="00961A24">
              <w:t>.</w:t>
            </w:r>
          </w:p>
        </w:tc>
      </w:tr>
      <w:tr w:rsidR="00041DCC" w:rsidRPr="009754CD" w14:paraId="46D0ADD6" w14:textId="77777777" w:rsidTr="00EF526A">
        <w:trPr>
          <w:cantSplit/>
        </w:trPr>
        <w:tc>
          <w:tcPr>
            <w:tcW w:w="8789" w:type="dxa"/>
            <w:tcBorders>
              <w:top w:val="nil"/>
              <w:left w:val="nil"/>
              <w:bottom w:val="single" w:sz="6" w:space="0" w:color="78A22F"/>
              <w:right w:val="nil"/>
            </w:tcBorders>
            <w:shd w:val="clear" w:color="auto" w:fill="F2F2F2"/>
          </w:tcPr>
          <w:p w14:paraId="0AF07BF9" w14:textId="77777777" w:rsidR="00041DCC" w:rsidRPr="009754CD" w:rsidRDefault="00041DCC" w:rsidP="001015D3">
            <w:pPr>
              <w:pStyle w:val="Box"/>
              <w:keepNext w:val="0"/>
              <w:widowControl w:val="0"/>
              <w:spacing w:before="0" w:line="120" w:lineRule="exact"/>
              <w:rPr>
                <w:szCs w:val="24"/>
              </w:rPr>
            </w:pPr>
          </w:p>
        </w:tc>
      </w:tr>
      <w:tr w:rsidR="00041DCC" w:rsidRPr="009754CD" w14:paraId="64685CF6" w14:textId="77777777" w:rsidTr="00EF526A">
        <w:trPr>
          <w:cantSplit/>
        </w:trPr>
        <w:tc>
          <w:tcPr>
            <w:tcW w:w="8789" w:type="dxa"/>
            <w:tcBorders>
              <w:top w:val="single" w:sz="6" w:space="0" w:color="78A22F"/>
              <w:left w:val="nil"/>
              <w:bottom w:val="nil"/>
              <w:right w:val="nil"/>
            </w:tcBorders>
          </w:tcPr>
          <w:p w14:paraId="4EA9D54A" w14:textId="680A63D7" w:rsidR="00041DCC" w:rsidRPr="009754CD" w:rsidRDefault="00041DCC" w:rsidP="001015D3">
            <w:pPr>
              <w:pStyle w:val="BoxSpaceBelow"/>
              <w:widowControl w:val="0"/>
              <w:rPr>
                <w:i/>
              </w:rPr>
            </w:pPr>
          </w:p>
        </w:tc>
      </w:tr>
    </w:tbl>
    <w:p w14:paraId="12C3247C" w14:textId="4022E001" w:rsidR="004A6BFD" w:rsidRDefault="002D2C14" w:rsidP="004A6BFD">
      <w:pPr>
        <w:pStyle w:val="BodyText"/>
      </w:pPr>
      <w:r w:rsidRPr="008F06D7">
        <w:t>While a higher proportion of the population access MBS subsidised mental health services than State and Territory government</w:t>
      </w:r>
      <w:r w:rsidR="00362D44" w:rsidRPr="008F06D7">
        <w:t>s’</w:t>
      </w:r>
      <w:r w:rsidRPr="008F06D7">
        <w:t xml:space="preserve"> specialised ment</w:t>
      </w:r>
      <w:r w:rsidR="000D68F2" w:rsidRPr="008F06D7">
        <w:t>al health services, the pattern</w:t>
      </w:r>
      <w:r w:rsidRPr="008F06D7">
        <w:t xml:space="preserve"> of </w:t>
      </w:r>
      <w:r w:rsidRPr="008F06D7">
        <w:lastRenderedPageBreak/>
        <w:t xml:space="preserve">service </w:t>
      </w:r>
      <w:r w:rsidR="00362D44" w:rsidRPr="008F06D7">
        <w:t>use</w:t>
      </w:r>
      <w:r w:rsidRPr="008F06D7">
        <w:t xml:space="preserve"> across the selected community groups differ</w:t>
      </w:r>
      <w:r w:rsidR="000D68F2" w:rsidRPr="008F06D7">
        <w:t>s</w:t>
      </w:r>
      <w:r w:rsidR="009754CD" w:rsidRPr="008F06D7">
        <w:t>.</w:t>
      </w:r>
      <w:r w:rsidR="004A6BFD" w:rsidRPr="004A6BFD">
        <w:t xml:space="preserve"> </w:t>
      </w:r>
      <w:r w:rsidR="004A6BFD">
        <w:t>For State and Territory governments specialised public mental health services</w:t>
      </w:r>
      <w:r w:rsidR="004A6BFD" w:rsidRPr="00074248">
        <w:t>,</w:t>
      </w:r>
      <w:r w:rsidR="004A6BFD">
        <w:t xml:space="preserve"> across all the selected community groups, higher proportions of people within these groups (Aboriginal and Torres Strait Islander Australians, people from outer regional, remote and very remote areas and people residing in low socioeconomic areas) access these services than those outside these </w:t>
      </w:r>
      <w:r w:rsidR="004A6BFD" w:rsidRPr="007D7305">
        <w:t>groups (figure </w:t>
      </w:r>
      <w:r w:rsidR="0085757F">
        <w:t xml:space="preserve">13.4 </w:t>
      </w:r>
      <w:r w:rsidR="004A6BFD" w:rsidRPr="007D7305">
        <w:t>and table</w:t>
      </w:r>
      <w:r w:rsidR="00AB25A8">
        <w:t> </w:t>
      </w:r>
      <w:r w:rsidR="004A6BFD" w:rsidRPr="007D7305">
        <w:t>13A.</w:t>
      </w:r>
      <w:r w:rsidR="000E066C" w:rsidRPr="007D7305">
        <w:t>15</w:t>
      </w:r>
      <w:r w:rsidR="00247BAE">
        <w:t>–17</w:t>
      </w:r>
      <w:r w:rsidR="004A6BFD" w:rsidRPr="007D7305">
        <w:t>).</w:t>
      </w:r>
    </w:p>
    <w:p w14:paraId="635B57BA" w14:textId="60BFA20B" w:rsidR="00E21E10" w:rsidRDefault="00E21E10" w:rsidP="00E21E10">
      <w:pPr>
        <w:pStyle w:val="BodyText"/>
      </w:pPr>
      <w:r>
        <w:t xml:space="preserve">For MBS subsidised mental health services the results are mixed. Nationally, a similar proportion of Aboriginal and Torres Strait Islander Australians </w:t>
      </w:r>
      <w:r w:rsidR="00A2380B">
        <w:t>and non</w:t>
      </w:r>
      <w:r w:rsidR="00A2380B">
        <w:noBreakHyphen/>
        <w:t xml:space="preserve">Indigenous Australians </w:t>
      </w:r>
      <w:r>
        <w:t xml:space="preserve">accessed these services </w:t>
      </w:r>
      <w:r w:rsidRPr="00BF76FD">
        <w:t>(figure </w:t>
      </w:r>
      <w:r w:rsidR="00CB08D6">
        <w:t>13.4</w:t>
      </w:r>
      <w:r w:rsidRPr="00BF76FD">
        <w:t>)</w:t>
      </w:r>
      <w:r w:rsidR="00A2380B">
        <w:t>,</w:t>
      </w:r>
      <w:r w:rsidRPr="00BF76FD">
        <w:t xml:space="preserve"> likewise </w:t>
      </w:r>
      <w:r>
        <w:t xml:space="preserve">for people across different </w:t>
      </w:r>
      <w:r w:rsidRPr="007D7305">
        <w:t>socioeconomic areas (table</w:t>
      </w:r>
      <w:r w:rsidR="00AB25A8">
        <w:t> </w:t>
      </w:r>
      <w:r w:rsidRPr="007D7305">
        <w:t>13A.15). Results varied</w:t>
      </w:r>
      <w:r>
        <w:t xml:space="preserve"> across states and territories. However, for people in outer regional, remote and very remote areas, the proportions accessing MBS subsidised services were lower than for people in inner regional and major cities</w:t>
      </w:r>
      <w:r w:rsidR="00A2380B">
        <w:t>,</w:t>
      </w:r>
      <w:r>
        <w:t xml:space="preserve"> both nationally and across all states</w:t>
      </w:r>
      <w:r w:rsidR="00A2380B">
        <w:t xml:space="preserve"> and territories</w:t>
      </w:r>
      <w:r>
        <w:t xml:space="preserve"> (</w:t>
      </w:r>
      <w:r w:rsidR="0085757F">
        <w:t>table</w:t>
      </w:r>
      <w:r w:rsidR="00BA1594">
        <w:t> </w:t>
      </w:r>
      <w:r w:rsidR="0085757F">
        <w:t>13A.1</w:t>
      </w:r>
      <w:r w:rsidR="00247BAE">
        <w:t>7</w:t>
      </w:r>
      <w:r>
        <w:t>).</w:t>
      </w:r>
    </w:p>
    <w:p w14:paraId="42415AA1" w14:textId="71A526B0" w:rsidR="008D33DB" w:rsidRPr="009754CD" w:rsidRDefault="008D33DB" w:rsidP="005A5A21">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D33DB" w:rsidRPr="009754CD" w14:paraId="5E9CAD3D" w14:textId="77777777" w:rsidTr="00EF526A">
        <w:tc>
          <w:tcPr>
            <w:tcW w:w="8789" w:type="dxa"/>
            <w:tcBorders>
              <w:top w:val="single" w:sz="6" w:space="0" w:color="78A22F"/>
              <w:left w:val="nil"/>
              <w:bottom w:val="nil"/>
              <w:right w:val="nil"/>
            </w:tcBorders>
            <w:shd w:val="clear" w:color="auto" w:fill="FFFFFF" w:themeFill="background1"/>
          </w:tcPr>
          <w:p w14:paraId="603EA715" w14:textId="18D32776" w:rsidR="000D74B6" w:rsidRPr="000D74B6" w:rsidRDefault="008D33DB" w:rsidP="000D74B6">
            <w:pPr>
              <w:pStyle w:val="FigureTitle"/>
              <w:spacing w:after="0"/>
              <w:rPr>
                <w:position w:val="6"/>
                <w:sz w:val="18"/>
              </w:rPr>
            </w:pPr>
            <w:r w:rsidRPr="009754CD">
              <w:rPr>
                <w:b w:val="0"/>
              </w:rPr>
              <w:t xml:space="preserve">Figure </w:t>
            </w:r>
            <w:r w:rsidR="00A21D8E">
              <w:rPr>
                <w:b w:val="0"/>
              </w:rPr>
              <w:t>13.4</w:t>
            </w:r>
            <w:r w:rsidRPr="009754CD">
              <w:tab/>
            </w:r>
            <w:r w:rsidRPr="00AE361A">
              <w:t xml:space="preserve">Population using mental health services, by </w:t>
            </w:r>
            <w:r w:rsidR="00362D44" w:rsidRPr="00AE361A">
              <w:t>Indigenous status and service type</w:t>
            </w:r>
            <w:r w:rsidRPr="00AE361A">
              <w:t xml:space="preserve">, </w:t>
            </w:r>
            <w:r w:rsidR="000B290D" w:rsidRPr="00AE361A">
              <w:t>201</w:t>
            </w:r>
            <w:r w:rsidR="00A2380B">
              <w:t>5</w:t>
            </w:r>
            <w:r w:rsidRPr="00AE361A">
              <w:noBreakHyphen/>
            </w:r>
            <w:r w:rsidR="000B290D" w:rsidRPr="00AE361A">
              <w:t>1</w:t>
            </w:r>
            <w:r w:rsidR="00A2380B">
              <w:t>6</w:t>
            </w:r>
            <w:r w:rsidR="000B290D" w:rsidRPr="00AE361A">
              <w:rPr>
                <w:rStyle w:val="NoteLabel"/>
                <w:b/>
              </w:rPr>
              <w:t>a</w:t>
            </w:r>
          </w:p>
        </w:tc>
      </w:tr>
      <w:tr w:rsidR="008D33DB" w:rsidRPr="009754CD" w14:paraId="0A60FB5C" w14:textId="77777777" w:rsidTr="00EF526A">
        <w:tc>
          <w:tcPr>
            <w:tcW w:w="8789" w:type="dxa"/>
            <w:tcBorders>
              <w:top w:val="nil"/>
              <w:left w:val="nil"/>
              <w:bottom w:val="nil"/>
              <w:right w:val="nil"/>
            </w:tcBorders>
            <w:shd w:val="clear" w:color="auto" w:fill="FFFFFF" w:themeFill="background1"/>
            <w:tcMar>
              <w:top w:w="28" w:type="dxa"/>
              <w:bottom w:w="28" w:type="dxa"/>
            </w:tcMar>
          </w:tcPr>
          <w:tbl>
            <w:tblPr>
              <w:tblW w:w="8576"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76"/>
            </w:tblGrid>
            <w:tr w:rsidR="008D33DB" w:rsidRPr="009754CD" w14:paraId="40664B0C" w14:textId="77777777" w:rsidTr="00666559">
              <w:trPr>
                <w:jc w:val="center"/>
              </w:trPr>
              <w:tc>
                <w:tcPr>
                  <w:tcW w:w="5000" w:type="pct"/>
                  <w:tcBorders>
                    <w:top w:val="nil"/>
                    <w:bottom w:val="nil"/>
                  </w:tcBorders>
                </w:tcPr>
                <w:p w14:paraId="3BAEEA7B" w14:textId="77777777" w:rsidR="008D33DB" w:rsidRPr="009754CD" w:rsidRDefault="000D68F2" w:rsidP="001840F7">
                  <w:pPr>
                    <w:pStyle w:val="TableBodyText"/>
                    <w:spacing w:after="0" w:line="240" w:lineRule="auto"/>
                    <w:jc w:val="center"/>
                    <w:rPr>
                      <w:b/>
                    </w:rPr>
                  </w:pPr>
                  <w:r w:rsidRPr="009754CD">
                    <w:rPr>
                      <w:b/>
                    </w:rPr>
                    <w:t xml:space="preserve">State and Territory governments’ specialised </w:t>
                  </w:r>
                  <w:r w:rsidR="00613479" w:rsidRPr="009754CD">
                    <w:rPr>
                      <w:b/>
                    </w:rPr>
                    <w:t xml:space="preserve">public </w:t>
                  </w:r>
                  <w:r w:rsidRPr="009754CD">
                    <w:rPr>
                      <w:b/>
                    </w:rPr>
                    <w:t>mental health services</w:t>
                  </w:r>
                </w:p>
              </w:tc>
            </w:tr>
            <w:tr w:rsidR="008D33DB" w:rsidRPr="009754CD" w14:paraId="2710E352" w14:textId="77777777" w:rsidTr="00666559">
              <w:tblPrEx>
                <w:tblCellMar>
                  <w:left w:w="108" w:type="dxa"/>
                  <w:right w:w="108" w:type="dxa"/>
                </w:tblCellMar>
              </w:tblPrEx>
              <w:trPr>
                <w:jc w:val="center"/>
              </w:trPr>
              <w:tc>
                <w:tcPr>
                  <w:tcW w:w="5000" w:type="pct"/>
                  <w:tcBorders>
                    <w:top w:val="nil"/>
                    <w:bottom w:val="nil"/>
                    <w:right w:val="nil"/>
                  </w:tcBorders>
                </w:tcPr>
                <w:p w14:paraId="2F59E773" w14:textId="41CDDEF2" w:rsidR="00DD6642" w:rsidRPr="009754CD" w:rsidRDefault="000D74B6" w:rsidP="0004369D">
                  <w:pPr>
                    <w:pStyle w:val="TableBodyText"/>
                    <w:spacing w:after="0" w:line="240" w:lineRule="auto"/>
                    <w:jc w:val="center"/>
                  </w:pPr>
                  <w:r>
                    <w:rPr>
                      <w:noProof/>
                    </w:rPr>
                    <w:drawing>
                      <wp:inline distT="0" distB="0" distL="0" distR="0" wp14:anchorId="11EEC51B" wp14:editId="3D61D51B">
                        <wp:extent cx="5262880" cy="1536065"/>
                        <wp:effectExtent l="0" t="0" r="0" b="6985"/>
                        <wp:docPr id="6" name="Chart 6" descr="State and Territory governments' specialised public mental health services&#10;&#10;More details can be found within the text surrounding this image." title="Figure 13.4 Population using mental health services, by Indigenous status and service type,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05B68" w:rsidRPr="009754CD" w14:paraId="2DF8F3AE" w14:textId="77777777" w:rsidTr="00666559">
              <w:trPr>
                <w:jc w:val="center"/>
              </w:trPr>
              <w:tc>
                <w:tcPr>
                  <w:tcW w:w="5000" w:type="pct"/>
                  <w:tcBorders>
                    <w:top w:val="nil"/>
                    <w:bottom w:val="nil"/>
                  </w:tcBorders>
                </w:tcPr>
                <w:p w14:paraId="4DED91A3" w14:textId="77777777" w:rsidR="00305B68" w:rsidRPr="009754CD" w:rsidRDefault="000D68F2" w:rsidP="009E3F2F">
                  <w:pPr>
                    <w:pStyle w:val="TableBodyText"/>
                    <w:spacing w:after="0" w:line="240" w:lineRule="auto"/>
                    <w:jc w:val="center"/>
                  </w:pPr>
                  <w:r w:rsidRPr="009754CD">
                    <w:rPr>
                      <w:b/>
                    </w:rPr>
                    <w:t>MBS subsidised mental health services</w:t>
                  </w:r>
                </w:p>
              </w:tc>
            </w:tr>
            <w:tr w:rsidR="00305B68" w:rsidRPr="009754CD" w14:paraId="6F8C7069" w14:textId="77777777" w:rsidTr="00666559">
              <w:tblPrEx>
                <w:tblCellMar>
                  <w:left w:w="108" w:type="dxa"/>
                  <w:right w:w="108" w:type="dxa"/>
                </w:tblCellMar>
              </w:tblPrEx>
              <w:trPr>
                <w:jc w:val="center"/>
              </w:trPr>
              <w:tc>
                <w:tcPr>
                  <w:tcW w:w="5000" w:type="pct"/>
                  <w:tcBorders>
                    <w:top w:val="nil"/>
                    <w:bottom w:val="nil"/>
                    <w:right w:val="nil"/>
                  </w:tcBorders>
                </w:tcPr>
                <w:p w14:paraId="42A92F68" w14:textId="5863C4C9" w:rsidR="00305B68" w:rsidRPr="009754CD" w:rsidRDefault="001A4C79" w:rsidP="00DD6642">
                  <w:pPr>
                    <w:pStyle w:val="TableBodyText"/>
                    <w:spacing w:after="0" w:line="240" w:lineRule="auto"/>
                    <w:jc w:val="center"/>
                  </w:pPr>
                  <w:r>
                    <w:rPr>
                      <w:noProof/>
                    </w:rPr>
                    <w:drawing>
                      <wp:inline distT="0" distB="0" distL="0" distR="0" wp14:anchorId="068134A8" wp14:editId="2C50ADE6">
                        <wp:extent cx="5400040" cy="1745615"/>
                        <wp:effectExtent l="0" t="0" r="0" b="6985"/>
                        <wp:docPr id="15" name="Chart 15" descr="MBS subsidised mental health services&#10;&#10;More details can be found within the text surrounding this image." title="Figure 13.4 Population using mental health services, by Indigenous status and service type,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79C15EDB" w14:textId="77777777" w:rsidR="008D33DB" w:rsidRPr="009754CD" w:rsidRDefault="008D33DB" w:rsidP="005A5A21">
            <w:pPr>
              <w:pStyle w:val="Figure"/>
            </w:pPr>
          </w:p>
        </w:tc>
      </w:tr>
      <w:tr w:rsidR="0039622B" w:rsidRPr="007D7305" w14:paraId="6995C699" w14:textId="77777777" w:rsidTr="00EF526A">
        <w:tc>
          <w:tcPr>
            <w:tcW w:w="8789" w:type="dxa"/>
            <w:tcBorders>
              <w:top w:val="nil"/>
              <w:left w:val="nil"/>
              <w:bottom w:val="nil"/>
              <w:right w:val="nil"/>
            </w:tcBorders>
            <w:shd w:val="clear" w:color="auto" w:fill="auto"/>
          </w:tcPr>
          <w:p w14:paraId="4597BF61" w14:textId="2E68DE95" w:rsidR="008D33DB" w:rsidRPr="007D7305" w:rsidRDefault="00253F05" w:rsidP="00001F95">
            <w:pPr>
              <w:pStyle w:val="Note"/>
              <w:rPr>
                <w:i/>
              </w:rPr>
            </w:pPr>
            <w:r w:rsidRPr="007D7305">
              <w:rPr>
                <w:rStyle w:val="NoteLabel"/>
              </w:rPr>
              <w:t xml:space="preserve">a </w:t>
            </w:r>
            <w:r w:rsidRPr="007D7305">
              <w:t>See</w:t>
            </w:r>
            <w:r w:rsidR="00101926" w:rsidRPr="007D7305">
              <w:t xml:space="preserve"> box</w:t>
            </w:r>
            <w:r w:rsidR="00463329" w:rsidRPr="007D7305">
              <w:t> </w:t>
            </w:r>
            <w:r w:rsidR="00001F95">
              <w:t>13.2</w:t>
            </w:r>
            <w:r w:rsidR="009754CD" w:rsidRPr="007D7305">
              <w:t xml:space="preserve"> </w:t>
            </w:r>
            <w:r w:rsidR="00101926" w:rsidRPr="007D7305">
              <w:t>and</w:t>
            </w:r>
            <w:r w:rsidRPr="007D7305">
              <w:t xml:space="preserve"> table</w:t>
            </w:r>
            <w:r w:rsidR="00463329" w:rsidRPr="007D7305">
              <w:t> </w:t>
            </w:r>
            <w:r w:rsidR="001B26A2" w:rsidRPr="007D7305">
              <w:t>13A.</w:t>
            </w:r>
            <w:r w:rsidR="000E066C" w:rsidRPr="007D7305">
              <w:t>16</w:t>
            </w:r>
            <w:r w:rsidR="00613479" w:rsidRPr="007D7305">
              <w:t xml:space="preserve"> </w:t>
            </w:r>
            <w:r w:rsidR="00871F08" w:rsidRPr="007D7305">
              <w:t>for detailed definitions, footnotes and caveats</w:t>
            </w:r>
            <w:r w:rsidR="009117ED" w:rsidRPr="007D7305">
              <w:t>.</w:t>
            </w:r>
            <w:r w:rsidR="009F090A">
              <w:t xml:space="preserve"> </w:t>
            </w:r>
          </w:p>
        </w:tc>
      </w:tr>
      <w:tr w:rsidR="008D33DB" w:rsidRPr="009754CD" w14:paraId="0082BBD1" w14:textId="77777777" w:rsidTr="00EF526A">
        <w:tc>
          <w:tcPr>
            <w:tcW w:w="8789" w:type="dxa"/>
            <w:tcBorders>
              <w:top w:val="nil"/>
              <w:left w:val="nil"/>
              <w:bottom w:val="nil"/>
              <w:right w:val="nil"/>
            </w:tcBorders>
            <w:shd w:val="clear" w:color="auto" w:fill="auto"/>
          </w:tcPr>
          <w:p w14:paraId="31F0DE09" w14:textId="67B33EA8" w:rsidR="008D33DB" w:rsidRPr="009754CD" w:rsidRDefault="00305B68" w:rsidP="006B612A">
            <w:pPr>
              <w:pStyle w:val="Source"/>
            </w:pPr>
            <w:r w:rsidRPr="007D7305">
              <w:rPr>
                <w:i/>
              </w:rPr>
              <w:t>Source</w:t>
            </w:r>
            <w:r w:rsidRPr="007D7305">
              <w:t xml:space="preserve">: </w:t>
            </w:r>
            <w:r w:rsidR="007B0234">
              <w:t>AIHW (unpublished)</w:t>
            </w:r>
            <w:r w:rsidR="00A251E8" w:rsidRPr="007D7305">
              <w:t xml:space="preserve"> derived from data provided by State and Territory governments</w:t>
            </w:r>
            <w:r w:rsidR="006B612A">
              <w:t xml:space="preserve">, </w:t>
            </w:r>
            <w:r w:rsidR="00F31423" w:rsidRPr="00D243D3">
              <w:t xml:space="preserve">Department of Health </w:t>
            </w:r>
            <w:r w:rsidR="00BF5E14" w:rsidRPr="007D7305">
              <w:t xml:space="preserve">and </w:t>
            </w:r>
            <w:r w:rsidR="007B0234">
              <w:t>DVA;</w:t>
            </w:r>
            <w:r w:rsidR="00A251E8" w:rsidRPr="007D7305">
              <w:t xml:space="preserve"> </w:t>
            </w:r>
            <w:r w:rsidR="00BF5E14" w:rsidRPr="007D7305">
              <w:t xml:space="preserve">ABS (unpublished) </w:t>
            </w:r>
            <w:r w:rsidR="004F240B" w:rsidRPr="004F240B">
              <w:t>Estimated Residential Population</w:t>
            </w:r>
            <w:r w:rsidR="00E90D6C" w:rsidRPr="007D7305">
              <w:t>, 30 June (</w:t>
            </w:r>
            <w:r w:rsidR="00A67F7A" w:rsidRPr="007D7305">
              <w:t>prior to relevant period)</w:t>
            </w:r>
            <w:r w:rsidR="00BF5E14" w:rsidRPr="007D7305">
              <w:t xml:space="preserve">; </w:t>
            </w:r>
            <w:r w:rsidR="00613479" w:rsidRPr="007D7305">
              <w:t>table</w:t>
            </w:r>
            <w:r w:rsidR="00A251E8" w:rsidRPr="007D7305">
              <w:t> </w:t>
            </w:r>
            <w:r w:rsidR="001B26A2" w:rsidRPr="007D7305">
              <w:t>13A.</w:t>
            </w:r>
            <w:r w:rsidR="000E066C" w:rsidRPr="007D7305">
              <w:t>16</w:t>
            </w:r>
            <w:r w:rsidRPr="007D7305">
              <w:t>.</w:t>
            </w:r>
          </w:p>
        </w:tc>
      </w:tr>
      <w:tr w:rsidR="008D33DB" w:rsidRPr="009754CD" w14:paraId="7132F49B" w14:textId="77777777" w:rsidTr="00EF526A">
        <w:tc>
          <w:tcPr>
            <w:tcW w:w="8789" w:type="dxa"/>
            <w:tcBorders>
              <w:top w:val="nil"/>
              <w:left w:val="nil"/>
              <w:bottom w:val="single" w:sz="6" w:space="0" w:color="78A22F"/>
              <w:right w:val="nil"/>
            </w:tcBorders>
            <w:shd w:val="clear" w:color="auto" w:fill="auto"/>
          </w:tcPr>
          <w:p w14:paraId="326BEB69" w14:textId="77777777" w:rsidR="008D33DB" w:rsidRPr="009754CD" w:rsidRDefault="008D33DB" w:rsidP="005A5A21">
            <w:pPr>
              <w:pStyle w:val="Figurespace"/>
            </w:pPr>
          </w:p>
        </w:tc>
      </w:tr>
      <w:tr w:rsidR="008D33DB" w:rsidRPr="009754CD" w14:paraId="64121D8A" w14:textId="77777777" w:rsidTr="00EF526A">
        <w:tc>
          <w:tcPr>
            <w:tcW w:w="8789" w:type="dxa"/>
            <w:tcBorders>
              <w:top w:val="single" w:sz="6" w:space="0" w:color="78A22F"/>
              <w:left w:val="nil"/>
              <w:bottom w:val="nil"/>
              <w:right w:val="nil"/>
            </w:tcBorders>
          </w:tcPr>
          <w:p w14:paraId="4ADEE55E" w14:textId="67CA2A3E" w:rsidR="008D33DB" w:rsidRPr="009754CD" w:rsidRDefault="008D33DB" w:rsidP="00B31A36">
            <w:pPr>
              <w:pStyle w:val="BoxSpaceBelow"/>
            </w:pPr>
          </w:p>
        </w:tc>
      </w:tr>
    </w:tbl>
    <w:p w14:paraId="52E40B6A" w14:textId="73F44747" w:rsidR="00811F58" w:rsidRDefault="00E21E10" w:rsidP="0061119E">
      <w:pPr>
        <w:pStyle w:val="BodyText"/>
        <w:rPr>
          <w:rFonts w:ascii="Arial" w:hAnsi="Arial"/>
          <w:b/>
          <w:sz w:val="26"/>
        </w:rPr>
      </w:pPr>
      <w:r w:rsidRPr="007D7305">
        <w:t>Data on the use of private hospital mental health services are also contained in tables</w:t>
      </w:r>
      <w:r w:rsidR="00AB25A8">
        <w:t> </w:t>
      </w:r>
      <w:r w:rsidRPr="007D7305">
        <w:t>13A.16–17 and 13A.7.</w:t>
      </w:r>
      <w:r w:rsidR="00811F58">
        <w:rPr>
          <w:b/>
          <w:sz w:val="26"/>
        </w:rPr>
        <w:br w:type="page"/>
      </w:r>
    </w:p>
    <w:p w14:paraId="1196D0EE" w14:textId="77777777" w:rsidR="000B3B63" w:rsidRPr="009754CD" w:rsidRDefault="00CD6A3D" w:rsidP="004A02A7">
      <w:pPr>
        <w:pStyle w:val="Heading4"/>
      </w:pPr>
      <w:r w:rsidRPr="009754CD">
        <w:lastRenderedPageBreak/>
        <w:t>Effectiveness</w:t>
      </w:r>
    </w:p>
    <w:p w14:paraId="61D9F1C2" w14:textId="74B62A92" w:rsidR="001B4687" w:rsidRDefault="001B4687" w:rsidP="004A02A7">
      <w:pPr>
        <w:pStyle w:val="Heading5"/>
      </w:pPr>
      <w:r>
        <w:t xml:space="preserve">Access </w:t>
      </w:r>
      <w:r w:rsidR="00E03D23">
        <w:t xml:space="preserve">— timely </w:t>
      </w:r>
      <w:r>
        <w:t>access to services</w:t>
      </w:r>
    </w:p>
    <w:p w14:paraId="011C7B45" w14:textId="68069394" w:rsidR="00E60AA9" w:rsidRDefault="00E60AA9" w:rsidP="00CC7A3D">
      <w:pPr>
        <w:pStyle w:val="BodyText"/>
      </w:pPr>
      <w:r>
        <w:t xml:space="preserve">‘Timely access to services’ is an indicator of governments’ objective to </w:t>
      </w:r>
      <w:r w:rsidR="00AB1EC0">
        <w:t xml:space="preserve">provide access to services </w:t>
      </w:r>
      <w:r w:rsidR="00E03D23">
        <w:t xml:space="preserve">in a timely manner </w:t>
      </w:r>
      <w:r w:rsidR="00AB1EC0">
        <w:t>(box</w:t>
      </w:r>
      <w:r w:rsidR="00BA1594">
        <w:t> </w:t>
      </w:r>
      <w:r w:rsidR="00134A99">
        <w:t>13.3</w:t>
      </w:r>
      <w:r w:rsidR="00AB1EC0">
        <w:t>).</w:t>
      </w:r>
    </w:p>
    <w:p w14:paraId="3CB1A6BC" w14:textId="51C3738D" w:rsidR="00AB1EC0" w:rsidRPr="005E3DE3" w:rsidRDefault="00AB1EC0" w:rsidP="00AB1EC0">
      <w:pPr>
        <w:keepNext/>
        <w:spacing w:before="360" w:line="80" w:lineRule="exac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B1EC0" w:rsidRPr="005E3DE3" w14:paraId="3A0612EB" w14:textId="77777777" w:rsidTr="00EF526A">
        <w:tc>
          <w:tcPr>
            <w:tcW w:w="8789" w:type="dxa"/>
            <w:tcBorders>
              <w:top w:val="single" w:sz="6" w:space="0" w:color="78A22F"/>
              <w:left w:val="nil"/>
              <w:bottom w:val="nil"/>
              <w:right w:val="nil"/>
            </w:tcBorders>
            <w:shd w:val="clear" w:color="auto" w:fill="F2F2F2"/>
          </w:tcPr>
          <w:p w14:paraId="06565BA2" w14:textId="22D46487" w:rsidR="00AB1EC0" w:rsidRPr="005E3DE3" w:rsidRDefault="00AB1EC0" w:rsidP="00A21D8E">
            <w:pPr>
              <w:keepNext/>
              <w:keepLines/>
              <w:spacing w:before="120" w:line="280" w:lineRule="exact"/>
              <w:ind w:left="1474" w:hanging="1474"/>
              <w:rPr>
                <w:rFonts w:ascii="Arial" w:hAnsi="Arial"/>
                <w:b/>
              </w:rPr>
            </w:pPr>
            <w:r w:rsidRPr="005E3DE3">
              <w:rPr>
                <w:rFonts w:ascii="Arial" w:hAnsi="Arial"/>
              </w:rPr>
              <w:t>Box</w:t>
            </w:r>
            <w:r w:rsidR="00EF1423">
              <w:rPr>
                <w:rFonts w:ascii="Arial" w:hAnsi="Arial"/>
              </w:rPr>
              <w:t> </w:t>
            </w:r>
            <w:r w:rsidR="00A21D8E">
              <w:rPr>
                <w:rFonts w:ascii="Arial" w:hAnsi="Arial"/>
              </w:rPr>
              <w:t>13.3</w:t>
            </w:r>
            <w:r w:rsidRPr="005E3DE3">
              <w:rPr>
                <w:rFonts w:ascii="Arial" w:hAnsi="Arial"/>
                <w:b/>
              </w:rPr>
              <w:tab/>
            </w:r>
            <w:r>
              <w:rPr>
                <w:rFonts w:ascii="Arial" w:hAnsi="Arial"/>
                <w:b/>
              </w:rPr>
              <w:t>Timely access to services</w:t>
            </w:r>
            <w:r w:rsidRPr="005E3DE3">
              <w:rPr>
                <w:rFonts w:ascii="Arial" w:hAnsi="Arial"/>
                <w:b/>
              </w:rPr>
              <w:t xml:space="preserve"> </w:t>
            </w:r>
          </w:p>
        </w:tc>
      </w:tr>
      <w:tr w:rsidR="00AB1EC0" w:rsidRPr="005E3DE3" w14:paraId="71EE6781" w14:textId="77777777" w:rsidTr="00EF526A">
        <w:tc>
          <w:tcPr>
            <w:tcW w:w="8789" w:type="dxa"/>
            <w:tcBorders>
              <w:top w:val="nil"/>
              <w:left w:val="nil"/>
              <w:bottom w:val="nil"/>
              <w:right w:val="nil"/>
            </w:tcBorders>
            <w:shd w:val="clear" w:color="auto" w:fill="F2F2F2"/>
          </w:tcPr>
          <w:p w14:paraId="16109CA3" w14:textId="0C56B63C" w:rsidR="00AB1EC0" w:rsidRPr="00C9583D" w:rsidRDefault="00AB1EC0" w:rsidP="004A6BB9">
            <w:pPr>
              <w:keepNext/>
              <w:spacing w:before="120" w:line="260" w:lineRule="atLeast"/>
              <w:jc w:val="both"/>
              <w:rPr>
                <w:rFonts w:ascii="Arial" w:hAnsi="Arial"/>
                <w:sz w:val="20"/>
                <w:szCs w:val="20"/>
              </w:rPr>
            </w:pPr>
            <w:r w:rsidRPr="005E3DE3">
              <w:rPr>
                <w:rFonts w:ascii="Arial" w:hAnsi="Arial"/>
                <w:sz w:val="20"/>
              </w:rPr>
              <w:t>‘</w:t>
            </w:r>
            <w:r>
              <w:rPr>
                <w:rFonts w:ascii="Arial" w:hAnsi="Arial"/>
                <w:sz w:val="20"/>
              </w:rPr>
              <w:t>Timely access to services</w:t>
            </w:r>
            <w:r w:rsidRPr="005E3DE3">
              <w:rPr>
                <w:rFonts w:ascii="Arial" w:hAnsi="Arial"/>
                <w:sz w:val="20"/>
              </w:rPr>
              <w:t xml:space="preserve">’ </w:t>
            </w:r>
            <w:r w:rsidRPr="00C9583D">
              <w:rPr>
                <w:rFonts w:ascii="Arial" w:hAnsi="Arial"/>
                <w:sz w:val="20"/>
                <w:szCs w:val="20"/>
              </w:rPr>
              <w:t>concerns the wait times and response times consumers experience when seeking mental health services. The time it takes to access mental health services, particularly in emergency situations, may have serious implications for patient outcomes. Ideally, mental health service consumers would receive prompt attention in emergencies, as well as reasonable wait times for other non</w:t>
            </w:r>
            <w:r w:rsidR="00BA1594">
              <w:rPr>
                <w:rFonts w:ascii="Arial" w:hAnsi="Arial"/>
                <w:sz w:val="20"/>
                <w:szCs w:val="20"/>
              </w:rPr>
              <w:noBreakHyphen/>
            </w:r>
            <w:r w:rsidRPr="00C9583D">
              <w:rPr>
                <w:rFonts w:ascii="Arial" w:hAnsi="Arial"/>
                <w:sz w:val="20"/>
                <w:szCs w:val="20"/>
              </w:rPr>
              <w:t>emergency referrals.</w:t>
            </w:r>
          </w:p>
          <w:p w14:paraId="1655D5D6" w14:textId="77777777" w:rsidR="00AB1EC0" w:rsidRPr="005E3DE3" w:rsidRDefault="00AB1EC0" w:rsidP="004A6BB9">
            <w:pPr>
              <w:keepNext/>
              <w:spacing w:before="120" w:line="260" w:lineRule="atLeast"/>
              <w:jc w:val="both"/>
              <w:rPr>
                <w:rFonts w:ascii="Arial" w:hAnsi="Arial"/>
                <w:sz w:val="20"/>
              </w:rPr>
            </w:pPr>
            <w:r w:rsidRPr="005E3DE3">
              <w:rPr>
                <w:rFonts w:ascii="Arial" w:hAnsi="Arial"/>
                <w:sz w:val="20"/>
              </w:rPr>
              <w:t xml:space="preserve">A </w:t>
            </w:r>
            <w:r>
              <w:rPr>
                <w:rFonts w:ascii="Arial" w:hAnsi="Arial"/>
                <w:sz w:val="20"/>
              </w:rPr>
              <w:t xml:space="preserve">short or decreasing wait time or response time when consumers seek mental health services </w:t>
            </w:r>
            <w:r w:rsidRPr="005E3DE3">
              <w:rPr>
                <w:rFonts w:ascii="Arial" w:hAnsi="Arial"/>
                <w:sz w:val="20"/>
              </w:rPr>
              <w:t>is desirable.</w:t>
            </w:r>
          </w:p>
          <w:p w14:paraId="75F92431" w14:textId="2F829DB4" w:rsidR="00AB1EC0" w:rsidRPr="005E3DE3" w:rsidRDefault="00795E45" w:rsidP="00795E45">
            <w:pPr>
              <w:keepNext/>
              <w:spacing w:before="120" w:line="260" w:lineRule="atLeast"/>
              <w:jc w:val="both"/>
              <w:rPr>
                <w:rFonts w:ascii="Arial" w:hAnsi="Arial"/>
                <w:sz w:val="20"/>
              </w:rPr>
            </w:pPr>
            <w:r w:rsidRPr="0061119E">
              <w:rPr>
                <w:rFonts w:ascii="Arial" w:hAnsi="Arial"/>
                <w:sz w:val="20"/>
              </w:rPr>
              <w:t>Agreed measure</w:t>
            </w:r>
            <w:r w:rsidR="0034407C" w:rsidRPr="0061119E">
              <w:rPr>
                <w:rFonts w:ascii="Arial" w:hAnsi="Arial"/>
                <w:sz w:val="20"/>
              </w:rPr>
              <w:t>s</w:t>
            </w:r>
            <w:r w:rsidRPr="0061119E">
              <w:rPr>
                <w:rFonts w:ascii="Arial" w:hAnsi="Arial"/>
                <w:sz w:val="20"/>
              </w:rPr>
              <w:t xml:space="preserve"> and </w:t>
            </w:r>
            <w:r>
              <w:rPr>
                <w:rFonts w:ascii="Arial" w:hAnsi="Arial"/>
                <w:sz w:val="20"/>
              </w:rPr>
              <w:t>d</w:t>
            </w:r>
            <w:r w:rsidR="00AB1EC0" w:rsidRPr="005E3DE3">
              <w:rPr>
                <w:rFonts w:ascii="Arial" w:hAnsi="Arial"/>
                <w:sz w:val="20"/>
              </w:rPr>
              <w:t>ata are not yet available for reporting against this indicator.</w:t>
            </w:r>
          </w:p>
        </w:tc>
      </w:tr>
      <w:tr w:rsidR="00AB1EC0" w:rsidRPr="005E3DE3" w14:paraId="1105252B" w14:textId="77777777" w:rsidTr="00EF526A">
        <w:tc>
          <w:tcPr>
            <w:tcW w:w="8789" w:type="dxa"/>
            <w:tcBorders>
              <w:top w:val="nil"/>
              <w:left w:val="nil"/>
              <w:bottom w:val="single" w:sz="6" w:space="0" w:color="78A22F"/>
              <w:right w:val="nil"/>
            </w:tcBorders>
            <w:shd w:val="clear" w:color="auto" w:fill="F2F2F2"/>
          </w:tcPr>
          <w:p w14:paraId="6205BBDE" w14:textId="77777777" w:rsidR="00AB1EC0" w:rsidRPr="005E3DE3" w:rsidRDefault="00AB1EC0" w:rsidP="004A6BB9">
            <w:pPr>
              <w:keepNext/>
              <w:spacing w:line="120" w:lineRule="exact"/>
              <w:jc w:val="both"/>
              <w:rPr>
                <w:rFonts w:ascii="Arial" w:hAnsi="Arial"/>
                <w:sz w:val="20"/>
              </w:rPr>
            </w:pPr>
          </w:p>
        </w:tc>
      </w:tr>
      <w:tr w:rsidR="00AB1EC0" w:rsidRPr="005E3DE3" w14:paraId="0DEF2279" w14:textId="77777777" w:rsidTr="00EF526A">
        <w:tc>
          <w:tcPr>
            <w:tcW w:w="8789" w:type="dxa"/>
            <w:tcBorders>
              <w:top w:val="single" w:sz="6" w:space="0" w:color="78A22F"/>
              <w:left w:val="nil"/>
              <w:bottom w:val="nil"/>
              <w:right w:val="nil"/>
            </w:tcBorders>
          </w:tcPr>
          <w:p w14:paraId="0D6F9D38" w14:textId="5234B8B2" w:rsidR="00AB1EC0" w:rsidRPr="005E3DE3" w:rsidRDefault="00AB1EC0" w:rsidP="004A6BB9">
            <w:pPr>
              <w:spacing w:before="60" w:after="60" w:line="80" w:lineRule="exact"/>
              <w:jc w:val="both"/>
              <w:rPr>
                <w:rFonts w:ascii="Arial" w:hAnsi="Arial"/>
                <w:sz w:val="14"/>
              </w:rPr>
            </w:pPr>
          </w:p>
        </w:tc>
      </w:tr>
    </w:tbl>
    <w:p w14:paraId="2A0A271E" w14:textId="30B3C976" w:rsidR="001B4687" w:rsidRDefault="001B4687" w:rsidP="001B4687">
      <w:pPr>
        <w:pStyle w:val="Heading5"/>
      </w:pPr>
      <w:r>
        <w:t xml:space="preserve">Access </w:t>
      </w:r>
      <w:r w:rsidR="00E03D23">
        <w:t xml:space="preserve">— </w:t>
      </w:r>
      <w:r>
        <w:t xml:space="preserve">affordability of </w:t>
      </w:r>
      <w:r w:rsidR="00AB1EC0">
        <w:t>mental health care</w:t>
      </w:r>
    </w:p>
    <w:p w14:paraId="628B7559" w14:textId="601EF064" w:rsidR="00E60AA9" w:rsidRDefault="00E60AA9" w:rsidP="00E60AA9">
      <w:pPr>
        <w:pStyle w:val="BodyText"/>
      </w:pPr>
      <w:r>
        <w:t xml:space="preserve">‘Affordability of </w:t>
      </w:r>
      <w:r w:rsidR="00AB1EC0">
        <w:t>mental health care</w:t>
      </w:r>
      <w:r>
        <w:t xml:space="preserve">’ is an indicator of governments’ objective to </w:t>
      </w:r>
      <w:r w:rsidR="00AB1EC0">
        <w:t>provide services that are affordable (box</w:t>
      </w:r>
      <w:r w:rsidR="00BA1594">
        <w:t> </w:t>
      </w:r>
      <w:r w:rsidR="00134A99">
        <w:t>13.4</w:t>
      </w:r>
      <w:r w:rsidR="00AB1EC0">
        <w:t>).</w:t>
      </w:r>
    </w:p>
    <w:p w14:paraId="1B21D42A" w14:textId="4B9E61A6" w:rsidR="00AB1EC0" w:rsidRPr="005E3DE3" w:rsidRDefault="00AB1EC0" w:rsidP="00AB1EC0">
      <w:pPr>
        <w:keepNext/>
        <w:spacing w:before="360" w:line="80" w:lineRule="exac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B1EC0" w:rsidRPr="005E3DE3" w14:paraId="395D4F5C" w14:textId="77777777" w:rsidTr="00EF526A">
        <w:tc>
          <w:tcPr>
            <w:tcW w:w="8789" w:type="dxa"/>
            <w:tcBorders>
              <w:top w:val="single" w:sz="6" w:space="0" w:color="78A22F"/>
              <w:left w:val="nil"/>
              <w:bottom w:val="nil"/>
              <w:right w:val="nil"/>
            </w:tcBorders>
            <w:shd w:val="clear" w:color="auto" w:fill="F2F2F2"/>
          </w:tcPr>
          <w:p w14:paraId="7BD51A42" w14:textId="1D240CEE" w:rsidR="00AB1EC0" w:rsidRPr="005E3DE3" w:rsidRDefault="00AB1EC0" w:rsidP="00A21D8E">
            <w:pPr>
              <w:keepNext/>
              <w:keepLines/>
              <w:spacing w:before="120" w:line="280" w:lineRule="exact"/>
              <w:ind w:left="1474" w:hanging="1474"/>
              <w:rPr>
                <w:rFonts w:ascii="Arial" w:hAnsi="Arial"/>
                <w:b/>
              </w:rPr>
            </w:pPr>
            <w:r w:rsidRPr="005E3DE3">
              <w:rPr>
                <w:rFonts w:ascii="Arial" w:hAnsi="Arial"/>
              </w:rPr>
              <w:t>Box</w:t>
            </w:r>
            <w:r w:rsidR="00EF1423">
              <w:rPr>
                <w:rFonts w:ascii="Arial" w:hAnsi="Arial"/>
              </w:rPr>
              <w:t> </w:t>
            </w:r>
            <w:r w:rsidR="00A21D8E">
              <w:rPr>
                <w:rFonts w:ascii="Arial" w:hAnsi="Arial"/>
              </w:rPr>
              <w:t>13.4</w:t>
            </w:r>
            <w:r w:rsidRPr="005E3DE3">
              <w:rPr>
                <w:rFonts w:ascii="Arial" w:hAnsi="Arial"/>
                <w:b/>
              </w:rPr>
              <w:tab/>
              <w:t xml:space="preserve">Affordability of </w:t>
            </w:r>
            <w:r>
              <w:rPr>
                <w:rFonts w:ascii="Arial" w:hAnsi="Arial"/>
                <w:b/>
              </w:rPr>
              <w:t>m</w:t>
            </w:r>
            <w:r w:rsidRPr="005E3DE3">
              <w:rPr>
                <w:rFonts w:ascii="Arial" w:hAnsi="Arial"/>
                <w:b/>
              </w:rPr>
              <w:t xml:space="preserve">ental </w:t>
            </w:r>
            <w:r>
              <w:rPr>
                <w:rFonts w:ascii="Arial" w:hAnsi="Arial"/>
                <w:b/>
              </w:rPr>
              <w:t>h</w:t>
            </w:r>
            <w:r w:rsidRPr="005E3DE3">
              <w:rPr>
                <w:rFonts w:ascii="Arial" w:hAnsi="Arial"/>
                <w:b/>
              </w:rPr>
              <w:t xml:space="preserve">ealth </w:t>
            </w:r>
            <w:r>
              <w:rPr>
                <w:rFonts w:ascii="Arial" w:hAnsi="Arial"/>
                <w:b/>
              </w:rPr>
              <w:t>c</w:t>
            </w:r>
            <w:r w:rsidRPr="005E3DE3">
              <w:rPr>
                <w:rFonts w:ascii="Arial" w:hAnsi="Arial"/>
                <w:b/>
              </w:rPr>
              <w:t xml:space="preserve">are </w:t>
            </w:r>
          </w:p>
        </w:tc>
      </w:tr>
      <w:tr w:rsidR="00AB1EC0" w:rsidRPr="005E3DE3" w14:paraId="229DF92E" w14:textId="77777777" w:rsidTr="00EF526A">
        <w:tc>
          <w:tcPr>
            <w:tcW w:w="8789" w:type="dxa"/>
            <w:tcBorders>
              <w:top w:val="nil"/>
              <w:left w:val="nil"/>
              <w:bottom w:val="nil"/>
              <w:right w:val="nil"/>
            </w:tcBorders>
            <w:shd w:val="clear" w:color="auto" w:fill="F2F2F2"/>
          </w:tcPr>
          <w:p w14:paraId="4BBA6027" w14:textId="77777777" w:rsidR="00AB1EC0" w:rsidRPr="005E3DE3" w:rsidRDefault="00AB1EC0" w:rsidP="00FF2A70">
            <w:pPr>
              <w:pStyle w:val="Box"/>
            </w:pPr>
            <w:r w:rsidRPr="005E3DE3">
              <w:t xml:space="preserve">‘Affordability of </w:t>
            </w:r>
            <w:r>
              <w:t>m</w:t>
            </w:r>
            <w:r w:rsidRPr="005E3DE3">
              <w:t xml:space="preserve">ental </w:t>
            </w:r>
            <w:r>
              <w:t>h</w:t>
            </w:r>
            <w:r w:rsidRPr="005E3DE3">
              <w:t xml:space="preserve">ealth </w:t>
            </w:r>
            <w:r>
              <w:t>c</w:t>
            </w:r>
            <w:r w:rsidRPr="005E3DE3">
              <w:t>are’ is defined by three measures:</w:t>
            </w:r>
          </w:p>
          <w:p w14:paraId="480788F1" w14:textId="655FD713" w:rsidR="00AB1EC0" w:rsidRPr="005E3DE3" w:rsidRDefault="00AB1EC0" w:rsidP="00FF2A70">
            <w:pPr>
              <w:pStyle w:val="BoxListBullet"/>
            </w:pPr>
            <w:r w:rsidRPr="005E3DE3">
              <w:t xml:space="preserve">The </w:t>
            </w:r>
            <w:r w:rsidRPr="00FF2A70">
              <w:t>proportion</w:t>
            </w:r>
            <w:r w:rsidRPr="005E3DE3">
              <w:t xml:space="preserve"> of people with a mental health condition who delayed seeing or did not see a GP for their mental health condition at any time in the previous 12</w:t>
            </w:r>
            <w:r w:rsidR="00E83D6F">
              <w:t> </w:t>
            </w:r>
            <w:r w:rsidRPr="005E3DE3">
              <w:t>months due to cost.</w:t>
            </w:r>
          </w:p>
          <w:p w14:paraId="641D580C" w14:textId="08CAB21C" w:rsidR="00AB1EC0" w:rsidRPr="005E3DE3" w:rsidRDefault="00AB1EC0" w:rsidP="00FF2A70">
            <w:pPr>
              <w:pStyle w:val="BoxListBullet"/>
            </w:pPr>
            <w:r w:rsidRPr="005E3DE3">
              <w:t xml:space="preserve">The proportion of people with a mental health condition who delayed </w:t>
            </w:r>
            <w:r>
              <w:t>filling</w:t>
            </w:r>
            <w:r w:rsidRPr="005E3DE3">
              <w:t xml:space="preserve"> or did not </w:t>
            </w:r>
            <w:r>
              <w:t xml:space="preserve">fill </w:t>
            </w:r>
            <w:r w:rsidRPr="005E3DE3">
              <w:t>a prescription for their mental health condition at any time in the previous 12</w:t>
            </w:r>
            <w:r w:rsidR="00E83D6F">
              <w:t> </w:t>
            </w:r>
            <w:r w:rsidRPr="005E3DE3">
              <w:t>months due to cost.</w:t>
            </w:r>
          </w:p>
          <w:p w14:paraId="54C79DAC" w14:textId="2894E382" w:rsidR="00AB1EC0" w:rsidRPr="005E3DE3" w:rsidRDefault="00AB1EC0" w:rsidP="00FF2A70">
            <w:pPr>
              <w:pStyle w:val="BoxListBullet"/>
            </w:pPr>
            <w:r w:rsidRPr="005E3DE3">
              <w:t xml:space="preserve">The proportion of people with a mental health condition who delayed seeing or did not see a psychologist, psychiatrist or other allied health professional for their mental health condition </w:t>
            </w:r>
            <w:r w:rsidR="00E83D6F">
              <w:t>at any time in the previous 12 </w:t>
            </w:r>
            <w:r>
              <w:t xml:space="preserve">months </w:t>
            </w:r>
            <w:r w:rsidRPr="005E3DE3">
              <w:t>due to cost.</w:t>
            </w:r>
          </w:p>
          <w:p w14:paraId="08F8BD1C" w14:textId="77777777" w:rsidR="00AB1EC0" w:rsidRPr="005E3DE3" w:rsidRDefault="00AB1EC0" w:rsidP="004A6BB9">
            <w:pPr>
              <w:keepNext/>
              <w:spacing w:before="120" w:line="260" w:lineRule="atLeast"/>
              <w:jc w:val="both"/>
              <w:rPr>
                <w:rFonts w:ascii="Arial" w:hAnsi="Arial"/>
                <w:sz w:val="20"/>
              </w:rPr>
            </w:pPr>
            <w:r w:rsidRPr="005E3DE3">
              <w:rPr>
                <w:rFonts w:ascii="Arial" w:hAnsi="Arial"/>
                <w:sz w:val="20"/>
              </w:rPr>
              <w:t>A low or decreasing proportion for each measure is desirable.</w:t>
            </w:r>
          </w:p>
          <w:p w14:paraId="497B84AF" w14:textId="77777777" w:rsidR="00AB1EC0" w:rsidRPr="005E3DE3" w:rsidRDefault="00AB1EC0" w:rsidP="004A6BB9">
            <w:pPr>
              <w:keepNext/>
              <w:spacing w:before="120" w:line="260" w:lineRule="atLeast"/>
              <w:jc w:val="both"/>
              <w:rPr>
                <w:rFonts w:ascii="Arial" w:hAnsi="Arial"/>
                <w:sz w:val="20"/>
              </w:rPr>
            </w:pPr>
            <w:r w:rsidRPr="005E3DE3">
              <w:rPr>
                <w:rFonts w:ascii="Arial" w:hAnsi="Arial"/>
                <w:sz w:val="20"/>
              </w:rPr>
              <w:t>Data are not yet available for reporting against this indicator.</w:t>
            </w:r>
          </w:p>
        </w:tc>
      </w:tr>
      <w:tr w:rsidR="00AB1EC0" w:rsidRPr="005E3DE3" w14:paraId="713509DF" w14:textId="77777777" w:rsidTr="00EF526A">
        <w:tc>
          <w:tcPr>
            <w:tcW w:w="8789" w:type="dxa"/>
            <w:tcBorders>
              <w:top w:val="nil"/>
              <w:left w:val="nil"/>
              <w:bottom w:val="single" w:sz="6" w:space="0" w:color="78A22F"/>
              <w:right w:val="nil"/>
            </w:tcBorders>
            <w:shd w:val="clear" w:color="auto" w:fill="F2F2F2"/>
          </w:tcPr>
          <w:p w14:paraId="216D17C1" w14:textId="77777777" w:rsidR="00AB1EC0" w:rsidRPr="005E3DE3" w:rsidRDefault="00AB1EC0" w:rsidP="004A6BB9">
            <w:pPr>
              <w:keepNext/>
              <w:spacing w:line="120" w:lineRule="exact"/>
              <w:jc w:val="both"/>
              <w:rPr>
                <w:rFonts w:ascii="Arial" w:hAnsi="Arial"/>
                <w:sz w:val="20"/>
              </w:rPr>
            </w:pPr>
          </w:p>
        </w:tc>
      </w:tr>
      <w:tr w:rsidR="00AB1EC0" w:rsidRPr="005E3DE3" w14:paraId="1F342A48" w14:textId="77777777" w:rsidTr="00EF526A">
        <w:tc>
          <w:tcPr>
            <w:tcW w:w="8789" w:type="dxa"/>
            <w:tcBorders>
              <w:top w:val="single" w:sz="6" w:space="0" w:color="78A22F"/>
              <w:left w:val="nil"/>
              <w:bottom w:val="nil"/>
              <w:right w:val="nil"/>
            </w:tcBorders>
          </w:tcPr>
          <w:p w14:paraId="1AC8AA26" w14:textId="1615071B" w:rsidR="00AB1EC0" w:rsidRPr="005E3DE3" w:rsidRDefault="00AB1EC0" w:rsidP="004A6BB9">
            <w:pPr>
              <w:spacing w:before="60" w:after="60" w:line="80" w:lineRule="exact"/>
              <w:jc w:val="both"/>
              <w:rPr>
                <w:rFonts w:ascii="Arial" w:hAnsi="Arial"/>
                <w:sz w:val="14"/>
              </w:rPr>
            </w:pPr>
          </w:p>
        </w:tc>
      </w:tr>
    </w:tbl>
    <w:p w14:paraId="2F46C1A8" w14:textId="7AF62B1E" w:rsidR="001B4687" w:rsidRDefault="001B4687" w:rsidP="001B4687">
      <w:pPr>
        <w:pStyle w:val="Heading5"/>
      </w:pPr>
      <w:r>
        <w:t xml:space="preserve">Access </w:t>
      </w:r>
      <w:r w:rsidR="00E03D23">
        <w:t>—</w:t>
      </w:r>
      <w:r>
        <w:t xml:space="preserve"> mental health service </w:t>
      </w:r>
      <w:r w:rsidR="00AB1EC0">
        <w:t xml:space="preserve">use </w:t>
      </w:r>
      <w:r>
        <w:t xml:space="preserve">by </w:t>
      </w:r>
      <w:r w:rsidR="00E03D23">
        <w:t xml:space="preserve">the </w:t>
      </w:r>
      <w:r>
        <w:t>potential population</w:t>
      </w:r>
    </w:p>
    <w:p w14:paraId="48801808" w14:textId="779C1833" w:rsidR="00E60AA9" w:rsidRDefault="00E60AA9" w:rsidP="00E60AA9">
      <w:pPr>
        <w:pStyle w:val="BodyText"/>
      </w:pPr>
      <w:r>
        <w:t xml:space="preserve">‘Mental health service </w:t>
      </w:r>
      <w:r w:rsidR="00AB1EC0">
        <w:t xml:space="preserve">use </w:t>
      </w:r>
      <w:r>
        <w:t xml:space="preserve">by potential population’ is an indicator of governments’ objective to </w:t>
      </w:r>
      <w:r w:rsidR="00AB1EC0">
        <w:t>provide services that are readily available to those who need them (box</w:t>
      </w:r>
      <w:r w:rsidR="00BA1594">
        <w:t> </w:t>
      </w:r>
      <w:r w:rsidR="00134A99">
        <w:t>13.5</w:t>
      </w:r>
      <w:r w:rsidR="00AB1EC0">
        <w:t>).</w:t>
      </w:r>
    </w:p>
    <w:p w14:paraId="7526C81D" w14:textId="3FBE5C91" w:rsidR="00AB1EC0" w:rsidRPr="005E3DE3" w:rsidRDefault="00AB1EC0" w:rsidP="00AB1EC0">
      <w:pPr>
        <w:keepNext/>
        <w:spacing w:before="360" w:line="80" w:lineRule="exac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B1EC0" w:rsidRPr="005E3DE3" w14:paraId="5867A6FE" w14:textId="77777777" w:rsidTr="00EF526A">
        <w:tc>
          <w:tcPr>
            <w:tcW w:w="8789" w:type="dxa"/>
            <w:tcBorders>
              <w:top w:val="single" w:sz="6" w:space="0" w:color="78A22F"/>
              <w:left w:val="nil"/>
              <w:bottom w:val="nil"/>
              <w:right w:val="nil"/>
            </w:tcBorders>
            <w:shd w:val="clear" w:color="auto" w:fill="F2F2F2"/>
          </w:tcPr>
          <w:p w14:paraId="6BD7FF3D" w14:textId="1C8614AE" w:rsidR="00AB1EC0" w:rsidRPr="005E3DE3" w:rsidRDefault="00AB1EC0" w:rsidP="00A21D8E">
            <w:pPr>
              <w:keepNext/>
              <w:keepLines/>
              <w:spacing w:before="120" w:line="280" w:lineRule="exact"/>
              <w:ind w:left="1474" w:hanging="1474"/>
              <w:rPr>
                <w:rFonts w:ascii="Arial" w:hAnsi="Arial"/>
                <w:b/>
              </w:rPr>
            </w:pPr>
            <w:r w:rsidRPr="005E3DE3">
              <w:rPr>
                <w:rFonts w:ascii="Arial" w:hAnsi="Arial"/>
              </w:rPr>
              <w:t>Box</w:t>
            </w:r>
            <w:r w:rsidR="00EF1423">
              <w:rPr>
                <w:rFonts w:ascii="Arial" w:hAnsi="Arial"/>
              </w:rPr>
              <w:t> </w:t>
            </w:r>
            <w:r w:rsidR="00A21D8E">
              <w:rPr>
                <w:rFonts w:ascii="Arial" w:hAnsi="Arial"/>
              </w:rPr>
              <w:t>13.5</w:t>
            </w:r>
            <w:r w:rsidRPr="005E3DE3">
              <w:rPr>
                <w:rFonts w:ascii="Arial" w:hAnsi="Arial"/>
                <w:b/>
              </w:rPr>
              <w:tab/>
              <w:t xml:space="preserve">Mental health service use by </w:t>
            </w:r>
            <w:r w:rsidR="00E03D23">
              <w:rPr>
                <w:rFonts w:ascii="Arial" w:hAnsi="Arial"/>
                <w:b/>
              </w:rPr>
              <w:t xml:space="preserve">the </w:t>
            </w:r>
            <w:r w:rsidRPr="005E3DE3">
              <w:rPr>
                <w:rFonts w:ascii="Arial" w:hAnsi="Arial"/>
                <w:b/>
              </w:rPr>
              <w:t>potential population</w:t>
            </w:r>
          </w:p>
        </w:tc>
      </w:tr>
      <w:tr w:rsidR="00AB1EC0" w:rsidRPr="005E3DE3" w14:paraId="34455D6C" w14:textId="77777777" w:rsidTr="00EF526A">
        <w:tc>
          <w:tcPr>
            <w:tcW w:w="8789" w:type="dxa"/>
            <w:tcBorders>
              <w:top w:val="nil"/>
              <w:left w:val="nil"/>
              <w:bottom w:val="nil"/>
              <w:right w:val="nil"/>
            </w:tcBorders>
            <w:shd w:val="clear" w:color="auto" w:fill="F2F2F2"/>
          </w:tcPr>
          <w:p w14:paraId="1B7E4467" w14:textId="55C83788" w:rsidR="00AB1EC0" w:rsidRPr="005E3DE3" w:rsidRDefault="00AB1EC0" w:rsidP="004A6BB9">
            <w:pPr>
              <w:keepNext/>
              <w:spacing w:before="120" w:line="260" w:lineRule="atLeast"/>
              <w:jc w:val="both"/>
              <w:rPr>
                <w:rFonts w:ascii="Arial" w:hAnsi="Arial"/>
                <w:sz w:val="20"/>
              </w:rPr>
            </w:pPr>
            <w:r w:rsidRPr="005E3DE3">
              <w:rPr>
                <w:rFonts w:ascii="Arial" w:hAnsi="Arial"/>
                <w:sz w:val="20"/>
              </w:rPr>
              <w:t xml:space="preserve">‘Mental health service use by </w:t>
            </w:r>
            <w:r w:rsidR="00FF2A70">
              <w:rPr>
                <w:rFonts w:ascii="Arial" w:hAnsi="Arial"/>
                <w:sz w:val="20"/>
              </w:rPr>
              <w:t xml:space="preserve">the </w:t>
            </w:r>
            <w:r w:rsidRPr="005E3DE3">
              <w:rPr>
                <w:rFonts w:ascii="Arial" w:hAnsi="Arial"/>
                <w:sz w:val="20"/>
              </w:rPr>
              <w:t xml:space="preserve">potential population’ is defined as the proportion of the potential population using a </w:t>
            </w:r>
            <w:r w:rsidR="00BA270A">
              <w:rPr>
                <w:rFonts w:ascii="Arial" w:hAnsi="Arial"/>
                <w:sz w:val="20"/>
              </w:rPr>
              <w:t xml:space="preserve">mental health </w:t>
            </w:r>
            <w:r w:rsidRPr="005E3DE3">
              <w:rPr>
                <w:rFonts w:ascii="Arial" w:hAnsi="Arial"/>
                <w:sz w:val="20"/>
              </w:rPr>
              <w:t xml:space="preserve">service. </w:t>
            </w:r>
          </w:p>
          <w:p w14:paraId="5612ECFF" w14:textId="77777777" w:rsidR="00AB1EC0" w:rsidRPr="005E3DE3" w:rsidRDefault="00AB1EC0" w:rsidP="004A6BB9">
            <w:pPr>
              <w:keepNext/>
              <w:spacing w:before="120" w:line="260" w:lineRule="atLeast"/>
              <w:jc w:val="both"/>
              <w:rPr>
                <w:rFonts w:ascii="Arial" w:hAnsi="Arial"/>
                <w:sz w:val="20"/>
              </w:rPr>
            </w:pPr>
            <w:r w:rsidRPr="005E3DE3">
              <w:rPr>
                <w:rFonts w:ascii="Arial" w:hAnsi="Arial"/>
                <w:sz w:val="20"/>
              </w:rPr>
              <w:t>A high or increasing proportion of the relevant estimated potential population using a particular service suggests greater access to that service. However, not all people in the estimated potential population will need the service or seek to access the service in the relevant period.</w:t>
            </w:r>
          </w:p>
          <w:p w14:paraId="2F1ADAB7" w14:textId="77777777" w:rsidR="00AB1EC0" w:rsidRPr="005E3DE3" w:rsidRDefault="00AB1EC0" w:rsidP="004A6BB9">
            <w:pPr>
              <w:keepNext/>
              <w:spacing w:before="120" w:line="260" w:lineRule="atLeast"/>
              <w:jc w:val="both"/>
              <w:rPr>
                <w:rFonts w:ascii="Arial" w:hAnsi="Arial"/>
                <w:sz w:val="20"/>
              </w:rPr>
            </w:pPr>
            <w:r w:rsidRPr="005E3DE3">
              <w:rPr>
                <w:rFonts w:ascii="Arial" w:hAnsi="Arial"/>
                <w:sz w:val="20"/>
              </w:rPr>
              <w:t>Data are not yet available for reporting against this indicator.</w:t>
            </w:r>
          </w:p>
        </w:tc>
      </w:tr>
      <w:tr w:rsidR="00AB1EC0" w:rsidRPr="005E3DE3" w14:paraId="64A41082" w14:textId="77777777" w:rsidTr="00EF526A">
        <w:tc>
          <w:tcPr>
            <w:tcW w:w="8789" w:type="dxa"/>
            <w:tcBorders>
              <w:top w:val="nil"/>
              <w:left w:val="nil"/>
              <w:bottom w:val="single" w:sz="6" w:space="0" w:color="78A22F"/>
              <w:right w:val="nil"/>
            </w:tcBorders>
            <w:shd w:val="clear" w:color="auto" w:fill="F2F2F2"/>
          </w:tcPr>
          <w:p w14:paraId="641DC1E3" w14:textId="77777777" w:rsidR="00AB1EC0" w:rsidRPr="005E3DE3" w:rsidRDefault="00AB1EC0" w:rsidP="004A6BB9">
            <w:pPr>
              <w:keepNext/>
              <w:spacing w:line="120" w:lineRule="exact"/>
              <w:jc w:val="both"/>
              <w:rPr>
                <w:rFonts w:ascii="Arial" w:hAnsi="Arial"/>
                <w:sz w:val="20"/>
              </w:rPr>
            </w:pPr>
          </w:p>
        </w:tc>
      </w:tr>
      <w:tr w:rsidR="00AB1EC0" w:rsidRPr="005E3DE3" w14:paraId="5826822C" w14:textId="77777777" w:rsidTr="00EF526A">
        <w:tc>
          <w:tcPr>
            <w:tcW w:w="8789" w:type="dxa"/>
            <w:tcBorders>
              <w:top w:val="single" w:sz="6" w:space="0" w:color="78A22F"/>
              <w:left w:val="nil"/>
              <w:bottom w:val="nil"/>
              <w:right w:val="nil"/>
            </w:tcBorders>
          </w:tcPr>
          <w:p w14:paraId="051A2C6A" w14:textId="04F204A4" w:rsidR="00AB1EC0" w:rsidRPr="005E3DE3" w:rsidRDefault="00AB1EC0" w:rsidP="004A6BB9">
            <w:pPr>
              <w:spacing w:before="60" w:after="60" w:line="80" w:lineRule="exact"/>
              <w:jc w:val="both"/>
              <w:rPr>
                <w:rFonts w:ascii="Arial" w:hAnsi="Arial"/>
                <w:sz w:val="14"/>
              </w:rPr>
            </w:pPr>
          </w:p>
        </w:tc>
      </w:tr>
    </w:tbl>
    <w:p w14:paraId="585CBD81" w14:textId="77777777" w:rsidR="00AD015B" w:rsidRPr="009754CD" w:rsidRDefault="002A176C" w:rsidP="004A02A7">
      <w:pPr>
        <w:pStyle w:val="Heading5"/>
      </w:pPr>
      <w:r w:rsidRPr="009754CD">
        <w:t xml:space="preserve">Appropriateness </w:t>
      </w:r>
      <w:r w:rsidR="00AD015B" w:rsidRPr="009754CD">
        <w:t>— primary mental health care for children and young people</w:t>
      </w:r>
    </w:p>
    <w:p w14:paraId="78DEF0CD" w14:textId="77777777" w:rsidR="009A2E2E" w:rsidRPr="009754CD" w:rsidRDefault="00AD015B" w:rsidP="00D64AD8">
      <w:pPr>
        <w:pStyle w:val="BodyText"/>
      </w:pPr>
      <w:r w:rsidRPr="009754CD">
        <w:t xml:space="preserve">‘Primary mental health care for children and young people’ is an indicator of governments’ </w:t>
      </w:r>
      <w:r w:rsidR="00FD66E7" w:rsidRPr="009754CD">
        <w:t xml:space="preserve">objective to facilitate early detection of mental health issues and mental illness, followed by appropriate intervention </w:t>
      </w:r>
      <w:r w:rsidRPr="009754CD">
        <w:t>(box</w:t>
      </w:r>
      <w:r w:rsidR="0022260C" w:rsidRPr="009754CD">
        <w:t> </w:t>
      </w:r>
      <w:r w:rsidR="00134A99">
        <w:t>13.6</w:t>
      </w:r>
      <w:r w:rsidR="000B3BF9">
        <w:t>).</w:t>
      </w:r>
    </w:p>
    <w:p w14:paraId="1BC8DABE" w14:textId="09D52881" w:rsidR="00D71789" w:rsidRPr="009754CD" w:rsidRDefault="00D71789" w:rsidP="00D64AD8">
      <w:pPr>
        <w:pStyle w:val="BodyText"/>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71789" w:rsidRPr="0039622B" w14:paraId="5547E5EA" w14:textId="77777777" w:rsidTr="00EF526A">
        <w:tc>
          <w:tcPr>
            <w:tcW w:w="8789" w:type="dxa"/>
            <w:tcBorders>
              <w:top w:val="single" w:sz="6" w:space="0" w:color="78A22F"/>
              <w:left w:val="nil"/>
              <w:bottom w:val="nil"/>
              <w:right w:val="nil"/>
            </w:tcBorders>
            <w:shd w:val="clear" w:color="auto" w:fill="F2F2F2"/>
          </w:tcPr>
          <w:p w14:paraId="037C5EA7" w14:textId="7FD73BE9" w:rsidR="00D71789" w:rsidRPr="0039622B" w:rsidRDefault="00D71789" w:rsidP="00A21D8E">
            <w:pPr>
              <w:pStyle w:val="BoxTitle"/>
            </w:pPr>
            <w:r w:rsidRPr="0039622B">
              <w:rPr>
                <w:b w:val="0"/>
              </w:rPr>
              <w:t xml:space="preserve">Box </w:t>
            </w:r>
            <w:r w:rsidR="00A21D8E">
              <w:rPr>
                <w:b w:val="0"/>
              </w:rPr>
              <w:t>13.6</w:t>
            </w:r>
            <w:r w:rsidRPr="0039622B">
              <w:tab/>
              <w:t xml:space="preserve">Primary mental health care for children and young people </w:t>
            </w:r>
          </w:p>
        </w:tc>
      </w:tr>
      <w:tr w:rsidR="00D71789" w:rsidRPr="0039622B" w14:paraId="1D844EBA" w14:textId="77777777" w:rsidTr="00EF526A">
        <w:trPr>
          <w:cantSplit/>
        </w:trPr>
        <w:tc>
          <w:tcPr>
            <w:tcW w:w="8789" w:type="dxa"/>
            <w:tcBorders>
              <w:top w:val="nil"/>
              <w:left w:val="nil"/>
              <w:bottom w:val="nil"/>
              <w:right w:val="nil"/>
            </w:tcBorders>
            <w:shd w:val="clear" w:color="auto" w:fill="F2F2F2"/>
          </w:tcPr>
          <w:p w14:paraId="424C1328" w14:textId="77777777" w:rsidR="00D71789" w:rsidRPr="0039622B" w:rsidRDefault="00D71789" w:rsidP="00D71789">
            <w:pPr>
              <w:pStyle w:val="Box"/>
            </w:pPr>
            <w:r w:rsidRPr="0039622B">
              <w:t xml:space="preserve">‘Primary mental health care for children and young people’ is defined as the proportion of young people aged under 25 years who received a mental health care service subsidised through the MBS from a GP, psychologist or an allied health professional. </w:t>
            </w:r>
          </w:p>
          <w:p w14:paraId="7B87B481" w14:textId="77777777" w:rsidR="00D71789" w:rsidRPr="0039622B" w:rsidRDefault="00D71789" w:rsidP="007055CE">
            <w:pPr>
              <w:pStyle w:val="Box"/>
            </w:pPr>
            <w:r w:rsidRPr="0039622B">
              <w:t xml:space="preserve">High or increasing proportions of young people who had contact with MBS subsidised primary mental health care services is desirable. </w:t>
            </w:r>
          </w:p>
          <w:p w14:paraId="2024A3F0" w14:textId="72E022FF" w:rsidR="00E957F0" w:rsidRPr="0039622B" w:rsidRDefault="00E7454B" w:rsidP="00E7454B">
            <w:pPr>
              <w:pStyle w:val="Box"/>
              <w:rPr>
                <w:szCs w:val="24"/>
              </w:rPr>
            </w:pPr>
            <w:r>
              <w:t>Results for t</w:t>
            </w:r>
            <w:r w:rsidRPr="009754CD">
              <w:t xml:space="preserve">his indicator </w:t>
            </w:r>
            <w:r>
              <w:t>should be interpreted with caution</w:t>
            </w:r>
            <w:r w:rsidRPr="009754CD">
              <w:t xml:space="preserve">. </w:t>
            </w:r>
            <w:r w:rsidR="00E957F0" w:rsidRPr="0039622B">
              <w:t xml:space="preserve">Variations in use could be due to variations in access, but could also be a result of differences in the prevalence of mental illness. </w:t>
            </w:r>
            <w:r>
              <w:t>In addition, t</w:t>
            </w:r>
            <w:r w:rsidR="00B31A36" w:rsidRPr="0039622B">
              <w:t>his indicator does not provide information on whether the services are appropriate for the needs of the young people receiving them, or correctly targeted to those young people most in need.</w:t>
            </w:r>
            <w:r>
              <w:t xml:space="preserve"> Further, </w:t>
            </w:r>
            <w:r w:rsidR="00E957F0" w:rsidRPr="0039622B">
              <w:t>some primary mental health services for children and young people are excluded</w:t>
            </w:r>
            <w:r>
              <w:t xml:space="preserve"> from these data</w:t>
            </w:r>
            <w:r w:rsidR="00E957F0" w:rsidRPr="0039622B">
              <w:t>; for example, community health centres, school and university counsellors and health nurses and some mental health care provided by State and Territory governments’ specialised</w:t>
            </w:r>
            <w:r w:rsidR="00E83D6F">
              <w:t xml:space="preserve"> mental health services (NMHPSC </w:t>
            </w:r>
            <w:r w:rsidR="00E957F0" w:rsidRPr="0039622B">
              <w:t xml:space="preserve">2011a). </w:t>
            </w:r>
          </w:p>
          <w:p w14:paraId="38B1F765" w14:textId="77777777" w:rsidR="00E957F0" w:rsidRPr="0039622B" w:rsidRDefault="00E957F0" w:rsidP="00E957F0">
            <w:pPr>
              <w:pStyle w:val="Box"/>
            </w:pPr>
            <w:r w:rsidRPr="0039622B">
              <w:t>Data reported for this indicator are:</w:t>
            </w:r>
          </w:p>
          <w:p w14:paraId="1E6CA2ED" w14:textId="77777777" w:rsidR="00E957F0" w:rsidRPr="0039622B" w:rsidRDefault="00E957F0" w:rsidP="00E957F0">
            <w:pPr>
              <w:pStyle w:val="BoxListBullet"/>
            </w:pPr>
            <w:r w:rsidRPr="0039622B">
              <w:t>comparable (subject to caveats) across jurisdictions and over time</w:t>
            </w:r>
          </w:p>
          <w:p w14:paraId="48B331A4" w14:textId="22E615F1" w:rsidR="00E957F0" w:rsidRPr="0039622B" w:rsidRDefault="00E957F0" w:rsidP="002D4C57">
            <w:pPr>
              <w:pStyle w:val="BoxListBullet"/>
            </w:pPr>
            <w:r w:rsidRPr="0039622B">
              <w:t xml:space="preserve">complete (subject to caveats) for the current reporting period. All </w:t>
            </w:r>
            <w:r w:rsidRPr="002D4C57">
              <w:t>required 201</w:t>
            </w:r>
            <w:r w:rsidR="002D4C57">
              <w:t>6</w:t>
            </w:r>
            <w:r w:rsidR="007E7C79">
              <w:noBreakHyphen/>
            </w:r>
            <w:r w:rsidRPr="002D4C57">
              <w:t>1</w:t>
            </w:r>
            <w:r w:rsidR="002D4C57">
              <w:t>7</w:t>
            </w:r>
            <w:r w:rsidRPr="002D4C57">
              <w:t xml:space="preserve"> data</w:t>
            </w:r>
            <w:r w:rsidRPr="0039622B">
              <w:t xml:space="preserve"> are available for all jurisdictions.</w:t>
            </w:r>
          </w:p>
        </w:tc>
      </w:tr>
      <w:tr w:rsidR="00D71789" w:rsidRPr="0039622B" w14:paraId="0B268242" w14:textId="77777777" w:rsidTr="00EF526A">
        <w:trPr>
          <w:cantSplit/>
        </w:trPr>
        <w:tc>
          <w:tcPr>
            <w:tcW w:w="8789" w:type="dxa"/>
            <w:tcBorders>
              <w:top w:val="nil"/>
              <w:left w:val="nil"/>
              <w:bottom w:val="single" w:sz="6" w:space="0" w:color="78A22F"/>
              <w:right w:val="nil"/>
            </w:tcBorders>
            <w:shd w:val="clear" w:color="auto" w:fill="F2F2F2"/>
          </w:tcPr>
          <w:p w14:paraId="77CCE97E" w14:textId="77777777" w:rsidR="00D71789" w:rsidRPr="0039622B" w:rsidRDefault="00D71789">
            <w:pPr>
              <w:pStyle w:val="Box"/>
              <w:spacing w:before="0" w:line="120" w:lineRule="exact"/>
            </w:pPr>
          </w:p>
        </w:tc>
      </w:tr>
      <w:tr w:rsidR="00D71789" w:rsidRPr="0039622B" w14:paraId="7BED0A0C" w14:textId="77777777" w:rsidTr="00EF526A">
        <w:tc>
          <w:tcPr>
            <w:tcW w:w="8789" w:type="dxa"/>
            <w:tcBorders>
              <w:top w:val="single" w:sz="6" w:space="0" w:color="78A22F"/>
              <w:left w:val="nil"/>
              <w:bottom w:val="nil"/>
              <w:right w:val="nil"/>
            </w:tcBorders>
          </w:tcPr>
          <w:p w14:paraId="5F5FDEA3" w14:textId="517F9954" w:rsidR="00D71789" w:rsidRPr="0039622B" w:rsidRDefault="00D71789" w:rsidP="007055CE">
            <w:pPr>
              <w:pStyle w:val="BoxSpaceBelow"/>
            </w:pPr>
          </w:p>
        </w:tc>
      </w:tr>
    </w:tbl>
    <w:p w14:paraId="4FA771B5" w14:textId="13BA2151" w:rsidR="00A302C5" w:rsidRPr="0039622B" w:rsidRDefault="009428BA" w:rsidP="003B2DFA">
      <w:pPr>
        <w:pStyle w:val="BodyText"/>
      </w:pPr>
      <w:r w:rsidRPr="007D7305">
        <w:t>The proportion of all</w:t>
      </w:r>
      <w:r w:rsidR="00AD015B" w:rsidRPr="007D7305">
        <w:t xml:space="preserve"> </w:t>
      </w:r>
      <w:r w:rsidR="009A2E2E" w:rsidRPr="007D7305">
        <w:t xml:space="preserve">children and </w:t>
      </w:r>
      <w:r w:rsidR="00AD015B" w:rsidRPr="007D7305">
        <w:t xml:space="preserve">young people </w:t>
      </w:r>
      <w:r w:rsidRPr="007D7305">
        <w:t xml:space="preserve">who </w:t>
      </w:r>
      <w:r w:rsidR="00971BA1" w:rsidRPr="007D7305">
        <w:t>receive</w:t>
      </w:r>
      <w:r w:rsidR="00AD015B" w:rsidRPr="007D7305">
        <w:t xml:space="preserve"> MBS</w:t>
      </w:r>
      <w:r w:rsidR="003978B7" w:rsidRPr="007D7305">
        <w:t xml:space="preserve"> </w:t>
      </w:r>
      <w:r w:rsidR="00AD015B" w:rsidRPr="007D7305">
        <w:t xml:space="preserve">subsidised primary mental health care services </w:t>
      </w:r>
      <w:r w:rsidRPr="007D7305">
        <w:t>has increased gradually over time (table</w:t>
      </w:r>
      <w:r w:rsidR="008033AF" w:rsidRPr="007D7305">
        <w:t> </w:t>
      </w:r>
      <w:r w:rsidR="001B26A2" w:rsidRPr="007D7305">
        <w:t>13A.</w:t>
      </w:r>
      <w:r w:rsidR="003072FC" w:rsidRPr="007D7305">
        <w:t>18</w:t>
      </w:r>
      <w:r w:rsidRPr="007D7305">
        <w:t xml:space="preserve">). </w:t>
      </w:r>
      <w:r w:rsidR="001A05B7" w:rsidRPr="007D7305">
        <w:t>The</w:t>
      </w:r>
      <w:r w:rsidR="00772E2A" w:rsidRPr="007D7305">
        <w:t xml:space="preserve"> proportion increases as age </w:t>
      </w:r>
      <w:r w:rsidR="00811F58" w:rsidRPr="007D7305">
        <w:t>increases;</w:t>
      </w:r>
      <w:r w:rsidR="00772E2A" w:rsidRPr="007D7305">
        <w:t xml:space="preserve"> with the</w:t>
      </w:r>
      <w:r w:rsidR="001A05B7" w:rsidRPr="007D7305">
        <w:t xml:space="preserve"> highest proportion for young people aged 18</w:t>
      </w:r>
      <w:r w:rsidR="001A05B7" w:rsidRPr="007D7305">
        <w:sym w:font="Symbol" w:char="F02D"/>
      </w:r>
      <w:r w:rsidR="001A05B7" w:rsidRPr="007D7305">
        <w:t>24 years</w:t>
      </w:r>
      <w:r w:rsidR="00772E2A" w:rsidRPr="007D7305">
        <w:t xml:space="preserve"> (</w:t>
      </w:r>
      <w:r w:rsidR="00921E77">
        <w:t>12.2</w:t>
      </w:r>
      <w:r w:rsidR="006062EF" w:rsidRPr="007D7305">
        <w:t> </w:t>
      </w:r>
      <w:r w:rsidR="001A05B7" w:rsidRPr="007D7305">
        <w:t>per</w:t>
      </w:r>
      <w:r w:rsidR="006062EF" w:rsidRPr="007D7305">
        <w:t> </w:t>
      </w:r>
      <w:r w:rsidR="001A05B7" w:rsidRPr="007D7305">
        <w:t xml:space="preserve">cent of this population receiving </w:t>
      </w:r>
      <w:r w:rsidR="005310DC" w:rsidRPr="007D7305">
        <w:t xml:space="preserve">these </w:t>
      </w:r>
      <w:r w:rsidR="001A05B7" w:rsidRPr="007D7305">
        <w:t xml:space="preserve">primary mental health care </w:t>
      </w:r>
      <w:r w:rsidR="005310DC" w:rsidRPr="007D7305">
        <w:t xml:space="preserve">services </w:t>
      </w:r>
      <w:r w:rsidRPr="007D7305">
        <w:t xml:space="preserve">nationally </w:t>
      </w:r>
      <w:r w:rsidR="001A05B7" w:rsidRPr="007D7305">
        <w:t>in 201</w:t>
      </w:r>
      <w:r w:rsidR="002D4C57">
        <w:t>6</w:t>
      </w:r>
      <w:r w:rsidR="00463329" w:rsidRPr="007D7305">
        <w:noBreakHyphen/>
      </w:r>
      <w:r w:rsidR="001A05B7" w:rsidRPr="007D7305">
        <w:t>1</w:t>
      </w:r>
      <w:r w:rsidR="002D4C57">
        <w:t>7</w:t>
      </w:r>
      <w:r w:rsidR="00772E2A" w:rsidRPr="007D7305">
        <w:t>)</w:t>
      </w:r>
      <w:r w:rsidRPr="007D7305">
        <w:t xml:space="preserve"> (figure </w:t>
      </w:r>
      <w:r w:rsidR="008E46DA">
        <w:t>13.5</w:t>
      </w:r>
      <w:r w:rsidRPr="007D7305">
        <w:t>).</w:t>
      </w:r>
      <w:r w:rsidR="003B2DFA" w:rsidRPr="007D7305">
        <w:t xml:space="preserve"> </w:t>
      </w:r>
      <w:r w:rsidR="00580BAE" w:rsidRPr="00074248">
        <w:t xml:space="preserve">The proportion of young females who had contact with MBS subsidised primary mental health care services is higher than that of males across all </w:t>
      </w:r>
      <w:r w:rsidR="00580BAE" w:rsidRPr="00074248">
        <w:lastRenderedPageBreak/>
        <w:t>years reported (</w:t>
      </w:r>
      <w:r w:rsidR="00E03D23">
        <w:t>table</w:t>
      </w:r>
      <w:r w:rsidR="00BA1594">
        <w:t> </w:t>
      </w:r>
      <w:r w:rsidR="00580BAE" w:rsidRPr="00074248">
        <w:t xml:space="preserve">13A.19) </w:t>
      </w:r>
      <w:r w:rsidR="003B2DFA" w:rsidRPr="007D7305">
        <w:t>Data by Indigenous status, SEIFA, and service type are available in tables 13A.</w:t>
      </w:r>
      <w:r w:rsidR="003072FC" w:rsidRPr="007D7305">
        <w:t>19–20</w:t>
      </w:r>
      <w:r w:rsidR="00580BAE">
        <w:t xml:space="preserve">. </w:t>
      </w:r>
    </w:p>
    <w:p w14:paraId="65C216A0" w14:textId="1577BF11" w:rsidR="005310DC" w:rsidRPr="009754CD" w:rsidRDefault="005310DC" w:rsidP="005310DC">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9622B" w:rsidRPr="0039622B" w14:paraId="0C4E76D3" w14:textId="77777777" w:rsidTr="00EF526A">
        <w:tc>
          <w:tcPr>
            <w:tcW w:w="8789" w:type="dxa"/>
            <w:tcBorders>
              <w:top w:val="single" w:sz="6" w:space="0" w:color="78A22F"/>
              <w:left w:val="nil"/>
              <w:bottom w:val="nil"/>
              <w:right w:val="nil"/>
            </w:tcBorders>
            <w:shd w:val="clear" w:color="auto" w:fill="auto"/>
          </w:tcPr>
          <w:p w14:paraId="61EAEB37" w14:textId="4CE3269E" w:rsidR="005310DC" w:rsidRPr="0039622B" w:rsidRDefault="005310DC" w:rsidP="008E46DA">
            <w:pPr>
              <w:pStyle w:val="FigureTitle"/>
              <w:rPr>
                <w:i/>
              </w:rPr>
            </w:pPr>
            <w:r w:rsidRPr="0039622B">
              <w:rPr>
                <w:b w:val="0"/>
              </w:rPr>
              <w:t xml:space="preserve">Figure </w:t>
            </w:r>
            <w:r w:rsidR="008E46DA">
              <w:rPr>
                <w:b w:val="0"/>
              </w:rPr>
              <w:t>13.5</w:t>
            </w:r>
            <w:r w:rsidRPr="0039622B">
              <w:tab/>
              <w:t>Children and young people who received MBS subsidised primary mental health care,</w:t>
            </w:r>
            <w:r w:rsidR="009A2E2E" w:rsidRPr="0039622B">
              <w:t xml:space="preserve"> by age group,</w:t>
            </w:r>
            <w:r w:rsidRPr="0039622B">
              <w:t xml:space="preserve"> 201</w:t>
            </w:r>
            <w:r w:rsidR="002D4C57">
              <w:t>6</w:t>
            </w:r>
            <w:r w:rsidR="00463329" w:rsidRPr="0039622B">
              <w:noBreakHyphen/>
            </w:r>
            <w:r w:rsidR="0039622B" w:rsidRPr="0039622B">
              <w:t>1</w:t>
            </w:r>
            <w:r w:rsidR="002D4C57">
              <w:t>7</w:t>
            </w:r>
            <w:r w:rsidRPr="0039622B">
              <w:rPr>
                <w:rStyle w:val="NoteLabel"/>
                <w:b/>
              </w:rPr>
              <w:t>a</w:t>
            </w:r>
          </w:p>
        </w:tc>
      </w:tr>
      <w:tr w:rsidR="005310DC" w:rsidRPr="0039622B" w14:paraId="3171CE25" w14:textId="77777777" w:rsidTr="00EF526A">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5310DC" w:rsidRPr="0039622B" w14:paraId="2DD6E1C2" w14:textId="77777777" w:rsidTr="005E7FA2">
              <w:trPr>
                <w:jc w:val="center"/>
              </w:trPr>
              <w:tc>
                <w:tcPr>
                  <w:tcW w:w="8504" w:type="dxa"/>
                  <w:tcBorders>
                    <w:top w:val="nil"/>
                    <w:bottom w:val="nil"/>
                  </w:tcBorders>
                </w:tcPr>
                <w:p w14:paraId="393127F6" w14:textId="49A08940" w:rsidR="005310DC" w:rsidRPr="0039622B" w:rsidRDefault="005E7FA2" w:rsidP="005310DC">
                  <w:pPr>
                    <w:pStyle w:val="Figure"/>
                    <w:spacing w:before="60" w:after="60"/>
                  </w:pPr>
                  <w:r>
                    <w:rPr>
                      <w:noProof/>
                    </w:rPr>
                    <w:drawing>
                      <wp:inline distT="0" distB="0" distL="0" distR="0" wp14:anchorId="2EBE4A2C" wp14:editId="1CA29881">
                        <wp:extent cx="5318197" cy="2700000"/>
                        <wp:effectExtent l="0" t="0" r="0" b="5715"/>
                        <wp:docPr id="1" name="Chart 1" descr="More details can be found within the text surrounding this image." title="Figure 13.5 Children and young people who received MBS subsidised primary mental health care, by age group,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79F9DB4" w14:textId="77777777" w:rsidR="005310DC" w:rsidRPr="0039622B" w:rsidRDefault="005310DC" w:rsidP="005310DC">
            <w:pPr>
              <w:pStyle w:val="Figure"/>
            </w:pPr>
          </w:p>
        </w:tc>
      </w:tr>
      <w:tr w:rsidR="005310DC" w:rsidRPr="007D7305" w14:paraId="332142C1" w14:textId="77777777" w:rsidTr="00EF526A">
        <w:tc>
          <w:tcPr>
            <w:tcW w:w="8789" w:type="dxa"/>
            <w:tcBorders>
              <w:top w:val="nil"/>
              <w:left w:val="nil"/>
              <w:bottom w:val="nil"/>
              <w:right w:val="nil"/>
            </w:tcBorders>
            <w:shd w:val="clear" w:color="auto" w:fill="auto"/>
          </w:tcPr>
          <w:p w14:paraId="75FE2D6A" w14:textId="38B2DB8B" w:rsidR="005310DC" w:rsidRPr="007D7305" w:rsidRDefault="005310DC" w:rsidP="00E03D23">
            <w:pPr>
              <w:pStyle w:val="Note"/>
              <w:rPr>
                <w:i/>
              </w:rPr>
            </w:pPr>
            <w:r w:rsidRPr="007D7305">
              <w:rPr>
                <w:rStyle w:val="NoteLabel"/>
              </w:rPr>
              <w:t>a</w:t>
            </w:r>
            <w:r w:rsidRPr="007D7305">
              <w:t xml:space="preserve"> See </w:t>
            </w:r>
            <w:r w:rsidR="0039622B" w:rsidRPr="007D7305">
              <w:t>box</w:t>
            </w:r>
            <w:r w:rsidR="00AB25A8">
              <w:t> </w:t>
            </w:r>
            <w:r w:rsidR="00E03D23">
              <w:t>13.6</w:t>
            </w:r>
            <w:r w:rsidR="0039622B" w:rsidRPr="007D7305">
              <w:t xml:space="preserve"> and </w:t>
            </w:r>
            <w:r w:rsidRPr="007D7305">
              <w:t>table</w:t>
            </w:r>
            <w:r w:rsidR="00463329" w:rsidRPr="007D7305">
              <w:t> </w:t>
            </w:r>
            <w:r w:rsidR="001B26A2" w:rsidRPr="007D7305">
              <w:t>13A.</w:t>
            </w:r>
            <w:r w:rsidR="003072FC" w:rsidRPr="007D7305">
              <w:t>18</w:t>
            </w:r>
            <w:r w:rsidRPr="007D7305">
              <w:t xml:space="preserve"> </w:t>
            </w:r>
            <w:r w:rsidR="00871F08" w:rsidRPr="007D7305">
              <w:t>for detailed definitions, footnotes and caveats</w:t>
            </w:r>
            <w:r w:rsidR="008E04C1" w:rsidRPr="007D7305">
              <w:t>.</w:t>
            </w:r>
          </w:p>
        </w:tc>
      </w:tr>
      <w:tr w:rsidR="005310DC" w:rsidRPr="0039622B" w14:paraId="1CA98E5E" w14:textId="77777777" w:rsidTr="00EF526A">
        <w:tc>
          <w:tcPr>
            <w:tcW w:w="8789" w:type="dxa"/>
            <w:tcBorders>
              <w:top w:val="nil"/>
              <w:left w:val="nil"/>
              <w:bottom w:val="nil"/>
              <w:right w:val="nil"/>
            </w:tcBorders>
            <w:shd w:val="clear" w:color="auto" w:fill="auto"/>
          </w:tcPr>
          <w:p w14:paraId="1E0ABAB6" w14:textId="77777777" w:rsidR="005310DC" w:rsidRPr="0039622B" w:rsidRDefault="005310DC" w:rsidP="003072FC">
            <w:pPr>
              <w:pStyle w:val="Source"/>
              <w:rPr>
                <w:i/>
              </w:rPr>
            </w:pPr>
            <w:r w:rsidRPr="007D7305">
              <w:rPr>
                <w:i/>
              </w:rPr>
              <w:t>Source</w:t>
            </w:r>
            <w:r w:rsidRPr="007D7305">
              <w:t xml:space="preserve">: </w:t>
            </w:r>
            <w:r w:rsidR="008A4DE9" w:rsidRPr="007D7305">
              <w:t>Australian Government Department of Health (unpublished)</w:t>
            </w:r>
            <w:r w:rsidRPr="007D7305">
              <w:t>; table </w:t>
            </w:r>
            <w:r w:rsidR="001B26A2" w:rsidRPr="007D7305">
              <w:t>13A.</w:t>
            </w:r>
            <w:r w:rsidR="003072FC" w:rsidRPr="007D7305">
              <w:t>18</w:t>
            </w:r>
            <w:r w:rsidRPr="007D7305">
              <w:t>.</w:t>
            </w:r>
          </w:p>
        </w:tc>
      </w:tr>
      <w:tr w:rsidR="005310DC" w:rsidRPr="0039622B" w14:paraId="1197AD2D" w14:textId="77777777" w:rsidTr="00EF526A">
        <w:tc>
          <w:tcPr>
            <w:tcW w:w="8789" w:type="dxa"/>
            <w:tcBorders>
              <w:top w:val="nil"/>
              <w:left w:val="nil"/>
              <w:bottom w:val="single" w:sz="6" w:space="0" w:color="78A22F"/>
              <w:right w:val="nil"/>
            </w:tcBorders>
            <w:shd w:val="clear" w:color="auto" w:fill="auto"/>
          </w:tcPr>
          <w:p w14:paraId="2FC7731B" w14:textId="77777777" w:rsidR="005310DC" w:rsidRPr="0039622B" w:rsidRDefault="005310DC" w:rsidP="005310DC">
            <w:pPr>
              <w:pStyle w:val="Figurespace"/>
            </w:pPr>
          </w:p>
        </w:tc>
      </w:tr>
      <w:tr w:rsidR="005310DC" w:rsidRPr="0039622B" w14:paraId="32288E72" w14:textId="77777777" w:rsidTr="00EF526A">
        <w:tc>
          <w:tcPr>
            <w:tcW w:w="8789" w:type="dxa"/>
            <w:tcBorders>
              <w:top w:val="single" w:sz="6" w:space="0" w:color="78A22F"/>
              <w:left w:val="nil"/>
              <w:bottom w:val="nil"/>
              <w:right w:val="nil"/>
            </w:tcBorders>
          </w:tcPr>
          <w:p w14:paraId="02DB4D13" w14:textId="2DE99DA2" w:rsidR="005310DC" w:rsidRPr="0039622B" w:rsidRDefault="005310DC" w:rsidP="005310DC">
            <w:pPr>
              <w:pStyle w:val="BoxSpaceBelow"/>
            </w:pPr>
          </w:p>
        </w:tc>
      </w:tr>
    </w:tbl>
    <w:p w14:paraId="58ED7C43" w14:textId="77777777" w:rsidR="006E130B" w:rsidRPr="0038254B" w:rsidRDefault="006E130B" w:rsidP="004A02A7">
      <w:pPr>
        <w:pStyle w:val="Heading5"/>
      </w:pPr>
      <w:r w:rsidRPr="0038254B">
        <w:t>Appropriateness — consumer and carer involvement in decision making</w:t>
      </w:r>
    </w:p>
    <w:p w14:paraId="29C506CF" w14:textId="7D073FC2" w:rsidR="006E130B" w:rsidRDefault="006E130B" w:rsidP="006E130B">
      <w:pPr>
        <w:pStyle w:val="BodyText"/>
      </w:pPr>
      <w:r w:rsidRPr="0038254B">
        <w:t xml:space="preserve">‘Consumer and carer involvement in decision making’ is an indicator of governments’ objective </w:t>
      </w:r>
      <w:r w:rsidR="00E53833" w:rsidRPr="0038254B">
        <w:t xml:space="preserve">to provide universal access to services that are responsive to consumer and carer goals </w:t>
      </w:r>
      <w:r w:rsidRPr="0038254B">
        <w:t>(box </w:t>
      </w:r>
      <w:r w:rsidR="00134A99">
        <w:t>13.7</w:t>
      </w:r>
      <w:r w:rsidR="00DD6642">
        <w:t>).</w:t>
      </w:r>
    </w:p>
    <w:p w14:paraId="01B7F891" w14:textId="2085D653" w:rsidR="000F3DCD" w:rsidRDefault="000F3DCD" w:rsidP="00EF526A">
      <w:pPr>
        <w:pStyle w:val="BoxSpaceAbove"/>
        <w:spacing w:before="2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3DCD" w14:paraId="46D41372" w14:textId="77777777" w:rsidTr="00EF526A">
        <w:trPr>
          <w:tblHeader/>
        </w:trPr>
        <w:tc>
          <w:tcPr>
            <w:tcW w:w="5000" w:type="pct"/>
            <w:tcBorders>
              <w:top w:val="single" w:sz="6" w:space="0" w:color="78A22F"/>
              <w:left w:val="nil"/>
              <w:bottom w:val="nil"/>
              <w:right w:val="nil"/>
            </w:tcBorders>
            <w:shd w:val="clear" w:color="auto" w:fill="F2F2F2"/>
          </w:tcPr>
          <w:p w14:paraId="09C788B4" w14:textId="51C0F2F6" w:rsidR="000F3DCD" w:rsidRDefault="000F3DCD" w:rsidP="00EF526A">
            <w:pPr>
              <w:pStyle w:val="BoxTitle"/>
              <w:spacing w:before="80"/>
            </w:pPr>
            <w:r>
              <w:rPr>
                <w:b w:val="0"/>
              </w:rPr>
              <w:t>Box 13.7</w:t>
            </w:r>
            <w:r>
              <w:tab/>
            </w:r>
            <w:r w:rsidRPr="0038254B">
              <w:t>Consumer and carer involvement in decision making</w:t>
            </w:r>
          </w:p>
        </w:tc>
      </w:tr>
      <w:tr w:rsidR="000F3DCD" w14:paraId="419B158B" w14:textId="77777777" w:rsidTr="00EF526A">
        <w:tc>
          <w:tcPr>
            <w:tcW w:w="5000" w:type="pct"/>
            <w:tcBorders>
              <w:top w:val="nil"/>
              <w:left w:val="nil"/>
              <w:bottom w:val="nil"/>
              <w:right w:val="nil"/>
            </w:tcBorders>
            <w:shd w:val="clear" w:color="auto" w:fill="F2F2F2"/>
          </w:tcPr>
          <w:p w14:paraId="4C0D2523" w14:textId="77777777" w:rsidR="000F3DCD" w:rsidRPr="0038254B" w:rsidRDefault="000F3DCD" w:rsidP="000F3DCD">
            <w:pPr>
              <w:pStyle w:val="Box"/>
            </w:pPr>
            <w:r w:rsidRPr="0038254B">
              <w:t>‘Consumer and carer involvement in decision making’ is defined by two measures, the number of paid FTE:</w:t>
            </w:r>
          </w:p>
          <w:p w14:paraId="2F568955" w14:textId="52B54349" w:rsidR="000F3DCD" w:rsidRPr="0038254B" w:rsidRDefault="007E7C79" w:rsidP="00EF526A">
            <w:pPr>
              <w:pStyle w:val="BoxListBullet"/>
              <w:spacing w:before="80"/>
            </w:pPr>
            <w:r>
              <w:t>consumer staff per </w:t>
            </w:r>
            <w:r w:rsidR="000F3DCD" w:rsidRPr="0038254B">
              <w:t xml:space="preserve">1000 FTE direct care staff </w:t>
            </w:r>
          </w:p>
          <w:p w14:paraId="25DF3EA6" w14:textId="0EBE334A" w:rsidR="000F3DCD" w:rsidRPr="0038254B" w:rsidRDefault="007E7C79" w:rsidP="00EF526A">
            <w:pPr>
              <w:pStyle w:val="BoxListBullet"/>
              <w:spacing w:before="80"/>
            </w:pPr>
            <w:r>
              <w:t>carer staff per </w:t>
            </w:r>
            <w:r w:rsidR="000F3DCD" w:rsidRPr="0038254B">
              <w:t xml:space="preserve">1000 FTE direct care staff. </w:t>
            </w:r>
          </w:p>
          <w:p w14:paraId="6CDA12E8" w14:textId="77777777" w:rsidR="000F3DCD" w:rsidRDefault="000F3DCD" w:rsidP="000F3DCD">
            <w:pPr>
              <w:pStyle w:val="Box"/>
            </w:pPr>
            <w:r w:rsidRPr="0038254B">
              <w:t>High or increasing proportions of paid FTE direct care staff who are consumer</w:t>
            </w:r>
            <w:r>
              <w:t xml:space="preserve"> or carer staff</w:t>
            </w:r>
            <w:r w:rsidRPr="0038254B">
              <w:t xml:space="preserve"> implies better opportunities for consumers and carers to influence the services received.</w:t>
            </w:r>
          </w:p>
          <w:p w14:paraId="05144CB0" w14:textId="77777777" w:rsidR="005E7FA2" w:rsidRPr="0038254B" w:rsidRDefault="005E7FA2" w:rsidP="005E7FA2">
            <w:pPr>
              <w:pStyle w:val="Box"/>
            </w:pPr>
            <w:r w:rsidRPr="0038254B">
              <w:t>Data reported for this indicator are:</w:t>
            </w:r>
          </w:p>
          <w:p w14:paraId="1C3E4344" w14:textId="77777777" w:rsidR="00D502E5" w:rsidRDefault="005E7FA2" w:rsidP="005E7FA2">
            <w:pPr>
              <w:pStyle w:val="BoxListBullet"/>
            </w:pPr>
            <w:r w:rsidRPr="0038254B">
              <w:t>comparable (subject to caveats) across jurisdictions but a break in series means that data from 2010</w:t>
            </w:r>
            <w:r w:rsidRPr="0038254B">
              <w:noBreakHyphen/>
              <w:t xml:space="preserve">11 are not comparable to data for previous years </w:t>
            </w:r>
          </w:p>
          <w:p w14:paraId="50FAD3C5" w14:textId="1BA743C3" w:rsidR="005E7FA2" w:rsidRDefault="005E7FA2" w:rsidP="005E7FA2">
            <w:pPr>
              <w:pStyle w:val="BoxListBullet"/>
            </w:pPr>
            <w:r w:rsidRPr="0061119E">
              <w:t>not</w:t>
            </w:r>
            <w:r>
              <w:t xml:space="preserve"> </w:t>
            </w:r>
            <w:r w:rsidRPr="0038254B">
              <w:t xml:space="preserve">complete (subject to caveats) for the current reporting period. </w:t>
            </w:r>
            <w:r w:rsidRPr="0061119E">
              <w:t>Data are not available from the ACT.</w:t>
            </w:r>
          </w:p>
        </w:tc>
      </w:tr>
      <w:tr w:rsidR="000F3DCD" w14:paraId="0B653204" w14:textId="77777777" w:rsidTr="00EF526A">
        <w:tc>
          <w:tcPr>
            <w:tcW w:w="5000" w:type="pct"/>
            <w:tcBorders>
              <w:top w:val="nil"/>
              <w:left w:val="nil"/>
              <w:bottom w:val="single" w:sz="6" w:space="0" w:color="78A22F"/>
              <w:right w:val="nil"/>
            </w:tcBorders>
            <w:shd w:val="clear" w:color="auto" w:fill="F2F2F2"/>
          </w:tcPr>
          <w:p w14:paraId="7D24E4A9" w14:textId="77777777" w:rsidR="000F3DCD" w:rsidRDefault="000F3DCD" w:rsidP="00EF526A">
            <w:pPr>
              <w:pStyle w:val="Box"/>
              <w:spacing w:before="0" w:line="60" w:lineRule="exact"/>
            </w:pPr>
          </w:p>
        </w:tc>
      </w:tr>
      <w:tr w:rsidR="000F3DCD" w:rsidRPr="000863A5" w14:paraId="5EE4D78B" w14:textId="77777777" w:rsidTr="00EF526A">
        <w:tc>
          <w:tcPr>
            <w:tcW w:w="5000" w:type="pct"/>
            <w:tcBorders>
              <w:top w:val="single" w:sz="6" w:space="0" w:color="78A22F"/>
              <w:left w:val="nil"/>
              <w:bottom w:val="nil"/>
              <w:right w:val="nil"/>
            </w:tcBorders>
          </w:tcPr>
          <w:p w14:paraId="443C786D" w14:textId="497BE36D" w:rsidR="000F3DCD" w:rsidRPr="00626D32" w:rsidRDefault="000F3DCD" w:rsidP="00EF526A">
            <w:pPr>
              <w:pStyle w:val="BoxSpaceBelow"/>
              <w:spacing w:before="0" w:after="0" w:line="20" w:lineRule="exact"/>
            </w:pPr>
          </w:p>
        </w:tc>
      </w:tr>
    </w:tbl>
    <w:p w14:paraId="098AC8C8" w14:textId="21B48EE4" w:rsidR="006E130B" w:rsidRDefault="006E130B" w:rsidP="006E130B">
      <w:pPr>
        <w:pStyle w:val="BodyText"/>
      </w:pPr>
      <w:r w:rsidRPr="0038254B">
        <w:lastRenderedPageBreak/>
        <w:t>The number of paid FTE consumer and carer staff per 1000 paid FTE direct care staff are reported in figures </w:t>
      </w:r>
      <w:r w:rsidR="000428B3">
        <w:t>13.6</w:t>
      </w:r>
      <w:r w:rsidR="0038254B" w:rsidRPr="0038254B">
        <w:t xml:space="preserve"> </w:t>
      </w:r>
      <w:r w:rsidRPr="0038254B">
        <w:t xml:space="preserve">and </w:t>
      </w:r>
      <w:r w:rsidR="000428B3">
        <w:t>13.7</w:t>
      </w:r>
      <w:r w:rsidR="0038254B" w:rsidRPr="0038254B">
        <w:t xml:space="preserve"> </w:t>
      </w:r>
      <w:r w:rsidR="00871747">
        <w:t>respectively.</w:t>
      </w:r>
    </w:p>
    <w:p w14:paraId="2C4564D8" w14:textId="30D0AC0F" w:rsidR="006E130B" w:rsidRPr="009754CD" w:rsidRDefault="006E130B" w:rsidP="006E130B">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130B" w:rsidRPr="00585E99" w14:paraId="4614F330" w14:textId="77777777" w:rsidTr="00EF526A">
        <w:tc>
          <w:tcPr>
            <w:tcW w:w="8789" w:type="dxa"/>
            <w:tcBorders>
              <w:top w:val="single" w:sz="6" w:space="0" w:color="78A22F"/>
              <w:left w:val="nil"/>
              <w:bottom w:val="nil"/>
              <w:right w:val="nil"/>
            </w:tcBorders>
            <w:shd w:val="clear" w:color="auto" w:fill="auto"/>
          </w:tcPr>
          <w:p w14:paraId="7D3A712E" w14:textId="3C1C59D8" w:rsidR="00CC764B" w:rsidRPr="00CC764B" w:rsidRDefault="006E130B" w:rsidP="00CC764B">
            <w:pPr>
              <w:pStyle w:val="FigureTitle"/>
              <w:rPr>
                <w:position w:val="6"/>
                <w:sz w:val="18"/>
              </w:rPr>
            </w:pPr>
            <w:r w:rsidRPr="00585E99">
              <w:rPr>
                <w:b w:val="0"/>
              </w:rPr>
              <w:t xml:space="preserve">Figure </w:t>
            </w:r>
            <w:r w:rsidR="000428B3">
              <w:rPr>
                <w:b w:val="0"/>
              </w:rPr>
              <w:t>13.6</w:t>
            </w:r>
            <w:r w:rsidRPr="00585E99">
              <w:tab/>
              <w:t xml:space="preserve">Paid FTE consumer staff per 1000 paid FTE direct care </w:t>
            </w:r>
            <w:r w:rsidR="00783F80">
              <w:br/>
            </w:r>
            <w:r w:rsidRPr="00585E99">
              <w:t>staff</w:t>
            </w:r>
            <w:r w:rsidR="00DD6642">
              <w:rPr>
                <w:rStyle w:val="NoteLabel"/>
                <w:b/>
              </w:rPr>
              <w:t>a, b</w:t>
            </w:r>
          </w:p>
        </w:tc>
      </w:tr>
      <w:tr w:rsidR="006E130B" w:rsidRPr="00585E99" w14:paraId="57B14202" w14:textId="77777777" w:rsidTr="00EF526A">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6E130B" w:rsidRPr="00585E99" w14:paraId="352347BE" w14:textId="77777777" w:rsidTr="005E7FA2">
              <w:trPr>
                <w:jc w:val="center"/>
              </w:trPr>
              <w:tc>
                <w:tcPr>
                  <w:tcW w:w="8504" w:type="dxa"/>
                  <w:tcBorders>
                    <w:top w:val="nil"/>
                    <w:bottom w:val="nil"/>
                  </w:tcBorders>
                </w:tcPr>
                <w:p w14:paraId="2CC24D7C" w14:textId="6B944A12" w:rsidR="0004369D" w:rsidRPr="00585E99" w:rsidRDefault="005E7FA2" w:rsidP="006E27D6">
                  <w:pPr>
                    <w:pStyle w:val="Figure"/>
                  </w:pPr>
                  <w:r>
                    <w:rPr>
                      <w:noProof/>
                    </w:rPr>
                    <w:drawing>
                      <wp:inline distT="0" distB="0" distL="0" distR="0" wp14:anchorId="32EA7247" wp14:editId="07B1CD37">
                        <wp:extent cx="5360414" cy="2700000"/>
                        <wp:effectExtent l="0" t="0" r="0" b="5715"/>
                        <wp:docPr id="12" name="Chart 12" descr="More details can be found within the text surrounding this image." title="FIgure 13.6 Paid FTE consumer staff per 1000 paid FTE direct care staff"/>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2584189F" w14:textId="77777777" w:rsidR="006E130B" w:rsidRPr="00585E99" w:rsidRDefault="006E130B" w:rsidP="00DC07ED">
            <w:pPr>
              <w:pStyle w:val="Figure"/>
            </w:pPr>
          </w:p>
        </w:tc>
      </w:tr>
      <w:tr w:rsidR="006E130B" w:rsidRPr="00006D05" w14:paraId="5B5F8AB9" w14:textId="77777777" w:rsidTr="00EF526A">
        <w:tc>
          <w:tcPr>
            <w:tcW w:w="8789" w:type="dxa"/>
            <w:tcBorders>
              <w:top w:val="nil"/>
              <w:left w:val="nil"/>
              <w:bottom w:val="nil"/>
              <w:right w:val="nil"/>
            </w:tcBorders>
            <w:shd w:val="clear" w:color="auto" w:fill="auto"/>
          </w:tcPr>
          <w:p w14:paraId="463E340C" w14:textId="2E485D9E" w:rsidR="006E130B" w:rsidRPr="00006D05" w:rsidRDefault="006E130B" w:rsidP="00354F05">
            <w:pPr>
              <w:pStyle w:val="Note"/>
              <w:keepNext/>
              <w:keepLines w:val="0"/>
              <w:widowControl w:val="0"/>
            </w:pPr>
            <w:r w:rsidRPr="00006D05">
              <w:rPr>
                <w:rStyle w:val="NoteLabel"/>
              </w:rPr>
              <w:t>a</w:t>
            </w:r>
            <w:r w:rsidRPr="00006D05">
              <w:t xml:space="preserve"> See box </w:t>
            </w:r>
            <w:r w:rsidR="00E03D23">
              <w:t>13.7</w:t>
            </w:r>
            <w:r w:rsidR="000B3BF9" w:rsidRPr="00006D05">
              <w:t xml:space="preserve"> </w:t>
            </w:r>
            <w:r w:rsidRPr="00006D05">
              <w:t>and table </w:t>
            </w:r>
            <w:r w:rsidR="001B26A2" w:rsidRPr="00006D05">
              <w:t>13A</w:t>
            </w:r>
            <w:r w:rsidR="003072FC" w:rsidRPr="00006D05">
              <w:t>.21</w:t>
            </w:r>
            <w:r w:rsidRPr="00006D05">
              <w:t xml:space="preserve"> for detailed </w:t>
            </w:r>
            <w:r w:rsidR="00B31A36" w:rsidRPr="00006D05">
              <w:t>definitions</w:t>
            </w:r>
            <w:r w:rsidR="00566E9E" w:rsidRPr="00006D05">
              <w:t>,</w:t>
            </w:r>
            <w:r w:rsidRPr="00006D05">
              <w:t xml:space="preserve"> footnotes and caveats. </w:t>
            </w:r>
            <w:r w:rsidRPr="00006D05">
              <w:rPr>
                <w:rStyle w:val="NoteLabel"/>
              </w:rPr>
              <w:t>b</w:t>
            </w:r>
            <w:r w:rsidRPr="00006D05">
              <w:t> Tasmania did not employ consumer staff in 2012</w:t>
            </w:r>
            <w:r w:rsidRPr="00006D05">
              <w:noBreakHyphen/>
              <w:t xml:space="preserve">13. </w:t>
            </w:r>
            <w:r w:rsidR="007564E8" w:rsidRPr="0061119E">
              <w:t>Consumer and carer staff</w:t>
            </w:r>
            <w:r w:rsidR="00354F05" w:rsidRPr="0061119E">
              <w:t xml:space="preserve"> could not be separately identified</w:t>
            </w:r>
            <w:r w:rsidR="007564E8" w:rsidRPr="0061119E">
              <w:t xml:space="preserve"> in t</w:t>
            </w:r>
            <w:r w:rsidRPr="0061119E">
              <w:t>he ACT</w:t>
            </w:r>
            <w:r w:rsidRPr="00006D05">
              <w:t xml:space="preserve">. The NT did not employ consumer staff </w:t>
            </w:r>
            <w:r w:rsidR="00DE72F1">
              <w:t>in 2011</w:t>
            </w:r>
            <w:r w:rsidR="00AB25A8">
              <w:noBreakHyphen/>
            </w:r>
            <w:r w:rsidR="00DA67A9">
              <w:t>12.</w:t>
            </w:r>
            <w:r w:rsidR="00D34862">
              <w:t xml:space="preserve"> </w:t>
            </w:r>
            <w:r w:rsidR="00D34862" w:rsidRPr="0061119E">
              <w:t>The Australian total excludes the ACT.</w:t>
            </w:r>
          </w:p>
        </w:tc>
      </w:tr>
      <w:tr w:rsidR="006E130B" w:rsidRPr="00006D05" w14:paraId="3BD99B27" w14:textId="77777777" w:rsidTr="00EF526A">
        <w:tc>
          <w:tcPr>
            <w:tcW w:w="8789" w:type="dxa"/>
            <w:tcBorders>
              <w:top w:val="nil"/>
              <w:left w:val="nil"/>
              <w:bottom w:val="nil"/>
              <w:right w:val="nil"/>
            </w:tcBorders>
            <w:shd w:val="clear" w:color="auto" w:fill="auto"/>
          </w:tcPr>
          <w:p w14:paraId="7B59B74A" w14:textId="77777777" w:rsidR="006E130B" w:rsidRPr="00006D05" w:rsidRDefault="006E130B" w:rsidP="00E03D23">
            <w:pPr>
              <w:pStyle w:val="Source"/>
              <w:keepNext/>
              <w:keepLines w:val="0"/>
              <w:widowControl w:val="0"/>
            </w:pPr>
            <w:r w:rsidRPr="00006D05">
              <w:rPr>
                <w:i/>
              </w:rPr>
              <w:t>Source</w:t>
            </w:r>
            <w:r w:rsidRPr="00006D05">
              <w:t>:</w:t>
            </w:r>
            <w:r w:rsidRPr="00006D05">
              <w:rPr>
                <w:i/>
              </w:rPr>
              <w:t xml:space="preserve"> </w:t>
            </w:r>
            <w:r w:rsidRPr="00006D05">
              <w:t>AIHW (unpublished) MHE NMDS; table </w:t>
            </w:r>
            <w:r w:rsidR="001B26A2" w:rsidRPr="00006D05">
              <w:t>13A.</w:t>
            </w:r>
            <w:r w:rsidR="003072FC" w:rsidRPr="00006D05">
              <w:t>21</w:t>
            </w:r>
            <w:r w:rsidRPr="00006D05">
              <w:t>.</w:t>
            </w:r>
          </w:p>
        </w:tc>
      </w:tr>
      <w:tr w:rsidR="006E130B" w:rsidRPr="00006D05" w14:paraId="00348AEC" w14:textId="77777777" w:rsidTr="00EF526A">
        <w:tc>
          <w:tcPr>
            <w:tcW w:w="8789" w:type="dxa"/>
            <w:tcBorders>
              <w:top w:val="nil"/>
              <w:left w:val="nil"/>
              <w:bottom w:val="single" w:sz="6" w:space="0" w:color="78A22F"/>
              <w:right w:val="nil"/>
            </w:tcBorders>
            <w:shd w:val="clear" w:color="auto" w:fill="auto"/>
          </w:tcPr>
          <w:p w14:paraId="2621F804" w14:textId="77777777" w:rsidR="006E130B" w:rsidRPr="00006D05" w:rsidRDefault="006E130B" w:rsidP="00E03D23">
            <w:pPr>
              <w:pStyle w:val="Figurespace"/>
              <w:widowControl w:val="0"/>
            </w:pPr>
          </w:p>
        </w:tc>
      </w:tr>
    </w:tbl>
    <w:p w14:paraId="0D4C959C" w14:textId="77777777" w:rsidR="003105DE" w:rsidRDefault="003105DE" w:rsidP="003105DE">
      <w:pPr>
        <w:pStyle w:val="BodyText"/>
      </w:pPr>
    </w:p>
    <w:p w14:paraId="7AC22E90" w14:textId="50657EA9" w:rsidR="006E130B" w:rsidRPr="00006D05" w:rsidRDefault="006E130B" w:rsidP="006E130B">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130B" w:rsidRPr="00006D05" w14:paraId="265A0970" w14:textId="77777777" w:rsidTr="00492B7D">
        <w:tc>
          <w:tcPr>
            <w:tcW w:w="8789" w:type="dxa"/>
            <w:tcBorders>
              <w:top w:val="single" w:sz="6" w:space="0" w:color="78A22F"/>
              <w:left w:val="nil"/>
              <w:bottom w:val="nil"/>
              <w:right w:val="nil"/>
            </w:tcBorders>
            <w:shd w:val="clear" w:color="auto" w:fill="auto"/>
          </w:tcPr>
          <w:p w14:paraId="06813850" w14:textId="00BD31DC" w:rsidR="00E63DDF" w:rsidRPr="001A4C79" w:rsidRDefault="006E130B" w:rsidP="001A4C79">
            <w:pPr>
              <w:pStyle w:val="FigureTitle"/>
              <w:rPr>
                <w:rStyle w:val="DraftingNote"/>
                <w:b/>
                <w:color w:val="auto"/>
                <w:position w:val="6"/>
                <w:sz w:val="18"/>
                <w:u w:val="none"/>
              </w:rPr>
            </w:pPr>
            <w:r w:rsidRPr="00006D05">
              <w:rPr>
                <w:b w:val="0"/>
              </w:rPr>
              <w:t xml:space="preserve">Figure </w:t>
            </w:r>
            <w:r w:rsidR="000428B3">
              <w:rPr>
                <w:b w:val="0"/>
              </w:rPr>
              <w:t>13.7</w:t>
            </w:r>
            <w:r w:rsidRPr="00006D05">
              <w:tab/>
              <w:t>Paid FTE carer staff per 1000 paid FTE direct care staff</w:t>
            </w:r>
            <w:r w:rsidRPr="00006D05">
              <w:rPr>
                <w:rStyle w:val="NoteLabel"/>
                <w:b/>
              </w:rPr>
              <w:t>a, b</w:t>
            </w:r>
            <w:r w:rsidR="006E27D6" w:rsidRPr="00006D05">
              <w:rPr>
                <w:rStyle w:val="NoteLabel"/>
                <w:b/>
              </w:rPr>
              <w:t xml:space="preserve"> </w:t>
            </w:r>
          </w:p>
        </w:tc>
      </w:tr>
      <w:tr w:rsidR="006E130B" w:rsidRPr="00006D05" w14:paraId="3F0EE5CA" w14:textId="77777777" w:rsidTr="00492B7D">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6E130B" w:rsidRPr="00006D05" w14:paraId="271619EA" w14:textId="77777777" w:rsidTr="005E7FA2">
              <w:trPr>
                <w:jc w:val="center"/>
              </w:trPr>
              <w:tc>
                <w:tcPr>
                  <w:tcW w:w="8504" w:type="dxa"/>
                  <w:tcBorders>
                    <w:top w:val="nil"/>
                    <w:bottom w:val="nil"/>
                  </w:tcBorders>
                </w:tcPr>
                <w:p w14:paraId="6728E640" w14:textId="1B9A0E75" w:rsidR="0004369D" w:rsidRPr="00006D05" w:rsidRDefault="005E7FA2" w:rsidP="006E27D6">
                  <w:pPr>
                    <w:pStyle w:val="Figure"/>
                  </w:pPr>
                  <w:r>
                    <w:rPr>
                      <w:noProof/>
                    </w:rPr>
                    <w:drawing>
                      <wp:inline distT="0" distB="0" distL="0" distR="0" wp14:anchorId="002957E7" wp14:editId="5ED5A778">
                        <wp:extent cx="5379045" cy="2700000"/>
                        <wp:effectExtent l="0" t="0" r="0" b="5715"/>
                        <wp:docPr id="13" name="Chart 13" descr="More details can be found within the text surrounding this image." title="Figure 13.7 Paid FTE carer staff per 1000 paid FTE direct care staff"/>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15ECF8BB" w14:textId="77777777" w:rsidR="006E130B" w:rsidRPr="00006D05" w:rsidRDefault="006E130B" w:rsidP="00DC07ED">
            <w:pPr>
              <w:pStyle w:val="Figure"/>
            </w:pPr>
          </w:p>
        </w:tc>
      </w:tr>
      <w:tr w:rsidR="006E130B" w:rsidRPr="00006D05" w14:paraId="3E38FF93" w14:textId="77777777" w:rsidTr="00492B7D">
        <w:tc>
          <w:tcPr>
            <w:tcW w:w="8789" w:type="dxa"/>
            <w:tcBorders>
              <w:top w:val="nil"/>
              <w:left w:val="nil"/>
              <w:bottom w:val="nil"/>
              <w:right w:val="nil"/>
            </w:tcBorders>
            <w:shd w:val="clear" w:color="auto" w:fill="auto"/>
          </w:tcPr>
          <w:p w14:paraId="399257A4" w14:textId="4577C436" w:rsidR="006E130B" w:rsidRPr="00006D05" w:rsidRDefault="006E130B" w:rsidP="00354F05">
            <w:pPr>
              <w:pStyle w:val="Note"/>
              <w:rPr>
                <w:i/>
              </w:rPr>
            </w:pPr>
            <w:r w:rsidRPr="00006D05">
              <w:rPr>
                <w:rStyle w:val="NoteLabel"/>
              </w:rPr>
              <w:t>a</w:t>
            </w:r>
            <w:r w:rsidRPr="00006D05">
              <w:t xml:space="preserve"> See box </w:t>
            </w:r>
            <w:r w:rsidR="00E03D23">
              <w:t>13.7</w:t>
            </w:r>
            <w:r w:rsidR="000B3BF9" w:rsidRPr="00006D05">
              <w:t xml:space="preserve"> </w:t>
            </w:r>
            <w:r w:rsidRPr="00006D05">
              <w:t>and table </w:t>
            </w:r>
            <w:r w:rsidR="001B26A2" w:rsidRPr="00006D05">
              <w:t>13A.</w:t>
            </w:r>
            <w:r w:rsidR="003072FC" w:rsidRPr="00006D05">
              <w:t>21</w:t>
            </w:r>
            <w:r w:rsidRPr="00006D05">
              <w:t xml:space="preserve"> for detailed </w:t>
            </w:r>
            <w:r w:rsidR="00566E9E" w:rsidRPr="00006D05">
              <w:t>definitions,</w:t>
            </w:r>
            <w:r w:rsidRPr="00006D05">
              <w:t xml:space="preserve"> footnotes and caveats. </w:t>
            </w:r>
            <w:r w:rsidRPr="00006D05">
              <w:rPr>
                <w:rStyle w:val="NoteLabel"/>
              </w:rPr>
              <w:t>b</w:t>
            </w:r>
            <w:r w:rsidRPr="00006D05">
              <w:t> WA did not employ carer staff in 2</w:t>
            </w:r>
            <w:r w:rsidR="00783F80">
              <w:t>013</w:t>
            </w:r>
            <w:r w:rsidR="00783F80">
              <w:noBreakHyphen/>
              <w:t>14</w:t>
            </w:r>
            <w:r w:rsidR="00DB609D">
              <w:t xml:space="preserve">. </w:t>
            </w:r>
            <w:r w:rsidR="007564E8" w:rsidRPr="0061119E">
              <w:t>Consumer and carer staff</w:t>
            </w:r>
            <w:r w:rsidR="00354F05" w:rsidRPr="0061119E">
              <w:t xml:space="preserve"> could not be separately identified in the ACT.</w:t>
            </w:r>
            <w:r w:rsidR="00DB609D">
              <w:t xml:space="preserve"> The NT did</w:t>
            </w:r>
            <w:r w:rsidR="00DB609D" w:rsidRPr="00006D05">
              <w:t xml:space="preserve"> not employ </w:t>
            </w:r>
            <w:r w:rsidR="00DB609D">
              <w:t xml:space="preserve">any </w:t>
            </w:r>
            <w:r w:rsidR="00DB609D" w:rsidRPr="00006D05">
              <w:t xml:space="preserve">carer staff in </w:t>
            </w:r>
            <w:r w:rsidR="00DB609D">
              <w:t>20</w:t>
            </w:r>
            <w:r w:rsidR="00DB609D" w:rsidRPr="00006D05">
              <w:t>11</w:t>
            </w:r>
            <w:r w:rsidR="00DB609D">
              <w:noBreakHyphen/>
              <w:t>12</w:t>
            </w:r>
            <w:r w:rsidR="00DB609D" w:rsidRPr="00006D05">
              <w:t xml:space="preserve"> </w:t>
            </w:r>
            <w:r w:rsidR="00DB609D">
              <w:t>to</w:t>
            </w:r>
            <w:r w:rsidR="00DB609D" w:rsidRPr="00006D05">
              <w:t xml:space="preserve"> 201</w:t>
            </w:r>
            <w:r w:rsidR="00DB609D">
              <w:t>3</w:t>
            </w:r>
            <w:r w:rsidR="00DB609D" w:rsidRPr="00006D05">
              <w:noBreakHyphen/>
              <w:t>1</w:t>
            </w:r>
            <w:r w:rsidR="00DB609D">
              <w:t>4</w:t>
            </w:r>
            <w:r w:rsidR="00DB609D" w:rsidRPr="00006D05">
              <w:t>.</w:t>
            </w:r>
            <w:r w:rsidR="00D34862">
              <w:t xml:space="preserve"> </w:t>
            </w:r>
            <w:r w:rsidR="00D34862" w:rsidRPr="0061119E">
              <w:t>The Australian total excludes the ACT.</w:t>
            </w:r>
          </w:p>
        </w:tc>
      </w:tr>
      <w:tr w:rsidR="006E130B" w:rsidRPr="00585E99" w14:paraId="563358C9" w14:textId="77777777" w:rsidTr="00492B7D">
        <w:tc>
          <w:tcPr>
            <w:tcW w:w="8789" w:type="dxa"/>
            <w:tcBorders>
              <w:top w:val="nil"/>
              <w:left w:val="nil"/>
              <w:bottom w:val="nil"/>
              <w:right w:val="nil"/>
            </w:tcBorders>
            <w:shd w:val="clear" w:color="auto" w:fill="auto"/>
          </w:tcPr>
          <w:p w14:paraId="2BB191CE" w14:textId="77777777" w:rsidR="006E130B" w:rsidRPr="00585E99" w:rsidRDefault="006E130B" w:rsidP="003072FC">
            <w:pPr>
              <w:pStyle w:val="Source"/>
            </w:pPr>
            <w:r w:rsidRPr="00006D05">
              <w:rPr>
                <w:i/>
              </w:rPr>
              <w:t>Source</w:t>
            </w:r>
            <w:r w:rsidRPr="00006D05">
              <w:t>:</w:t>
            </w:r>
            <w:r w:rsidRPr="00006D05">
              <w:rPr>
                <w:i/>
              </w:rPr>
              <w:t xml:space="preserve"> </w:t>
            </w:r>
            <w:r w:rsidRPr="00006D05">
              <w:t>AIHW (unpublished) MHE NMDS; table </w:t>
            </w:r>
            <w:r w:rsidR="001B26A2" w:rsidRPr="00006D05">
              <w:t>13A.</w:t>
            </w:r>
            <w:r w:rsidR="003072FC" w:rsidRPr="00006D05">
              <w:t>21</w:t>
            </w:r>
            <w:r w:rsidRPr="00006D05">
              <w:t>.</w:t>
            </w:r>
          </w:p>
        </w:tc>
      </w:tr>
      <w:tr w:rsidR="006E130B" w:rsidRPr="00585E99" w14:paraId="1C03F584" w14:textId="77777777" w:rsidTr="00492B7D">
        <w:tc>
          <w:tcPr>
            <w:tcW w:w="8789" w:type="dxa"/>
            <w:tcBorders>
              <w:top w:val="nil"/>
              <w:left w:val="nil"/>
              <w:bottom w:val="single" w:sz="6" w:space="0" w:color="78A22F"/>
              <w:right w:val="nil"/>
            </w:tcBorders>
            <w:shd w:val="clear" w:color="auto" w:fill="auto"/>
          </w:tcPr>
          <w:p w14:paraId="0AE205C4" w14:textId="77777777" w:rsidR="006E130B" w:rsidRPr="00585E99" w:rsidRDefault="006E130B" w:rsidP="00DC07ED">
            <w:pPr>
              <w:pStyle w:val="Figurespace"/>
            </w:pPr>
          </w:p>
        </w:tc>
      </w:tr>
      <w:tr w:rsidR="006E130B" w:rsidRPr="00585E99" w14:paraId="7E423877" w14:textId="77777777" w:rsidTr="00492B7D">
        <w:tc>
          <w:tcPr>
            <w:tcW w:w="8789" w:type="dxa"/>
            <w:tcBorders>
              <w:top w:val="single" w:sz="6" w:space="0" w:color="78A22F"/>
              <w:left w:val="nil"/>
              <w:bottom w:val="nil"/>
              <w:right w:val="nil"/>
            </w:tcBorders>
          </w:tcPr>
          <w:p w14:paraId="5EEE7D1A" w14:textId="60B8F09C" w:rsidR="006E130B" w:rsidRPr="00585E99" w:rsidRDefault="006E130B" w:rsidP="00DC07ED">
            <w:pPr>
              <w:pStyle w:val="BoxSpaceBelow"/>
            </w:pPr>
          </w:p>
        </w:tc>
      </w:tr>
    </w:tbl>
    <w:p w14:paraId="4D7D2E42" w14:textId="77777777" w:rsidR="00AD015B" w:rsidRPr="009754CD" w:rsidRDefault="006E130B" w:rsidP="00666559">
      <w:pPr>
        <w:pStyle w:val="Heading5"/>
        <w:spacing w:before="400"/>
        <w:rPr>
          <w:color w:val="808080" w:themeColor="background1" w:themeShade="80"/>
        </w:rPr>
      </w:pPr>
      <w:r w:rsidRPr="000B3BF9">
        <w:t xml:space="preserve">Quality </w:t>
      </w:r>
      <w:r w:rsidR="00AD015B" w:rsidRPr="000B3BF9">
        <w:t xml:space="preserve">— </w:t>
      </w:r>
      <w:r w:rsidRPr="000B3BF9">
        <w:t xml:space="preserve">safety — </w:t>
      </w:r>
      <w:r w:rsidR="00AD015B" w:rsidRPr="000B3BF9">
        <w:t>services reviewed against the National Standards</w:t>
      </w:r>
    </w:p>
    <w:p w14:paraId="56646BB9" w14:textId="367E2C74" w:rsidR="00AD015B" w:rsidRDefault="00AD015B" w:rsidP="002315C6">
      <w:pPr>
        <w:pStyle w:val="BodyText"/>
        <w:rPr>
          <w:rStyle w:val="BodyTextChar"/>
        </w:rPr>
      </w:pPr>
      <w:r w:rsidRPr="000B3BF9">
        <w:rPr>
          <w:rStyle w:val="BodyTextChar"/>
        </w:rPr>
        <w:t xml:space="preserve">‘Services reviewed against the National Standards’ is an indicator of governments’ objective </w:t>
      </w:r>
      <w:r w:rsidR="00E53833" w:rsidRPr="000B3BF9">
        <w:t>to provide universal access to services that are high quality</w:t>
      </w:r>
      <w:r w:rsidR="00E53833" w:rsidRPr="000B3BF9">
        <w:rPr>
          <w:rStyle w:val="BodyTextChar"/>
        </w:rPr>
        <w:t xml:space="preserve"> </w:t>
      </w:r>
      <w:r w:rsidRPr="000B3BF9">
        <w:rPr>
          <w:rStyle w:val="BodyTextChar"/>
        </w:rPr>
        <w:t>(box</w:t>
      </w:r>
      <w:r w:rsidR="0022260C" w:rsidRPr="000B3BF9">
        <w:rPr>
          <w:rStyle w:val="BodyTextChar"/>
        </w:rPr>
        <w:t> </w:t>
      </w:r>
      <w:r w:rsidR="00134A99">
        <w:rPr>
          <w:rStyle w:val="BodyTextChar"/>
        </w:rPr>
        <w:t>13.8</w:t>
      </w:r>
      <w:r w:rsidRPr="000B3BF9">
        <w:rPr>
          <w:rStyle w:val="BodyTextChar"/>
        </w:rPr>
        <w:t xml:space="preserve">). </w:t>
      </w:r>
    </w:p>
    <w:p w14:paraId="6DEDD09E" w14:textId="31F37AFF" w:rsidR="003105DE" w:rsidRDefault="003105DE" w:rsidP="00666559">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105DE" w14:paraId="7C10E73E" w14:textId="77777777" w:rsidTr="00492B7D">
        <w:trPr>
          <w:tblHeader/>
        </w:trPr>
        <w:tc>
          <w:tcPr>
            <w:tcW w:w="5000" w:type="pct"/>
            <w:tcBorders>
              <w:top w:val="single" w:sz="6" w:space="0" w:color="78A22F"/>
              <w:left w:val="nil"/>
              <w:bottom w:val="nil"/>
              <w:right w:val="nil"/>
            </w:tcBorders>
            <w:shd w:val="clear" w:color="auto" w:fill="F2F2F2"/>
          </w:tcPr>
          <w:p w14:paraId="576941DF" w14:textId="7C960336" w:rsidR="003105DE" w:rsidRDefault="003105DE" w:rsidP="003105DE">
            <w:pPr>
              <w:pStyle w:val="BoxTitle"/>
            </w:pPr>
            <w:r>
              <w:rPr>
                <w:b w:val="0"/>
              </w:rPr>
              <w:t>Box 13.8</w:t>
            </w:r>
            <w:r>
              <w:tab/>
            </w:r>
            <w:r w:rsidRPr="000B3BF9">
              <w:t>Servic</w:t>
            </w:r>
            <w:r>
              <w:t>e</w:t>
            </w:r>
            <w:r w:rsidRPr="000B3BF9">
              <w:t>s reviewed against the National Standards</w:t>
            </w:r>
          </w:p>
        </w:tc>
      </w:tr>
      <w:tr w:rsidR="003105DE" w14:paraId="7D479B50" w14:textId="77777777" w:rsidTr="00492B7D">
        <w:tc>
          <w:tcPr>
            <w:tcW w:w="5000" w:type="pct"/>
            <w:tcBorders>
              <w:top w:val="nil"/>
              <w:left w:val="nil"/>
              <w:bottom w:val="nil"/>
              <w:right w:val="nil"/>
            </w:tcBorders>
            <w:shd w:val="clear" w:color="auto" w:fill="F2F2F2"/>
          </w:tcPr>
          <w:p w14:paraId="4DBD0F94" w14:textId="1DAE7F44" w:rsidR="003105DE" w:rsidRDefault="003105DE" w:rsidP="003105DE">
            <w:pPr>
              <w:pStyle w:val="Box"/>
            </w:pPr>
            <w:r>
              <w:t>‘Services reviewed against the National Standards’ is defined as the proportion of expenditure on State and Territory governments’ specialised public mental health services that had completed a review by an external accreditation agency against the National Standards for Mental Health Services (NSMHS) and met ‘all standards’ (level</w:t>
            </w:r>
            <w:r w:rsidR="00E83D6F">
              <w:t> </w:t>
            </w:r>
            <w:r>
              <w:t>1). The assessment levels are defined in section</w:t>
            </w:r>
            <w:r w:rsidR="00355934">
              <w:t> </w:t>
            </w:r>
            <w:r>
              <w:t xml:space="preserve">13.4. </w:t>
            </w:r>
          </w:p>
          <w:p w14:paraId="5110292C" w14:textId="77777777" w:rsidR="003105DE" w:rsidRDefault="003105DE" w:rsidP="003105DE">
            <w:pPr>
              <w:pStyle w:val="Box"/>
            </w:pPr>
            <w:r>
              <w:t>A high or increasing proportion of expenditure on specialised mental health services that had completed a review by an external accreditation agency and had been assessed against the NSMHS as level 1 is desirable.</w:t>
            </w:r>
          </w:p>
          <w:p w14:paraId="2F84308F" w14:textId="2667F407" w:rsidR="003105DE" w:rsidRDefault="003105DE" w:rsidP="003105DE">
            <w:pPr>
              <w:pStyle w:val="Box"/>
            </w:pPr>
            <w:r w:rsidRPr="000B3BF9">
              <w:t xml:space="preserve">This is a process indicator of </w:t>
            </w:r>
            <w:r w:rsidRPr="00EA606B">
              <w:t>quality</w:t>
            </w:r>
            <w:r w:rsidRPr="000B3BF9">
              <w:t>, reflecting progress made in meeting the NSMHS. It does not provide information on whether the standards or assessment process are appropriate. In addition, services that had not been assessed do not necessarily deliver services of lower quality. Some services that had not completed an external review included those that were undergoing a review and those that had booked for review and were engaged in self</w:t>
            </w:r>
            <w:r w:rsidRPr="000B3BF9">
              <w:noBreakHyphen/>
              <w:t>assessment preparation.</w:t>
            </w:r>
          </w:p>
        </w:tc>
      </w:tr>
      <w:tr w:rsidR="003105DE" w14:paraId="0704CE2D" w14:textId="77777777" w:rsidTr="00492B7D">
        <w:tc>
          <w:tcPr>
            <w:tcW w:w="5000" w:type="pct"/>
            <w:tcBorders>
              <w:top w:val="nil"/>
              <w:left w:val="nil"/>
              <w:bottom w:val="nil"/>
              <w:right w:val="nil"/>
            </w:tcBorders>
            <w:shd w:val="clear" w:color="auto" w:fill="F2F2F2"/>
          </w:tcPr>
          <w:p w14:paraId="3F1E4333" w14:textId="1525AD5F" w:rsidR="003105DE" w:rsidRDefault="003105DE" w:rsidP="00666559">
            <w:pPr>
              <w:pStyle w:val="BoxSource"/>
              <w:spacing w:before="60"/>
              <w:jc w:val="right"/>
            </w:pPr>
            <w:r>
              <w:t>(continued next page)</w:t>
            </w:r>
          </w:p>
        </w:tc>
      </w:tr>
      <w:tr w:rsidR="003105DE" w14:paraId="16E0C42D" w14:textId="77777777" w:rsidTr="00492B7D">
        <w:tc>
          <w:tcPr>
            <w:tcW w:w="5000" w:type="pct"/>
            <w:tcBorders>
              <w:top w:val="nil"/>
              <w:left w:val="nil"/>
              <w:bottom w:val="single" w:sz="6" w:space="0" w:color="78A22F"/>
              <w:right w:val="nil"/>
            </w:tcBorders>
            <w:shd w:val="clear" w:color="auto" w:fill="F2F2F2"/>
          </w:tcPr>
          <w:p w14:paraId="5E66553C" w14:textId="77777777" w:rsidR="003105DE" w:rsidRDefault="003105DE">
            <w:pPr>
              <w:pStyle w:val="Box"/>
              <w:spacing w:before="0" w:line="120" w:lineRule="exact"/>
            </w:pPr>
          </w:p>
        </w:tc>
      </w:tr>
      <w:tr w:rsidR="003105DE" w:rsidRPr="000863A5" w14:paraId="7B8E8F03" w14:textId="77777777" w:rsidTr="00492B7D">
        <w:tc>
          <w:tcPr>
            <w:tcW w:w="5000" w:type="pct"/>
            <w:tcBorders>
              <w:top w:val="single" w:sz="6" w:space="0" w:color="78A22F"/>
              <w:left w:val="nil"/>
              <w:bottom w:val="nil"/>
              <w:right w:val="nil"/>
            </w:tcBorders>
          </w:tcPr>
          <w:p w14:paraId="47D2C2F8" w14:textId="64C258CF" w:rsidR="003105DE" w:rsidRPr="00626D32" w:rsidRDefault="003105DE" w:rsidP="00355934">
            <w:pPr>
              <w:pStyle w:val="BoxSpaceBelow"/>
            </w:pPr>
          </w:p>
        </w:tc>
      </w:tr>
    </w:tbl>
    <w:p w14:paraId="65857890" w14:textId="3EB294C5" w:rsidR="00F86525" w:rsidRPr="009754CD" w:rsidRDefault="00F86525">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86525" w:rsidRPr="000B3BF9" w14:paraId="5DAFF0C8" w14:textId="77777777" w:rsidTr="00492B7D">
        <w:tc>
          <w:tcPr>
            <w:tcW w:w="8789" w:type="dxa"/>
            <w:tcBorders>
              <w:top w:val="single" w:sz="6" w:space="0" w:color="78A22F"/>
              <w:left w:val="nil"/>
              <w:bottom w:val="nil"/>
              <w:right w:val="nil"/>
            </w:tcBorders>
            <w:shd w:val="clear" w:color="auto" w:fill="F2F2F2"/>
          </w:tcPr>
          <w:p w14:paraId="4C6F1CC8" w14:textId="7D421DF7" w:rsidR="00F86525" w:rsidRPr="000B3BF9" w:rsidRDefault="00F86525" w:rsidP="003105DE">
            <w:pPr>
              <w:pStyle w:val="BoxTitle"/>
            </w:pPr>
            <w:r w:rsidRPr="000B3BF9">
              <w:rPr>
                <w:b w:val="0"/>
              </w:rPr>
              <w:t xml:space="preserve">Box </w:t>
            </w:r>
            <w:r w:rsidR="00134A99">
              <w:rPr>
                <w:b w:val="0"/>
              </w:rPr>
              <w:t>13.8</w:t>
            </w:r>
            <w:r w:rsidRPr="000B3BF9">
              <w:tab/>
            </w:r>
            <w:r w:rsidR="003105DE" w:rsidRPr="003105DE">
              <w:rPr>
                <w:b w:val="0"/>
                <w:sz w:val="18"/>
                <w:szCs w:val="18"/>
              </w:rPr>
              <w:t>(continued)</w:t>
            </w:r>
          </w:p>
        </w:tc>
      </w:tr>
      <w:tr w:rsidR="00F86525" w:rsidRPr="000B3BF9" w14:paraId="4734A1E5" w14:textId="77777777" w:rsidTr="00492B7D">
        <w:trPr>
          <w:cantSplit/>
        </w:trPr>
        <w:tc>
          <w:tcPr>
            <w:tcW w:w="8789" w:type="dxa"/>
            <w:tcBorders>
              <w:top w:val="nil"/>
              <w:left w:val="nil"/>
              <w:bottom w:val="nil"/>
              <w:right w:val="nil"/>
            </w:tcBorders>
            <w:shd w:val="clear" w:color="auto" w:fill="F2F2F2"/>
          </w:tcPr>
          <w:p w14:paraId="26CE38DB" w14:textId="77777777" w:rsidR="00C17438" w:rsidRPr="000B3BF9" w:rsidRDefault="00C17438" w:rsidP="00C17438">
            <w:pPr>
              <w:pStyle w:val="Box"/>
            </w:pPr>
            <w:r w:rsidRPr="000B3BF9">
              <w:t>Data reported for this indicator are:</w:t>
            </w:r>
          </w:p>
          <w:p w14:paraId="506800B3" w14:textId="77777777" w:rsidR="00C17438" w:rsidRPr="000B3BF9" w:rsidRDefault="00C17438" w:rsidP="00C17438">
            <w:pPr>
              <w:pStyle w:val="BoxListBullet"/>
            </w:pPr>
            <w:r w:rsidRPr="000B3BF9">
              <w:t>comparable (subject to caveats) within jurisdictions over time but are not comparable across jurisdictions</w:t>
            </w:r>
          </w:p>
          <w:p w14:paraId="40EFB662" w14:textId="43793CE7" w:rsidR="00C17438" w:rsidRPr="000B3BF9" w:rsidRDefault="00E03D23" w:rsidP="00E03D23">
            <w:pPr>
              <w:pStyle w:val="BoxListBullet"/>
            </w:pPr>
            <w:r w:rsidRPr="009754CD">
              <w:t>complete (subject to caveats) for the current re</w:t>
            </w:r>
            <w:r>
              <w:t xml:space="preserve">porting period. </w:t>
            </w:r>
            <w:r w:rsidRPr="009754CD">
              <w:t>All required 201</w:t>
            </w:r>
            <w:r>
              <w:t>5</w:t>
            </w:r>
            <w:r w:rsidRPr="009754CD">
              <w:noBreakHyphen/>
              <w:t>1</w:t>
            </w:r>
            <w:r>
              <w:t>6</w:t>
            </w:r>
            <w:r w:rsidRPr="009754CD">
              <w:t xml:space="preserve"> data are available for all jurisdictions</w:t>
            </w:r>
            <w:r w:rsidR="001A14D4" w:rsidRPr="00074248">
              <w:t>.</w:t>
            </w:r>
          </w:p>
        </w:tc>
      </w:tr>
      <w:tr w:rsidR="00F86525" w:rsidRPr="000B3BF9" w14:paraId="5FBED5B0" w14:textId="77777777" w:rsidTr="00492B7D">
        <w:trPr>
          <w:cantSplit/>
        </w:trPr>
        <w:tc>
          <w:tcPr>
            <w:tcW w:w="8789" w:type="dxa"/>
            <w:tcBorders>
              <w:top w:val="nil"/>
              <w:left w:val="nil"/>
              <w:bottom w:val="single" w:sz="6" w:space="0" w:color="78A22F"/>
              <w:right w:val="nil"/>
            </w:tcBorders>
            <w:shd w:val="clear" w:color="auto" w:fill="F2F2F2"/>
          </w:tcPr>
          <w:p w14:paraId="4933B54B" w14:textId="77777777" w:rsidR="00F86525" w:rsidRPr="000B3BF9" w:rsidRDefault="00F86525">
            <w:pPr>
              <w:pStyle w:val="Box"/>
              <w:spacing w:before="0" w:line="120" w:lineRule="exact"/>
            </w:pPr>
          </w:p>
        </w:tc>
      </w:tr>
      <w:tr w:rsidR="00F86525" w:rsidRPr="000B3BF9" w14:paraId="45D137A5" w14:textId="77777777" w:rsidTr="00492B7D">
        <w:tc>
          <w:tcPr>
            <w:tcW w:w="8789" w:type="dxa"/>
            <w:tcBorders>
              <w:top w:val="single" w:sz="6" w:space="0" w:color="78A22F"/>
              <w:left w:val="nil"/>
              <w:bottom w:val="nil"/>
              <w:right w:val="nil"/>
            </w:tcBorders>
          </w:tcPr>
          <w:p w14:paraId="371899CE" w14:textId="64020DD3" w:rsidR="00F86525" w:rsidRPr="000B3BF9" w:rsidRDefault="00F86525" w:rsidP="00D47EA9">
            <w:pPr>
              <w:pStyle w:val="BoxSpaceBelow"/>
            </w:pPr>
          </w:p>
        </w:tc>
      </w:tr>
    </w:tbl>
    <w:p w14:paraId="51F41FE4" w14:textId="3AEC5436" w:rsidR="00E63DDF" w:rsidRDefault="003B741F" w:rsidP="00492EE7">
      <w:pPr>
        <w:pStyle w:val="BodyText"/>
      </w:pPr>
      <w:r>
        <w:t>Nationally, as at 30</w:t>
      </w:r>
      <w:r w:rsidR="00BA1594">
        <w:t> </w:t>
      </w:r>
      <w:r>
        <w:t xml:space="preserve">June 2016, </w:t>
      </w:r>
      <w:r w:rsidR="0066755C" w:rsidRPr="0061119E">
        <w:t>82.</w:t>
      </w:r>
      <w:r w:rsidR="00DA77F6" w:rsidRPr="0061119E">
        <w:t>9</w:t>
      </w:r>
      <w:r w:rsidR="007E7C79">
        <w:t> </w:t>
      </w:r>
      <w:r w:rsidRPr="0061119E">
        <w:t>per</w:t>
      </w:r>
      <w:r w:rsidR="007E7C79">
        <w:t> </w:t>
      </w:r>
      <w:r w:rsidRPr="0061119E">
        <w:t>cent</w:t>
      </w:r>
      <w:r>
        <w:t xml:space="preserve"> </w:t>
      </w:r>
      <w:r w:rsidR="00396578" w:rsidRPr="000B3BF9">
        <w:t xml:space="preserve">of expenditure on specialised public mental health services that had completed an external review against the NSMHS </w:t>
      </w:r>
      <w:r>
        <w:t xml:space="preserve">was on </w:t>
      </w:r>
      <w:r w:rsidR="00AA0CFD">
        <w:t>services</w:t>
      </w:r>
      <w:r>
        <w:t xml:space="preserve"> that</w:t>
      </w:r>
      <w:r w:rsidRPr="000B3BF9">
        <w:t xml:space="preserve"> </w:t>
      </w:r>
      <w:r w:rsidR="007E7C79">
        <w:t>met ‘all standards’ (level </w:t>
      </w:r>
      <w:r w:rsidR="00396578" w:rsidRPr="000B3BF9">
        <w:t>1)</w:t>
      </w:r>
      <w:r>
        <w:t xml:space="preserve"> (figure</w:t>
      </w:r>
      <w:r w:rsidR="00BA1594">
        <w:t> </w:t>
      </w:r>
      <w:r>
        <w:t>13.8)</w:t>
      </w:r>
      <w:r w:rsidR="00396578" w:rsidRPr="000B3BF9">
        <w:t>.</w:t>
      </w:r>
    </w:p>
    <w:p w14:paraId="5DB8A6D9" w14:textId="53070105" w:rsidR="00BD3A10" w:rsidRPr="009754CD" w:rsidRDefault="00BD3A10" w:rsidP="005A5A21">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B3BF9" w:rsidRPr="000B3BF9" w14:paraId="7DDDFD73" w14:textId="77777777" w:rsidTr="00492B7D">
        <w:tc>
          <w:tcPr>
            <w:tcW w:w="8789" w:type="dxa"/>
            <w:tcBorders>
              <w:top w:val="single" w:sz="6" w:space="0" w:color="78A22F"/>
              <w:left w:val="nil"/>
              <w:bottom w:val="nil"/>
              <w:right w:val="nil"/>
            </w:tcBorders>
            <w:shd w:val="clear" w:color="auto" w:fill="auto"/>
          </w:tcPr>
          <w:p w14:paraId="0FE5CC5E" w14:textId="76BEAF36" w:rsidR="00E63DDF" w:rsidRPr="0066755C" w:rsidRDefault="00BD3A10" w:rsidP="00973F09">
            <w:pPr>
              <w:pStyle w:val="FigureTitle"/>
              <w:rPr>
                <w:rStyle w:val="DraftingNote"/>
                <w:b/>
                <w:color w:val="auto"/>
                <w:position w:val="6"/>
                <w:sz w:val="18"/>
                <w:u w:val="none"/>
              </w:rPr>
            </w:pPr>
            <w:r w:rsidRPr="000B3BF9">
              <w:rPr>
                <w:b w:val="0"/>
              </w:rPr>
              <w:t xml:space="preserve">Figure </w:t>
            </w:r>
            <w:r w:rsidR="000428B3">
              <w:rPr>
                <w:b w:val="0"/>
              </w:rPr>
              <w:t>13.8</w:t>
            </w:r>
            <w:r w:rsidRPr="000B3BF9">
              <w:tab/>
              <w:t>Share of expenditure on specialised public mental health services reviewed against the NSMHS, 30</w:t>
            </w:r>
            <w:r w:rsidR="00463329" w:rsidRPr="000B3BF9">
              <w:t> </w:t>
            </w:r>
            <w:r w:rsidRPr="000B3BF9">
              <w:t xml:space="preserve">June </w:t>
            </w:r>
            <w:r w:rsidR="00D903E8" w:rsidRPr="000B3BF9">
              <w:t>201</w:t>
            </w:r>
            <w:r w:rsidR="002D4C57">
              <w:t>6</w:t>
            </w:r>
            <w:r w:rsidR="00D903E8" w:rsidRPr="000B3BF9">
              <w:rPr>
                <w:rStyle w:val="NoteLabel"/>
                <w:b/>
              </w:rPr>
              <w:t>a</w:t>
            </w:r>
          </w:p>
        </w:tc>
      </w:tr>
      <w:tr w:rsidR="00BD3A10" w:rsidRPr="000B3BF9" w14:paraId="69ABADA9" w14:textId="77777777" w:rsidTr="00492B7D">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BD3A10" w:rsidRPr="000B3BF9" w14:paraId="696C80BA" w14:textId="77777777" w:rsidTr="005E7FA2">
              <w:trPr>
                <w:jc w:val="center"/>
              </w:trPr>
              <w:tc>
                <w:tcPr>
                  <w:tcW w:w="8504" w:type="dxa"/>
                  <w:tcBorders>
                    <w:top w:val="nil"/>
                    <w:bottom w:val="nil"/>
                  </w:tcBorders>
                </w:tcPr>
                <w:p w14:paraId="485113AC" w14:textId="4CC15D42" w:rsidR="0004369D" w:rsidRPr="00182FC9" w:rsidRDefault="005E7FA2" w:rsidP="00182FC9">
                  <w:pPr>
                    <w:pStyle w:val="Figure"/>
                  </w:pPr>
                  <w:r>
                    <w:rPr>
                      <w:noProof/>
                    </w:rPr>
                    <w:drawing>
                      <wp:inline distT="0" distB="0" distL="0" distR="0" wp14:anchorId="31238B9D" wp14:editId="508CF86A">
                        <wp:extent cx="5238618" cy="2700000"/>
                        <wp:effectExtent l="0" t="0" r="635" b="5715"/>
                        <wp:docPr id="14" name="Chart 14" descr="More details can be found within the text surrounding this image." title="Figure 13.8 Share of expenditure on specialised public mental health services reviewed against the NSMHS, 30 Jun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2935835" w14:textId="77777777" w:rsidR="00BD3A10" w:rsidRPr="000B3BF9" w:rsidRDefault="00BD3A10" w:rsidP="005A5A21">
            <w:pPr>
              <w:pStyle w:val="Figure"/>
            </w:pPr>
          </w:p>
        </w:tc>
      </w:tr>
      <w:tr w:rsidR="00BD3A10" w:rsidRPr="00006D05" w14:paraId="70F73CFD" w14:textId="77777777" w:rsidTr="00492B7D">
        <w:tc>
          <w:tcPr>
            <w:tcW w:w="8789" w:type="dxa"/>
            <w:tcBorders>
              <w:top w:val="nil"/>
              <w:left w:val="nil"/>
              <w:bottom w:val="nil"/>
              <w:right w:val="nil"/>
            </w:tcBorders>
            <w:shd w:val="clear" w:color="auto" w:fill="auto"/>
          </w:tcPr>
          <w:p w14:paraId="7A322660" w14:textId="4949B7F0" w:rsidR="00BD3A10" w:rsidRPr="00006D05" w:rsidRDefault="00BD3A10" w:rsidP="00DB1D82">
            <w:pPr>
              <w:pStyle w:val="Note"/>
            </w:pPr>
            <w:r w:rsidRPr="00006D05">
              <w:rPr>
                <w:rStyle w:val="NoteLabel"/>
              </w:rPr>
              <w:t>a</w:t>
            </w:r>
            <w:r w:rsidRPr="00006D05">
              <w:t xml:space="preserve"> </w:t>
            </w:r>
            <w:r w:rsidR="00F86525" w:rsidRPr="00006D05">
              <w:t>See</w:t>
            </w:r>
            <w:r w:rsidR="00600FB4" w:rsidRPr="00006D05">
              <w:t xml:space="preserve"> box</w:t>
            </w:r>
            <w:r w:rsidR="00463329" w:rsidRPr="00006D05">
              <w:t> </w:t>
            </w:r>
            <w:r w:rsidR="00DB1D82">
              <w:t>13.8</w:t>
            </w:r>
            <w:r w:rsidR="000B3BF9" w:rsidRPr="00006D05">
              <w:t xml:space="preserve"> </w:t>
            </w:r>
            <w:r w:rsidR="00600FB4" w:rsidRPr="00006D05">
              <w:t>and</w:t>
            </w:r>
            <w:r w:rsidR="00F86525" w:rsidRPr="00006D05">
              <w:t xml:space="preserve"> table</w:t>
            </w:r>
            <w:r w:rsidR="00463329" w:rsidRPr="00006D05">
              <w:t> </w:t>
            </w:r>
            <w:r w:rsidR="001B26A2" w:rsidRPr="00006D05">
              <w:t>13A.</w:t>
            </w:r>
            <w:r w:rsidR="003072FC" w:rsidRPr="00006D05">
              <w:t>22</w:t>
            </w:r>
            <w:r w:rsidR="006975D4" w:rsidRPr="00006D05">
              <w:t xml:space="preserve"> </w:t>
            </w:r>
            <w:r w:rsidR="00871F08" w:rsidRPr="00006D05">
              <w:t xml:space="preserve">for detailed </w:t>
            </w:r>
            <w:r w:rsidR="00566E9E" w:rsidRPr="00006D05">
              <w:t>definitions,</w:t>
            </w:r>
            <w:r w:rsidR="00871F08" w:rsidRPr="00006D05">
              <w:t xml:space="preserve"> footnotes and caveats</w:t>
            </w:r>
            <w:r w:rsidR="009117ED" w:rsidRPr="00006D05">
              <w:t>.</w:t>
            </w:r>
          </w:p>
        </w:tc>
      </w:tr>
      <w:tr w:rsidR="00BD3A10" w:rsidRPr="000B3BF9" w14:paraId="06D35E03" w14:textId="77777777" w:rsidTr="00492B7D">
        <w:tc>
          <w:tcPr>
            <w:tcW w:w="8789" w:type="dxa"/>
            <w:tcBorders>
              <w:top w:val="nil"/>
              <w:left w:val="nil"/>
              <w:bottom w:val="nil"/>
              <w:right w:val="nil"/>
            </w:tcBorders>
            <w:shd w:val="clear" w:color="auto" w:fill="auto"/>
          </w:tcPr>
          <w:p w14:paraId="57EBA986" w14:textId="77777777" w:rsidR="00BD3A10" w:rsidRPr="000B3BF9" w:rsidRDefault="002C5F6A" w:rsidP="003072FC">
            <w:pPr>
              <w:pStyle w:val="Source"/>
            </w:pPr>
            <w:r w:rsidRPr="00006D05">
              <w:rPr>
                <w:i/>
              </w:rPr>
              <w:t>Source</w:t>
            </w:r>
            <w:r w:rsidRPr="00006D05">
              <w:t>: AIHW (unpublished) MHE NMDS; table</w:t>
            </w:r>
            <w:r w:rsidR="0022260C" w:rsidRPr="00006D05">
              <w:t> </w:t>
            </w:r>
            <w:r w:rsidR="001B26A2" w:rsidRPr="00006D05">
              <w:t>13A.</w:t>
            </w:r>
            <w:r w:rsidR="003072FC" w:rsidRPr="00006D05">
              <w:t>22</w:t>
            </w:r>
            <w:r w:rsidRPr="00006D05">
              <w:t>.</w:t>
            </w:r>
          </w:p>
        </w:tc>
      </w:tr>
      <w:tr w:rsidR="00BD3A10" w:rsidRPr="000B3BF9" w14:paraId="6E2739FD" w14:textId="77777777" w:rsidTr="00492B7D">
        <w:tc>
          <w:tcPr>
            <w:tcW w:w="8789" w:type="dxa"/>
            <w:tcBorders>
              <w:top w:val="nil"/>
              <w:left w:val="nil"/>
              <w:bottom w:val="single" w:sz="6" w:space="0" w:color="78A22F"/>
              <w:right w:val="nil"/>
            </w:tcBorders>
            <w:shd w:val="clear" w:color="auto" w:fill="auto"/>
          </w:tcPr>
          <w:p w14:paraId="75CA54E1" w14:textId="77777777" w:rsidR="00BD3A10" w:rsidRPr="000B3BF9" w:rsidRDefault="00BD3A10" w:rsidP="005A5A21">
            <w:pPr>
              <w:pStyle w:val="Figurespace"/>
            </w:pPr>
          </w:p>
        </w:tc>
      </w:tr>
      <w:tr w:rsidR="00BD3A10" w:rsidRPr="000B3BF9" w14:paraId="048EA8E4" w14:textId="77777777" w:rsidTr="00492B7D">
        <w:tc>
          <w:tcPr>
            <w:tcW w:w="8789" w:type="dxa"/>
            <w:tcBorders>
              <w:top w:val="single" w:sz="6" w:space="0" w:color="78A22F"/>
              <w:left w:val="nil"/>
              <w:bottom w:val="nil"/>
              <w:right w:val="nil"/>
            </w:tcBorders>
          </w:tcPr>
          <w:p w14:paraId="71E8A1A8" w14:textId="4EBEF23C" w:rsidR="00BD3A10" w:rsidRPr="000B3BF9" w:rsidRDefault="00BD3A10" w:rsidP="005A5A21">
            <w:pPr>
              <w:pStyle w:val="BoxSpaceBelow"/>
            </w:pPr>
          </w:p>
        </w:tc>
      </w:tr>
    </w:tbl>
    <w:p w14:paraId="6FF1D3DE" w14:textId="77777777" w:rsidR="005C3013" w:rsidRPr="0076190A" w:rsidRDefault="005C3013" w:rsidP="004A02A7">
      <w:pPr>
        <w:pStyle w:val="Heading5"/>
      </w:pPr>
      <w:r w:rsidRPr="0076190A">
        <w:t>Quality — safety — rate of seclusion ― acute inpatient units</w:t>
      </w:r>
    </w:p>
    <w:p w14:paraId="2B59EFD3" w14:textId="217C32E3" w:rsidR="00D434A0" w:rsidRDefault="005C3013" w:rsidP="00153F23">
      <w:pPr>
        <w:pStyle w:val="BodyText"/>
        <w:widowControl w:val="0"/>
      </w:pPr>
      <w:r w:rsidRPr="0076190A">
        <w:t xml:space="preserve">‘Rate of seclusion ― acute inpatient units’ is an indicator of governments’ </w:t>
      </w:r>
      <w:r w:rsidR="00E53833" w:rsidRPr="0076190A">
        <w:t xml:space="preserve">objective to provide access to services that are safe </w:t>
      </w:r>
      <w:r w:rsidRPr="0076190A">
        <w:t>(</w:t>
      </w:r>
      <w:r w:rsidR="001B26A2" w:rsidRPr="0076190A">
        <w:t>box</w:t>
      </w:r>
      <w:r w:rsidR="00AB25A8">
        <w:t> </w:t>
      </w:r>
      <w:r w:rsidR="00134A99">
        <w:t>13.9)</w:t>
      </w:r>
      <w:r w:rsidR="00F3176B">
        <w:t>.</w:t>
      </w:r>
    </w:p>
    <w:p w14:paraId="04A1D77A" w14:textId="77777777" w:rsidR="00492EE7" w:rsidRPr="0076190A" w:rsidRDefault="00492EE7" w:rsidP="00153F23">
      <w:pPr>
        <w:pStyle w:val="BodyText"/>
        <w:widowControl w:val="0"/>
      </w:pPr>
    </w:p>
    <w:p w14:paraId="34523504" w14:textId="0E5FC456" w:rsidR="001170E1" w:rsidRPr="009754CD" w:rsidRDefault="001170E1">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170E1" w:rsidRPr="0076190A" w14:paraId="3AABC19B" w14:textId="77777777" w:rsidTr="00492B7D">
        <w:tc>
          <w:tcPr>
            <w:tcW w:w="8789" w:type="dxa"/>
            <w:tcBorders>
              <w:top w:val="single" w:sz="6" w:space="0" w:color="78A22F"/>
              <w:left w:val="nil"/>
              <w:bottom w:val="nil"/>
              <w:right w:val="nil"/>
            </w:tcBorders>
            <w:shd w:val="clear" w:color="auto" w:fill="F2F2F2"/>
          </w:tcPr>
          <w:p w14:paraId="50C8993E" w14:textId="77777777" w:rsidR="001170E1" w:rsidRPr="0076190A" w:rsidRDefault="001170E1" w:rsidP="00134A99">
            <w:pPr>
              <w:pStyle w:val="BoxTitle"/>
            </w:pPr>
            <w:r w:rsidRPr="0076190A">
              <w:rPr>
                <w:b w:val="0"/>
              </w:rPr>
              <w:t xml:space="preserve">Box </w:t>
            </w:r>
            <w:r w:rsidR="00134A99">
              <w:rPr>
                <w:b w:val="0"/>
              </w:rPr>
              <w:t>13.9</w:t>
            </w:r>
            <w:r w:rsidRPr="0076190A">
              <w:tab/>
              <w:t>Rate of seclusion ― acute inpatient units</w:t>
            </w:r>
          </w:p>
        </w:tc>
      </w:tr>
      <w:tr w:rsidR="001170E1" w:rsidRPr="0076190A" w14:paraId="64B09923" w14:textId="77777777" w:rsidTr="00492B7D">
        <w:trPr>
          <w:cantSplit/>
        </w:trPr>
        <w:tc>
          <w:tcPr>
            <w:tcW w:w="8789" w:type="dxa"/>
            <w:tcBorders>
              <w:top w:val="nil"/>
              <w:left w:val="nil"/>
              <w:bottom w:val="nil"/>
              <w:right w:val="nil"/>
            </w:tcBorders>
            <w:shd w:val="clear" w:color="auto" w:fill="F2F2F2"/>
          </w:tcPr>
          <w:p w14:paraId="6A2F283B" w14:textId="05BBB1E8" w:rsidR="001170E1" w:rsidRPr="0076190A" w:rsidRDefault="001170E1" w:rsidP="001170E1">
            <w:pPr>
              <w:pStyle w:val="Box"/>
            </w:pPr>
            <w:r w:rsidRPr="0076190A">
              <w:t>‘Rate of seclusion ― acute inpatient units’ is defined as the number of seclusion events per</w:t>
            </w:r>
            <w:r w:rsidR="002D4C57">
              <w:t> </w:t>
            </w:r>
            <w:r w:rsidRPr="0076190A">
              <w:t xml:space="preserve">1000 bed days in State and Territory governments’ specialised mental health acute inpatient units. </w:t>
            </w:r>
          </w:p>
          <w:p w14:paraId="2E273FDE" w14:textId="5BA3510A" w:rsidR="001170E1" w:rsidRDefault="001170E1" w:rsidP="00F21DBC">
            <w:pPr>
              <w:pStyle w:val="Box"/>
            </w:pPr>
            <w:r w:rsidRPr="0076190A">
              <w:t xml:space="preserve">Seclusion involves a patient being confined at any time of the day or night alone in a room or area from which </w:t>
            </w:r>
            <w:r w:rsidR="00F21DBC">
              <w:t>he or she cannot</w:t>
            </w:r>
            <w:r w:rsidRPr="0076190A">
              <w:t xml:space="preserve"> leave (section </w:t>
            </w:r>
            <w:r w:rsidR="00E90D6C">
              <w:t>13.4</w:t>
            </w:r>
            <w:r w:rsidRPr="0076190A">
              <w:t xml:space="preserve"> </w:t>
            </w:r>
            <w:r w:rsidR="00DB57FA">
              <w:t>provides</w:t>
            </w:r>
            <w:r w:rsidRPr="0076190A">
              <w:t xml:space="preserve"> further details on seclusion and ‘seclusion events’). Legislation or mandatory policy governs the use of seclusion in each State and Territory and may result in exceptions to the definition of a seclusion event and variations in the data collect</w:t>
            </w:r>
            <w:r w:rsidR="00E83D6F">
              <w:t>ed across jurisdictions (NMHPSC </w:t>
            </w:r>
            <w:r w:rsidRPr="0076190A">
              <w:t>2011b).</w:t>
            </w:r>
          </w:p>
          <w:p w14:paraId="32C9F8B9" w14:textId="78484D35" w:rsidR="00134A99" w:rsidRDefault="00134A99" w:rsidP="00134A99">
            <w:pPr>
              <w:pStyle w:val="Box"/>
            </w:pPr>
            <w:r>
              <w:t xml:space="preserve">A low </w:t>
            </w:r>
            <w:r w:rsidRPr="0076190A">
              <w:t>or decreasing number of seclusion events per</w:t>
            </w:r>
            <w:r w:rsidR="007E7C79">
              <w:t> </w:t>
            </w:r>
            <w:r w:rsidRPr="0076190A">
              <w:t>1000 bed days in specialised public mental health</w:t>
            </w:r>
            <w:r>
              <w:t xml:space="preserve"> inpatient units is desirable.</w:t>
            </w:r>
          </w:p>
          <w:p w14:paraId="09579937" w14:textId="1D495526" w:rsidR="00134A99" w:rsidRDefault="00134A99" w:rsidP="00134A99">
            <w:pPr>
              <w:pStyle w:val="Box"/>
            </w:pPr>
            <w:r w:rsidRPr="0076190A">
              <w:t xml:space="preserve">Supporting data on the duration of seclusion events are </w:t>
            </w:r>
            <w:r w:rsidRPr="00006D05">
              <w:t>provided in table 13A.23. These data</w:t>
            </w:r>
            <w:r w:rsidR="006936ED">
              <w:t>,</w:t>
            </w:r>
            <w:r w:rsidRPr="00006D05">
              <w:t xml:space="preserve"> when considered with the rate of seclusion</w:t>
            </w:r>
            <w:r w:rsidR="006936ED">
              <w:t>,</w:t>
            </w:r>
            <w:r w:rsidRPr="00006D05">
              <w:t xml:space="preserve"> provide information on the use</w:t>
            </w:r>
            <w:r w:rsidRPr="0076190A">
              <w:t xml:space="preserve"> and management of seclusion within each jurisdiction. A low rate of seclusion events combined with shorter average durations is desirable.</w:t>
            </w:r>
          </w:p>
          <w:p w14:paraId="009D9BD1" w14:textId="77777777" w:rsidR="00134A99" w:rsidRPr="0076190A" w:rsidRDefault="00134A99" w:rsidP="00134A99">
            <w:pPr>
              <w:pStyle w:val="Box"/>
            </w:pPr>
            <w:r w:rsidRPr="0076190A">
              <w:t>Data reported for this indicator are:</w:t>
            </w:r>
          </w:p>
          <w:p w14:paraId="396F4352" w14:textId="77777777" w:rsidR="00134A99" w:rsidRDefault="00134A99" w:rsidP="00666559">
            <w:pPr>
              <w:pStyle w:val="BoxListBullet"/>
              <w:spacing w:before="60"/>
            </w:pPr>
            <w:r w:rsidRPr="0076190A">
              <w:t xml:space="preserve">comparable (subject to caveats) within jurisdictions over time but are not comparable across jurisdictions </w:t>
            </w:r>
          </w:p>
          <w:p w14:paraId="7C766293" w14:textId="79032292" w:rsidR="00134A99" w:rsidRPr="0076190A" w:rsidRDefault="00134A99" w:rsidP="00666559">
            <w:pPr>
              <w:pStyle w:val="BoxListBullet"/>
              <w:spacing w:before="60"/>
            </w:pPr>
            <w:r w:rsidRPr="0076190A">
              <w:t>complete (subject to caveats) for the current reporting period. All required data for 201</w:t>
            </w:r>
            <w:r>
              <w:t>6</w:t>
            </w:r>
            <w:r w:rsidRPr="0076190A">
              <w:noBreakHyphen/>
              <w:t>1</w:t>
            </w:r>
            <w:r>
              <w:t>7</w:t>
            </w:r>
            <w:r w:rsidRPr="0076190A">
              <w:t xml:space="preserve"> are available for all jurisdictions</w:t>
            </w:r>
            <w:r>
              <w:t>.</w:t>
            </w:r>
          </w:p>
        </w:tc>
      </w:tr>
      <w:tr w:rsidR="001170E1" w:rsidRPr="0076190A" w14:paraId="3868E0AC" w14:textId="77777777" w:rsidTr="00492B7D">
        <w:trPr>
          <w:cantSplit/>
        </w:trPr>
        <w:tc>
          <w:tcPr>
            <w:tcW w:w="8789" w:type="dxa"/>
            <w:tcBorders>
              <w:top w:val="nil"/>
              <w:left w:val="nil"/>
              <w:bottom w:val="single" w:sz="6" w:space="0" w:color="78A22F"/>
              <w:right w:val="nil"/>
            </w:tcBorders>
            <w:shd w:val="clear" w:color="auto" w:fill="F2F2F2"/>
          </w:tcPr>
          <w:p w14:paraId="65EFB7BE" w14:textId="77777777" w:rsidR="001170E1" w:rsidRPr="0076190A" w:rsidRDefault="001170E1">
            <w:pPr>
              <w:pStyle w:val="Box"/>
              <w:spacing w:before="0" w:line="120" w:lineRule="exact"/>
            </w:pPr>
          </w:p>
        </w:tc>
      </w:tr>
      <w:tr w:rsidR="001170E1" w:rsidRPr="0076190A" w14:paraId="08072AF4" w14:textId="77777777" w:rsidTr="00492B7D">
        <w:tc>
          <w:tcPr>
            <w:tcW w:w="8789" w:type="dxa"/>
            <w:tcBorders>
              <w:top w:val="single" w:sz="6" w:space="0" w:color="78A22F"/>
              <w:left w:val="nil"/>
              <w:bottom w:val="nil"/>
              <w:right w:val="nil"/>
            </w:tcBorders>
          </w:tcPr>
          <w:p w14:paraId="2A7FE87F" w14:textId="0AFBD73C" w:rsidR="001170E1" w:rsidRPr="0076190A" w:rsidRDefault="001170E1" w:rsidP="001170E1">
            <w:pPr>
              <w:pStyle w:val="BoxSpaceBelow"/>
            </w:pPr>
          </w:p>
        </w:tc>
      </w:tr>
    </w:tbl>
    <w:p w14:paraId="3994F43C" w14:textId="5C256CD9" w:rsidR="00324EB3" w:rsidRDefault="00D66E3D" w:rsidP="00492EE7">
      <w:pPr>
        <w:pStyle w:val="BodyText"/>
        <w:shd w:val="clear" w:color="auto" w:fill="FFFFFF" w:themeFill="background1"/>
        <w:spacing w:before="120"/>
      </w:pPr>
      <w:r w:rsidRPr="00BB3877">
        <w:t xml:space="preserve">Nationally, the number of seclusion events per 1000 bed days decreased from </w:t>
      </w:r>
      <w:r w:rsidR="00A85AB5" w:rsidRPr="0061119E">
        <w:t>9</w:t>
      </w:r>
      <w:r w:rsidR="008B602C" w:rsidRPr="0061119E">
        <w:t>.</w:t>
      </w:r>
      <w:r w:rsidR="00A85AB5" w:rsidRPr="0061119E">
        <w:t>8</w:t>
      </w:r>
      <w:r w:rsidRPr="0061119E">
        <w:t xml:space="preserve"> </w:t>
      </w:r>
      <w:r w:rsidR="00D41A2F" w:rsidRPr="0061119E">
        <w:t>in 20</w:t>
      </w:r>
      <w:r w:rsidR="007C5D6F" w:rsidRPr="0061119E">
        <w:t>1</w:t>
      </w:r>
      <w:r w:rsidR="00A85AB5" w:rsidRPr="0061119E">
        <w:t>2</w:t>
      </w:r>
      <w:r w:rsidR="00945186" w:rsidRPr="0061119E">
        <w:noBreakHyphen/>
      </w:r>
      <w:r w:rsidR="008E2482" w:rsidRPr="0061119E">
        <w:t>1</w:t>
      </w:r>
      <w:r w:rsidR="00A85AB5" w:rsidRPr="0061119E">
        <w:t>3</w:t>
      </w:r>
      <w:r w:rsidR="00D41A2F" w:rsidRPr="00BB3877">
        <w:rPr>
          <w:shd w:val="clear" w:color="auto" w:fill="FFFFFF" w:themeFill="background1"/>
        </w:rPr>
        <w:t xml:space="preserve"> </w:t>
      </w:r>
      <w:r w:rsidRPr="00BB3877">
        <w:rPr>
          <w:shd w:val="clear" w:color="auto" w:fill="FFFFFF" w:themeFill="background1"/>
        </w:rPr>
        <w:t>to</w:t>
      </w:r>
      <w:r w:rsidR="00DA77F6">
        <w:rPr>
          <w:shd w:val="clear" w:color="auto" w:fill="FFFFFF" w:themeFill="background1"/>
        </w:rPr>
        <w:t xml:space="preserve"> </w:t>
      </w:r>
      <w:r w:rsidR="006170AF" w:rsidRPr="0061119E">
        <w:t>7</w:t>
      </w:r>
      <w:r w:rsidR="006447C0" w:rsidRPr="0061119E">
        <w:t>.</w:t>
      </w:r>
      <w:r w:rsidR="006170AF" w:rsidRPr="0061119E">
        <w:t>4</w:t>
      </w:r>
      <w:r w:rsidR="006765E2">
        <w:t xml:space="preserve"> in </w:t>
      </w:r>
      <w:r w:rsidRPr="000575B5">
        <w:t>201</w:t>
      </w:r>
      <w:r w:rsidR="00F21DBC" w:rsidRPr="000575B5">
        <w:t>6</w:t>
      </w:r>
      <w:r w:rsidRPr="000575B5">
        <w:noBreakHyphen/>
        <w:t>1</w:t>
      </w:r>
      <w:r w:rsidR="00F21DBC" w:rsidRPr="000575B5">
        <w:t>7</w:t>
      </w:r>
      <w:r w:rsidR="00E90D6C" w:rsidRPr="00BB3877">
        <w:t>. T</w:t>
      </w:r>
      <w:r w:rsidRPr="00BB3877">
        <w:t xml:space="preserve">his </w:t>
      </w:r>
      <w:r w:rsidR="006170AF">
        <w:t xml:space="preserve">downward </w:t>
      </w:r>
      <w:r w:rsidRPr="00BB3877">
        <w:t xml:space="preserve">trend was reflected across </w:t>
      </w:r>
      <w:r w:rsidR="00D41A2F" w:rsidRPr="00BB3877">
        <w:t xml:space="preserve">most </w:t>
      </w:r>
      <w:r w:rsidR="00AB5CBB" w:rsidRPr="00BB3877">
        <w:t xml:space="preserve">jurisdictions </w:t>
      </w:r>
      <w:r w:rsidR="00D41A2F" w:rsidRPr="00BB3877">
        <w:t>(</w:t>
      </w:r>
      <w:r w:rsidR="001B26A2" w:rsidRPr="00BB3877">
        <w:t>figure</w:t>
      </w:r>
      <w:r w:rsidR="00AB25A8">
        <w:t> </w:t>
      </w:r>
      <w:r w:rsidR="000428B3">
        <w:t>13.9</w:t>
      </w:r>
      <w:r w:rsidR="00D41A2F" w:rsidRPr="00BB3877">
        <w:t xml:space="preserve">) </w:t>
      </w:r>
      <w:r w:rsidR="00AB5CBB" w:rsidRPr="00BB3877">
        <w:t xml:space="preserve">and </w:t>
      </w:r>
      <w:r w:rsidRPr="00BB3877">
        <w:t>target population groups (table</w:t>
      </w:r>
      <w:r w:rsidR="00463329" w:rsidRPr="00BB3877">
        <w:t> </w:t>
      </w:r>
      <w:r w:rsidR="001B26A2" w:rsidRPr="00BB3877">
        <w:t>13A.</w:t>
      </w:r>
      <w:r w:rsidR="003072FC" w:rsidRPr="00BB3877">
        <w:t>24</w:t>
      </w:r>
      <w:r w:rsidRPr="00BB3877">
        <w:t xml:space="preserve">). </w:t>
      </w:r>
      <w:r w:rsidR="00B7762F">
        <w:t>In 2016</w:t>
      </w:r>
      <w:r w:rsidR="00B7762F">
        <w:noBreakHyphen/>
        <w:t>17, t</w:t>
      </w:r>
      <w:r w:rsidR="00D41A2F" w:rsidRPr="00BB3877">
        <w:t xml:space="preserve">he lowest seclusion rates were in </w:t>
      </w:r>
      <w:r w:rsidR="001E0AA2">
        <w:t>O</w:t>
      </w:r>
      <w:r w:rsidR="00D41A2F" w:rsidRPr="00BB3877">
        <w:t xml:space="preserve">lder </w:t>
      </w:r>
      <w:r w:rsidR="00B7762F">
        <w:t>persons</w:t>
      </w:r>
      <w:r w:rsidR="00B7762F" w:rsidRPr="00BB3877">
        <w:t xml:space="preserve"> </w:t>
      </w:r>
      <w:r w:rsidR="00D41A2F" w:rsidRPr="00BB3877">
        <w:t xml:space="preserve">units and the highest were in </w:t>
      </w:r>
      <w:r w:rsidR="006765E2" w:rsidRPr="0061119E">
        <w:t>Forensic</w:t>
      </w:r>
      <w:r w:rsidR="00D41A2F" w:rsidRPr="00BB3877">
        <w:t xml:space="preserve"> units (table</w:t>
      </w:r>
      <w:r w:rsidR="006062EF" w:rsidRPr="00BB3877">
        <w:t> </w:t>
      </w:r>
      <w:r w:rsidR="001B26A2" w:rsidRPr="00BB3877">
        <w:t>13A.</w:t>
      </w:r>
      <w:r w:rsidR="003072FC" w:rsidRPr="00BB3877">
        <w:t>24</w:t>
      </w:r>
      <w:r w:rsidR="00D41A2F" w:rsidRPr="00BB3877">
        <w:t>).</w:t>
      </w:r>
      <w:r w:rsidR="00DA67A9">
        <w:t xml:space="preserve"> </w:t>
      </w:r>
    </w:p>
    <w:p w14:paraId="3A8B74BE" w14:textId="2167A316" w:rsidR="00DF33BC" w:rsidRPr="00006D05" w:rsidRDefault="00DF33BC" w:rsidP="00492EE7">
      <w:pPr>
        <w:pStyle w:val="BoxSpaceAbove"/>
        <w:widowControl w:val="0"/>
        <w:spacing w:before="240"/>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F33BC" w:rsidRPr="00006D05" w14:paraId="127C1999" w14:textId="77777777" w:rsidTr="00492B7D">
        <w:tc>
          <w:tcPr>
            <w:tcW w:w="8789" w:type="dxa"/>
            <w:tcBorders>
              <w:top w:val="single" w:sz="6" w:space="0" w:color="78A22F"/>
              <w:left w:val="nil"/>
              <w:bottom w:val="nil"/>
              <w:right w:val="nil"/>
            </w:tcBorders>
            <w:shd w:val="clear" w:color="auto" w:fill="auto"/>
          </w:tcPr>
          <w:p w14:paraId="130A701F" w14:textId="7ADF4692" w:rsidR="00E63DDF" w:rsidRPr="0066755C" w:rsidRDefault="00DF33BC" w:rsidP="000B6922">
            <w:pPr>
              <w:pStyle w:val="FigureTitle"/>
              <w:keepLines w:val="0"/>
              <w:widowControl w:val="0"/>
              <w:rPr>
                <w:rStyle w:val="DraftingNote"/>
                <w:b/>
                <w:color w:val="auto"/>
                <w:position w:val="6"/>
                <w:sz w:val="18"/>
                <w:u w:val="none"/>
              </w:rPr>
            </w:pPr>
            <w:r w:rsidRPr="00006D05">
              <w:rPr>
                <w:b w:val="0"/>
              </w:rPr>
              <w:t xml:space="preserve">Figure </w:t>
            </w:r>
            <w:r w:rsidR="000428B3">
              <w:rPr>
                <w:b w:val="0"/>
              </w:rPr>
              <w:t>13.9</w:t>
            </w:r>
            <w:r w:rsidRPr="00006D05">
              <w:tab/>
              <w:t xml:space="preserve">Rate of </w:t>
            </w:r>
            <w:proofErr w:type="spellStart"/>
            <w:r w:rsidR="00E63DDF">
              <w:t>seclusion</w:t>
            </w:r>
            <w:r w:rsidR="00D502E5" w:rsidRPr="00D502E5">
              <w:rPr>
                <w:vertAlign w:val="superscript"/>
              </w:rPr>
              <w:t>a</w:t>
            </w:r>
            <w:proofErr w:type="spellEnd"/>
          </w:p>
        </w:tc>
      </w:tr>
      <w:tr w:rsidR="00DF33BC" w:rsidRPr="00006D05" w14:paraId="2098C606" w14:textId="77777777" w:rsidTr="00492B7D">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DF33BC" w:rsidRPr="00006D05" w14:paraId="0D9103AC" w14:textId="77777777" w:rsidTr="00693EDF">
              <w:trPr>
                <w:jc w:val="center"/>
              </w:trPr>
              <w:tc>
                <w:tcPr>
                  <w:tcW w:w="8504" w:type="dxa"/>
                  <w:tcBorders>
                    <w:top w:val="nil"/>
                    <w:bottom w:val="nil"/>
                  </w:tcBorders>
                </w:tcPr>
                <w:p w14:paraId="3DEECF3C" w14:textId="5DD5DCF8" w:rsidR="004E3A1E" w:rsidRPr="006447C0" w:rsidRDefault="00693EDF" w:rsidP="006447C0">
                  <w:pPr>
                    <w:pStyle w:val="Figure"/>
                  </w:pPr>
                  <w:r>
                    <w:rPr>
                      <w:noProof/>
                    </w:rPr>
                    <w:drawing>
                      <wp:inline distT="0" distB="0" distL="0" distR="0" wp14:anchorId="708B006A" wp14:editId="201C47A3">
                        <wp:extent cx="5234265" cy="2520000"/>
                        <wp:effectExtent l="0" t="0" r="5080" b="0"/>
                        <wp:docPr id="26" name="Chart 26" descr="More details can be found within the text surrounding this image." title="Figure 13.9 Rate of seclus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0F468CEB" w14:textId="77777777" w:rsidR="00DF33BC" w:rsidRPr="00006D05" w:rsidRDefault="00DF33BC" w:rsidP="00D41A2F">
            <w:pPr>
              <w:pStyle w:val="Figure"/>
              <w:keepNext w:val="0"/>
              <w:widowControl w:val="0"/>
            </w:pPr>
          </w:p>
        </w:tc>
      </w:tr>
      <w:tr w:rsidR="00DF33BC" w:rsidRPr="00006D05" w14:paraId="14775575" w14:textId="77777777" w:rsidTr="00492B7D">
        <w:tc>
          <w:tcPr>
            <w:tcW w:w="8789" w:type="dxa"/>
            <w:tcBorders>
              <w:top w:val="nil"/>
              <w:left w:val="nil"/>
              <w:bottom w:val="nil"/>
              <w:right w:val="nil"/>
            </w:tcBorders>
            <w:shd w:val="clear" w:color="auto" w:fill="auto"/>
          </w:tcPr>
          <w:p w14:paraId="1FF1A5EE" w14:textId="606FC2FC" w:rsidR="00DF33BC" w:rsidRPr="00006D05" w:rsidRDefault="0081130F" w:rsidP="00492EE7">
            <w:pPr>
              <w:pStyle w:val="Note"/>
              <w:keepLines w:val="0"/>
              <w:widowControl w:val="0"/>
              <w:spacing w:before="20" w:line="200" w:lineRule="exact"/>
              <w:rPr>
                <w:i/>
              </w:rPr>
            </w:pPr>
            <w:r w:rsidRPr="00006D05">
              <w:rPr>
                <w:rStyle w:val="NoteLabel"/>
              </w:rPr>
              <w:t>a</w:t>
            </w:r>
            <w:r w:rsidR="00C3025D" w:rsidRPr="00006D05">
              <w:t> </w:t>
            </w:r>
            <w:r w:rsidR="00D66E3D" w:rsidRPr="00006D05">
              <w:t xml:space="preserve">See </w:t>
            </w:r>
            <w:r w:rsidR="001B26A2" w:rsidRPr="00006D05">
              <w:t>box</w:t>
            </w:r>
            <w:r w:rsidR="00AB25A8">
              <w:t> </w:t>
            </w:r>
            <w:r w:rsidR="00001F95">
              <w:t>13.9</w:t>
            </w:r>
            <w:r w:rsidR="00721073" w:rsidRPr="00006D05">
              <w:t xml:space="preserve"> </w:t>
            </w:r>
            <w:r w:rsidR="008132F5" w:rsidRPr="00006D05">
              <w:t xml:space="preserve">and </w:t>
            </w:r>
            <w:r w:rsidR="00D66E3D" w:rsidRPr="00006D05">
              <w:t>table</w:t>
            </w:r>
            <w:r w:rsidR="00463329" w:rsidRPr="00006D05">
              <w:t> </w:t>
            </w:r>
            <w:r w:rsidR="001B26A2" w:rsidRPr="00006D05">
              <w:t>13A.</w:t>
            </w:r>
            <w:r w:rsidR="003072FC" w:rsidRPr="00006D05">
              <w:t>23</w:t>
            </w:r>
            <w:r w:rsidR="00D66E3D" w:rsidRPr="00006D05">
              <w:t xml:space="preserve"> </w:t>
            </w:r>
            <w:r w:rsidR="00871F08" w:rsidRPr="00006D05">
              <w:t>for detailed definitions, footnotes and caveats</w:t>
            </w:r>
            <w:r w:rsidR="00D66E3D" w:rsidRPr="00006D05">
              <w:t xml:space="preserve">. </w:t>
            </w:r>
          </w:p>
        </w:tc>
      </w:tr>
      <w:tr w:rsidR="00DF33BC" w:rsidRPr="0076190A" w14:paraId="0BC6B3CD" w14:textId="77777777" w:rsidTr="00492B7D">
        <w:tc>
          <w:tcPr>
            <w:tcW w:w="8789" w:type="dxa"/>
            <w:tcBorders>
              <w:top w:val="nil"/>
              <w:left w:val="nil"/>
              <w:bottom w:val="nil"/>
              <w:right w:val="nil"/>
            </w:tcBorders>
            <w:shd w:val="clear" w:color="auto" w:fill="auto"/>
          </w:tcPr>
          <w:p w14:paraId="4116339C" w14:textId="77777777" w:rsidR="00DF33BC" w:rsidRPr="0076190A" w:rsidRDefault="005E71FF" w:rsidP="00492EE7">
            <w:pPr>
              <w:pStyle w:val="Source"/>
              <w:keepLines w:val="0"/>
              <w:widowControl w:val="0"/>
              <w:spacing w:before="60" w:line="200" w:lineRule="exact"/>
            </w:pPr>
            <w:r w:rsidRPr="00006D05">
              <w:rPr>
                <w:i/>
              </w:rPr>
              <w:t>Source</w:t>
            </w:r>
            <w:r w:rsidRPr="00006D05">
              <w:t xml:space="preserve">: </w:t>
            </w:r>
            <w:r w:rsidR="000B0525" w:rsidRPr="000B0525">
              <w:t>AIHW (unpublished) National Seclusio</w:t>
            </w:r>
            <w:r w:rsidR="000B0525">
              <w:t>n and Restraint Data Collection</w:t>
            </w:r>
            <w:r w:rsidRPr="00006D05">
              <w:rPr>
                <w:shd w:val="clear" w:color="auto" w:fill="FFFFFF" w:themeFill="background1"/>
              </w:rPr>
              <w:t>; table</w:t>
            </w:r>
            <w:r w:rsidR="0022260C" w:rsidRPr="00006D05">
              <w:rPr>
                <w:shd w:val="clear" w:color="auto" w:fill="FFFFFF" w:themeFill="background1"/>
              </w:rPr>
              <w:t> </w:t>
            </w:r>
            <w:r w:rsidR="001B26A2" w:rsidRPr="00006D05">
              <w:rPr>
                <w:shd w:val="clear" w:color="auto" w:fill="FFFFFF" w:themeFill="background1"/>
              </w:rPr>
              <w:t>13A.</w:t>
            </w:r>
            <w:r w:rsidR="003072FC" w:rsidRPr="00006D05">
              <w:rPr>
                <w:shd w:val="clear" w:color="auto" w:fill="FFFFFF" w:themeFill="background1"/>
              </w:rPr>
              <w:t>23</w:t>
            </w:r>
            <w:r w:rsidRPr="00006D05">
              <w:rPr>
                <w:shd w:val="clear" w:color="auto" w:fill="FFFFFF" w:themeFill="background1"/>
              </w:rPr>
              <w:t>.</w:t>
            </w:r>
          </w:p>
        </w:tc>
      </w:tr>
      <w:tr w:rsidR="00DF33BC" w:rsidRPr="0076190A" w14:paraId="6D2781BC" w14:textId="77777777" w:rsidTr="00492B7D">
        <w:tc>
          <w:tcPr>
            <w:tcW w:w="8789" w:type="dxa"/>
            <w:tcBorders>
              <w:top w:val="nil"/>
              <w:left w:val="nil"/>
              <w:bottom w:val="single" w:sz="6" w:space="0" w:color="78A22F"/>
              <w:right w:val="nil"/>
            </w:tcBorders>
            <w:shd w:val="clear" w:color="auto" w:fill="auto"/>
          </w:tcPr>
          <w:p w14:paraId="60EC87ED" w14:textId="77777777" w:rsidR="00DF33BC" w:rsidRPr="0076190A" w:rsidRDefault="00DF33BC" w:rsidP="00492EE7">
            <w:pPr>
              <w:pStyle w:val="Figurespace"/>
              <w:keepNext w:val="0"/>
              <w:widowControl w:val="0"/>
              <w:spacing w:line="60" w:lineRule="exact"/>
            </w:pPr>
          </w:p>
        </w:tc>
      </w:tr>
      <w:tr w:rsidR="00DF33BC" w:rsidRPr="0076190A" w14:paraId="325A0B32" w14:textId="77777777" w:rsidTr="00492B7D">
        <w:tc>
          <w:tcPr>
            <w:tcW w:w="8789" w:type="dxa"/>
            <w:tcBorders>
              <w:top w:val="single" w:sz="6" w:space="0" w:color="78A22F"/>
              <w:left w:val="nil"/>
              <w:bottom w:val="nil"/>
              <w:right w:val="nil"/>
            </w:tcBorders>
          </w:tcPr>
          <w:p w14:paraId="1FA9060E" w14:textId="1FE8430F" w:rsidR="00DF33BC" w:rsidRPr="0076190A" w:rsidRDefault="00DF33BC" w:rsidP="00492EE7">
            <w:pPr>
              <w:pStyle w:val="BoxSpaceBelow"/>
              <w:widowControl w:val="0"/>
              <w:spacing w:before="0" w:after="0" w:line="40" w:lineRule="exact"/>
            </w:pPr>
          </w:p>
        </w:tc>
      </w:tr>
    </w:tbl>
    <w:p w14:paraId="2EF66BAA" w14:textId="5B69B611" w:rsidR="000C6608" w:rsidRPr="00CC3F75" w:rsidRDefault="00CC13A8" w:rsidP="00CC3F75">
      <w:pPr>
        <w:pStyle w:val="BodyText"/>
      </w:pPr>
      <w:r w:rsidRPr="00CC3F75">
        <w:lastRenderedPageBreak/>
        <w:t xml:space="preserve">Restraint is defined as the restriction of an individual’s freedom of movement by physical or mechanical means. </w:t>
      </w:r>
      <w:r w:rsidR="00582CCC" w:rsidRPr="00CC3F75">
        <w:t>Nationally</w:t>
      </w:r>
      <w:r w:rsidR="005F226C" w:rsidRPr="00CC3F75">
        <w:t xml:space="preserve"> in </w:t>
      </w:r>
      <w:r w:rsidR="00DA67A9" w:rsidRPr="00CC3F75">
        <w:t>2016</w:t>
      </w:r>
      <w:r w:rsidR="00BA1594" w:rsidRPr="00CC3F75">
        <w:noBreakHyphen/>
      </w:r>
      <w:r w:rsidR="00DA67A9" w:rsidRPr="00CC3F75">
        <w:t>17</w:t>
      </w:r>
      <w:r w:rsidR="00582CCC" w:rsidRPr="00CC3F75">
        <w:t xml:space="preserve">, there were </w:t>
      </w:r>
      <w:r w:rsidR="00391DA4" w:rsidRPr="00CC3F75">
        <w:t>8</w:t>
      </w:r>
      <w:r w:rsidR="00973F09" w:rsidRPr="00CC3F75">
        <w:t>.</w:t>
      </w:r>
      <w:r w:rsidR="00391DA4" w:rsidRPr="00CC3F75">
        <w:t>3</w:t>
      </w:r>
      <w:r w:rsidR="00582CCC" w:rsidRPr="00CC3F75">
        <w:t xml:space="preserve"> physical restra</w:t>
      </w:r>
      <w:r w:rsidR="0066755C" w:rsidRPr="00CC3F75">
        <w:t>int events per </w:t>
      </w:r>
      <w:r w:rsidR="00B270DF" w:rsidRPr="00CC3F75">
        <w:t>1</w:t>
      </w:r>
      <w:r w:rsidR="0066755C" w:rsidRPr="00CC3F75">
        <w:t>000 </w:t>
      </w:r>
      <w:r w:rsidR="00582CCC" w:rsidRPr="00CC3F75">
        <w:t>beds days; mechanical restraint was less common (</w:t>
      </w:r>
      <w:r w:rsidR="00391DA4" w:rsidRPr="00CC3F75">
        <w:t>0</w:t>
      </w:r>
      <w:r w:rsidR="00973F09" w:rsidRPr="00CC3F75">
        <w:t>.</w:t>
      </w:r>
      <w:r w:rsidR="00391DA4" w:rsidRPr="00CC3F75">
        <w:t>9</w:t>
      </w:r>
      <w:r w:rsidR="007E7C79">
        <w:t> events per </w:t>
      </w:r>
      <w:r w:rsidR="00B270DF" w:rsidRPr="00CC3F75">
        <w:t>1</w:t>
      </w:r>
      <w:r w:rsidR="007E7C79">
        <w:t>000 </w:t>
      </w:r>
      <w:r w:rsidR="0066755C" w:rsidRPr="00CC3F75">
        <w:t>bed days) (table </w:t>
      </w:r>
      <w:r w:rsidR="00582CCC" w:rsidRPr="00CC3F75">
        <w:t>1</w:t>
      </w:r>
      <w:r w:rsidR="002116BB" w:rsidRPr="00CC3F75">
        <w:t>3</w:t>
      </w:r>
      <w:r w:rsidR="00E63DDF" w:rsidRPr="00CC3F75">
        <w:t>A.25).</w:t>
      </w:r>
    </w:p>
    <w:p w14:paraId="3E8D2D6D" w14:textId="77777777" w:rsidR="009E169A" w:rsidRPr="0039622B" w:rsidRDefault="009E169A" w:rsidP="004A02A7">
      <w:pPr>
        <w:pStyle w:val="Heading5"/>
      </w:pPr>
      <w:r w:rsidRPr="0039622B">
        <w:t>Quality — responsiveness — consumer and carer experiences of services</w:t>
      </w:r>
    </w:p>
    <w:p w14:paraId="4914922D" w14:textId="3641AF62" w:rsidR="00DF33BC" w:rsidRPr="0039622B" w:rsidRDefault="009E169A" w:rsidP="002315C6">
      <w:pPr>
        <w:pStyle w:val="BodyText"/>
      </w:pPr>
      <w:r w:rsidRPr="0039622B">
        <w:t xml:space="preserve">‘Consumer and carer experiences of services’ is an indicator of governments’ objective </w:t>
      </w:r>
      <w:r w:rsidR="00E53833" w:rsidRPr="0039622B">
        <w:t>to provide universal access to servi</w:t>
      </w:r>
      <w:r w:rsidR="00E90D6C">
        <w:t xml:space="preserve">ces that are </w:t>
      </w:r>
      <w:r w:rsidR="00E53833" w:rsidRPr="0039622B">
        <w:t xml:space="preserve">responsive to consumer and carer goals </w:t>
      </w:r>
      <w:r w:rsidRPr="0039622B">
        <w:t>(</w:t>
      </w:r>
      <w:r w:rsidR="001B26A2" w:rsidRPr="0039622B">
        <w:t>box</w:t>
      </w:r>
      <w:r w:rsidR="00503886" w:rsidRPr="0039622B">
        <w:t> </w:t>
      </w:r>
      <w:r w:rsidR="00134A99">
        <w:t>13.10</w:t>
      </w:r>
      <w:r w:rsidRPr="0039622B">
        <w:t xml:space="preserve">). </w:t>
      </w:r>
    </w:p>
    <w:p w14:paraId="3538B18C" w14:textId="2C61558A" w:rsidR="00576076" w:rsidRPr="0039622B" w:rsidRDefault="0057607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76076" w:rsidRPr="0039622B" w14:paraId="2F3C2026" w14:textId="77777777" w:rsidTr="00492B7D">
        <w:tc>
          <w:tcPr>
            <w:tcW w:w="8789" w:type="dxa"/>
            <w:tcBorders>
              <w:top w:val="single" w:sz="6" w:space="0" w:color="78A22F"/>
              <w:left w:val="nil"/>
              <w:bottom w:val="nil"/>
              <w:right w:val="nil"/>
            </w:tcBorders>
            <w:shd w:val="clear" w:color="auto" w:fill="F2F2F2"/>
          </w:tcPr>
          <w:p w14:paraId="5B002299" w14:textId="77777777" w:rsidR="00576076" w:rsidRPr="0039622B" w:rsidRDefault="00576076" w:rsidP="00134A99">
            <w:pPr>
              <w:pStyle w:val="BoxTitle"/>
            </w:pPr>
            <w:r w:rsidRPr="0039622B">
              <w:rPr>
                <w:b w:val="0"/>
              </w:rPr>
              <w:t xml:space="preserve">Box </w:t>
            </w:r>
            <w:r w:rsidR="00134A99">
              <w:rPr>
                <w:b w:val="0"/>
              </w:rPr>
              <w:t>13.10</w:t>
            </w:r>
            <w:r w:rsidRPr="0039622B">
              <w:tab/>
              <w:t>Consumer and carer experiences of services</w:t>
            </w:r>
          </w:p>
        </w:tc>
      </w:tr>
      <w:tr w:rsidR="00576076" w:rsidRPr="0039622B" w14:paraId="099E7E88" w14:textId="77777777" w:rsidTr="00492B7D">
        <w:trPr>
          <w:cantSplit/>
        </w:trPr>
        <w:tc>
          <w:tcPr>
            <w:tcW w:w="8789" w:type="dxa"/>
            <w:tcBorders>
              <w:top w:val="nil"/>
              <w:left w:val="nil"/>
              <w:bottom w:val="nil"/>
              <w:right w:val="nil"/>
            </w:tcBorders>
            <w:shd w:val="clear" w:color="auto" w:fill="F2F2F2"/>
          </w:tcPr>
          <w:p w14:paraId="30AA201B" w14:textId="77777777" w:rsidR="00576076" w:rsidRPr="0039622B" w:rsidRDefault="00AC4803">
            <w:pPr>
              <w:pStyle w:val="Box"/>
            </w:pPr>
            <w:r w:rsidRPr="0039622B">
              <w:t>‘Consumer and carer experiences of services’ is yet to be defined.</w:t>
            </w:r>
          </w:p>
        </w:tc>
      </w:tr>
      <w:tr w:rsidR="00576076" w:rsidRPr="0039622B" w14:paraId="74AFBE98" w14:textId="77777777" w:rsidTr="00492B7D">
        <w:trPr>
          <w:cantSplit/>
        </w:trPr>
        <w:tc>
          <w:tcPr>
            <w:tcW w:w="8789" w:type="dxa"/>
            <w:tcBorders>
              <w:top w:val="nil"/>
              <w:left w:val="nil"/>
              <w:bottom w:val="single" w:sz="6" w:space="0" w:color="78A22F"/>
              <w:right w:val="nil"/>
            </w:tcBorders>
            <w:shd w:val="clear" w:color="auto" w:fill="F2F2F2"/>
          </w:tcPr>
          <w:p w14:paraId="2068EF44" w14:textId="77777777" w:rsidR="00576076" w:rsidRPr="0039622B" w:rsidRDefault="00576076">
            <w:pPr>
              <w:pStyle w:val="Box"/>
              <w:spacing w:before="0" w:line="120" w:lineRule="exact"/>
            </w:pPr>
          </w:p>
        </w:tc>
      </w:tr>
      <w:tr w:rsidR="00576076" w:rsidRPr="009754CD" w14:paraId="6495493D" w14:textId="77777777" w:rsidTr="00492B7D">
        <w:tc>
          <w:tcPr>
            <w:tcW w:w="8789" w:type="dxa"/>
            <w:tcBorders>
              <w:top w:val="single" w:sz="6" w:space="0" w:color="78A22F"/>
              <w:left w:val="nil"/>
              <w:bottom w:val="nil"/>
              <w:right w:val="nil"/>
            </w:tcBorders>
          </w:tcPr>
          <w:p w14:paraId="152FC495" w14:textId="2D1B66BA" w:rsidR="00576076" w:rsidRPr="009754CD" w:rsidRDefault="00576076" w:rsidP="005A5A21">
            <w:pPr>
              <w:pStyle w:val="BoxSpaceBelow"/>
              <w:rPr>
                <w:color w:val="808080" w:themeColor="background1" w:themeShade="80"/>
              </w:rPr>
            </w:pPr>
          </w:p>
        </w:tc>
      </w:tr>
    </w:tbl>
    <w:p w14:paraId="4E27A371" w14:textId="150FA061" w:rsidR="008A756C" w:rsidRPr="00CD3DF1" w:rsidRDefault="008A756C" w:rsidP="004A02A7">
      <w:pPr>
        <w:pStyle w:val="Heading5"/>
      </w:pPr>
      <w:r w:rsidRPr="00CD3DF1">
        <w:t>Quality — continuity — specialised public menta</w:t>
      </w:r>
      <w:r w:rsidR="002E5CCE">
        <w:t>l health service consumers with</w:t>
      </w:r>
      <w:r w:rsidR="00B270DF">
        <w:t xml:space="preserve"> </w:t>
      </w:r>
      <w:r w:rsidRPr="00CD3DF1">
        <w:t>nominated GP</w:t>
      </w:r>
    </w:p>
    <w:p w14:paraId="61B610AC" w14:textId="10F21DB8" w:rsidR="00AC4803" w:rsidRPr="00CD3DF1" w:rsidRDefault="008A756C" w:rsidP="002315C6">
      <w:pPr>
        <w:pStyle w:val="BodyText"/>
      </w:pPr>
      <w:r w:rsidRPr="00CD3DF1">
        <w:t xml:space="preserve">‘Specialised public mental health service consumers with nominated GP’ is an indicator of governments’ objective </w:t>
      </w:r>
      <w:r w:rsidR="00E53833" w:rsidRPr="00CD3DF1">
        <w:t xml:space="preserve">to provide services that </w:t>
      </w:r>
      <w:r w:rsidR="00503886" w:rsidRPr="00CD3DF1">
        <w:t>are coordinated and provide continuity of care</w:t>
      </w:r>
      <w:r w:rsidR="00CD3DF1" w:rsidRPr="00CD3DF1">
        <w:t xml:space="preserve"> </w:t>
      </w:r>
      <w:r w:rsidRPr="00CD3DF1">
        <w:t>(</w:t>
      </w:r>
      <w:r w:rsidR="001B26A2" w:rsidRPr="00CD3DF1">
        <w:t>box</w:t>
      </w:r>
      <w:r w:rsidR="00503886" w:rsidRPr="00CD3DF1">
        <w:t> </w:t>
      </w:r>
      <w:r w:rsidR="00134A99">
        <w:t>13.11</w:t>
      </w:r>
      <w:r w:rsidRPr="00CD3DF1">
        <w:t>).</w:t>
      </w:r>
    </w:p>
    <w:p w14:paraId="20AA8289" w14:textId="3F6064A8" w:rsidR="008A756C" w:rsidRPr="009754CD" w:rsidRDefault="008A756C">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A756C" w:rsidRPr="00CD3DF1" w14:paraId="6A578878" w14:textId="77777777" w:rsidTr="00492B7D">
        <w:tc>
          <w:tcPr>
            <w:tcW w:w="8789" w:type="dxa"/>
            <w:tcBorders>
              <w:top w:val="single" w:sz="6" w:space="0" w:color="78A22F"/>
              <w:left w:val="nil"/>
              <w:bottom w:val="nil"/>
              <w:right w:val="nil"/>
            </w:tcBorders>
            <w:shd w:val="clear" w:color="auto" w:fill="F2F2F2"/>
          </w:tcPr>
          <w:p w14:paraId="485E7266" w14:textId="6DFEEC81" w:rsidR="008A756C" w:rsidRPr="00CD3DF1" w:rsidRDefault="008A756C" w:rsidP="002E5CCE">
            <w:pPr>
              <w:pStyle w:val="BoxTitle"/>
            </w:pPr>
            <w:r w:rsidRPr="00CD3DF1">
              <w:rPr>
                <w:b w:val="0"/>
              </w:rPr>
              <w:t xml:space="preserve">Box </w:t>
            </w:r>
            <w:r w:rsidR="00134A99">
              <w:rPr>
                <w:b w:val="0"/>
              </w:rPr>
              <w:t>13.11</w:t>
            </w:r>
            <w:r w:rsidRPr="00CD3DF1">
              <w:tab/>
              <w:t>Specialised public menta</w:t>
            </w:r>
            <w:r w:rsidR="002E5CCE">
              <w:t>l health service consumers with</w:t>
            </w:r>
            <w:r w:rsidR="00B270DF">
              <w:t xml:space="preserve"> </w:t>
            </w:r>
            <w:r w:rsidRPr="00CD3DF1">
              <w:t>nominated GP</w:t>
            </w:r>
          </w:p>
        </w:tc>
      </w:tr>
      <w:tr w:rsidR="008A756C" w:rsidRPr="00CD3DF1" w14:paraId="2B8CD5E3" w14:textId="77777777" w:rsidTr="00492B7D">
        <w:trPr>
          <w:cantSplit/>
        </w:trPr>
        <w:tc>
          <w:tcPr>
            <w:tcW w:w="8789" w:type="dxa"/>
            <w:tcBorders>
              <w:top w:val="nil"/>
              <w:left w:val="nil"/>
              <w:bottom w:val="nil"/>
              <w:right w:val="nil"/>
            </w:tcBorders>
            <w:shd w:val="clear" w:color="auto" w:fill="F2F2F2"/>
          </w:tcPr>
          <w:p w14:paraId="3B1B667E" w14:textId="77777777" w:rsidR="00637E80" w:rsidRPr="005E3DE3" w:rsidRDefault="00637E80" w:rsidP="00637E80">
            <w:pPr>
              <w:keepNext/>
              <w:spacing w:before="120" w:line="260" w:lineRule="atLeast"/>
              <w:jc w:val="both"/>
              <w:rPr>
                <w:rFonts w:ascii="Arial" w:hAnsi="Arial"/>
                <w:sz w:val="20"/>
              </w:rPr>
            </w:pPr>
            <w:r w:rsidRPr="005E3DE3">
              <w:rPr>
                <w:rFonts w:ascii="Arial" w:hAnsi="Arial"/>
                <w:sz w:val="20"/>
              </w:rPr>
              <w:t xml:space="preserve">‘Specialised public mental health service consumers with nominated GP’ is defined as the proportion of specialised public mental health service consumers with </w:t>
            </w:r>
            <w:r>
              <w:rPr>
                <w:rFonts w:ascii="Arial" w:hAnsi="Arial"/>
                <w:sz w:val="20"/>
              </w:rPr>
              <w:t xml:space="preserve">a </w:t>
            </w:r>
            <w:r w:rsidRPr="005E3DE3">
              <w:rPr>
                <w:rFonts w:ascii="Arial" w:hAnsi="Arial"/>
                <w:sz w:val="20"/>
              </w:rPr>
              <w:t>nominated GP.</w:t>
            </w:r>
          </w:p>
          <w:p w14:paraId="2537D621" w14:textId="77777777" w:rsidR="00637E80" w:rsidRPr="003612AF" w:rsidRDefault="00637E80" w:rsidP="00FF2A70">
            <w:pPr>
              <w:pStyle w:val="Box"/>
            </w:pPr>
            <w:r w:rsidRPr="00DC2F0F">
              <w:t>A high or increasing proportion</w:t>
            </w:r>
            <w:r w:rsidRPr="00747DD6">
              <w:t xml:space="preserve"> of </w:t>
            </w:r>
            <w:r w:rsidRPr="00FF2A70">
              <w:t>specialised public mental health service consumers</w:t>
            </w:r>
            <w:r w:rsidRPr="00DC2F0F">
              <w:t xml:space="preserve"> </w:t>
            </w:r>
            <w:r w:rsidRPr="00747DD6">
              <w:t>with a nominated GP is desirable.</w:t>
            </w:r>
          </w:p>
          <w:p w14:paraId="6A1E681B" w14:textId="77777777" w:rsidR="008A756C" w:rsidRPr="00CD3DF1" w:rsidRDefault="00637E80" w:rsidP="00637E80">
            <w:pPr>
              <w:pStyle w:val="Box"/>
            </w:pPr>
            <w:r w:rsidRPr="005E3DE3">
              <w:t>Data are not yet available for reporting against this indicator.</w:t>
            </w:r>
          </w:p>
        </w:tc>
      </w:tr>
      <w:tr w:rsidR="008A756C" w:rsidRPr="00CD3DF1" w14:paraId="020A9180" w14:textId="77777777" w:rsidTr="00492B7D">
        <w:trPr>
          <w:cantSplit/>
        </w:trPr>
        <w:tc>
          <w:tcPr>
            <w:tcW w:w="8789" w:type="dxa"/>
            <w:tcBorders>
              <w:top w:val="nil"/>
              <w:left w:val="nil"/>
              <w:bottom w:val="single" w:sz="6" w:space="0" w:color="78A22F"/>
              <w:right w:val="nil"/>
            </w:tcBorders>
            <w:shd w:val="clear" w:color="auto" w:fill="F2F2F2"/>
          </w:tcPr>
          <w:p w14:paraId="54F62587" w14:textId="77777777" w:rsidR="008A756C" w:rsidRPr="00CD3DF1" w:rsidRDefault="008A756C">
            <w:pPr>
              <w:pStyle w:val="Box"/>
              <w:spacing w:before="0" w:line="120" w:lineRule="exact"/>
            </w:pPr>
          </w:p>
        </w:tc>
      </w:tr>
      <w:tr w:rsidR="008A756C" w:rsidRPr="00CD3DF1" w14:paraId="472FA260" w14:textId="77777777" w:rsidTr="00492B7D">
        <w:tc>
          <w:tcPr>
            <w:tcW w:w="8789" w:type="dxa"/>
            <w:tcBorders>
              <w:top w:val="single" w:sz="6" w:space="0" w:color="78A22F"/>
              <w:left w:val="nil"/>
              <w:bottom w:val="nil"/>
              <w:right w:val="nil"/>
            </w:tcBorders>
          </w:tcPr>
          <w:p w14:paraId="6A7C8CBA" w14:textId="70026A61" w:rsidR="008A756C" w:rsidRPr="00CD3DF1" w:rsidRDefault="008A756C" w:rsidP="005E05C9">
            <w:pPr>
              <w:pStyle w:val="BoxSpaceBelow"/>
            </w:pPr>
          </w:p>
        </w:tc>
      </w:tr>
    </w:tbl>
    <w:p w14:paraId="09750F73" w14:textId="05596438" w:rsidR="00E90D6C" w:rsidRPr="00251B58" w:rsidRDefault="00E90D6C" w:rsidP="00E90D6C">
      <w:pPr>
        <w:pStyle w:val="BodyText"/>
      </w:pPr>
      <w:r w:rsidRPr="00CD3DF1">
        <w:t xml:space="preserve">GPs are often the first service accessed by people seeking help when suffering from a mental illness </w:t>
      </w:r>
      <w:r>
        <w:rPr>
          <w:shd w:val="clear" w:color="auto" w:fill="FFFFFF" w:themeFill="background1"/>
        </w:rPr>
        <w:t>(AIHW</w:t>
      </w:r>
      <w:r w:rsidR="00E83D6F">
        <w:rPr>
          <w:shd w:val="clear" w:color="auto" w:fill="FFFFFF" w:themeFill="background1"/>
        </w:rPr>
        <w:t> </w:t>
      </w:r>
      <w:r>
        <w:rPr>
          <w:shd w:val="clear" w:color="auto" w:fill="FFFFFF" w:themeFill="background1"/>
        </w:rPr>
        <w:t>201</w:t>
      </w:r>
      <w:r w:rsidR="00DA67A9">
        <w:rPr>
          <w:shd w:val="clear" w:color="auto" w:fill="FFFFFF" w:themeFill="background1"/>
        </w:rPr>
        <w:t>7</w:t>
      </w:r>
      <w:r w:rsidR="003052D0">
        <w:rPr>
          <w:shd w:val="clear" w:color="auto" w:fill="FFFFFF" w:themeFill="background1"/>
        </w:rPr>
        <w:t>a</w:t>
      </w:r>
      <w:r w:rsidRPr="00CD3DF1">
        <w:rPr>
          <w:shd w:val="clear" w:color="auto" w:fill="FFFFFF" w:themeFill="background1"/>
        </w:rPr>
        <w:t>)</w:t>
      </w:r>
      <w:r w:rsidR="00747DD6">
        <w:rPr>
          <w:shd w:val="clear" w:color="auto" w:fill="FFFFFF" w:themeFill="background1"/>
        </w:rPr>
        <w:t>,</w:t>
      </w:r>
      <w:r w:rsidR="00566E9E">
        <w:rPr>
          <w:shd w:val="clear" w:color="auto" w:fill="FFFFFF" w:themeFill="background1"/>
        </w:rPr>
        <w:t xml:space="preserve"> and</w:t>
      </w:r>
      <w:r w:rsidR="00747DD6">
        <w:rPr>
          <w:shd w:val="clear" w:color="auto" w:fill="FFFFFF" w:themeFill="background1"/>
        </w:rPr>
        <w:t xml:space="preserve"> they</w:t>
      </w:r>
      <w:r w:rsidRPr="00CD3DF1">
        <w:rPr>
          <w:shd w:val="clear" w:color="auto" w:fill="FFFFFF" w:themeFill="background1"/>
        </w:rPr>
        <w:t xml:space="preserve"> can</w:t>
      </w:r>
      <w:r w:rsidRPr="00CD3DF1">
        <w:t xml:space="preserve"> diagnose, manage and treat mental illnesses and </w:t>
      </w:r>
      <w:r w:rsidRPr="00542698">
        <w:t>refer patients to more specialised service providers</w:t>
      </w:r>
      <w:r w:rsidR="003E323F">
        <w:t>.</w:t>
      </w:r>
      <w:r>
        <w:t xml:space="preserve"> </w:t>
      </w:r>
      <w:r w:rsidR="00FA720D">
        <w:t>Whil</w:t>
      </w:r>
      <w:r w:rsidR="00FF2A70">
        <w:t>e</w:t>
      </w:r>
      <w:r w:rsidR="00FA720D">
        <w:t xml:space="preserve"> data are not available on the number of </w:t>
      </w:r>
      <w:r w:rsidR="00FF2A70">
        <w:t>specialised public mental health service consumers with a nominated GP,</w:t>
      </w:r>
      <w:r w:rsidR="00FA720D">
        <w:t xml:space="preserve"> </w:t>
      </w:r>
      <w:r w:rsidRPr="00542698">
        <w:t xml:space="preserve">an estimated </w:t>
      </w:r>
      <w:r w:rsidR="0066755C">
        <w:t>18.0 </w:t>
      </w:r>
      <w:r w:rsidR="00FA720D">
        <w:t>million G</w:t>
      </w:r>
      <w:r w:rsidRPr="00542698">
        <w:t xml:space="preserve">P </w:t>
      </w:r>
      <w:r w:rsidR="00FA720D">
        <w:t>visits</w:t>
      </w:r>
      <w:r w:rsidR="00FA720D" w:rsidRPr="00542698">
        <w:t xml:space="preserve"> </w:t>
      </w:r>
      <w:r w:rsidR="00FA720D">
        <w:t>in 2015</w:t>
      </w:r>
      <w:r w:rsidR="00BA1594">
        <w:noBreakHyphen/>
      </w:r>
      <w:r w:rsidR="00FA720D">
        <w:t xml:space="preserve">16 </w:t>
      </w:r>
      <w:r w:rsidRPr="00542698">
        <w:t>included management of mental health</w:t>
      </w:r>
      <w:r w:rsidRPr="00542698">
        <w:noBreakHyphen/>
        <w:t xml:space="preserve">related problems </w:t>
      </w:r>
      <w:r w:rsidRPr="00006D05">
        <w:t>(table 13A.</w:t>
      </w:r>
      <w:r w:rsidR="003072FC" w:rsidRPr="00006D05">
        <w:t>2</w:t>
      </w:r>
      <w:r w:rsidR="000D09C4">
        <w:t>6</w:t>
      </w:r>
      <w:r w:rsidRPr="00006D05">
        <w:t>).</w:t>
      </w:r>
    </w:p>
    <w:p w14:paraId="6ADE68B2" w14:textId="77777777" w:rsidR="008A756C" w:rsidRPr="00DE67EE" w:rsidRDefault="008A756C" w:rsidP="004A02A7">
      <w:pPr>
        <w:pStyle w:val="Heading5"/>
      </w:pPr>
      <w:r w:rsidRPr="00DE67EE">
        <w:lastRenderedPageBreak/>
        <w:t xml:space="preserve">Quality — continuity — </w:t>
      </w:r>
      <w:r w:rsidR="00254F5F" w:rsidRPr="00DE67EE">
        <w:rPr>
          <w:shd w:val="clear" w:color="auto" w:fill="FFFFFF" w:themeFill="background1"/>
        </w:rPr>
        <w:t>community follow</w:t>
      </w:r>
      <w:r w:rsidR="00AB25A8">
        <w:rPr>
          <w:shd w:val="clear" w:color="auto" w:fill="FFFFFF" w:themeFill="background1"/>
        </w:rPr>
        <w:noBreakHyphen/>
      </w:r>
      <w:r w:rsidR="00254F5F" w:rsidRPr="00DE67EE">
        <w:rPr>
          <w:shd w:val="clear" w:color="auto" w:fill="FFFFFF" w:themeFill="background1"/>
        </w:rPr>
        <w:t>up after psychiatric admission/hospitalisation</w:t>
      </w:r>
    </w:p>
    <w:p w14:paraId="71635E29" w14:textId="17ED759A" w:rsidR="008A756C" w:rsidRPr="00DE67EE" w:rsidRDefault="008A756C" w:rsidP="0008223D">
      <w:pPr>
        <w:pStyle w:val="BodyText"/>
      </w:pPr>
      <w:r w:rsidRPr="00DE67EE">
        <w:rPr>
          <w:shd w:val="clear" w:color="auto" w:fill="FFFFFF" w:themeFill="background1"/>
        </w:rPr>
        <w:t>‘</w:t>
      </w:r>
      <w:r w:rsidR="00DC0E09" w:rsidRPr="00DE67EE">
        <w:rPr>
          <w:shd w:val="clear" w:color="auto" w:fill="FFFFFF" w:themeFill="background1"/>
        </w:rPr>
        <w:t>Community follow</w:t>
      </w:r>
      <w:r w:rsidR="00AB25A8">
        <w:rPr>
          <w:shd w:val="clear" w:color="auto" w:fill="FFFFFF" w:themeFill="background1"/>
        </w:rPr>
        <w:noBreakHyphen/>
      </w:r>
      <w:r w:rsidR="00254F5F" w:rsidRPr="00DE67EE">
        <w:rPr>
          <w:shd w:val="clear" w:color="auto" w:fill="FFFFFF" w:themeFill="background1"/>
        </w:rPr>
        <w:t>up after psychiatric admission/hospitalisation</w:t>
      </w:r>
      <w:r w:rsidRPr="00DE67EE">
        <w:rPr>
          <w:shd w:val="clear" w:color="auto" w:fill="FFFFFF" w:themeFill="background1"/>
        </w:rPr>
        <w:t>’</w:t>
      </w:r>
      <w:r w:rsidRPr="00DE67EE">
        <w:t xml:space="preserve"> is an indicator of governments’ </w:t>
      </w:r>
      <w:r w:rsidR="00E53833" w:rsidRPr="00DE67EE">
        <w:t>objective to provide services that are coordinated and provide continuity of care</w:t>
      </w:r>
      <w:r w:rsidR="00194149" w:rsidRPr="00DE67EE">
        <w:t xml:space="preserve"> </w:t>
      </w:r>
      <w:r w:rsidRPr="00DE67EE">
        <w:t>(</w:t>
      </w:r>
      <w:r w:rsidR="001B26A2" w:rsidRPr="00DE67EE">
        <w:t>box</w:t>
      </w:r>
      <w:r w:rsidR="00AB25A8">
        <w:t> </w:t>
      </w:r>
      <w:r w:rsidR="00134A99">
        <w:t>13.12</w:t>
      </w:r>
      <w:r w:rsidRPr="00DE67EE">
        <w:t>).</w:t>
      </w:r>
      <w:r w:rsidR="006865C8" w:rsidRPr="00DE67EE">
        <w:t xml:space="preserve"> </w:t>
      </w:r>
    </w:p>
    <w:p w14:paraId="0C204182" w14:textId="27B7F3EA" w:rsidR="008A756C" w:rsidRPr="009754CD" w:rsidRDefault="008A756C">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E67EE" w:rsidRPr="00DE67EE" w14:paraId="1415E65F" w14:textId="77777777" w:rsidTr="00492B7D">
        <w:tc>
          <w:tcPr>
            <w:tcW w:w="8789" w:type="dxa"/>
            <w:tcBorders>
              <w:top w:val="single" w:sz="6" w:space="0" w:color="78A22F"/>
              <w:left w:val="nil"/>
              <w:bottom w:val="nil"/>
              <w:right w:val="nil"/>
            </w:tcBorders>
            <w:shd w:val="clear" w:color="auto" w:fill="F2F2F2"/>
          </w:tcPr>
          <w:p w14:paraId="4C7DE062" w14:textId="77777777" w:rsidR="008A756C" w:rsidRPr="00DE67EE" w:rsidRDefault="008A756C" w:rsidP="00134A99">
            <w:pPr>
              <w:pStyle w:val="BoxTitle"/>
            </w:pPr>
            <w:r w:rsidRPr="00DE67EE">
              <w:rPr>
                <w:b w:val="0"/>
              </w:rPr>
              <w:t xml:space="preserve">Box </w:t>
            </w:r>
            <w:r w:rsidR="00134A99">
              <w:rPr>
                <w:b w:val="0"/>
              </w:rPr>
              <w:t>13.12</w:t>
            </w:r>
            <w:r w:rsidRPr="00DE67EE">
              <w:tab/>
            </w:r>
            <w:r w:rsidR="00DC0E09" w:rsidRPr="00DE67EE">
              <w:t>Community follow</w:t>
            </w:r>
            <w:r w:rsidR="00AB25A8">
              <w:noBreakHyphen/>
            </w:r>
            <w:r w:rsidR="00254F5F" w:rsidRPr="00DE67EE">
              <w:t>up after psychiatric admission/hospitalisation</w:t>
            </w:r>
          </w:p>
        </w:tc>
      </w:tr>
      <w:tr w:rsidR="00DE67EE" w:rsidRPr="00DE67EE" w14:paraId="120FD109" w14:textId="77777777" w:rsidTr="00492B7D">
        <w:trPr>
          <w:cantSplit/>
        </w:trPr>
        <w:tc>
          <w:tcPr>
            <w:tcW w:w="8789" w:type="dxa"/>
            <w:tcBorders>
              <w:top w:val="nil"/>
              <w:left w:val="nil"/>
              <w:bottom w:val="nil"/>
              <w:right w:val="nil"/>
            </w:tcBorders>
            <w:shd w:val="clear" w:color="auto" w:fill="F2F2F2"/>
          </w:tcPr>
          <w:p w14:paraId="27338B07" w14:textId="77777777" w:rsidR="008A756C" w:rsidRPr="00DE67EE" w:rsidRDefault="008A756C" w:rsidP="008A756C">
            <w:pPr>
              <w:pStyle w:val="Box"/>
            </w:pPr>
            <w:r w:rsidRPr="00DE67EE">
              <w:t>‘</w:t>
            </w:r>
            <w:r w:rsidR="00DC0E09" w:rsidRPr="00DE67EE">
              <w:t>Community follow</w:t>
            </w:r>
            <w:r w:rsidR="00AB25A8">
              <w:noBreakHyphen/>
            </w:r>
            <w:r w:rsidR="00254F5F" w:rsidRPr="00DE67EE">
              <w:t>up after psychiatric admission/hospitalisation</w:t>
            </w:r>
            <w:r w:rsidRPr="00DE67EE">
              <w:t xml:space="preserve">’ is defined as the proportion of </w:t>
            </w:r>
            <w:r w:rsidR="002B1784" w:rsidRPr="00DE67EE">
              <w:t>State and Territory governments’ specialised</w:t>
            </w:r>
            <w:r w:rsidR="00F34F73" w:rsidRPr="00DE67EE">
              <w:t xml:space="preserve"> public</w:t>
            </w:r>
            <w:r w:rsidR="002B1784" w:rsidRPr="00DE67EE">
              <w:t xml:space="preserve"> </w:t>
            </w:r>
            <w:r w:rsidRPr="00DE67EE">
              <w:t xml:space="preserve">admitted patient overnight acute separations from psychiatric </w:t>
            </w:r>
            <w:r w:rsidR="002B1784" w:rsidRPr="00DE67EE">
              <w:t>units</w:t>
            </w:r>
            <w:r w:rsidRPr="00DE67EE">
              <w:t xml:space="preserve"> for which a community</w:t>
            </w:r>
            <w:r w:rsidR="00E63FAB" w:rsidRPr="00DE67EE">
              <w:noBreakHyphen/>
            </w:r>
            <w:r w:rsidRPr="00DE67EE">
              <w:t xml:space="preserve">based ambulatory contact was recorded in the seven days following separation. </w:t>
            </w:r>
          </w:p>
          <w:p w14:paraId="7F694E13" w14:textId="77777777" w:rsidR="008A756C" w:rsidRPr="00DE67EE" w:rsidRDefault="008A756C" w:rsidP="008A756C">
            <w:pPr>
              <w:pStyle w:val="Box"/>
            </w:pPr>
            <w:r w:rsidRPr="00DE67EE">
              <w:t>A high or incr</w:t>
            </w:r>
            <w:r w:rsidR="00DC0E09" w:rsidRPr="00DE67EE">
              <w:t>easing rate of community follow</w:t>
            </w:r>
            <w:r w:rsidR="00AB25A8">
              <w:noBreakHyphen/>
            </w:r>
            <w:r w:rsidRPr="00DE67EE">
              <w:t>up within the first seven days of discharge from hospital is desirable.</w:t>
            </w:r>
          </w:p>
          <w:p w14:paraId="05E53A7F" w14:textId="77777777" w:rsidR="00117896" w:rsidRPr="00DE67EE" w:rsidRDefault="008A756C" w:rsidP="008A756C">
            <w:pPr>
              <w:pStyle w:val="Box"/>
            </w:pPr>
            <w:r w:rsidRPr="00DE67EE">
              <w:t xml:space="preserve">This indicator does not measure the frequency of contacts recorded in the seven days following separation. </w:t>
            </w:r>
            <w:r w:rsidR="00E8193A">
              <w:t xml:space="preserve">Neither </w:t>
            </w:r>
            <w:r w:rsidRPr="00DE67EE">
              <w:t xml:space="preserve">does </w:t>
            </w:r>
            <w:r w:rsidR="00E8193A">
              <w:t>it</w:t>
            </w:r>
            <w:r w:rsidRPr="00DE67EE">
              <w:t xml:space="preserve"> distinguish qualitative dif</w:t>
            </w:r>
            <w:r w:rsidR="001D727E" w:rsidRPr="00DE67EE">
              <w:t xml:space="preserve">ferences between </w:t>
            </w:r>
            <w:r w:rsidR="00F34F73" w:rsidRPr="00DE67EE">
              <w:t>the mode of</w:t>
            </w:r>
            <w:r w:rsidRPr="00DE67EE">
              <w:t xml:space="preserve"> contact. Only </w:t>
            </w:r>
            <w:r w:rsidR="00DC0E09" w:rsidRPr="00DE67EE">
              <w:t>follow</w:t>
            </w:r>
            <w:r w:rsidR="00AB25A8">
              <w:noBreakHyphen/>
            </w:r>
            <w:r w:rsidR="00F34F73" w:rsidRPr="00DE67EE">
              <w:t xml:space="preserve">up </w:t>
            </w:r>
            <w:r w:rsidRPr="00DE67EE">
              <w:t>contact</w:t>
            </w:r>
            <w:r w:rsidR="002B1784" w:rsidRPr="00DE67EE">
              <w:t>s</w:t>
            </w:r>
            <w:r w:rsidRPr="00DE67EE">
              <w:t xml:space="preserve"> made by State and Territory </w:t>
            </w:r>
            <w:r w:rsidR="00A704F8" w:rsidRPr="00DE67EE">
              <w:t xml:space="preserve">governments’ </w:t>
            </w:r>
            <w:r w:rsidRPr="00DE67EE">
              <w:t xml:space="preserve">specialised public mental health services are included. </w:t>
            </w:r>
          </w:p>
          <w:p w14:paraId="4601DCE6" w14:textId="77777777" w:rsidR="008A756C" w:rsidRPr="00DE67EE" w:rsidRDefault="008A756C" w:rsidP="008A756C">
            <w:pPr>
              <w:pStyle w:val="Box"/>
            </w:pPr>
            <w:r w:rsidRPr="00DE67EE">
              <w:t>Data reported for this indicator are:</w:t>
            </w:r>
          </w:p>
          <w:p w14:paraId="50843753" w14:textId="77777777" w:rsidR="008A756C" w:rsidRPr="00DE67EE" w:rsidRDefault="008A756C" w:rsidP="008A756C">
            <w:pPr>
              <w:pStyle w:val="BoxListBullet"/>
            </w:pPr>
            <w:r w:rsidRPr="00DE67EE">
              <w:t xml:space="preserve">comparable (subject to caveats) </w:t>
            </w:r>
            <w:r w:rsidR="002B1784" w:rsidRPr="00DE67EE">
              <w:t>within some jurisdictions over time but are not comparable across jurisdictions or over time for other jurisdictions</w:t>
            </w:r>
          </w:p>
          <w:p w14:paraId="7B4B47D6" w14:textId="2E23D9F0" w:rsidR="008A756C" w:rsidRPr="00DE67EE" w:rsidRDefault="008A756C" w:rsidP="009743E7">
            <w:pPr>
              <w:pStyle w:val="BoxListBullet"/>
            </w:pPr>
            <w:r w:rsidRPr="00DE67EE">
              <w:t>complete</w:t>
            </w:r>
            <w:r w:rsidR="002245A4" w:rsidRPr="00DE67EE">
              <w:t xml:space="preserve"> (subject to caveats)</w:t>
            </w:r>
            <w:r w:rsidRPr="00DE67EE">
              <w:t xml:space="preserve"> for the current reporting period. All required </w:t>
            </w:r>
            <w:r w:rsidR="00185B0D" w:rsidRPr="00DE67EE">
              <w:t>201</w:t>
            </w:r>
            <w:r w:rsidR="009743E7">
              <w:t>5</w:t>
            </w:r>
            <w:r w:rsidRPr="00DE67EE">
              <w:noBreakHyphen/>
            </w:r>
            <w:r w:rsidR="00185B0D" w:rsidRPr="00DE67EE">
              <w:t>1</w:t>
            </w:r>
            <w:r w:rsidR="009743E7">
              <w:t>6</w:t>
            </w:r>
            <w:r w:rsidR="00185B0D" w:rsidRPr="00DE67EE">
              <w:t xml:space="preserve"> </w:t>
            </w:r>
            <w:r w:rsidRPr="00DE67EE">
              <w:t xml:space="preserve">data are available for </w:t>
            </w:r>
            <w:r w:rsidR="002B1784" w:rsidRPr="00DE67EE">
              <w:t>all jurisdictions</w:t>
            </w:r>
            <w:r w:rsidR="001A14D4" w:rsidRPr="00DE67EE">
              <w:t>.</w:t>
            </w:r>
          </w:p>
        </w:tc>
      </w:tr>
      <w:tr w:rsidR="00DE67EE" w:rsidRPr="00DE67EE" w14:paraId="4F39EC44" w14:textId="77777777" w:rsidTr="00492B7D">
        <w:trPr>
          <w:cantSplit/>
        </w:trPr>
        <w:tc>
          <w:tcPr>
            <w:tcW w:w="8789" w:type="dxa"/>
            <w:tcBorders>
              <w:top w:val="nil"/>
              <w:left w:val="nil"/>
              <w:bottom w:val="single" w:sz="6" w:space="0" w:color="78A22F"/>
              <w:right w:val="nil"/>
            </w:tcBorders>
            <w:shd w:val="clear" w:color="auto" w:fill="F2F2F2"/>
          </w:tcPr>
          <w:p w14:paraId="03D2F627" w14:textId="77777777" w:rsidR="008A756C" w:rsidRPr="00DE67EE" w:rsidRDefault="008A756C">
            <w:pPr>
              <w:pStyle w:val="Box"/>
              <w:spacing w:before="0" w:line="120" w:lineRule="exact"/>
            </w:pPr>
          </w:p>
        </w:tc>
      </w:tr>
      <w:tr w:rsidR="00DE67EE" w:rsidRPr="00ED5A67" w14:paraId="6A874A98" w14:textId="77777777" w:rsidTr="00492B7D">
        <w:tc>
          <w:tcPr>
            <w:tcW w:w="8789" w:type="dxa"/>
            <w:tcBorders>
              <w:top w:val="single" w:sz="6" w:space="0" w:color="78A22F"/>
              <w:left w:val="nil"/>
              <w:bottom w:val="nil"/>
              <w:right w:val="nil"/>
            </w:tcBorders>
          </w:tcPr>
          <w:p w14:paraId="7C29CC15" w14:textId="57152868" w:rsidR="008A756C" w:rsidRPr="00ED5A67" w:rsidRDefault="008A756C" w:rsidP="005E05C9">
            <w:pPr>
              <w:pStyle w:val="BoxSpaceBelow"/>
            </w:pPr>
          </w:p>
        </w:tc>
      </w:tr>
    </w:tbl>
    <w:p w14:paraId="3997758E" w14:textId="18B6B5D0" w:rsidR="00B270DF" w:rsidRPr="00953BC1" w:rsidRDefault="002E77D5" w:rsidP="00953BC1">
      <w:pPr>
        <w:pStyle w:val="BodyText"/>
      </w:pPr>
      <w:r w:rsidRPr="00ED5A67">
        <w:t>Nationally</w:t>
      </w:r>
      <w:r w:rsidR="00F34F73" w:rsidRPr="00ED5A67">
        <w:t>,</w:t>
      </w:r>
      <w:r w:rsidR="00E63FAB" w:rsidRPr="00ED5A67">
        <w:t xml:space="preserve"> the rate of community follow</w:t>
      </w:r>
      <w:r w:rsidR="005A48BD" w:rsidRPr="00ED5A67">
        <w:noBreakHyphen/>
      </w:r>
      <w:r w:rsidR="00E63FAB" w:rsidRPr="00ED5A67">
        <w:t xml:space="preserve">up for people within the first seven days of discharge from an acute inpatient psychiatric unit </w:t>
      </w:r>
      <w:r w:rsidRPr="00ED5A67">
        <w:t>ha</w:t>
      </w:r>
      <w:r w:rsidR="002B1784" w:rsidRPr="00ED5A67">
        <w:t>s</w:t>
      </w:r>
      <w:r w:rsidRPr="00ED5A67">
        <w:t xml:space="preserve"> increased </w:t>
      </w:r>
      <w:r w:rsidR="00F34F73" w:rsidRPr="00ED5A67">
        <w:t xml:space="preserve">from </w:t>
      </w:r>
      <w:r w:rsidR="00200147">
        <w:t>55.1</w:t>
      </w:r>
      <w:r w:rsidR="007E7C79">
        <w:t> </w:t>
      </w:r>
      <w:r w:rsidR="00F34F73" w:rsidRPr="00ED5A67">
        <w:t>per</w:t>
      </w:r>
      <w:r w:rsidR="007E7C79">
        <w:t> </w:t>
      </w:r>
      <w:r w:rsidR="00F34F73" w:rsidRPr="00ED5A67">
        <w:t>cent in</w:t>
      </w:r>
      <w:r w:rsidRPr="00ED5A67">
        <w:t xml:space="preserve"> 20</w:t>
      </w:r>
      <w:r w:rsidR="001F16C1">
        <w:t>1</w:t>
      </w:r>
      <w:r w:rsidR="00C35D51">
        <w:t>1</w:t>
      </w:r>
      <w:r w:rsidR="00463329" w:rsidRPr="00ED5A67">
        <w:noBreakHyphen/>
      </w:r>
      <w:r w:rsidRPr="00ED5A67">
        <w:t>1</w:t>
      </w:r>
      <w:r w:rsidR="00C35D51">
        <w:t>2</w:t>
      </w:r>
      <w:r w:rsidRPr="00ED5A67">
        <w:t xml:space="preserve"> </w:t>
      </w:r>
      <w:r w:rsidRPr="00DE72F1">
        <w:t xml:space="preserve">to </w:t>
      </w:r>
      <w:r w:rsidR="0066755C">
        <w:t>68.2</w:t>
      </w:r>
      <w:r w:rsidR="007E7C79">
        <w:t> </w:t>
      </w:r>
      <w:r w:rsidR="0066755C">
        <w:t>per</w:t>
      </w:r>
      <w:r w:rsidR="007E7C79">
        <w:t> </w:t>
      </w:r>
      <w:r w:rsidR="0066755C">
        <w:t>cent</w:t>
      </w:r>
      <w:r w:rsidRPr="00ED5A67">
        <w:t xml:space="preserve"> in </w:t>
      </w:r>
      <w:r w:rsidRPr="00006D05">
        <w:t>201</w:t>
      </w:r>
      <w:r w:rsidR="001F16C1">
        <w:t>5</w:t>
      </w:r>
      <w:r w:rsidR="00463329" w:rsidRPr="00006D05">
        <w:noBreakHyphen/>
      </w:r>
      <w:r w:rsidRPr="00006D05">
        <w:t>1</w:t>
      </w:r>
      <w:r w:rsidR="001F16C1">
        <w:t>6</w:t>
      </w:r>
      <w:r w:rsidR="00E63FAB" w:rsidRPr="00006D05">
        <w:t xml:space="preserve"> </w:t>
      </w:r>
      <w:r w:rsidR="00081EAC" w:rsidRPr="00006D05">
        <w:t>(</w:t>
      </w:r>
      <w:r w:rsidR="001B26A2" w:rsidRPr="00006D05">
        <w:t>figure</w:t>
      </w:r>
      <w:r w:rsidR="00AB25A8">
        <w:t> </w:t>
      </w:r>
      <w:r w:rsidR="000428B3">
        <w:t>13.10</w:t>
      </w:r>
      <w:r w:rsidR="00081EAC" w:rsidRPr="00006D05">
        <w:t>)</w:t>
      </w:r>
      <w:r w:rsidR="00E63FAB" w:rsidRPr="00006D05">
        <w:t>.</w:t>
      </w:r>
      <w:r w:rsidR="005A48BD" w:rsidRPr="00006D05">
        <w:t xml:space="preserve"> Community follow</w:t>
      </w:r>
      <w:r w:rsidR="005A48BD" w:rsidRPr="00006D05">
        <w:noBreakHyphen/>
        <w:t>up rates</w:t>
      </w:r>
      <w:r w:rsidR="00DB57FA">
        <w:t xml:space="preserve"> </w:t>
      </w:r>
      <w:r w:rsidR="005A48BD" w:rsidRPr="00006D05">
        <w:t xml:space="preserve">by Indigenous status, remoteness areas, SEIFA, age groups and gender are in </w:t>
      </w:r>
      <w:r w:rsidR="00C35D51">
        <w:br/>
      </w:r>
      <w:r w:rsidR="005A48BD" w:rsidRPr="00006D05">
        <w:t>tables</w:t>
      </w:r>
      <w:r w:rsidR="00C35D51">
        <w:t> </w:t>
      </w:r>
      <w:r w:rsidR="001B26A2" w:rsidRPr="00006D05">
        <w:t>13A.</w:t>
      </w:r>
      <w:r w:rsidR="003072FC" w:rsidRPr="00006D05">
        <w:t>2</w:t>
      </w:r>
      <w:r w:rsidR="000D09C4">
        <w:t>7</w:t>
      </w:r>
      <w:r w:rsidR="00BA1594">
        <w:noBreakHyphen/>
      </w:r>
      <w:r w:rsidR="003072FC" w:rsidRPr="00006D05">
        <w:t>2</w:t>
      </w:r>
      <w:r w:rsidR="000D09C4">
        <w:t>8</w:t>
      </w:r>
      <w:r w:rsidR="003072FC" w:rsidRPr="00006D05">
        <w:t>.</w:t>
      </w:r>
    </w:p>
    <w:p w14:paraId="02BAE353" w14:textId="61BBF3CC" w:rsidR="00E63FAB" w:rsidRPr="009754CD" w:rsidRDefault="00E63FAB" w:rsidP="005E05C9">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63FAB" w:rsidRPr="00DE67EE" w14:paraId="28E02EC5" w14:textId="77777777" w:rsidTr="00492B7D">
        <w:trPr>
          <w:cantSplit/>
        </w:trPr>
        <w:tc>
          <w:tcPr>
            <w:tcW w:w="8789" w:type="dxa"/>
            <w:tcBorders>
              <w:top w:val="single" w:sz="6" w:space="0" w:color="78A22F"/>
              <w:left w:val="nil"/>
              <w:bottom w:val="nil"/>
              <w:right w:val="nil"/>
            </w:tcBorders>
            <w:shd w:val="clear" w:color="auto" w:fill="FFFFFF" w:themeFill="background1"/>
          </w:tcPr>
          <w:p w14:paraId="56AF947C" w14:textId="3888FB57" w:rsidR="00B0283F" w:rsidRPr="00953BC1" w:rsidRDefault="00E63FAB" w:rsidP="00953BC1">
            <w:pPr>
              <w:pStyle w:val="FigureTitle"/>
              <w:rPr>
                <w:rStyle w:val="DraftingNote"/>
                <w:b/>
                <w:color w:val="auto"/>
                <w:position w:val="6"/>
                <w:sz w:val="18"/>
                <w:u w:val="none"/>
              </w:rPr>
            </w:pPr>
            <w:r w:rsidRPr="00ED5A67">
              <w:rPr>
                <w:b w:val="0"/>
              </w:rPr>
              <w:t xml:space="preserve">Figure </w:t>
            </w:r>
            <w:r w:rsidR="000428B3">
              <w:rPr>
                <w:b w:val="0"/>
              </w:rPr>
              <w:t>13.10</w:t>
            </w:r>
            <w:r w:rsidRPr="00ED5A67">
              <w:tab/>
            </w:r>
            <w:r w:rsidR="005A48BD" w:rsidRPr="00ED5A67">
              <w:t>Community follow</w:t>
            </w:r>
            <w:r w:rsidR="00AB25A8">
              <w:noBreakHyphen/>
            </w:r>
            <w:r w:rsidRPr="00ED5A67">
              <w:t>up for people within the first seven days of discharge from acute inpatient psychiatric units</w:t>
            </w:r>
            <w:r w:rsidRPr="00ED5A67">
              <w:rPr>
                <w:rStyle w:val="NoteLabel"/>
                <w:b/>
              </w:rPr>
              <w:t>a, b</w:t>
            </w:r>
          </w:p>
        </w:tc>
      </w:tr>
      <w:tr w:rsidR="00E63FAB" w:rsidRPr="00DE67EE" w14:paraId="51AD17FA" w14:textId="77777777" w:rsidTr="00492B7D">
        <w:trPr>
          <w:cantSplit/>
        </w:trPr>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E63FAB" w:rsidRPr="00DE67EE" w14:paraId="2C1CD06B" w14:textId="77777777" w:rsidTr="00693EDF">
              <w:trPr>
                <w:jc w:val="center"/>
              </w:trPr>
              <w:tc>
                <w:tcPr>
                  <w:tcW w:w="8504" w:type="dxa"/>
                  <w:tcBorders>
                    <w:top w:val="nil"/>
                    <w:bottom w:val="nil"/>
                    <w:right w:val="nil"/>
                  </w:tcBorders>
                  <w:shd w:val="clear" w:color="auto" w:fill="FFFFFF" w:themeFill="background1"/>
                </w:tcPr>
                <w:p w14:paraId="3B6EFE41" w14:textId="7D017620" w:rsidR="0004369D" w:rsidRPr="00AA1B2E" w:rsidRDefault="00693EDF" w:rsidP="00AA1B2E">
                  <w:pPr>
                    <w:pStyle w:val="Figure"/>
                  </w:pPr>
                  <w:r>
                    <w:rPr>
                      <w:noProof/>
                    </w:rPr>
                    <w:drawing>
                      <wp:inline distT="0" distB="0" distL="0" distR="0" wp14:anchorId="3C1DAAF4" wp14:editId="5CD3F4CF">
                        <wp:extent cx="5266650" cy="2700000"/>
                        <wp:effectExtent l="0" t="0" r="0" b="5715"/>
                        <wp:docPr id="27" name="Chart 27" descr="More details can be found within the text surrounding this image." title="Figure 13.10 Community follow-up for people within the first seven days of discharge from acute inpatient psychiatric uni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68745350" w14:textId="77777777" w:rsidR="00E63FAB" w:rsidRPr="00DE67EE" w:rsidRDefault="00E63FAB" w:rsidP="005E05C9">
            <w:pPr>
              <w:pStyle w:val="Figure"/>
            </w:pPr>
          </w:p>
        </w:tc>
      </w:tr>
      <w:tr w:rsidR="00E63FAB" w:rsidRPr="00006D05" w14:paraId="082C6433" w14:textId="77777777" w:rsidTr="00492B7D">
        <w:trPr>
          <w:cantSplit/>
        </w:trPr>
        <w:tc>
          <w:tcPr>
            <w:tcW w:w="8789" w:type="dxa"/>
            <w:tcBorders>
              <w:top w:val="nil"/>
              <w:left w:val="nil"/>
              <w:bottom w:val="nil"/>
              <w:right w:val="nil"/>
            </w:tcBorders>
            <w:shd w:val="clear" w:color="auto" w:fill="auto"/>
          </w:tcPr>
          <w:p w14:paraId="787DAB95" w14:textId="6E2886D2" w:rsidR="00E63FAB" w:rsidRPr="00006D05" w:rsidRDefault="00E63FAB" w:rsidP="000D09C4">
            <w:pPr>
              <w:pStyle w:val="Note"/>
              <w:rPr>
                <w:i/>
              </w:rPr>
            </w:pPr>
            <w:r w:rsidRPr="00006D05">
              <w:rPr>
                <w:rStyle w:val="NoteLabel"/>
              </w:rPr>
              <w:t>a</w:t>
            </w:r>
            <w:r w:rsidRPr="00006D05">
              <w:t xml:space="preserve"> </w:t>
            </w:r>
            <w:r w:rsidR="002F5428" w:rsidRPr="00006D05">
              <w:t xml:space="preserve">See </w:t>
            </w:r>
            <w:r w:rsidR="001B26A2" w:rsidRPr="00006D05">
              <w:t>box</w:t>
            </w:r>
            <w:r w:rsidR="00AB25A8">
              <w:t> </w:t>
            </w:r>
            <w:r w:rsidR="00B270DF">
              <w:t>13.12</w:t>
            </w:r>
            <w:r w:rsidR="00721073" w:rsidRPr="00006D05">
              <w:t xml:space="preserve"> </w:t>
            </w:r>
            <w:r w:rsidR="002F5428" w:rsidRPr="00006D05">
              <w:t>and</w:t>
            </w:r>
            <w:r w:rsidR="006865C8" w:rsidRPr="00006D05">
              <w:t xml:space="preserve"> table</w:t>
            </w:r>
            <w:r w:rsidR="00463329" w:rsidRPr="00006D05">
              <w:t> </w:t>
            </w:r>
            <w:r w:rsidR="001B26A2" w:rsidRPr="00006D05">
              <w:t>13A.</w:t>
            </w:r>
            <w:r w:rsidR="003072FC" w:rsidRPr="00006D05">
              <w:t>2</w:t>
            </w:r>
            <w:r w:rsidR="000D09C4">
              <w:t>9</w:t>
            </w:r>
            <w:r w:rsidR="006865C8" w:rsidRPr="00006D05">
              <w:t xml:space="preserve"> </w:t>
            </w:r>
            <w:r w:rsidR="00C9207F" w:rsidRPr="00006D05">
              <w:t>for detailed definitions, footnotes and caveats</w:t>
            </w:r>
            <w:r w:rsidR="006865C8" w:rsidRPr="00006D05">
              <w:t>.</w:t>
            </w:r>
            <w:r w:rsidRPr="00006D05">
              <w:t xml:space="preserve"> </w:t>
            </w:r>
            <w:r w:rsidR="00185B0D" w:rsidRPr="00006D05">
              <w:rPr>
                <w:rStyle w:val="NoteLabel"/>
              </w:rPr>
              <w:t>b</w:t>
            </w:r>
            <w:r w:rsidR="00185B0D" w:rsidRPr="00006D05">
              <w:t> </w:t>
            </w:r>
            <w:r w:rsidRPr="00006D05">
              <w:t xml:space="preserve">Victorian data are not available </w:t>
            </w:r>
            <w:r w:rsidR="005A48BD" w:rsidRPr="00006D05">
              <w:t>for 2011</w:t>
            </w:r>
            <w:r w:rsidR="0022260C" w:rsidRPr="00006D05">
              <w:noBreakHyphen/>
            </w:r>
            <w:r w:rsidR="005A48BD" w:rsidRPr="00006D05">
              <w:t>12 and 2012</w:t>
            </w:r>
            <w:r w:rsidR="0022260C" w:rsidRPr="00006D05">
              <w:noBreakHyphen/>
            </w:r>
            <w:r w:rsidR="005A48BD" w:rsidRPr="00006D05">
              <w:t>13</w:t>
            </w:r>
            <w:r w:rsidRPr="00006D05">
              <w:t xml:space="preserve">. </w:t>
            </w:r>
          </w:p>
        </w:tc>
      </w:tr>
      <w:tr w:rsidR="00E63FAB" w:rsidRPr="00DE67EE" w14:paraId="43BF2D92" w14:textId="77777777" w:rsidTr="00492B7D">
        <w:trPr>
          <w:cantSplit/>
        </w:trPr>
        <w:tc>
          <w:tcPr>
            <w:tcW w:w="8789" w:type="dxa"/>
            <w:tcBorders>
              <w:top w:val="nil"/>
              <w:left w:val="nil"/>
              <w:bottom w:val="nil"/>
              <w:right w:val="nil"/>
            </w:tcBorders>
            <w:shd w:val="clear" w:color="auto" w:fill="auto"/>
          </w:tcPr>
          <w:p w14:paraId="2A0CAFC0" w14:textId="77497C58" w:rsidR="00E63FAB" w:rsidRPr="00DE67EE" w:rsidRDefault="00E63FAB" w:rsidP="000D09C4">
            <w:pPr>
              <w:pStyle w:val="Source"/>
            </w:pPr>
            <w:r w:rsidRPr="00006D05">
              <w:rPr>
                <w:i/>
              </w:rPr>
              <w:t>Source</w:t>
            </w:r>
            <w:r w:rsidRPr="00006D05">
              <w:t xml:space="preserve">: </w:t>
            </w:r>
            <w:r w:rsidR="00335B81" w:rsidRPr="00006D05">
              <w:t xml:space="preserve">AIHW </w:t>
            </w:r>
            <w:r w:rsidR="001D727E" w:rsidRPr="00006D05">
              <w:t>(</w:t>
            </w:r>
            <w:r w:rsidR="00335B81" w:rsidRPr="00006D05">
              <w:t>unpublished</w:t>
            </w:r>
            <w:r w:rsidR="001D727E" w:rsidRPr="00006D05">
              <w:t>)</w:t>
            </w:r>
            <w:r w:rsidR="00335B81" w:rsidRPr="00006D05">
              <w:t>, from data provided by State and Territory governments</w:t>
            </w:r>
            <w:r w:rsidRPr="00006D05">
              <w:t>; table </w:t>
            </w:r>
            <w:r w:rsidR="001B26A2" w:rsidRPr="00006D05">
              <w:t>13A.</w:t>
            </w:r>
            <w:r w:rsidR="003072FC" w:rsidRPr="00006D05">
              <w:t>2</w:t>
            </w:r>
            <w:r w:rsidR="000D09C4">
              <w:t>9</w:t>
            </w:r>
            <w:r w:rsidRPr="00006D05">
              <w:t>.</w:t>
            </w:r>
          </w:p>
        </w:tc>
      </w:tr>
      <w:tr w:rsidR="00E63FAB" w:rsidRPr="00DE67EE" w14:paraId="048809C3" w14:textId="77777777" w:rsidTr="00492B7D">
        <w:trPr>
          <w:cantSplit/>
        </w:trPr>
        <w:tc>
          <w:tcPr>
            <w:tcW w:w="8789" w:type="dxa"/>
            <w:tcBorders>
              <w:top w:val="nil"/>
              <w:left w:val="nil"/>
              <w:bottom w:val="single" w:sz="6" w:space="0" w:color="78A22F"/>
              <w:right w:val="nil"/>
            </w:tcBorders>
            <w:shd w:val="clear" w:color="auto" w:fill="auto"/>
          </w:tcPr>
          <w:p w14:paraId="18440532" w14:textId="77777777" w:rsidR="00E63FAB" w:rsidRPr="00DE67EE" w:rsidRDefault="00E63FAB" w:rsidP="005E05C9">
            <w:pPr>
              <w:pStyle w:val="Figurespace"/>
            </w:pPr>
          </w:p>
        </w:tc>
      </w:tr>
      <w:tr w:rsidR="00E63FAB" w:rsidRPr="00DE67EE" w14:paraId="670EFF40" w14:textId="77777777" w:rsidTr="00492B7D">
        <w:trPr>
          <w:cantSplit/>
        </w:trPr>
        <w:tc>
          <w:tcPr>
            <w:tcW w:w="8789" w:type="dxa"/>
            <w:tcBorders>
              <w:top w:val="single" w:sz="6" w:space="0" w:color="78A22F"/>
              <w:left w:val="nil"/>
              <w:bottom w:val="nil"/>
              <w:right w:val="nil"/>
            </w:tcBorders>
          </w:tcPr>
          <w:p w14:paraId="71EB32F6" w14:textId="0284C709" w:rsidR="00E63FAB" w:rsidRPr="00DE67EE" w:rsidRDefault="00E63FAB" w:rsidP="005E05C9">
            <w:pPr>
              <w:pStyle w:val="BoxSpaceBelow"/>
            </w:pPr>
          </w:p>
        </w:tc>
      </w:tr>
    </w:tbl>
    <w:p w14:paraId="45632C11" w14:textId="77777777" w:rsidR="00BF3E92" w:rsidRPr="00DE67EE" w:rsidRDefault="00BF3E92" w:rsidP="004A02A7">
      <w:pPr>
        <w:pStyle w:val="Heading5"/>
      </w:pPr>
      <w:r w:rsidRPr="00DE67EE">
        <w:t>Quality — continuity — readmissions to hospital within 28 days of discharge</w:t>
      </w:r>
    </w:p>
    <w:p w14:paraId="089E5EA6" w14:textId="2D1E8A63" w:rsidR="0036759D" w:rsidRDefault="00BF3E92" w:rsidP="002315C6">
      <w:pPr>
        <w:pStyle w:val="BodyText"/>
      </w:pPr>
      <w:r w:rsidRPr="00DE67EE">
        <w:t xml:space="preserve">‘Readmissions to hospital within 28 days of discharge’ is an indicator of governments’ objective </w:t>
      </w:r>
      <w:r w:rsidR="00E53833" w:rsidRPr="00DE67EE">
        <w:t xml:space="preserve">to provide services that are coordinated and provide continuity of care </w:t>
      </w:r>
      <w:r w:rsidRPr="00DE67EE">
        <w:t>(</w:t>
      </w:r>
      <w:r w:rsidR="001B26A2" w:rsidRPr="00DE67EE">
        <w:t>box</w:t>
      </w:r>
      <w:r w:rsidR="00AB25A8">
        <w:t> </w:t>
      </w:r>
      <w:r w:rsidR="00134A99">
        <w:t>13.13</w:t>
      </w:r>
      <w:r w:rsidRPr="00DE67EE">
        <w:t>).</w:t>
      </w:r>
    </w:p>
    <w:p w14:paraId="3EA1AAF2" w14:textId="7C264F5D" w:rsidR="00D47EA9" w:rsidRPr="009754CD" w:rsidRDefault="00D47EA9" w:rsidP="000D09C4">
      <w:pPr>
        <w:pStyle w:val="BoxSpaceAbove"/>
        <w:widowControl w:val="0"/>
        <w:spacing w:before="320"/>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47EA9" w:rsidRPr="00DE67EE" w14:paraId="22BA2C8E" w14:textId="77777777" w:rsidTr="00492B7D">
        <w:tc>
          <w:tcPr>
            <w:tcW w:w="8789" w:type="dxa"/>
            <w:tcBorders>
              <w:top w:val="single" w:sz="6" w:space="0" w:color="78A22F"/>
              <w:left w:val="nil"/>
              <w:bottom w:val="nil"/>
              <w:right w:val="nil"/>
            </w:tcBorders>
            <w:shd w:val="clear" w:color="auto" w:fill="F2F2F2"/>
          </w:tcPr>
          <w:p w14:paraId="5B27D8EF" w14:textId="77777777" w:rsidR="00D47EA9" w:rsidRPr="00DE67EE" w:rsidRDefault="00D47EA9" w:rsidP="000D09C4">
            <w:pPr>
              <w:pStyle w:val="BoxTitle"/>
              <w:keepLines w:val="0"/>
              <w:widowControl w:val="0"/>
              <w:rPr>
                <w:i/>
              </w:rPr>
            </w:pPr>
            <w:r w:rsidRPr="00DE67EE">
              <w:rPr>
                <w:b w:val="0"/>
              </w:rPr>
              <w:t xml:space="preserve">Box </w:t>
            </w:r>
            <w:r w:rsidR="00134A99">
              <w:rPr>
                <w:b w:val="0"/>
              </w:rPr>
              <w:t>13.13</w:t>
            </w:r>
            <w:r w:rsidRPr="00DE67EE">
              <w:tab/>
              <w:t>Readmissions to hospital within 28 days of discharge</w:t>
            </w:r>
          </w:p>
        </w:tc>
      </w:tr>
      <w:tr w:rsidR="00D47EA9" w:rsidRPr="00DE67EE" w14:paraId="66FCA533" w14:textId="77777777" w:rsidTr="00492B7D">
        <w:trPr>
          <w:cantSplit/>
        </w:trPr>
        <w:tc>
          <w:tcPr>
            <w:tcW w:w="8789" w:type="dxa"/>
            <w:tcBorders>
              <w:top w:val="nil"/>
              <w:left w:val="nil"/>
              <w:bottom w:val="nil"/>
              <w:right w:val="nil"/>
            </w:tcBorders>
            <w:shd w:val="clear" w:color="auto" w:fill="F2F2F2"/>
          </w:tcPr>
          <w:p w14:paraId="5B4C145B" w14:textId="5521B1CE" w:rsidR="00EA7DAD" w:rsidRDefault="00D47EA9" w:rsidP="000D09C4">
            <w:pPr>
              <w:pStyle w:val="Box"/>
              <w:widowControl w:val="0"/>
            </w:pPr>
            <w:r w:rsidRPr="00DE67EE">
              <w:t>‘Readmissions to hospital within 28 days of discharge’ is defined as the proportion of State and Territory governments’ admitted patient overnight separations from</w:t>
            </w:r>
            <w:r w:rsidR="008004E1" w:rsidRPr="00DE67EE">
              <w:t xml:space="preserve"> </w:t>
            </w:r>
            <w:r w:rsidRPr="00DE67EE">
              <w:t xml:space="preserve">psychiatric acute </w:t>
            </w:r>
            <w:r w:rsidR="008004E1" w:rsidRPr="00DE67EE">
              <w:t xml:space="preserve">inpatient </w:t>
            </w:r>
            <w:r w:rsidRPr="00DE67EE">
              <w:t xml:space="preserve">units that were followed by readmission to </w:t>
            </w:r>
            <w:r w:rsidR="00E8193A">
              <w:t>the same type of</w:t>
            </w:r>
            <w:r w:rsidRPr="00DE67EE">
              <w:t xml:space="preserve"> uni</w:t>
            </w:r>
            <w:r w:rsidR="007E7C79">
              <w:t>t within 28 </w:t>
            </w:r>
            <w:r w:rsidR="00576003" w:rsidRPr="00DE67EE">
              <w:t>days of discharge.</w:t>
            </w:r>
            <w:r w:rsidR="00EA7DAD">
              <w:t xml:space="preserve"> </w:t>
            </w:r>
          </w:p>
          <w:p w14:paraId="10B5DFEC" w14:textId="3DD2AB83" w:rsidR="00E8193A" w:rsidRDefault="00C4599D" w:rsidP="000D09C4">
            <w:pPr>
              <w:pStyle w:val="Box"/>
              <w:widowControl w:val="0"/>
            </w:pPr>
            <w:r w:rsidRPr="00DE67EE">
              <w:t>A low or decreasing rate of readmissions to hospital within 28</w:t>
            </w:r>
            <w:r w:rsidR="007E7C79">
              <w:t> </w:t>
            </w:r>
            <w:r w:rsidRPr="00DE67EE">
              <w:t xml:space="preserve">days of discharge is desirable. </w:t>
            </w:r>
          </w:p>
          <w:p w14:paraId="2C5C13B0" w14:textId="11FF94B4" w:rsidR="00E8193A" w:rsidRPr="00DE67EE" w:rsidRDefault="00E8193A" w:rsidP="000D09C4">
            <w:pPr>
              <w:pStyle w:val="Box"/>
              <w:widowControl w:val="0"/>
            </w:pPr>
            <w:r>
              <w:t>Whil</w:t>
            </w:r>
            <w:r w:rsidR="001F16C1">
              <w:t>e</w:t>
            </w:r>
            <w:r>
              <w:t xml:space="preserve"> r</w:t>
            </w:r>
            <w:r w:rsidR="00C4599D" w:rsidRPr="00DE67EE">
              <w:t>eadmissions can indicate that inpatient treatment was either incomplete or ineffective, or that follow</w:t>
            </w:r>
            <w:r w:rsidR="00AB25A8">
              <w:noBreakHyphen/>
            </w:r>
            <w:r w:rsidR="00B270DF">
              <w:t>up care was inadequate</w:t>
            </w:r>
            <w:r>
              <w:t xml:space="preserve">, they can also </w:t>
            </w:r>
            <w:r w:rsidRPr="00DE67EE">
              <w:t xml:space="preserve">be affected by </w:t>
            </w:r>
            <w:r>
              <w:t xml:space="preserve">other </w:t>
            </w:r>
            <w:r w:rsidRPr="00DE67EE">
              <w:t>factors such as the cyclic and episodic nature of some illnesses.</w:t>
            </w:r>
          </w:p>
          <w:p w14:paraId="636C0E31" w14:textId="77777777" w:rsidR="00E8193A" w:rsidRPr="00DE67EE" w:rsidRDefault="00E8193A" w:rsidP="000D09C4">
            <w:pPr>
              <w:pStyle w:val="Box"/>
              <w:widowControl w:val="0"/>
            </w:pPr>
            <w:r w:rsidRPr="00DE67EE">
              <w:t>Data reported for this indicator are:</w:t>
            </w:r>
          </w:p>
          <w:p w14:paraId="4369640A" w14:textId="77777777" w:rsidR="00E8193A" w:rsidRDefault="00E8193A" w:rsidP="000D09C4">
            <w:pPr>
              <w:pStyle w:val="BoxListBullet"/>
              <w:widowControl w:val="0"/>
            </w:pPr>
            <w:r w:rsidRPr="00DE67EE">
              <w:t>comparable (subject to caveats) within some jurisdictions over time but are not comparable across jurisdictions or ov</w:t>
            </w:r>
            <w:r>
              <w:t>er time for other jurisdictions</w:t>
            </w:r>
          </w:p>
          <w:p w14:paraId="3D2F9F3C" w14:textId="6E5B55C5" w:rsidR="00E8193A" w:rsidRPr="00DE67EE" w:rsidRDefault="00E8193A" w:rsidP="000D09C4">
            <w:pPr>
              <w:pStyle w:val="BoxListBullet"/>
              <w:widowControl w:val="0"/>
            </w:pPr>
            <w:r w:rsidRPr="00DE67EE">
              <w:t>complete (subject to caveats) for the current reporting period. All required 201</w:t>
            </w:r>
            <w:r w:rsidR="001F16C1">
              <w:t>5</w:t>
            </w:r>
            <w:r w:rsidRPr="00DE67EE">
              <w:noBreakHyphen/>
              <w:t>1</w:t>
            </w:r>
            <w:r w:rsidR="001F16C1">
              <w:t>6</w:t>
            </w:r>
            <w:r w:rsidRPr="00DE67EE">
              <w:t xml:space="preserve"> data are available for all jurisdictions</w:t>
            </w:r>
            <w:r w:rsidR="00D44420">
              <w:t>.</w:t>
            </w:r>
            <w:r w:rsidR="009117ED">
              <w:t xml:space="preserve"> </w:t>
            </w:r>
          </w:p>
        </w:tc>
      </w:tr>
      <w:tr w:rsidR="00D47EA9" w:rsidRPr="00DE67EE" w14:paraId="7BB9A06F" w14:textId="77777777" w:rsidTr="00492B7D">
        <w:trPr>
          <w:cantSplit/>
        </w:trPr>
        <w:tc>
          <w:tcPr>
            <w:tcW w:w="8789" w:type="dxa"/>
            <w:tcBorders>
              <w:top w:val="nil"/>
              <w:left w:val="nil"/>
              <w:bottom w:val="single" w:sz="6" w:space="0" w:color="78A22F"/>
              <w:right w:val="nil"/>
            </w:tcBorders>
            <w:shd w:val="clear" w:color="auto" w:fill="F2F2F2"/>
          </w:tcPr>
          <w:p w14:paraId="055A7EA8" w14:textId="77777777" w:rsidR="00D47EA9" w:rsidRPr="00DE67EE" w:rsidRDefault="00D47EA9" w:rsidP="00B95A51">
            <w:pPr>
              <w:pStyle w:val="Box"/>
              <w:keepNext w:val="0"/>
              <w:widowControl w:val="0"/>
              <w:spacing w:before="0" w:line="120" w:lineRule="exact"/>
            </w:pPr>
          </w:p>
        </w:tc>
      </w:tr>
      <w:tr w:rsidR="00D47EA9" w:rsidRPr="00DE67EE" w14:paraId="6B3CC1DF" w14:textId="77777777" w:rsidTr="00492B7D">
        <w:tc>
          <w:tcPr>
            <w:tcW w:w="8789" w:type="dxa"/>
            <w:tcBorders>
              <w:top w:val="single" w:sz="6" w:space="0" w:color="78A22F"/>
              <w:left w:val="nil"/>
              <w:bottom w:val="nil"/>
              <w:right w:val="nil"/>
            </w:tcBorders>
          </w:tcPr>
          <w:p w14:paraId="1B4CC560" w14:textId="64BF9FB0" w:rsidR="00D47EA9" w:rsidRPr="00DE67EE" w:rsidRDefault="00D47EA9" w:rsidP="00B95A51">
            <w:pPr>
              <w:pStyle w:val="BoxSpaceBelow"/>
              <w:widowControl w:val="0"/>
            </w:pPr>
          </w:p>
        </w:tc>
      </w:tr>
    </w:tbl>
    <w:p w14:paraId="14E68B97" w14:textId="3DBA4805" w:rsidR="0047587F" w:rsidRDefault="00C92DEA" w:rsidP="002315C6">
      <w:pPr>
        <w:pStyle w:val="BodyText"/>
      </w:pPr>
      <w:r w:rsidRPr="0061119E">
        <w:lastRenderedPageBreak/>
        <w:t>Nationally</w:t>
      </w:r>
      <w:r w:rsidR="00B954DD" w:rsidRPr="0061119E">
        <w:t xml:space="preserve"> in 2015</w:t>
      </w:r>
      <w:r w:rsidR="00BA1594" w:rsidRPr="0061119E">
        <w:noBreakHyphen/>
      </w:r>
      <w:r w:rsidR="00B954DD" w:rsidRPr="0061119E">
        <w:t>16, the rate of</w:t>
      </w:r>
      <w:r w:rsidR="00BF3E92" w:rsidRPr="00DE67EE">
        <w:t xml:space="preserve"> readmission to hospital </w:t>
      </w:r>
      <w:r w:rsidR="00A006BC" w:rsidRPr="00DE67EE">
        <w:t xml:space="preserve">acute psychiatric units </w:t>
      </w:r>
      <w:r w:rsidR="00BF3E92" w:rsidRPr="00DE67EE">
        <w:t>within 28</w:t>
      </w:r>
      <w:r w:rsidR="007E7C79">
        <w:t> </w:t>
      </w:r>
      <w:r w:rsidR="00BF3E92" w:rsidRPr="00DE67EE">
        <w:t>days of discharge</w:t>
      </w:r>
      <w:r w:rsidR="00B954DD">
        <w:t xml:space="preserve"> </w:t>
      </w:r>
      <w:r w:rsidR="00B954DD" w:rsidRPr="0061119E">
        <w:t>was 14.6</w:t>
      </w:r>
      <w:r w:rsidR="007E7C79">
        <w:t> </w:t>
      </w:r>
      <w:r w:rsidR="00B954DD" w:rsidRPr="0061119E">
        <w:t>per</w:t>
      </w:r>
      <w:r w:rsidR="007E7C79">
        <w:t> </w:t>
      </w:r>
      <w:r w:rsidR="00B954DD" w:rsidRPr="0061119E">
        <w:t xml:space="preserve">cent, with rates </w:t>
      </w:r>
      <w:r w:rsidRPr="0061119E">
        <w:t>remain</w:t>
      </w:r>
      <w:r w:rsidR="00B954DD" w:rsidRPr="0061119E">
        <w:t>ing</w:t>
      </w:r>
      <w:r w:rsidRPr="00DE67EE">
        <w:t xml:space="preserve"> relatively stable</w:t>
      </w:r>
      <w:r w:rsidR="00BF3E92" w:rsidRPr="00DE67EE">
        <w:t xml:space="preserve"> </w:t>
      </w:r>
      <w:r w:rsidR="00B95A51" w:rsidRPr="00DE67EE">
        <w:t xml:space="preserve">since </w:t>
      </w:r>
      <w:r w:rsidR="00B95A51" w:rsidRPr="00006D05">
        <w:t>20</w:t>
      </w:r>
      <w:r w:rsidR="001F16C1">
        <w:t>1</w:t>
      </w:r>
      <w:r w:rsidR="008740DF">
        <w:t>1</w:t>
      </w:r>
      <w:r w:rsidR="007E7C79">
        <w:noBreakHyphen/>
      </w:r>
      <w:r w:rsidR="00B95A51" w:rsidRPr="00006D05">
        <w:t>1</w:t>
      </w:r>
      <w:r w:rsidR="008740DF">
        <w:t>2</w:t>
      </w:r>
      <w:r w:rsidR="00B95A51" w:rsidRPr="00006D05">
        <w:t xml:space="preserve"> </w:t>
      </w:r>
      <w:r w:rsidRPr="00006D05">
        <w:t>(</w:t>
      </w:r>
      <w:r w:rsidR="00DE67EE" w:rsidRPr="00006D05">
        <w:t>figure </w:t>
      </w:r>
      <w:r w:rsidR="000428B3">
        <w:t>13.11</w:t>
      </w:r>
      <w:r w:rsidRPr="00006D05">
        <w:t>)</w:t>
      </w:r>
      <w:r w:rsidR="00BF3E92" w:rsidRPr="00006D05">
        <w:t>.</w:t>
      </w:r>
      <w:r w:rsidR="009A66BC" w:rsidRPr="00006D05">
        <w:t xml:space="preserve"> </w:t>
      </w:r>
      <w:r w:rsidR="002E5A1F" w:rsidRPr="00006D05">
        <w:t xml:space="preserve">Data </w:t>
      </w:r>
      <w:r w:rsidR="009A66BC" w:rsidRPr="00006D05">
        <w:t xml:space="preserve">by Indigenous status, remoteness areas, SEIFA, age group and </w:t>
      </w:r>
      <w:r w:rsidR="00F34F73" w:rsidRPr="00006D05">
        <w:t xml:space="preserve">sex </w:t>
      </w:r>
      <w:r w:rsidR="009A66BC" w:rsidRPr="00006D05">
        <w:t>are in table</w:t>
      </w:r>
      <w:r w:rsidR="0022260C" w:rsidRPr="00006D05">
        <w:t> </w:t>
      </w:r>
      <w:r w:rsidR="001B26A2" w:rsidRPr="00006D05">
        <w:t>13A.</w:t>
      </w:r>
      <w:r w:rsidR="000D09C4">
        <w:t>30</w:t>
      </w:r>
      <w:r w:rsidR="009A66BC" w:rsidRPr="00006D05">
        <w:t>.</w:t>
      </w:r>
    </w:p>
    <w:p w14:paraId="6B85D1D5" w14:textId="265E1B59" w:rsidR="00BF3E92" w:rsidRPr="009754CD" w:rsidRDefault="00BF3E92" w:rsidP="00D71789">
      <w:pPr>
        <w:pStyle w:val="BoxSpaceAbove"/>
        <w:keepNext w:val="0"/>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F3E92" w:rsidRPr="00DE67EE" w14:paraId="46D7F5F3" w14:textId="77777777" w:rsidTr="00492B7D">
        <w:tc>
          <w:tcPr>
            <w:tcW w:w="8789" w:type="dxa"/>
            <w:tcBorders>
              <w:top w:val="single" w:sz="6" w:space="0" w:color="78A22F"/>
              <w:left w:val="nil"/>
              <w:bottom w:val="nil"/>
              <w:right w:val="nil"/>
            </w:tcBorders>
            <w:shd w:val="clear" w:color="auto" w:fill="FFFFFF" w:themeFill="background1"/>
          </w:tcPr>
          <w:p w14:paraId="07CFB824" w14:textId="78781DE1" w:rsidR="00BF3E92" w:rsidRPr="00DE67EE" w:rsidRDefault="00BF3E92" w:rsidP="000428B3">
            <w:pPr>
              <w:pStyle w:val="FigureTitle"/>
              <w:keepNext w:val="0"/>
              <w:keepLines w:val="0"/>
            </w:pPr>
            <w:r w:rsidRPr="00DE67EE">
              <w:rPr>
                <w:b w:val="0"/>
              </w:rPr>
              <w:t xml:space="preserve">Figure </w:t>
            </w:r>
            <w:r w:rsidR="000428B3">
              <w:rPr>
                <w:b w:val="0"/>
              </w:rPr>
              <w:t>13.11</w:t>
            </w:r>
            <w:r w:rsidRPr="00DE67EE">
              <w:tab/>
              <w:t xml:space="preserve">Readmissions to </w:t>
            </w:r>
            <w:r w:rsidR="00A006BC" w:rsidRPr="00DE67EE">
              <w:t xml:space="preserve">acute psychiatric units </w:t>
            </w:r>
            <w:r w:rsidRPr="00DE67EE">
              <w:t>within 28 days</w:t>
            </w:r>
            <w:r w:rsidR="00AF6569">
              <w:t xml:space="preserve"> of discharge</w:t>
            </w:r>
            <w:r w:rsidRPr="00DE67EE">
              <w:rPr>
                <w:rStyle w:val="NoteLabel"/>
                <w:b/>
              </w:rPr>
              <w:t>a</w:t>
            </w:r>
          </w:p>
        </w:tc>
      </w:tr>
      <w:tr w:rsidR="00BF3E92" w:rsidRPr="00DE67EE" w14:paraId="5E656732" w14:textId="77777777" w:rsidTr="00492B7D">
        <w:tc>
          <w:tcPr>
            <w:tcW w:w="8789" w:type="dxa"/>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BF3E92" w:rsidRPr="00DE67EE" w14:paraId="25B90A7F" w14:textId="77777777" w:rsidTr="00693EDF">
              <w:trPr>
                <w:jc w:val="center"/>
              </w:trPr>
              <w:tc>
                <w:tcPr>
                  <w:tcW w:w="8504" w:type="dxa"/>
                  <w:tcBorders>
                    <w:top w:val="nil"/>
                    <w:bottom w:val="nil"/>
                    <w:right w:val="nil"/>
                  </w:tcBorders>
                </w:tcPr>
                <w:p w14:paraId="66033FF2" w14:textId="2C904AA3" w:rsidR="00BF3E92" w:rsidRPr="00DE67EE" w:rsidRDefault="00693EDF" w:rsidP="00D71789">
                  <w:pPr>
                    <w:pStyle w:val="Figure"/>
                    <w:keepNext w:val="0"/>
                    <w:spacing w:before="60" w:after="60"/>
                  </w:pPr>
                  <w:r>
                    <w:rPr>
                      <w:noProof/>
                    </w:rPr>
                    <w:drawing>
                      <wp:inline distT="0" distB="0" distL="0" distR="0" wp14:anchorId="368C1E6A" wp14:editId="76751B10">
                        <wp:extent cx="5369520" cy="2700000"/>
                        <wp:effectExtent l="0" t="0" r="3175" b="5715"/>
                        <wp:docPr id="28" name="Chart 28" descr="More details can be found within the text surrounding this image." title="Figure 13.11 Readmissions to acute psychiatric units within 28 days of dischar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46D46CF9" w14:textId="77777777" w:rsidR="00BF3E92" w:rsidRPr="00DE67EE" w:rsidRDefault="00BF3E92" w:rsidP="00D71789">
            <w:pPr>
              <w:pStyle w:val="Figure"/>
              <w:keepNext w:val="0"/>
              <w:rPr>
                <w:szCs w:val="24"/>
              </w:rPr>
            </w:pPr>
          </w:p>
        </w:tc>
      </w:tr>
      <w:tr w:rsidR="00BF3E92" w:rsidRPr="00006D05" w14:paraId="49F8F13C" w14:textId="77777777" w:rsidTr="00492B7D">
        <w:tc>
          <w:tcPr>
            <w:tcW w:w="8789" w:type="dxa"/>
            <w:tcBorders>
              <w:top w:val="nil"/>
              <w:left w:val="nil"/>
              <w:bottom w:val="nil"/>
              <w:right w:val="nil"/>
            </w:tcBorders>
            <w:shd w:val="clear" w:color="auto" w:fill="auto"/>
          </w:tcPr>
          <w:p w14:paraId="7334C1BA" w14:textId="2E69B8BE" w:rsidR="00BF3E92" w:rsidRPr="00006D05" w:rsidRDefault="00A006BC" w:rsidP="007E7C79">
            <w:pPr>
              <w:pStyle w:val="Note"/>
              <w:keepLines w:val="0"/>
              <w:rPr>
                <w:i/>
              </w:rPr>
            </w:pPr>
            <w:r w:rsidRPr="00006D05">
              <w:rPr>
                <w:rStyle w:val="NoteLabel"/>
              </w:rPr>
              <w:t xml:space="preserve">a </w:t>
            </w:r>
            <w:r w:rsidR="002F5428" w:rsidRPr="00006D05">
              <w:t xml:space="preserve">See </w:t>
            </w:r>
            <w:r w:rsidR="001B26A2" w:rsidRPr="00006D05">
              <w:t>box</w:t>
            </w:r>
            <w:r w:rsidR="00AB25A8">
              <w:t> </w:t>
            </w:r>
            <w:r w:rsidR="00D8331F">
              <w:t>13.13</w:t>
            </w:r>
            <w:r w:rsidR="00721073" w:rsidRPr="00006D05">
              <w:t xml:space="preserve"> </w:t>
            </w:r>
            <w:r w:rsidR="002F5428" w:rsidRPr="00006D05">
              <w:t>and</w:t>
            </w:r>
            <w:r w:rsidRPr="00006D05">
              <w:t xml:space="preserve"> table</w:t>
            </w:r>
            <w:r w:rsidR="00463329" w:rsidRPr="00006D05">
              <w:t> </w:t>
            </w:r>
            <w:r w:rsidR="001B26A2" w:rsidRPr="00006D05">
              <w:t>13A.</w:t>
            </w:r>
            <w:r w:rsidR="008719A2" w:rsidRPr="00006D05">
              <w:t>3</w:t>
            </w:r>
            <w:r w:rsidR="000D09C4">
              <w:t>1</w:t>
            </w:r>
            <w:r w:rsidRPr="00006D05">
              <w:t xml:space="preserve"> </w:t>
            </w:r>
            <w:r w:rsidR="00C9207F" w:rsidRPr="00006D05">
              <w:t>for detailed definitions, footnotes and caveats</w:t>
            </w:r>
            <w:r w:rsidRPr="00006D05">
              <w:t>.</w:t>
            </w:r>
          </w:p>
        </w:tc>
      </w:tr>
      <w:tr w:rsidR="00BF3E92" w:rsidRPr="00DE67EE" w14:paraId="5C525F0B" w14:textId="77777777" w:rsidTr="00492B7D">
        <w:tc>
          <w:tcPr>
            <w:tcW w:w="8789" w:type="dxa"/>
            <w:tcBorders>
              <w:top w:val="nil"/>
              <w:left w:val="nil"/>
              <w:bottom w:val="nil"/>
              <w:right w:val="nil"/>
            </w:tcBorders>
            <w:shd w:val="clear" w:color="auto" w:fill="auto"/>
          </w:tcPr>
          <w:p w14:paraId="6E4B5D97" w14:textId="78422653" w:rsidR="00BF3E92" w:rsidRPr="00DE67EE" w:rsidRDefault="00BF3E92" w:rsidP="000D09C4">
            <w:pPr>
              <w:pStyle w:val="Source"/>
              <w:keepLines w:val="0"/>
              <w:rPr>
                <w:i/>
              </w:rPr>
            </w:pPr>
            <w:r w:rsidRPr="00006D05">
              <w:rPr>
                <w:i/>
              </w:rPr>
              <w:t>Source</w:t>
            </w:r>
            <w:r w:rsidRPr="00006D05">
              <w:t>:</w:t>
            </w:r>
            <w:r w:rsidRPr="00006D05">
              <w:rPr>
                <w:i/>
              </w:rPr>
              <w:t xml:space="preserve"> </w:t>
            </w:r>
            <w:r w:rsidRPr="00006D05">
              <w:t xml:space="preserve">AIHW </w:t>
            </w:r>
            <w:r w:rsidR="001D727E" w:rsidRPr="00006D05">
              <w:t>(</w:t>
            </w:r>
            <w:r w:rsidRPr="00006D05">
              <w:t>unpublished</w:t>
            </w:r>
            <w:r w:rsidR="001D727E" w:rsidRPr="00006D05">
              <w:t>)</w:t>
            </w:r>
            <w:r w:rsidRPr="00006D05">
              <w:t xml:space="preserve">, from data provided by </w:t>
            </w:r>
            <w:r w:rsidR="00B95A51" w:rsidRPr="00006D05">
              <w:t>State and Territory governments</w:t>
            </w:r>
            <w:r w:rsidRPr="00006D05">
              <w:t>; table</w:t>
            </w:r>
            <w:r w:rsidR="0022260C" w:rsidRPr="00006D05">
              <w:t> </w:t>
            </w:r>
            <w:r w:rsidR="001B26A2" w:rsidRPr="00006D05">
              <w:t>13A.</w:t>
            </w:r>
            <w:r w:rsidR="008719A2" w:rsidRPr="00006D05">
              <w:t>3</w:t>
            </w:r>
            <w:r w:rsidR="000D09C4">
              <w:t>1</w:t>
            </w:r>
            <w:r w:rsidRPr="00006D05">
              <w:t>.</w:t>
            </w:r>
          </w:p>
        </w:tc>
      </w:tr>
      <w:tr w:rsidR="00BF3E92" w:rsidRPr="00DE67EE" w14:paraId="449917B9" w14:textId="77777777" w:rsidTr="00492B7D">
        <w:tc>
          <w:tcPr>
            <w:tcW w:w="8789" w:type="dxa"/>
            <w:tcBorders>
              <w:top w:val="nil"/>
              <w:left w:val="nil"/>
              <w:bottom w:val="single" w:sz="6" w:space="0" w:color="78A22F"/>
              <w:right w:val="nil"/>
            </w:tcBorders>
            <w:shd w:val="clear" w:color="auto" w:fill="auto"/>
          </w:tcPr>
          <w:p w14:paraId="5F150621" w14:textId="77777777" w:rsidR="00BF3E92" w:rsidRPr="00DE67EE" w:rsidRDefault="00BF3E92" w:rsidP="00D71789">
            <w:pPr>
              <w:pStyle w:val="Figurespace"/>
              <w:keepNext w:val="0"/>
              <w:rPr>
                <w:szCs w:val="24"/>
              </w:rPr>
            </w:pPr>
          </w:p>
        </w:tc>
      </w:tr>
      <w:tr w:rsidR="00BF3E92" w:rsidRPr="00DE67EE" w14:paraId="0B4D42B5" w14:textId="77777777" w:rsidTr="00492B7D">
        <w:tc>
          <w:tcPr>
            <w:tcW w:w="8789" w:type="dxa"/>
            <w:tcBorders>
              <w:top w:val="single" w:sz="6" w:space="0" w:color="78A22F"/>
              <w:left w:val="nil"/>
              <w:bottom w:val="nil"/>
              <w:right w:val="nil"/>
            </w:tcBorders>
          </w:tcPr>
          <w:p w14:paraId="402FF816" w14:textId="034BFB34" w:rsidR="00BF3E92" w:rsidRPr="00DE67EE" w:rsidRDefault="00BF3E92" w:rsidP="00D71789">
            <w:pPr>
              <w:pStyle w:val="BoxSpaceBelow"/>
              <w:rPr>
                <w:i/>
              </w:rPr>
            </w:pPr>
          </w:p>
        </w:tc>
      </w:tr>
    </w:tbl>
    <w:p w14:paraId="2FED35F1" w14:textId="3F4D6407" w:rsidR="00637E80" w:rsidRPr="0036625A" w:rsidRDefault="00B270DF" w:rsidP="00666559">
      <w:pPr>
        <w:pStyle w:val="Heading5"/>
        <w:spacing w:before="400"/>
      </w:pPr>
      <w:r>
        <w:t>Sustainability —</w:t>
      </w:r>
      <w:r w:rsidR="00637E80">
        <w:t xml:space="preserve"> workforce sustainability</w:t>
      </w:r>
    </w:p>
    <w:p w14:paraId="3C54C518" w14:textId="77777777" w:rsidR="00666559" w:rsidRDefault="00637E80" w:rsidP="00666559">
      <w:pPr>
        <w:pStyle w:val="BodyText"/>
      </w:pPr>
      <w:r w:rsidRPr="0036625A">
        <w:t>‘</w:t>
      </w:r>
      <w:r>
        <w:t>Workforce sustainability</w:t>
      </w:r>
      <w:r w:rsidRPr="0036625A">
        <w:t xml:space="preserve">’ is an indicator of governments’ objective </w:t>
      </w:r>
      <w:r>
        <w:t>to provide sustainable mental health services (box</w:t>
      </w:r>
      <w:r w:rsidR="00BA1594">
        <w:t> </w:t>
      </w:r>
      <w:r w:rsidR="00134A99">
        <w:t>13.14</w:t>
      </w:r>
      <w:r>
        <w:t>).</w:t>
      </w:r>
    </w:p>
    <w:p w14:paraId="0B039C1E" w14:textId="71237637" w:rsidR="00637E80" w:rsidRPr="005E3DE3" w:rsidRDefault="00637E80" w:rsidP="00666559">
      <w:pPr>
        <w:pStyle w:val="BodyText"/>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37E80" w:rsidRPr="005E3DE3" w14:paraId="33D5E2E2" w14:textId="77777777" w:rsidTr="00492B7D">
        <w:tc>
          <w:tcPr>
            <w:tcW w:w="8789" w:type="dxa"/>
            <w:tcBorders>
              <w:top w:val="single" w:sz="6" w:space="0" w:color="78A22F"/>
              <w:left w:val="nil"/>
              <w:bottom w:val="nil"/>
              <w:right w:val="nil"/>
            </w:tcBorders>
            <w:shd w:val="clear" w:color="auto" w:fill="F2F2F2"/>
          </w:tcPr>
          <w:p w14:paraId="2488EC17" w14:textId="09BE9BB0" w:rsidR="00637E80" w:rsidRPr="005E3DE3" w:rsidRDefault="00637E80" w:rsidP="00666559">
            <w:pPr>
              <w:keepNext/>
              <w:keepLines/>
              <w:spacing w:before="80" w:line="280" w:lineRule="exact"/>
              <w:ind w:left="1474" w:hanging="1474"/>
              <w:rPr>
                <w:rFonts w:ascii="Arial" w:hAnsi="Arial"/>
                <w:b/>
              </w:rPr>
            </w:pPr>
            <w:r w:rsidRPr="005E3DE3">
              <w:rPr>
                <w:rFonts w:ascii="Arial" w:hAnsi="Arial"/>
              </w:rPr>
              <w:t>Box</w:t>
            </w:r>
            <w:r w:rsidR="00EF1423">
              <w:rPr>
                <w:rFonts w:ascii="Arial" w:hAnsi="Arial"/>
              </w:rPr>
              <w:t> </w:t>
            </w:r>
            <w:r w:rsidR="0021609E">
              <w:rPr>
                <w:rFonts w:ascii="Arial" w:hAnsi="Arial"/>
              </w:rPr>
              <w:t>13.14</w:t>
            </w:r>
            <w:r w:rsidRPr="005E3DE3">
              <w:rPr>
                <w:rFonts w:ascii="Arial" w:hAnsi="Arial"/>
                <w:b/>
              </w:rPr>
              <w:tab/>
              <w:t>Workforce sustainability</w:t>
            </w:r>
          </w:p>
        </w:tc>
      </w:tr>
      <w:tr w:rsidR="00637E80" w:rsidRPr="005E3DE3" w14:paraId="75941BE2" w14:textId="77777777" w:rsidTr="00492B7D">
        <w:tc>
          <w:tcPr>
            <w:tcW w:w="8789" w:type="dxa"/>
            <w:tcBorders>
              <w:top w:val="nil"/>
              <w:left w:val="nil"/>
              <w:bottom w:val="nil"/>
              <w:right w:val="nil"/>
            </w:tcBorders>
            <w:shd w:val="clear" w:color="auto" w:fill="F2F2F2"/>
          </w:tcPr>
          <w:p w14:paraId="2F6DB83E" w14:textId="77777777" w:rsidR="00637E80" w:rsidRPr="005E3DE3" w:rsidRDefault="00637E80" w:rsidP="004A6BB9">
            <w:pPr>
              <w:keepNext/>
              <w:spacing w:before="120" w:line="260" w:lineRule="atLeast"/>
              <w:jc w:val="both"/>
              <w:rPr>
                <w:rFonts w:ascii="Arial" w:hAnsi="Arial"/>
                <w:sz w:val="20"/>
              </w:rPr>
            </w:pPr>
            <w:r w:rsidRPr="005E3DE3">
              <w:rPr>
                <w:rFonts w:ascii="Arial" w:hAnsi="Arial"/>
                <w:sz w:val="20"/>
              </w:rPr>
              <w:t xml:space="preserve">‘Workforce sustainability’ reports age profiles for the mental health workforce. </w:t>
            </w:r>
            <w:r w:rsidRPr="000265FB">
              <w:rPr>
                <w:rFonts w:ascii="Arial" w:hAnsi="Arial"/>
                <w:sz w:val="20"/>
              </w:rPr>
              <w:t xml:space="preserve">It shows the proportions of </w:t>
            </w:r>
            <w:r>
              <w:rPr>
                <w:rFonts w:ascii="Arial" w:hAnsi="Arial"/>
                <w:sz w:val="20"/>
              </w:rPr>
              <w:t>the mental health workforce</w:t>
            </w:r>
            <w:r w:rsidRPr="000265FB">
              <w:rPr>
                <w:rFonts w:ascii="Arial" w:hAnsi="Arial"/>
                <w:sz w:val="20"/>
              </w:rPr>
              <w:t xml:space="preserve"> </w:t>
            </w:r>
            <w:r>
              <w:rPr>
                <w:rFonts w:ascii="Arial" w:hAnsi="Arial"/>
                <w:sz w:val="20"/>
              </w:rPr>
              <w:t xml:space="preserve">(psychologists, psychiatrists and allied health professionals) </w:t>
            </w:r>
            <w:r w:rsidRPr="000265FB">
              <w:rPr>
                <w:rFonts w:ascii="Arial" w:hAnsi="Arial"/>
                <w:sz w:val="20"/>
              </w:rPr>
              <w:t>in ten year age brackets, by jurisdiction.</w:t>
            </w:r>
          </w:p>
          <w:p w14:paraId="1F41E895" w14:textId="77777777" w:rsidR="00637E80" w:rsidRPr="005E3DE3" w:rsidRDefault="00637E80" w:rsidP="004A6BB9">
            <w:pPr>
              <w:keepNext/>
              <w:spacing w:before="120" w:line="260" w:lineRule="atLeast"/>
              <w:jc w:val="both"/>
              <w:rPr>
                <w:rFonts w:ascii="Arial" w:hAnsi="Arial"/>
                <w:sz w:val="20"/>
              </w:rPr>
            </w:pPr>
            <w:r>
              <w:rPr>
                <w:rFonts w:ascii="Arial" w:hAnsi="Arial"/>
                <w:sz w:val="20"/>
              </w:rPr>
              <w:t>A h</w:t>
            </w:r>
            <w:r w:rsidRPr="005E3DE3">
              <w:rPr>
                <w:rFonts w:ascii="Arial" w:hAnsi="Arial"/>
                <w:sz w:val="20"/>
              </w:rPr>
              <w:t xml:space="preserve">igh or increasing proportion of the workforce that </w:t>
            </w:r>
            <w:r>
              <w:rPr>
                <w:rFonts w:ascii="Arial" w:hAnsi="Arial"/>
                <w:sz w:val="20"/>
              </w:rPr>
              <w:t xml:space="preserve">has newly entered the workforce </w:t>
            </w:r>
            <w:r w:rsidRPr="005E3DE3">
              <w:rPr>
                <w:rFonts w:ascii="Arial" w:hAnsi="Arial"/>
                <w:sz w:val="20"/>
              </w:rPr>
              <w:t xml:space="preserve">and/or </w:t>
            </w:r>
            <w:r>
              <w:rPr>
                <w:rFonts w:ascii="Arial" w:hAnsi="Arial"/>
                <w:sz w:val="20"/>
              </w:rPr>
              <w:t xml:space="preserve">a </w:t>
            </w:r>
            <w:r w:rsidRPr="005E3DE3">
              <w:rPr>
                <w:rFonts w:ascii="Arial" w:hAnsi="Arial"/>
                <w:sz w:val="20"/>
              </w:rPr>
              <w:t xml:space="preserve">low or decreasing proportion of the workforce that </w:t>
            </w:r>
            <w:r>
              <w:rPr>
                <w:rFonts w:ascii="Arial" w:hAnsi="Arial"/>
                <w:sz w:val="20"/>
              </w:rPr>
              <w:t>is</w:t>
            </w:r>
            <w:r w:rsidRPr="005E3DE3">
              <w:rPr>
                <w:rFonts w:ascii="Arial" w:hAnsi="Arial"/>
                <w:sz w:val="20"/>
              </w:rPr>
              <w:t xml:space="preserve"> close to retirement is desirable. </w:t>
            </w:r>
          </w:p>
          <w:p w14:paraId="3E846F99" w14:textId="38349F5E" w:rsidR="00637E80" w:rsidRPr="005E3DE3" w:rsidRDefault="00637E80" w:rsidP="004A6BB9">
            <w:pPr>
              <w:keepNext/>
              <w:spacing w:before="120" w:line="260" w:lineRule="atLeast"/>
              <w:jc w:val="both"/>
              <w:rPr>
                <w:rFonts w:ascii="Arial" w:hAnsi="Arial"/>
                <w:sz w:val="20"/>
              </w:rPr>
            </w:pPr>
            <w:r w:rsidRPr="005E3DE3">
              <w:rPr>
                <w:rFonts w:ascii="Arial" w:hAnsi="Arial"/>
                <w:sz w:val="20"/>
              </w:rPr>
              <w:t xml:space="preserve">These measures are not a substitute for a full workforce analysis </w:t>
            </w:r>
            <w:r>
              <w:rPr>
                <w:rFonts w:ascii="Arial" w:hAnsi="Arial"/>
                <w:sz w:val="20"/>
              </w:rPr>
              <w:t xml:space="preserve">comprising assessment of </w:t>
            </w:r>
            <w:r w:rsidRPr="005E3DE3">
              <w:rPr>
                <w:rFonts w:ascii="Arial" w:hAnsi="Arial"/>
                <w:sz w:val="20"/>
              </w:rPr>
              <w:t>migration</w:t>
            </w:r>
            <w:r>
              <w:rPr>
                <w:rFonts w:ascii="Arial" w:hAnsi="Arial"/>
                <w:sz w:val="20"/>
              </w:rPr>
              <w:t xml:space="preserve"> patterns</w:t>
            </w:r>
            <w:r w:rsidRPr="005E3DE3">
              <w:rPr>
                <w:rFonts w:ascii="Arial" w:hAnsi="Arial"/>
                <w:sz w:val="20"/>
              </w:rPr>
              <w:t>, trends in full</w:t>
            </w:r>
            <w:r w:rsidR="00BA1594">
              <w:rPr>
                <w:rFonts w:ascii="Arial" w:hAnsi="Arial"/>
                <w:sz w:val="20"/>
              </w:rPr>
              <w:noBreakHyphen/>
            </w:r>
            <w:r w:rsidRPr="005E3DE3">
              <w:rPr>
                <w:rFonts w:ascii="Arial" w:hAnsi="Arial"/>
                <w:sz w:val="20"/>
              </w:rPr>
              <w:t>time work</w:t>
            </w:r>
            <w:r>
              <w:rPr>
                <w:rFonts w:ascii="Arial" w:hAnsi="Arial"/>
                <w:sz w:val="20"/>
              </w:rPr>
              <w:t>, recruitment and retention,</w:t>
            </w:r>
            <w:r w:rsidRPr="005E3DE3">
              <w:rPr>
                <w:rFonts w:ascii="Arial" w:hAnsi="Arial"/>
                <w:sz w:val="20"/>
              </w:rPr>
              <w:t xml:space="preserve"> </w:t>
            </w:r>
            <w:r>
              <w:rPr>
                <w:rFonts w:ascii="Arial" w:hAnsi="Arial"/>
                <w:sz w:val="20"/>
              </w:rPr>
              <w:t xml:space="preserve">workforce efficiency, </w:t>
            </w:r>
            <w:r w:rsidRPr="005E3DE3">
              <w:rPr>
                <w:rFonts w:ascii="Arial" w:hAnsi="Arial"/>
                <w:sz w:val="20"/>
              </w:rPr>
              <w:t xml:space="preserve">and expected demand increases. They can, however, indicate that further attention should be given to workforce sustainability for mental health services. </w:t>
            </w:r>
          </w:p>
          <w:p w14:paraId="79BA27C1" w14:textId="77777777" w:rsidR="00637E80" w:rsidRPr="005E3DE3" w:rsidRDefault="00637E80" w:rsidP="00666559">
            <w:pPr>
              <w:keepNext/>
              <w:spacing w:before="100" w:line="260" w:lineRule="atLeast"/>
              <w:jc w:val="both"/>
              <w:rPr>
                <w:rFonts w:ascii="Arial" w:hAnsi="Arial"/>
                <w:sz w:val="20"/>
              </w:rPr>
            </w:pPr>
            <w:r w:rsidRPr="005E3DE3">
              <w:rPr>
                <w:rFonts w:ascii="Arial" w:hAnsi="Arial"/>
                <w:sz w:val="20"/>
              </w:rPr>
              <w:t>Data are not yet available for reporting against this indicator.</w:t>
            </w:r>
          </w:p>
        </w:tc>
      </w:tr>
      <w:tr w:rsidR="00637E80" w:rsidRPr="005E3DE3" w14:paraId="3D87E3E1" w14:textId="77777777" w:rsidTr="00492B7D">
        <w:tc>
          <w:tcPr>
            <w:tcW w:w="8789" w:type="dxa"/>
            <w:tcBorders>
              <w:top w:val="nil"/>
              <w:left w:val="nil"/>
              <w:bottom w:val="single" w:sz="6" w:space="0" w:color="78A22F"/>
              <w:right w:val="nil"/>
            </w:tcBorders>
            <w:shd w:val="clear" w:color="auto" w:fill="F2F2F2"/>
          </w:tcPr>
          <w:p w14:paraId="4DFEA835" w14:textId="77777777" w:rsidR="00637E80" w:rsidRPr="005E3DE3" w:rsidRDefault="00637E80" w:rsidP="004A6BB9">
            <w:pPr>
              <w:keepNext/>
              <w:spacing w:line="120" w:lineRule="exact"/>
              <w:jc w:val="both"/>
              <w:rPr>
                <w:rFonts w:ascii="Arial" w:hAnsi="Arial"/>
                <w:sz w:val="20"/>
              </w:rPr>
            </w:pPr>
          </w:p>
        </w:tc>
      </w:tr>
      <w:tr w:rsidR="00637E80" w:rsidRPr="005E3DE3" w14:paraId="60D6AA39" w14:textId="77777777" w:rsidTr="00492B7D">
        <w:tc>
          <w:tcPr>
            <w:tcW w:w="8789" w:type="dxa"/>
            <w:tcBorders>
              <w:top w:val="single" w:sz="6" w:space="0" w:color="78A22F"/>
              <w:left w:val="nil"/>
              <w:bottom w:val="nil"/>
              <w:right w:val="nil"/>
            </w:tcBorders>
          </w:tcPr>
          <w:p w14:paraId="213DF46C" w14:textId="787B13B6" w:rsidR="00637E80" w:rsidRPr="005E3DE3" w:rsidRDefault="00637E80" w:rsidP="00666559">
            <w:pPr>
              <w:spacing w:line="40" w:lineRule="exact"/>
              <w:jc w:val="both"/>
              <w:rPr>
                <w:rFonts w:ascii="Arial" w:hAnsi="Arial"/>
                <w:sz w:val="14"/>
              </w:rPr>
            </w:pPr>
          </w:p>
        </w:tc>
      </w:tr>
    </w:tbl>
    <w:p w14:paraId="6A335D92" w14:textId="77777777" w:rsidR="00B270DF" w:rsidRPr="0036625A" w:rsidRDefault="00B270DF" w:rsidP="00B270DF">
      <w:pPr>
        <w:pStyle w:val="Heading4"/>
      </w:pPr>
      <w:r w:rsidRPr="0036625A">
        <w:lastRenderedPageBreak/>
        <w:t>Efficiency</w:t>
      </w:r>
    </w:p>
    <w:p w14:paraId="4F999D0E" w14:textId="78B40109" w:rsidR="00B270DF" w:rsidRDefault="00B270DF" w:rsidP="00B270DF">
      <w:pPr>
        <w:pStyle w:val="BodyText"/>
      </w:pPr>
      <w:r w:rsidRPr="0036625A">
        <w:t xml:space="preserve">The efficiency indicators reported </w:t>
      </w:r>
      <w:r>
        <w:t>here cover</w:t>
      </w:r>
      <w:r w:rsidRPr="0036625A">
        <w:t xml:space="preserve"> State and </w:t>
      </w:r>
      <w:r>
        <w:t>T</w:t>
      </w:r>
      <w:r w:rsidRPr="0036625A">
        <w:t xml:space="preserve">erritory governments’ specialised mental health services. Mainstreaming has occurred at different rates across states and territories, with some </w:t>
      </w:r>
      <w:r>
        <w:t xml:space="preserve">jurisdictions </w:t>
      </w:r>
      <w:r w:rsidRPr="0036625A">
        <w:t xml:space="preserve">treating a greater proportion of </w:t>
      </w:r>
      <w:r w:rsidR="001F18B0" w:rsidRPr="0061119E">
        <w:t>consumers</w:t>
      </w:r>
      <w:r w:rsidR="001F18B0" w:rsidRPr="0036625A">
        <w:t xml:space="preserve"> </w:t>
      </w:r>
      <w:r w:rsidRPr="0036625A">
        <w:t>with severe mental illnesses in community</w:t>
      </w:r>
      <w:r w:rsidRPr="0036625A">
        <w:noBreakHyphen/>
        <w:t>based services than other jurisdictions</w:t>
      </w:r>
      <w:r>
        <w:t xml:space="preserve"> (see section 13.4 for </w:t>
      </w:r>
      <w:r w:rsidR="00364258">
        <w:t xml:space="preserve">a </w:t>
      </w:r>
      <w:r>
        <w:t>definition of mainstreaming)</w:t>
      </w:r>
      <w:r w:rsidRPr="0036625A">
        <w:t xml:space="preserve">. This can create differences across states and territories in the mix of </w:t>
      </w:r>
      <w:r w:rsidR="001F18B0" w:rsidRPr="0061119E">
        <w:t>consumer</w:t>
      </w:r>
      <w:r w:rsidRPr="0061119E">
        <w:t>s</w:t>
      </w:r>
      <w:r w:rsidRPr="0036625A">
        <w:t>, and therefore the costs,</w:t>
      </w:r>
      <w:r>
        <w:t xml:space="preserve"> within service types.</w:t>
      </w:r>
    </w:p>
    <w:p w14:paraId="264D487E" w14:textId="67C3FCD5" w:rsidR="00703679" w:rsidRPr="0036625A" w:rsidRDefault="008D3719" w:rsidP="00335E2B">
      <w:pPr>
        <w:pStyle w:val="Heading5"/>
      </w:pPr>
      <w:r w:rsidRPr="0036625A">
        <w:t>C</w:t>
      </w:r>
      <w:r w:rsidR="00703679" w:rsidRPr="0036625A">
        <w:t>ost</w:t>
      </w:r>
      <w:r w:rsidR="00C34C67" w:rsidRPr="0036625A">
        <w:t xml:space="preserve"> of care</w:t>
      </w:r>
    </w:p>
    <w:p w14:paraId="7DE2BFF1" w14:textId="77777777" w:rsidR="00871747" w:rsidRDefault="00703679" w:rsidP="00871747">
      <w:pPr>
        <w:pStyle w:val="BodyText"/>
      </w:pPr>
      <w:r w:rsidRPr="0036625A">
        <w:t>‘Cost of care’ is an indicator</w:t>
      </w:r>
      <w:r w:rsidR="00262C26" w:rsidRPr="0036625A">
        <w:t xml:space="preserve"> of governments’ objective that </w:t>
      </w:r>
      <w:r w:rsidRPr="0036625A">
        <w:t>mental health services are delivered in an efficient manner (</w:t>
      </w:r>
      <w:r w:rsidR="001B26A2" w:rsidRPr="0036625A">
        <w:t>box</w:t>
      </w:r>
      <w:r w:rsidR="00AB25A8">
        <w:t> </w:t>
      </w:r>
      <w:r w:rsidR="00134A99">
        <w:t>13.15</w:t>
      </w:r>
      <w:r w:rsidRPr="0036625A">
        <w:t>).</w:t>
      </w:r>
    </w:p>
    <w:p w14:paraId="1C3F01F5" w14:textId="174E62F3" w:rsidR="00312B71" w:rsidRDefault="00312B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12B71" w14:paraId="44E36A3F" w14:textId="77777777" w:rsidTr="00492B7D">
        <w:trPr>
          <w:tblHeader/>
        </w:trPr>
        <w:tc>
          <w:tcPr>
            <w:tcW w:w="5000" w:type="pct"/>
            <w:tcBorders>
              <w:top w:val="single" w:sz="6" w:space="0" w:color="78A22F"/>
              <w:left w:val="nil"/>
              <w:bottom w:val="nil"/>
              <w:right w:val="nil"/>
            </w:tcBorders>
            <w:shd w:val="clear" w:color="auto" w:fill="F2F2F2"/>
          </w:tcPr>
          <w:p w14:paraId="383ADAA9" w14:textId="13F9C811" w:rsidR="00312B71" w:rsidRDefault="00312B71" w:rsidP="00312B71">
            <w:pPr>
              <w:pStyle w:val="BoxTitle"/>
            </w:pPr>
            <w:r>
              <w:rPr>
                <w:b w:val="0"/>
              </w:rPr>
              <w:t>Box 13.15</w:t>
            </w:r>
            <w:r>
              <w:tab/>
            </w:r>
            <w:r w:rsidRPr="0036625A">
              <w:t>Cost of care</w:t>
            </w:r>
          </w:p>
        </w:tc>
      </w:tr>
      <w:tr w:rsidR="00312B71" w14:paraId="55DC6CE9" w14:textId="77777777" w:rsidTr="00492B7D">
        <w:tc>
          <w:tcPr>
            <w:tcW w:w="5000" w:type="pct"/>
            <w:tcBorders>
              <w:top w:val="nil"/>
              <w:left w:val="nil"/>
              <w:bottom w:val="nil"/>
              <w:right w:val="nil"/>
            </w:tcBorders>
            <w:shd w:val="clear" w:color="auto" w:fill="F2F2F2"/>
          </w:tcPr>
          <w:p w14:paraId="566053F5" w14:textId="77777777" w:rsidR="00312B71" w:rsidRDefault="00312B71" w:rsidP="00312B71">
            <w:pPr>
              <w:pStyle w:val="Box"/>
            </w:pPr>
            <w:r w:rsidRPr="0036625A">
              <w:t>‘Cost of care’ has three measures</w:t>
            </w:r>
            <w:r>
              <w:t>.</w:t>
            </w:r>
          </w:p>
          <w:p w14:paraId="4881B299" w14:textId="77777777" w:rsidR="00312B71" w:rsidRPr="00FF2A70" w:rsidRDefault="00312B71" w:rsidP="00312B71">
            <w:pPr>
              <w:pStyle w:val="Box"/>
            </w:pPr>
            <w:r w:rsidRPr="00FF2A70">
              <w:rPr>
                <w:i/>
              </w:rPr>
              <w:t>‘Cost of inpatient</w:t>
            </w:r>
            <w:r w:rsidRPr="00FF2A70">
              <w:t xml:space="preserve"> </w:t>
            </w:r>
            <w:r w:rsidRPr="00FF2A70">
              <w:rPr>
                <w:i/>
              </w:rPr>
              <w:t>care’,</w:t>
            </w:r>
            <w:r w:rsidRPr="00FF2A70">
              <w:t xml:space="preserve"> defined by two sub</w:t>
            </w:r>
            <w:r w:rsidRPr="00FF2A70">
              <w:noBreakHyphen/>
              <w:t>measures:</w:t>
            </w:r>
          </w:p>
          <w:p w14:paraId="32AD7432" w14:textId="77777777" w:rsidR="00312B71" w:rsidRPr="00364258" w:rsidRDefault="00312B71" w:rsidP="00312B71">
            <w:pPr>
              <w:pStyle w:val="BoxListBullet"/>
            </w:pPr>
            <w:r w:rsidRPr="0036625A">
              <w:rPr>
                <w:i/>
              </w:rPr>
              <w:t>‘</w:t>
            </w:r>
            <w:r w:rsidRPr="00FF2A70">
              <w:t>Cost per inpatient bed day’</w:t>
            </w:r>
            <w:r w:rsidRPr="00364258">
              <w:t>, defined as expenditure on inpatient services divided by the number of inpatient bed days — data are disaggregated by hospital type (psychiatric and general hospitals) and care type (acute and non</w:t>
            </w:r>
            <w:r w:rsidRPr="00364258">
              <w:noBreakHyphen/>
              <w:t xml:space="preserve">acute units) and by inpatient target population (acute units only). </w:t>
            </w:r>
          </w:p>
          <w:p w14:paraId="434F691F" w14:textId="77777777" w:rsidR="00312B71" w:rsidRPr="00364258" w:rsidRDefault="00312B71" w:rsidP="00312B71">
            <w:pPr>
              <w:pStyle w:val="BoxListBullet"/>
            </w:pPr>
            <w:r w:rsidRPr="00FF2A70">
              <w:t>‘Average length of stay’</w:t>
            </w:r>
            <w:r w:rsidRPr="00364258">
              <w:t xml:space="preserve">, defined as the number of inpatient patient days divided by the number of separations in the reference period — data are disaggregated by inpatient target population (acute units only). Patient days for </w:t>
            </w:r>
            <w:r w:rsidRPr="0061119E">
              <w:t>consumers</w:t>
            </w:r>
            <w:r w:rsidRPr="00364258">
              <w:t xml:space="preserve"> who separated in the reference period (2015</w:t>
            </w:r>
            <w:r w:rsidRPr="00364258">
              <w:noBreakHyphen/>
              <w:t>16) that were during the previous period (2014</w:t>
            </w:r>
            <w:r w:rsidRPr="00364258">
              <w:noBreakHyphen/>
              <w:t xml:space="preserve">15) are excluded. Patient days for </w:t>
            </w:r>
            <w:r w:rsidRPr="0061119E">
              <w:t>consumers</w:t>
            </w:r>
            <w:r w:rsidRPr="00364258">
              <w:t xml:space="preserve"> who remain in hospital (that is, are not included in the separations data) are included. </w:t>
            </w:r>
          </w:p>
          <w:p w14:paraId="4920C612" w14:textId="77777777" w:rsidR="00312B71" w:rsidRDefault="00FC66C4" w:rsidP="00355934">
            <w:pPr>
              <w:pStyle w:val="Box"/>
            </w:pPr>
            <w:r w:rsidRPr="0036625A">
              <w:t xml:space="preserve">These </w:t>
            </w:r>
            <w:r>
              <w:t>sub</w:t>
            </w:r>
            <w:r>
              <w:noBreakHyphen/>
            </w:r>
            <w:r w:rsidRPr="0036625A">
              <w:t>measures are considered together for the inpatient acute units by target population to provide a ‘proxy’ measure to improve understanding of service efficiency. Average inpatient bed day costs can be reduced with longer lengths of stay because the costs of admission, discharge and more intensive treatment early in a stay are spread over more days of care.</w:t>
            </w:r>
            <w:r>
              <w:t xml:space="preserve"> </w:t>
            </w:r>
            <w:r w:rsidRPr="0004369D">
              <w:t xml:space="preserve">Data for forensic services are included for costs per inpatient bed day only, as the length of stay is dependent on factors outside the control of </w:t>
            </w:r>
            <w:r w:rsidRPr="00006D05">
              <w:t>these services.</w:t>
            </w:r>
          </w:p>
          <w:p w14:paraId="73D993D7" w14:textId="77777777" w:rsidR="00FC66C4" w:rsidRPr="00F210AB" w:rsidRDefault="00FC66C4" w:rsidP="00FC66C4">
            <w:pPr>
              <w:pStyle w:val="Box"/>
              <w:rPr>
                <w:u w:val="single"/>
              </w:rPr>
            </w:pPr>
            <w:r w:rsidRPr="00FF2A70">
              <w:rPr>
                <w:i/>
              </w:rPr>
              <w:t>‘Cost of community</w:t>
            </w:r>
            <w:r w:rsidRPr="00FF2A70">
              <w:rPr>
                <w:i/>
              </w:rPr>
              <w:noBreakHyphen/>
              <w:t>based residential care’</w:t>
            </w:r>
            <w:r w:rsidRPr="003F4652">
              <w:t xml:space="preserve"> is defined as the average cost per patient day.</w:t>
            </w:r>
            <w:r w:rsidRPr="00DF478F">
              <w:t xml:space="preserve"> </w:t>
            </w:r>
            <w:r w:rsidRPr="0004369D">
              <w:t>Data are reported for both the care of adults and older people.</w:t>
            </w:r>
          </w:p>
          <w:p w14:paraId="70AC1F7F" w14:textId="77777777" w:rsidR="00736D4B" w:rsidRPr="00FF2A70" w:rsidRDefault="00736D4B" w:rsidP="00736D4B">
            <w:pPr>
              <w:pStyle w:val="Box"/>
            </w:pPr>
            <w:r w:rsidRPr="00FF2A70">
              <w:rPr>
                <w:i/>
              </w:rPr>
              <w:t>‘Cost of ambulatory care’</w:t>
            </w:r>
            <w:r w:rsidRPr="00FF2A70">
              <w:t xml:space="preserve"> is defined by two sub</w:t>
            </w:r>
            <w:r w:rsidRPr="00FF2A70">
              <w:noBreakHyphen/>
              <w:t>measures:</w:t>
            </w:r>
          </w:p>
          <w:p w14:paraId="4CE2750F" w14:textId="77777777" w:rsidR="00736D4B" w:rsidRPr="00871747" w:rsidRDefault="00736D4B" w:rsidP="00736D4B">
            <w:pPr>
              <w:pStyle w:val="BoxListBullet"/>
            </w:pPr>
            <w:r w:rsidRPr="00871747">
              <w:t xml:space="preserve">average cost per treatment day </w:t>
            </w:r>
          </w:p>
          <w:p w14:paraId="636FDF75" w14:textId="26B19BB7" w:rsidR="00FC66C4" w:rsidRDefault="00736D4B" w:rsidP="00736D4B">
            <w:pPr>
              <w:pStyle w:val="BoxListBullet"/>
            </w:pPr>
            <w:r w:rsidRPr="00871747">
              <w:t xml:space="preserve">average number of treatment days per episode </w:t>
            </w:r>
            <w:r w:rsidRPr="00871747">
              <w:rPr>
                <w:rFonts w:ascii="Calibri" w:hAnsi="Calibri"/>
              </w:rPr>
              <w:t>—</w:t>
            </w:r>
            <w:r w:rsidRPr="00871747">
              <w:t xml:space="preserve"> this measure is provided, along with average costs, as frequency of servicing is the main dri</w:t>
            </w:r>
            <w:r>
              <w:t>ver of variation in care costs.</w:t>
            </w:r>
          </w:p>
        </w:tc>
      </w:tr>
      <w:tr w:rsidR="00312B71" w14:paraId="4D21DDED" w14:textId="77777777" w:rsidTr="00492B7D">
        <w:tc>
          <w:tcPr>
            <w:tcW w:w="5000" w:type="pct"/>
            <w:tcBorders>
              <w:top w:val="nil"/>
              <w:left w:val="nil"/>
              <w:bottom w:val="nil"/>
              <w:right w:val="nil"/>
            </w:tcBorders>
            <w:shd w:val="clear" w:color="auto" w:fill="F2F2F2"/>
          </w:tcPr>
          <w:p w14:paraId="044B0595" w14:textId="5D6A6EA1" w:rsidR="00312B71" w:rsidRDefault="00312B71" w:rsidP="00FC66C4">
            <w:pPr>
              <w:pStyle w:val="BoxSource"/>
              <w:jc w:val="right"/>
            </w:pPr>
            <w:r>
              <w:t>(continued next page)</w:t>
            </w:r>
          </w:p>
        </w:tc>
      </w:tr>
      <w:tr w:rsidR="00312B71" w14:paraId="1A7E6BD0" w14:textId="77777777" w:rsidTr="00492B7D">
        <w:tc>
          <w:tcPr>
            <w:tcW w:w="5000" w:type="pct"/>
            <w:tcBorders>
              <w:top w:val="nil"/>
              <w:left w:val="nil"/>
              <w:bottom w:val="single" w:sz="6" w:space="0" w:color="78A22F"/>
              <w:right w:val="nil"/>
            </w:tcBorders>
            <w:shd w:val="clear" w:color="auto" w:fill="F2F2F2"/>
          </w:tcPr>
          <w:p w14:paraId="274B9ACD" w14:textId="77777777" w:rsidR="00312B71" w:rsidRDefault="00312B71">
            <w:pPr>
              <w:pStyle w:val="Box"/>
              <w:spacing w:before="0" w:line="120" w:lineRule="exact"/>
            </w:pPr>
          </w:p>
        </w:tc>
      </w:tr>
      <w:tr w:rsidR="00312B71" w:rsidRPr="000863A5" w14:paraId="76983D70" w14:textId="77777777" w:rsidTr="00492B7D">
        <w:tc>
          <w:tcPr>
            <w:tcW w:w="5000" w:type="pct"/>
            <w:tcBorders>
              <w:top w:val="single" w:sz="6" w:space="0" w:color="78A22F"/>
              <w:left w:val="nil"/>
              <w:bottom w:val="nil"/>
              <w:right w:val="nil"/>
            </w:tcBorders>
          </w:tcPr>
          <w:p w14:paraId="7EFACD05" w14:textId="3536CD42" w:rsidR="00312B71" w:rsidRPr="00626D32" w:rsidRDefault="00312B71" w:rsidP="00355934">
            <w:pPr>
              <w:pStyle w:val="BoxSpaceBelow"/>
            </w:pPr>
          </w:p>
        </w:tc>
      </w:tr>
    </w:tbl>
    <w:p w14:paraId="7EEA8D43" w14:textId="02640709" w:rsidR="00576003" w:rsidRPr="009754CD" w:rsidRDefault="00576003" w:rsidP="00DF6F2F">
      <w:pPr>
        <w:pStyle w:val="BodyText"/>
        <w:keepNext/>
        <w:widowControl w:val="0"/>
        <w:spacing w:before="0" w:line="240" w:lineRule="atLeast"/>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76003" w:rsidRPr="0036625A" w14:paraId="61F5F4F7" w14:textId="77777777" w:rsidTr="00492B7D">
        <w:tc>
          <w:tcPr>
            <w:tcW w:w="8789" w:type="dxa"/>
            <w:tcBorders>
              <w:top w:val="single" w:sz="6" w:space="0" w:color="78A22F"/>
              <w:left w:val="nil"/>
              <w:bottom w:val="nil"/>
              <w:right w:val="nil"/>
            </w:tcBorders>
            <w:shd w:val="clear" w:color="auto" w:fill="F2F2F2"/>
          </w:tcPr>
          <w:p w14:paraId="073A4857" w14:textId="0D12CE75" w:rsidR="00576003" w:rsidRPr="0036625A" w:rsidRDefault="00576003" w:rsidP="002B30E9">
            <w:pPr>
              <w:pStyle w:val="BoxTitle"/>
              <w:keepLines w:val="0"/>
              <w:widowControl w:val="0"/>
            </w:pPr>
            <w:r w:rsidRPr="0036625A">
              <w:rPr>
                <w:b w:val="0"/>
              </w:rPr>
              <w:t xml:space="preserve">Box </w:t>
            </w:r>
            <w:r w:rsidR="00134A99">
              <w:rPr>
                <w:b w:val="0"/>
              </w:rPr>
              <w:t>13.15</w:t>
            </w:r>
            <w:r w:rsidRPr="0036625A">
              <w:tab/>
            </w:r>
            <w:r w:rsidR="002B30E9" w:rsidRPr="002B30E9">
              <w:rPr>
                <w:b w:val="0"/>
                <w:sz w:val="18"/>
                <w:szCs w:val="18"/>
              </w:rPr>
              <w:t>(continued)</w:t>
            </w:r>
            <w:r w:rsidRPr="0036625A">
              <w:t xml:space="preserve"> </w:t>
            </w:r>
          </w:p>
        </w:tc>
      </w:tr>
      <w:tr w:rsidR="00576003" w:rsidRPr="0036625A" w14:paraId="2AC830FB" w14:textId="77777777" w:rsidTr="00492B7D">
        <w:trPr>
          <w:cantSplit/>
        </w:trPr>
        <w:tc>
          <w:tcPr>
            <w:tcW w:w="8789" w:type="dxa"/>
            <w:tcBorders>
              <w:top w:val="nil"/>
              <w:left w:val="nil"/>
              <w:bottom w:val="nil"/>
              <w:right w:val="nil"/>
            </w:tcBorders>
            <w:shd w:val="clear" w:color="auto" w:fill="F2F2F2"/>
          </w:tcPr>
          <w:p w14:paraId="70EEE4C0" w14:textId="7B8E00B4" w:rsidR="00134A99" w:rsidRPr="0036625A" w:rsidRDefault="00134A99" w:rsidP="00134A99">
            <w:pPr>
              <w:pStyle w:val="Box"/>
            </w:pPr>
            <w:r>
              <w:t>For each measure a low or decreasing cost per input is desirable as this might indicate more efficient service delivery. However, efficiency data need to be interpreted with care as they do not provide information on service quality or patient outcomes.</w:t>
            </w:r>
          </w:p>
          <w:p w14:paraId="17CA85A6" w14:textId="75DBB9A5" w:rsidR="00134A99" w:rsidRDefault="00134A99" w:rsidP="00134A99">
            <w:pPr>
              <w:pStyle w:val="Box"/>
            </w:pPr>
            <w:r>
              <w:t xml:space="preserve">Data reported for </w:t>
            </w:r>
            <w:r w:rsidR="00EE5892" w:rsidRPr="0061119E">
              <w:t>the first and second</w:t>
            </w:r>
            <w:r w:rsidR="00EE5892">
              <w:t xml:space="preserve"> </w:t>
            </w:r>
            <w:r>
              <w:t>measures are:</w:t>
            </w:r>
          </w:p>
          <w:p w14:paraId="4F75FA5C" w14:textId="77777777" w:rsidR="00134A99" w:rsidRDefault="00134A99" w:rsidP="00134A99">
            <w:pPr>
              <w:pStyle w:val="BoxListBullet"/>
            </w:pPr>
            <w:r w:rsidRPr="00871747">
              <w:t>comparable (subject to caveats) across jurisdictions and over time</w:t>
            </w:r>
            <w:r>
              <w:t>.</w:t>
            </w:r>
          </w:p>
          <w:p w14:paraId="7C127914" w14:textId="567F9296" w:rsidR="00134A99" w:rsidRDefault="00134A99" w:rsidP="00134A99">
            <w:pPr>
              <w:pStyle w:val="Box"/>
            </w:pPr>
            <w:r w:rsidRPr="00871747">
              <w:t xml:space="preserve">Data reported for </w:t>
            </w:r>
            <w:r w:rsidR="00EE5892" w:rsidRPr="0061119E">
              <w:t>the third</w:t>
            </w:r>
            <w:r w:rsidR="00EE5892">
              <w:t xml:space="preserve"> </w:t>
            </w:r>
            <w:r>
              <w:t xml:space="preserve">measure </w:t>
            </w:r>
            <w:r w:rsidRPr="00871747">
              <w:t>are</w:t>
            </w:r>
            <w:r>
              <w:t xml:space="preserve">: </w:t>
            </w:r>
          </w:p>
          <w:p w14:paraId="6BBBF66A" w14:textId="77777777" w:rsidR="00134A99" w:rsidRDefault="00134A99" w:rsidP="00134A99">
            <w:pPr>
              <w:pStyle w:val="BoxListBullet"/>
            </w:pPr>
            <w:r w:rsidRPr="00871747">
              <w:t>comparable (subject to caveats) within some jurisdictions over time but are not comparable across jurisdictions or over time for</w:t>
            </w:r>
            <w:r>
              <w:t xml:space="preserve"> other jurisdictions.</w:t>
            </w:r>
          </w:p>
          <w:p w14:paraId="24E92DFB" w14:textId="77777777" w:rsidR="00134A99" w:rsidRDefault="00134A99" w:rsidP="00134A99">
            <w:pPr>
              <w:pStyle w:val="Box"/>
            </w:pPr>
            <w:r w:rsidRPr="00871747">
              <w:t xml:space="preserve">Data reported for </w:t>
            </w:r>
            <w:r>
              <w:t>all measures for this indicator</w:t>
            </w:r>
            <w:r w:rsidRPr="00871747">
              <w:t xml:space="preserve"> are</w:t>
            </w:r>
            <w:r>
              <w:t>:</w:t>
            </w:r>
          </w:p>
          <w:p w14:paraId="2095B833" w14:textId="5C7368CA" w:rsidR="00A254CF" w:rsidRPr="00871747" w:rsidRDefault="00614185" w:rsidP="007E7C79">
            <w:pPr>
              <w:pStyle w:val="BoxListBullet"/>
            </w:pPr>
            <w:r w:rsidRPr="00840CCB">
              <w:t xml:space="preserve">complete (subject to caveats) for the current reporting period. All </w:t>
            </w:r>
            <w:r w:rsidRPr="004A6BB9">
              <w:t xml:space="preserve">required </w:t>
            </w:r>
            <w:r>
              <w:t>2015</w:t>
            </w:r>
            <w:r w:rsidR="007E7C79">
              <w:noBreakHyphen/>
            </w:r>
            <w:r>
              <w:t>16</w:t>
            </w:r>
            <w:r w:rsidRPr="004A6BB9">
              <w:t xml:space="preserve"> data</w:t>
            </w:r>
            <w:r w:rsidRPr="00840CCB">
              <w:t xml:space="preserve"> are available for all jurisdictions.</w:t>
            </w:r>
          </w:p>
        </w:tc>
      </w:tr>
      <w:tr w:rsidR="00576003" w:rsidRPr="0036625A" w14:paraId="27C55B3D" w14:textId="77777777" w:rsidTr="00492B7D">
        <w:trPr>
          <w:cantSplit/>
        </w:trPr>
        <w:tc>
          <w:tcPr>
            <w:tcW w:w="8789" w:type="dxa"/>
            <w:tcBorders>
              <w:top w:val="nil"/>
              <w:left w:val="nil"/>
              <w:bottom w:val="single" w:sz="6" w:space="0" w:color="78A22F"/>
              <w:right w:val="nil"/>
            </w:tcBorders>
            <w:shd w:val="clear" w:color="auto" w:fill="F2F2F2"/>
          </w:tcPr>
          <w:p w14:paraId="5D0BC65A" w14:textId="77777777" w:rsidR="00576003" w:rsidRPr="0036625A" w:rsidRDefault="00576003">
            <w:pPr>
              <w:pStyle w:val="Box"/>
              <w:spacing w:before="0" w:line="120" w:lineRule="exact"/>
            </w:pPr>
          </w:p>
        </w:tc>
      </w:tr>
      <w:tr w:rsidR="00576003" w:rsidRPr="0036625A" w14:paraId="07DED651" w14:textId="77777777" w:rsidTr="00492B7D">
        <w:tc>
          <w:tcPr>
            <w:tcW w:w="8789" w:type="dxa"/>
            <w:tcBorders>
              <w:top w:val="single" w:sz="6" w:space="0" w:color="78A22F"/>
              <w:left w:val="nil"/>
              <w:bottom w:val="nil"/>
              <w:right w:val="nil"/>
            </w:tcBorders>
          </w:tcPr>
          <w:p w14:paraId="594A0641" w14:textId="526E8490" w:rsidR="00576003" w:rsidRPr="0036625A" w:rsidRDefault="00576003" w:rsidP="00536CCF">
            <w:pPr>
              <w:pStyle w:val="BoxSpaceBelow"/>
            </w:pPr>
          </w:p>
        </w:tc>
      </w:tr>
    </w:tbl>
    <w:p w14:paraId="41FEC737" w14:textId="662D7014" w:rsidR="00AE29AE" w:rsidRDefault="00AE29AE" w:rsidP="00DF6F2F">
      <w:pPr>
        <w:pStyle w:val="Heading5"/>
        <w:spacing w:before="360"/>
      </w:pPr>
      <w:r>
        <w:t>Cost of inpatient care</w:t>
      </w:r>
    </w:p>
    <w:p w14:paraId="0AD087B8" w14:textId="39F80C2B" w:rsidR="00703679" w:rsidRDefault="00837556" w:rsidP="002315C6">
      <w:pPr>
        <w:pStyle w:val="BodyText"/>
      </w:pPr>
      <w:r w:rsidRPr="0004369D">
        <w:t>Nationally in 201</w:t>
      </w:r>
      <w:r w:rsidR="00043C52">
        <w:t>5</w:t>
      </w:r>
      <w:r w:rsidR="00463329" w:rsidRPr="0004369D">
        <w:noBreakHyphen/>
      </w:r>
      <w:r w:rsidRPr="0004369D">
        <w:t>1</w:t>
      </w:r>
      <w:r w:rsidR="00043C52">
        <w:t>6</w:t>
      </w:r>
      <w:r w:rsidRPr="00074248">
        <w:t>,</w:t>
      </w:r>
      <w:r w:rsidRPr="0004369D">
        <w:t xml:space="preserve"> </w:t>
      </w:r>
      <w:r w:rsidR="0060776C" w:rsidRPr="0004369D">
        <w:t xml:space="preserve">the </w:t>
      </w:r>
      <w:r w:rsidR="00262C26" w:rsidRPr="0004369D">
        <w:t>a</w:t>
      </w:r>
      <w:r w:rsidR="00570B09" w:rsidRPr="0004369D">
        <w:t xml:space="preserve">verage cost per inpatient bed day </w:t>
      </w:r>
      <w:r w:rsidR="00262C26" w:rsidRPr="0004369D">
        <w:t>was higher in acute than non</w:t>
      </w:r>
      <w:r w:rsidRPr="0004369D">
        <w:noBreakHyphen/>
      </w:r>
      <w:r w:rsidR="00262C26" w:rsidRPr="0004369D">
        <w:t>acute units</w:t>
      </w:r>
      <w:r w:rsidR="005A40DE">
        <w:t>,</w:t>
      </w:r>
      <w:r w:rsidR="00262C26" w:rsidRPr="0004369D">
        <w:t xml:space="preserve"> </w:t>
      </w:r>
      <w:r w:rsidRPr="0004369D">
        <w:t xml:space="preserve">and </w:t>
      </w:r>
      <w:r w:rsidR="00262C26" w:rsidRPr="0004369D">
        <w:t xml:space="preserve">slightly higher in psychiatric </w:t>
      </w:r>
      <w:r w:rsidR="00695C45" w:rsidRPr="0004369D">
        <w:t>hospitals</w:t>
      </w:r>
      <w:r w:rsidR="00262C26" w:rsidRPr="0004369D">
        <w:t xml:space="preserve"> </w:t>
      </w:r>
      <w:r w:rsidR="0060776C" w:rsidRPr="0004369D">
        <w:t>than</w:t>
      </w:r>
      <w:r w:rsidR="00262C26" w:rsidRPr="0004369D">
        <w:t xml:space="preserve"> </w:t>
      </w:r>
      <w:r w:rsidR="0060776C" w:rsidRPr="0004369D">
        <w:t>in general</w:t>
      </w:r>
      <w:r w:rsidR="00262C26" w:rsidRPr="0004369D">
        <w:t xml:space="preserve"> </w:t>
      </w:r>
      <w:r w:rsidR="0060776C" w:rsidRPr="0004369D">
        <w:t>hospitals</w:t>
      </w:r>
      <w:r w:rsidR="00262C26" w:rsidRPr="0004369D">
        <w:t xml:space="preserve"> </w:t>
      </w:r>
      <w:r w:rsidR="0060776C" w:rsidRPr="0004369D">
        <w:t>for both acute and non</w:t>
      </w:r>
      <w:r w:rsidR="00463329" w:rsidRPr="0004369D">
        <w:noBreakHyphen/>
      </w:r>
      <w:r w:rsidR="0060776C" w:rsidRPr="0004369D">
        <w:t>acute</w:t>
      </w:r>
      <w:r w:rsidR="00262C26" w:rsidRPr="0004369D">
        <w:t xml:space="preserve"> </w:t>
      </w:r>
      <w:r w:rsidR="00695C45" w:rsidRPr="0004369D">
        <w:t xml:space="preserve">units </w:t>
      </w:r>
      <w:r w:rsidR="00262C26" w:rsidRPr="0004369D">
        <w:t>(</w:t>
      </w:r>
      <w:r w:rsidR="001B26A2" w:rsidRPr="0004369D">
        <w:t>figure</w:t>
      </w:r>
      <w:r w:rsidR="00FD0A2C">
        <w:t> </w:t>
      </w:r>
      <w:r w:rsidR="000428B3">
        <w:t>13.12</w:t>
      </w:r>
      <w:r w:rsidR="00266512" w:rsidRPr="0004369D">
        <w:t xml:space="preserve">). </w:t>
      </w:r>
    </w:p>
    <w:p w14:paraId="7CF34A59" w14:textId="74E06D2A" w:rsidR="00FD0A2C" w:rsidRDefault="00FD0A2C" w:rsidP="00DF6F2F">
      <w:pPr>
        <w:pStyle w:val="BoxSpaceAbove"/>
        <w:spacing w:before="20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FD0A2C" w14:paraId="4A827880" w14:textId="77777777" w:rsidTr="00492B7D">
        <w:trPr>
          <w:tblHeader/>
        </w:trPr>
        <w:tc>
          <w:tcPr>
            <w:tcW w:w="8789" w:type="dxa"/>
            <w:tcBorders>
              <w:top w:val="single" w:sz="6" w:space="0" w:color="78A22F"/>
              <w:left w:val="nil"/>
              <w:bottom w:val="nil"/>
              <w:right w:val="nil"/>
            </w:tcBorders>
            <w:shd w:val="clear" w:color="auto" w:fill="auto"/>
          </w:tcPr>
          <w:p w14:paraId="1C78347E" w14:textId="77A655EF" w:rsidR="00DF199E" w:rsidRPr="00953BC1" w:rsidRDefault="00FD0A2C" w:rsidP="00DF6F2F">
            <w:pPr>
              <w:pStyle w:val="FigureTitle"/>
              <w:spacing w:before="60" w:after="60"/>
              <w:rPr>
                <w:rStyle w:val="DraftingNote"/>
                <w:b/>
                <w:color w:val="auto"/>
                <w:position w:val="6"/>
                <w:sz w:val="18"/>
                <w:u w:val="none"/>
              </w:rPr>
            </w:pPr>
            <w:r w:rsidRPr="00784A05">
              <w:rPr>
                <w:b w:val="0"/>
              </w:rPr>
              <w:t xml:space="preserve">Figure </w:t>
            </w:r>
            <w:r w:rsidR="000428B3">
              <w:rPr>
                <w:b w:val="0"/>
              </w:rPr>
              <w:t>13.12</w:t>
            </w:r>
            <w:r>
              <w:tab/>
            </w:r>
            <w:r w:rsidRPr="0004369D">
              <w:t>Average recurrent cost per inpatient bed day, by public hospital and care type, 201</w:t>
            </w:r>
            <w:r w:rsidR="00043C52">
              <w:t>5</w:t>
            </w:r>
            <w:r w:rsidRPr="0004369D">
              <w:noBreakHyphen/>
              <w:t>1</w:t>
            </w:r>
            <w:r w:rsidR="00043C52">
              <w:t>6</w:t>
            </w:r>
            <w:r w:rsidRPr="0004369D">
              <w:rPr>
                <w:rStyle w:val="NoteLabel"/>
                <w:b/>
              </w:rPr>
              <w:t>a, b, c, d</w:t>
            </w:r>
          </w:p>
        </w:tc>
      </w:tr>
      <w:tr w:rsidR="00FD0A2C" w14:paraId="7959A241" w14:textId="77777777" w:rsidTr="00492B7D">
        <w:tc>
          <w:tcPr>
            <w:tcW w:w="8789" w:type="dxa"/>
            <w:tcBorders>
              <w:top w:val="nil"/>
              <w:left w:val="nil"/>
              <w:bottom w:val="nil"/>
              <w:right w:val="nil"/>
            </w:tcBorders>
            <w:shd w:val="clear" w:color="auto" w:fill="auto"/>
            <w:tcMar>
              <w:top w:w="28" w:type="dxa"/>
              <w:bottom w:w="28" w:type="dxa"/>
            </w:tcMar>
          </w:tcPr>
          <w:tbl>
            <w:tblPr>
              <w:tblW w:w="4955" w:type="pct"/>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428"/>
            </w:tblGrid>
            <w:tr w:rsidR="00FD0A2C" w:rsidRPr="00B1465D" w14:paraId="11C9DD38" w14:textId="77777777" w:rsidTr="00666559">
              <w:trPr>
                <w:trHeight w:val="4745"/>
                <w:tblHeader/>
                <w:jc w:val="center"/>
              </w:trPr>
              <w:tc>
                <w:tcPr>
                  <w:tcW w:w="8428" w:type="dxa"/>
                  <w:tcBorders>
                    <w:top w:val="nil"/>
                    <w:bottom w:val="nil"/>
                  </w:tcBorders>
                </w:tcPr>
                <w:p w14:paraId="0A559F38" w14:textId="479EEFD5" w:rsidR="00FD0A2C" w:rsidRPr="008D1EB3" w:rsidRDefault="005C46C7" w:rsidP="008D1EB3">
                  <w:pPr>
                    <w:pStyle w:val="Figure"/>
                  </w:pPr>
                  <w:r>
                    <w:rPr>
                      <w:noProof/>
                    </w:rPr>
                    <w:drawing>
                      <wp:inline distT="0" distB="0" distL="0" distR="0" wp14:anchorId="58A1FF04" wp14:editId="6A6311A3">
                        <wp:extent cx="5407660" cy="2798445"/>
                        <wp:effectExtent l="0" t="0" r="2540" b="1905"/>
                        <wp:docPr id="5" name="Picture 5" descr="More details can be found within the text surrounding this image." title="Figure 13.12 Average recurrent cost per inpatient bed day, by public hospital and care typ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7660" cy="2798445"/>
                                </a:xfrm>
                                <a:prstGeom prst="rect">
                                  <a:avLst/>
                                </a:prstGeom>
                                <a:noFill/>
                              </pic:spPr>
                            </pic:pic>
                          </a:graphicData>
                        </a:graphic>
                      </wp:inline>
                    </w:drawing>
                  </w:r>
                </w:p>
              </w:tc>
            </w:tr>
          </w:tbl>
          <w:p w14:paraId="083877D4" w14:textId="77777777" w:rsidR="00FD0A2C" w:rsidRDefault="00FD0A2C" w:rsidP="00F538A3">
            <w:pPr>
              <w:pStyle w:val="Figure"/>
            </w:pPr>
          </w:p>
        </w:tc>
      </w:tr>
      <w:tr w:rsidR="00FD0A2C" w:rsidRPr="00006D05" w14:paraId="24855DF4" w14:textId="77777777" w:rsidTr="00492B7D">
        <w:tc>
          <w:tcPr>
            <w:tcW w:w="8789" w:type="dxa"/>
            <w:tcBorders>
              <w:top w:val="nil"/>
              <w:left w:val="nil"/>
              <w:bottom w:val="nil"/>
              <w:right w:val="nil"/>
            </w:tcBorders>
            <w:shd w:val="clear" w:color="auto" w:fill="auto"/>
          </w:tcPr>
          <w:p w14:paraId="7EB29830" w14:textId="2C5E0BDD" w:rsidR="00FD0A2C" w:rsidRPr="00006D05" w:rsidRDefault="00FD0A2C" w:rsidP="00F8602A">
            <w:pPr>
              <w:pStyle w:val="Note"/>
              <w:spacing w:after="40"/>
            </w:pPr>
            <w:r w:rsidRPr="00006D05">
              <w:rPr>
                <w:rStyle w:val="NoteLabel"/>
              </w:rPr>
              <w:t>a</w:t>
            </w:r>
            <w:r w:rsidRPr="00006D05">
              <w:t xml:space="preserve"> See box</w:t>
            </w:r>
            <w:r w:rsidR="00AB25A8">
              <w:t> </w:t>
            </w:r>
            <w:r w:rsidR="007A59B2">
              <w:t>13.15</w:t>
            </w:r>
            <w:r w:rsidRPr="00006D05">
              <w:t xml:space="preserve"> and table 13A.</w:t>
            </w:r>
            <w:r w:rsidR="008719A2" w:rsidRPr="00006D05">
              <w:t>3</w:t>
            </w:r>
            <w:r w:rsidR="000D09C4">
              <w:t>2</w:t>
            </w:r>
            <w:r w:rsidRPr="00006D05">
              <w:t xml:space="preserve"> for detailed definitions, footnotes and caveats. </w:t>
            </w:r>
            <w:r w:rsidRPr="00006D05">
              <w:rPr>
                <w:rStyle w:val="NoteLabel"/>
              </w:rPr>
              <w:t>b</w:t>
            </w:r>
            <w:r w:rsidRPr="00006D05">
              <w:t xml:space="preserve"> Queensland does not provide acute services in psychiatric hospitals. </w:t>
            </w:r>
            <w:r w:rsidRPr="00006D05">
              <w:rPr>
                <w:rStyle w:val="NoteLabel"/>
              </w:rPr>
              <w:t>c</w:t>
            </w:r>
            <w:r w:rsidRPr="00006D05">
              <w:t xml:space="preserve"> Tasmania, the ACT and the NT do not have psychiatric hospitals. </w:t>
            </w:r>
            <w:r w:rsidRPr="00006D05">
              <w:rPr>
                <w:rStyle w:val="NoteLabel"/>
              </w:rPr>
              <w:t>d</w:t>
            </w:r>
            <w:r w:rsidRPr="00006D05">
              <w:t xml:space="preserve"> SA, the ACT and the NT do not have non</w:t>
            </w:r>
            <w:r w:rsidRPr="00006D05">
              <w:noBreakHyphen/>
              <w:t>acute units in general hospitals.</w:t>
            </w:r>
          </w:p>
        </w:tc>
      </w:tr>
      <w:tr w:rsidR="00FD0A2C" w:rsidRPr="00176D3F" w14:paraId="5408EB91" w14:textId="77777777" w:rsidTr="00492B7D">
        <w:tc>
          <w:tcPr>
            <w:tcW w:w="8789" w:type="dxa"/>
            <w:tcBorders>
              <w:top w:val="nil"/>
              <w:left w:val="nil"/>
              <w:bottom w:val="nil"/>
              <w:right w:val="nil"/>
            </w:tcBorders>
            <w:shd w:val="clear" w:color="auto" w:fill="auto"/>
          </w:tcPr>
          <w:p w14:paraId="2B721E80" w14:textId="52CBAF0A" w:rsidR="00FD0A2C" w:rsidRPr="00176D3F" w:rsidRDefault="00FD0A2C" w:rsidP="00DF6F2F">
            <w:pPr>
              <w:pStyle w:val="Source"/>
              <w:spacing w:before="40"/>
            </w:pPr>
            <w:r w:rsidRPr="00006D05">
              <w:rPr>
                <w:i/>
              </w:rPr>
              <w:t>Source</w:t>
            </w:r>
            <w:r w:rsidRPr="00006D05">
              <w:t>:</w:t>
            </w:r>
            <w:r w:rsidRPr="00006D05">
              <w:rPr>
                <w:i/>
              </w:rPr>
              <w:t xml:space="preserve"> </w:t>
            </w:r>
            <w:r w:rsidRPr="00006D05">
              <w:t>AIHW (unpublished) MHE NMDS; table 13A.</w:t>
            </w:r>
            <w:r w:rsidR="008719A2" w:rsidRPr="00006D05">
              <w:t>3</w:t>
            </w:r>
            <w:r w:rsidR="000D09C4">
              <w:t>2</w:t>
            </w:r>
            <w:r w:rsidRPr="00006D05">
              <w:t>.</w:t>
            </w:r>
          </w:p>
        </w:tc>
      </w:tr>
      <w:tr w:rsidR="00FD0A2C" w14:paraId="7E899C39" w14:textId="77777777" w:rsidTr="00492B7D">
        <w:tc>
          <w:tcPr>
            <w:tcW w:w="8789" w:type="dxa"/>
            <w:tcBorders>
              <w:top w:val="nil"/>
              <w:left w:val="nil"/>
              <w:bottom w:val="single" w:sz="6" w:space="0" w:color="78A22F"/>
              <w:right w:val="nil"/>
            </w:tcBorders>
            <w:shd w:val="clear" w:color="auto" w:fill="auto"/>
          </w:tcPr>
          <w:p w14:paraId="7541F60F" w14:textId="77777777" w:rsidR="00FD0A2C" w:rsidRDefault="00FD0A2C" w:rsidP="00DF6F2F">
            <w:pPr>
              <w:pStyle w:val="Figurespace"/>
              <w:spacing w:line="80" w:lineRule="exact"/>
            </w:pPr>
          </w:p>
        </w:tc>
      </w:tr>
      <w:tr w:rsidR="00FD0A2C" w:rsidRPr="000863A5" w14:paraId="7CA4C425" w14:textId="77777777" w:rsidTr="00492B7D">
        <w:tc>
          <w:tcPr>
            <w:tcW w:w="8789" w:type="dxa"/>
            <w:tcBorders>
              <w:top w:val="single" w:sz="6" w:space="0" w:color="78A22F"/>
              <w:left w:val="nil"/>
              <w:bottom w:val="nil"/>
              <w:right w:val="nil"/>
            </w:tcBorders>
          </w:tcPr>
          <w:p w14:paraId="003B43CD" w14:textId="60C8E7D5" w:rsidR="00FD0A2C" w:rsidRPr="00626D32" w:rsidRDefault="00FD0A2C" w:rsidP="00DF6F2F">
            <w:pPr>
              <w:pStyle w:val="BoxSpaceBelow"/>
              <w:spacing w:before="20" w:after="0" w:line="40" w:lineRule="exact"/>
            </w:pPr>
          </w:p>
        </w:tc>
      </w:tr>
    </w:tbl>
    <w:p w14:paraId="5805B3E1" w14:textId="6035BC39" w:rsidR="00D42332" w:rsidRPr="0004369D" w:rsidRDefault="0060776C" w:rsidP="00D42332">
      <w:pPr>
        <w:pStyle w:val="BodyText"/>
      </w:pPr>
      <w:r w:rsidRPr="0004369D">
        <w:lastRenderedPageBreak/>
        <w:t xml:space="preserve">Older </w:t>
      </w:r>
      <w:r w:rsidR="00F73C9F">
        <w:t>persons</w:t>
      </w:r>
      <w:r w:rsidR="00F73C9F" w:rsidRPr="0004369D">
        <w:t xml:space="preserve"> </w:t>
      </w:r>
      <w:r w:rsidRPr="0004369D">
        <w:t xml:space="preserve">units have </w:t>
      </w:r>
      <w:r w:rsidR="00D7343B" w:rsidRPr="0004369D">
        <w:t>lower</w:t>
      </w:r>
      <w:r w:rsidRPr="0004369D">
        <w:t xml:space="preserve"> costs per inpatient day</w:t>
      </w:r>
      <w:r w:rsidR="00EE03D6">
        <w:t xml:space="preserve"> (table 13A.33)</w:t>
      </w:r>
      <w:r w:rsidR="00266512" w:rsidRPr="0004369D">
        <w:t xml:space="preserve">, but </w:t>
      </w:r>
      <w:r w:rsidR="00312661" w:rsidRPr="0004369D">
        <w:t xml:space="preserve">have considerably </w:t>
      </w:r>
      <w:r w:rsidR="00266512" w:rsidRPr="0004369D">
        <w:t>longer</w:t>
      </w:r>
      <w:r w:rsidRPr="0004369D">
        <w:t xml:space="preserve"> </w:t>
      </w:r>
      <w:r w:rsidR="00266512" w:rsidRPr="0004369D">
        <w:t xml:space="preserve">lengths of </w:t>
      </w:r>
      <w:r w:rsidRPr="0004369D">
        <w:t xml:space="preserve">stay </w:t>
      </w:r>
      <w:r w:rsidR="00266512" w:rsidRPr="0004369D">
        <w:t xml:space="preserve">than general adult </w:t>
      </w:r>
      <w:r w:rsidR="00312661" w:rsidRPr="0004369D">
        <w:t>or</w:t>
      </w:r>
      <w:r w:rsidR="00266512" w:rsidRPr="0004369D">
        <w:t xml:space="preserve"> child and adolescent units</w:t>
      </w:r>
      <w:r w:rsidR="00EE03D6">
        <w:t xml:space="preserve"> (table</w:t>
      </w:r>
      <w:r w:rsidR="00BA1594">
        <w:t> </w:t>
      </w:r>
      <w:r w:rsidR="00EE03D6">
        <w:t>13A.35)</w:t>
      </w:r>
      <w:r w:rsidR="00266512" w:rsidRPr="0004369D">
        <w:t>.</w:t>
      </w:r>
      <w:r w:rsidR="00312661" w:rsidRPr="0004369D">
        <w:t xml:space="preserve"> </w:t>
      </w:r>
      <w:r w:rsidR="0086249B" w:rsidRPr="00006D05">
        <w:t>Data on the average cost per inpatient bed day by target population for all care types are reported in table</w:t>
      </w:r>
      <w:r w:rsidR="00EE03D6">
        <w:t>s</w:t>
      </w:r>
      <w:r w:rsidR="006062EF" w:rsidRPr="00006D05">
        <w:t> </w:t>
      </w:r>
      <w:r w:rsidR="001B26A2" w:rsidRPr="00006D05">
        <w:t>13A.</w:t>
      </w:r>
      <w:r w:rsidR="008719A2" w:rsidRPr="00006D05">
        <w:t>3</w:t>
      </w:r>
      <w:r w:rsidR="000D09C4">
        <w:t>3</w:t>
      </w:r>
      <w:r w:rsidR="00EE03D6">
        <w:noBreakHyphen/>
        <w:t>34</w:t>
      </w:r>
      <w:r w:rsidR="0086249B" w:rsidRPr="00006D05">
        <w:t>.</w:t>
      </w:r>
    </w:p>
    <w:p w14:paraId="555E0CE7" w14:textId="1031D9B0" w:rsidR="00AE29AE" w:rsidRDefault="00AE29AE" w:rsidP="00AE29AE">
      <w:pPr>
        <w:pStyle w:val="Heading5"/>
      </w:pPr>
      <w:r>
        <w:t>Cost of community</w:t>
      </w:r>
      <w:r w:rsidR="00BA1594">
        <w:noBreakHyphen/>
      </w:r>
      <w:r w:rsidRPr="00AE29AE">
        <w:t>based residential care</w:t>
      </w:r>
    </w:p>
    <w:p w14:paraId="25CED8B3" w14:textId="322C7D24" w:rsidR="00F44F07" w:rsidRDefault="00C34C67" w:rsidP="00F44F07">
      <w:pPr>
        <w:pStyle w:val="BodyText"/>
      </w:pPr>
      <w:r w:rsidRPr="00BA312B">
        <w:t>Nationally in 201</w:t>
      </w:r>
      <w:r w:rsidR="00F1012A">
        <w:t>5</w:t>
      </w:r>
      <w:r w:rsidR="00AB25A8">
        <w:noBreakHyphen/>
      </w:r>
      <w:r w:rsidRPr="00BA312B">
        <w:t>1</w:t>
      </w:r>
      <w:r w:rsidR="00F1012A">
        <w:t>6</w:t>
      </w:r>
      <w:r w:rsidRPr="00BA312B">
        <w:t>, the average cost for 24</w:t>
      </w:r>
      <w:r w:rsidR="007E7C79">
        <w:t> </w:t>
      </w:r>
      <w:r w:rsidRPr="00BA312B">
        <w:t xml:space="preserve">hour staffed residential care is higher for general adult units </w:t>
      </w:r>
      <w:r w:rsidRPr="00517E8C">
        <w:t>($</w:t>
      </w:r>
      <w:r w:rsidR="004E6042" w:rsidRPr="0061119E">
        <w:t>514.37</w:t>
      </w:r>
      <w:r w:rsidRPr="004E6042">
        <w:t> </w:t>
      </w:r>
      <w:r w:rsidRPr="00517E8C">
        <w:t>per</w:t>
      </w:r>
      <w:r w:rsidRPr="00BA312B">
        <w:t xml:space="preserve"> patient day) </w:t>
      </w:r>
      <w:r w:rsidRPr="00006D05">
        <w:t xml:space="preserve">compared to older </w:t>
      </w:r>
      <w:r w:rsidR="00F73C9F">
        <w:t>persons</w:t>
      </w:r>
      <w:r w:rsidRPr="00006D05">
        <w:t xml:space="preserve"> care units </w:t>
      </w:r>
      <w:r w:rsidR="00953BC1">
        <w:br/>
      </w:r>
      <w:r w:rsidRPr="00006D05">
        <w:t>($</w:t>
      </w:r>
      <w:r w:rsidR="00953BC1" w:rsidRPr="0061119E">
        <w:t>43</w:t>
      </w:r>
      <w:r w:rsidR="004E6042" w:rsidRPr="0061119E">
        <w:t>2</w:t>
      </w:r>
      <w:r w:rsidR="00953BC1" w:rsidRPr="0061119E">
        <w:t>.</w:t>
      </w:r>
      <w:r w:rsidR="004E6042" w:rsidRPr="0061119E">
        <w:t>2</w:t>
      </w:r>
      <w:r w:rsidR="00953BC1" w:rsidRPr="0061119E">
        <w:t>8</w:t>
      </w:r>
      <w:r w:rsidR="007E7C79">
        <w:t> per </w:t>
      </w:r>
      <w:r w:rsidRPr="00006D05">
        <w:t xml:space="preserve">patient day), </w:t>
      </w:r>
      <w:r w:rsidR="00DF478F" w:rsidRPr="00006D05">
        <w:t>although</w:t>
      </w:r>
      <w:r w:rsidRPr="00006D05">
        <w:t xml:space="preserve"> this varied across states and territories (table </w:t>
      </w:r>
      <w:r w:rsidR="001B26A2" w:rsidRPr="00006D05">
        <w:t>13A.</w:t>
      </w:r>
      <w:r w:rsidR="008719A2" w:rsidRPr="00006D05">
        <w:t>3</w:t>
      </w:r>
      <w:r w:rsidR="00AA639E">
        <w:t>6</w:t>
      </w:r>
      <w:r w:rsidRPr="00006D05">
        <w:t>). Nationally and for all relevant jurisdictions</w:t>
      </w:r>
      <w:r w:rsidR="003009B2">
        <w:t xml:space="preserve"> (except SA)</w:t>
      </w:r>
      <w:r w:rsidRPr="00006D05">
        <w:t xml:space="preserve">, the costs for general adult units were higher for those staffed 24 hours </w:t>
      </w:r>
      <w:r w:rsidR="00F1012A">
        <w:t xml:space="preserve">a day </w:t>
      </w:r>
      <w:r w:rsidRPr="00006D05">
        <w:t xml:space="preserve">compared to those that were </w:t>
      </w:r>
      <w:r w:rsidR="00F1012A">
        <w:t>not staff</w:t>
      </w:r>
      <w:r w:rsidR="00C116FB">
        <w:t>ed</w:t>
      </w:r>
      <w:r w:rsidR="00AE0479">
        <w:t xml:space="preserve"> 24 </w:t>
      </w:r>
      <w:r w:rsidR="00F1012A">
        <w:t>hours a day</w:t>
      </w:r>
      <w:r w:rsidRPr="00006D05">
        <w:t xml:space="preserve"> (table </w:t>
      </w:r>
      <w:r w:rsidR="001B26A2" w:rsidRPr="00006D05">
        <w:t>13A.</w:t>
      </w:r>
      <w:r w:rsidR="008719A2" w:rsidRPr="00006D05">
        <w:t>3</w:t>
      </w:r>
      <w:r w:rsidR="00AA639E">
        <w:t>6</w:t>
      </w:r>
      <w:r w:rsidRPr="00006D05">
        <w:t>).</w:t>
      </w:r>
    </w:p>
    <w:p w14:paraId="1CAA482B" w14:textId="5584A4E7" w:rsidR="00AE29AE" w:rsidRPr="00BA312B" w:rsidRDefault="00AE29AE" w:rsidP="00AE29AE">
      <w:pPr>
        <w:pStyle w:val="Heading5"/>
      </w:pPr>
      <w:r w:rsidRPr="00AE29AE">
        <w:t>Cost of ambulatory care</w:t>
      </w:r>
    </w:p>
    <w:p w14:paraId="0B5C16DC" w14:textId="620C5FE8" w:rsidR="00F44F07" w:rsidRPr="00BA312B" w:rsidRDefault="00F44F07" w:rsidP="00F44F07">
      <w:pPr>
        <w:pStyle w:val="BodyText"/>
      </w:pPr>
      <w:r w:rsidRPr="00074248">
        <w:t>Nationally</w:t>
      </w:r>
      <w:r w:rsidR="00FB7057" w:rsidRPr="00074248">
        <w:t xml:space="preserve"> in 201</w:t>
      </w:r>
      <w:r w:rsidR="00F1012A">
        <w:t>5</w:t>
      </w:r>
      <w:r w:rsidR="00AB25A8">
        <w:noBreakHyphen/>
      </w:r>
      <w:r w:rsidR="00FB7057" w:rsidRPr="00074248">
        <w:t>1</w:t>
      </w:r>
      <w:r w:rsidR="00F1012A">
        <w:t>6</w:t>
      </w:r>
      <w:r w:rsidRPr="00074248">
        <w:t xml:space="preserve">, the average recurrent cost per treatment day of ambulatory care </w:t>
      </w:r>
      <w:r w:rsidR="00FB7057" w:rsidRPr="00074248">
        <w:t xml:space="preserve">was </w:t>
      </w:r>
      <w:r w:rsidR="00FB7057" w:rsidRPr="0061119E">
        <w:t>$</w:t>
      </w:r>
      <w:r w:rsidR="004B7ED0" w:rsidRPr="0061119E">
        <w:t>305.45</w:t>
      </w:r>
      <w:r w:rsidR="000B764C" w:rsidRPr="00074248">
        <w:t xml:space="preserve">, </w:t>
      </w:r>
      <w:r w:rsidR="00FB7057" w:rsidRPr="00074248">
        <w:t>and the</w:t>
      </w:r>
      <w:r w:rsidRPr="00074248">
        <w:t xml:space="preserve"> average </w:t>
      </w:r>
      <w:r w:rsidR="00F1012A">
        <w:t xml:space="preserve">number of </w:t>
      </w:r>
      <w:r w:rsidRPr="00074248">
        <w:t xml:space="preserve">treatment days per episode of ambulatory care </w:t>
      </w:r>
      <w:r w:rsidR="00F1012A">
        <w:t xml:space="preserve">was </w:t>
      </w:r>
      <w:r w:rsidR="00AE0479">
        <w:br/>
      </w:r>
      <w:r w:rsidR="00953BC1">
        <w:t>7.0</w:t>
      </w:r>
      <w:r w:rsidR="00E83D6F">
        <w:t> </w:t>
      </w:r>
      <w:r w:rsidR="00AE0479">
        <w:t>days</w:t>
      </w:r>
      <w:r w:rsidRPr="00BA312B">
        <w:t xml:space="preserve"> (</w:t>
      </w:r>
      <w:r w:rsidR="001B26A2" w:rsidRPr="00BA312B">
        <w:t>figure</w:t>
      </w:r>
      <w:r w:rsidR="004D6227">
        <w:t> </w:t>
      </w:r>
      <w:r w:rsidR="00DF7D42">
        <w:t>13.</w:t>
      </w:r>
      <w:r w:rsidR="00A21D8E">
        <w:t>13</w:t>
      </w:r>
      <w:r w:rsidR="004D6227">
        <w:t>).</w:t>
      </w:r>
    </w:p>
    <w:p w14:paraId="66E5A281" w14:textId="1672AEB9" w:rsidR="00F44F07" w:rsidRPr="009754CD" w:rsidRDefault="00F44F07" w:rsidP="00F44F07">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A312B" w:rsidRPr="00BA312B" w14:paraId="6E02CE04" w14:textId="77777777" w:rsidTr="00492B7D">
        <w:tc>
          <w:tcPr>
            <w:tcW w:w="8789" w:type="dxa"/>
            <w:tcBorders>
              <w:top w:val="single" w:sz="6" w:space="0" w:color="78A22F"/>
              <w:left w:val="nil"/>
              <w:bottom w:val="nil"/>
              <w:right w:val="nil"/>
            </w:tcBorders>
            <w:shd w:val="clear" w:color="auto" w:fill="FFFFFF" w:themeFill="background1"/>
          </w:tcPr>
          <w:p w14:paraId="12980BA1" w14:textId="399464A6" w:rsidR="00AE0479" w:rsidRPr="00953BC1" w:rsidRDefault="00F44F07" w:rsidP="00B81273">
            <w:pPr>
              <w:pStyle w:val="FigureTitle"/>
              <w:rPr>
                <w:rStyle w:val="DraftingNote"/>
                <w:b/>
                <w:color w:val="auto"/>
                <w:position w:val="6"/>
                <w:sz w:val="18"/>
                <w:u w:val="none"/>
              </w:rPr>
            </w:pPr>
            <w:r w:rsidRPr="00BA312B">
              <w:rPr>
                <w:b w:val="0"/>
              </w:rPr>
              <w:t xml:space="preserve">Figure </w:t>
            </w:r>
            <w:r w:rsidR="00DF7D42">
              <w:rPr>
                <w:b w:val="0"/>
              </w:rPr>
              <w:t>13.1</w:t>
            </w:r>
            <w:r w:rsidR="00A21D8E">
              <w:rPr>
                <w:b w:val="0"/>
              </w:rPr>
              <w:t>3</w:t>
            </w:r>
            <w:r w:rsidRPr="00BA312B">
              <w:tab/>
            </w:r>
            <w:r w:rsidR="000B764C" w:rsidRPr="000B764C">
              <w:t>Average cost</w:t>
            </w:r>
            <w:r w:rsidR="00595AC3">
              <w:t xml:space="preserve"> and treatment days per episode</w:t>
            </w:r>
            <w:r w:rsidR="00B81273">
              <w:t xml:space="preserve"> of care</w:t>
            </w:r>
            <w:r w:rsidR="00595AC3">
              <w:t xml:space="preserve"> </w:t>
            </w:r>
            <w:r w:rsidRPr="00BA312B">
              <w:t>(201</w:t>
            </w:r>
            <w:r w:rsidR="00F1012A">
              <w:t>5</w:t>
            </w:r>
            <w:r w:rsidRPr="00BA312B">
              <w:noBreakHyphen/>
              <w:t>1</w:t>
            </w:r>
            <w:r w:rsidR="00F1012A">
              <w:t>6</w:t>
            </w:r>
            <w:r w:rsidR="006C40A9">
              <w:t> </w:t>
            </w:r>
            <w:r w:rsidRPr="00BA312B">
              <w:t>dollars)</w:t>
            </w:r>
            <w:r w:rsidRPr="00BA312B">
              <w:rPr>
                <w:rStyle w:val="NoteLabel"/>
                <w:b/>
              </w:rPr>
              <w:t>a, b</w:t>
            </w:r>
          </w:p>
        </w:tc>
      </w:tr>
      <w:tr w:rsidR="00F44F07" w:rsidRPr="00BA312B" w14:paraId="1BD04B6D" w14:textId="77777777" w:rsidTr="00492B7D">
        <w:tc>
          <w:tcPr>
            <w:tcW w:w="8789" w:type="dxa"/>
            <w:tcBorders>
              <w:top w:val="nil"/>
              <w:left w:val="nil"/>
              <w:bottom w:val="nil"/>
              <w:right w:val="nil"/>
            </w:tcBorders>
            <w:shd w:val="clear" w:color="auto" w:fill="FFFFFF" w:themeFill="background1"/>
            <w:tcMar>
              <w:top w:w="28" w:type="dxa"/>
              <w:bottom w:w="28" w:type="dxa"/>
            </w:tcMar>
          </w:tcPr>
          <w:tbl>
            <w:tblPr>
              <w:tblW w:w="5000" w:type="pct"/>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5"/>
            </w:tblGrid>
            <w:tr w:rsidR="000B764C" w:rsidRPr="00411CB1" w14:paraId="16EE3F07" w14:textId="77777777" w:rsidTr="00666559">
              <w:trPr>
                <w:jc w:val="center"/>
              </w:trPr>
              <w:tc>
                <w:tcPr>
                  <w:tcW w:w="5000" w:type="pct"/>
                  <w:tcBorders>
                    <w:top w:val="nil"/>
                    <w:bottom w:val="nil"/>
                  </w:tcBorders>
                  <w:shd w:val="clear" w:color="auto" w:fill="auto"/>
                </w:tcPr>
                <w:p w14:paraId="7CA667EF" w14:textId="77777777" w:rsidR="000B764C" w:rsidRPr="00411CB1" w:rsidRDefault="000B764C" w:rsidP="000B764C">
                  <w:pPr>
                    <w:pStyle w:val="TableBodyText"/>
                    <w:spacing w:after="0" w:line="240" w:lineRule="auto"/>
                    <w:jc w:val="center"/>
                    <w:rPr>
                      <w:b/>
                    </w:rPr>
                  </w:pPr>
                  <w:r w:rsidRPr="00411CB1">
                    <w:rPr>
                      <w:b/>
                    </w:rPr>
                    <w:t xml:space="preserve">Cost per </w:t>
                  </w:r>
                  <w:r>
                    <w:rPr>
                      <w:b/>
                    </w:rPr>
                    <w:t>treatment</w:t>
                  </w:r>
                  <w:r w:rsidRPr="00411CB1">
                    <w:rPr>
                      <w:b/>
                    </w:rPr>
                    <w:t xml:space="preserve"> day</w:t>
                  </w:r>
                </w:p>
              </w:tc>
            </w:tr>
            <w:tr w:rsidR="000B764C" w:rsidRPr="00411CB1" w14:paraId="606F44DE" w14:textId="77777777" w:rsidTr="00666559">
              <w:tblPrEx>
                <w:tblCellMar>
                  <w:left w:w="108" w:type="dxa"/>
                  <w:right w:w="108" w:type="dxa"/>
                </w:tblCellMar>
              </w:tblPrEx>
              <w:trPr>
                <w:jc w:val="center"/>
              </w:trPr>
              <w:tc>
                <w:tcPr>
                  <w:tcW w:w="5000" w:type="pct"/>
                  <w:tcBorders>
                    <w:top w:val="nil"/>
                    <w:bottom w:val="nil"/>
                  </w:tcBorders>
                  <w:shd w:val="clear" w:color="auto" w:fill="auto"/>
                </w:tcPr>
                <w:p w14:paraId="4CF4A51E" w14:textId="62EB924D" w:rsidR="000B764C" w:rsidRPr="00411CB1" w:rsidRDefault="00671D46" w:rsidP="000B764C">
                  <w:pPr>
                    <w:pStyle w:val="Figure"/>
                    <w:rPr>
                      <w:b/>
                    </w:rPr>
                  </w:pPr>
                  <w:r>
                    <w:rPr>
                      <w:noProof/>
                    </w:rPr>
                    <w:drawing>
                      <wp:inline distT="0" distB="0" distL="0" distR="0" wp14:anchorId="02588A4A" wp14:editId="5D7B46F3">
                        <wp:extent cx="5400000" cy="2305038"/>
                        <wp:effectExtent l="0" t="0" r="0" b="635"/>
                        <wp:docPr id="23" name="Chart 23" descr="Cost per treatment day&#10;&#10;More details can be found within the text surrounding this image." title="Figure 13.13 Average cost and treatment days per episode of care (2015-16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0B764C" w:rsidRPr="00411CB1" w14:paraId="6BC8185F" w14:textId="77777777" w:rsidTr="00666559">
              <w:trPr>
                <w:jc w:val="center"/>
              </w:trPr>
              <w:tc>
                <w:tcPr>
                  <w:tcW w:w="5000" w:type="pct"/>
                  <w:tcBorders>
                    <w:top w:val="nil"/>
                    <w:bottom w:val="nil"/>
                  </w:tcBorders>
                  <w:shd w:val="clear" w:color="auto" w:fill="auto"/>
                </w:tcPr>
                <w:p w14:paraId="27B1D1BD" w14:textId="77777777" w:rsidR="000B764C" w:rsidRPr="00411CB1" w:rsidRDefault="000B764C" w:rsidP="000B764C">
                  <w:pPr>
                    <w:pStyle w:val="TableBodyText"/>
                    <w:spacing w:after="0" w:line="240" w:lineRule="auto"/>
                    <w:jc w:val="center"/>
                    <w:rPr>
                      <w:b/>
                    </w:rPr>
                  </w:pPr>
                  <w:r w:rsidRPr="00411CB1">
                    <w:rPr>
                      <w:b/>
                    </w:rPr>
                    <w:t xml:space="preserve">Average </w:t>
                  </w:r>
                  <w:r>
                    <w:rPr>
                      <w:b/>
                    </w:rPr>
                    <w:t>treatment days per episode</w:t>
                  </w:r>
                  <w:r w:rsidRPr="00411CB1">
                    <w:rPr>
                      <w:b/>
                    </w:rPr>
                    <w:t xml:space="preserve"> </w:t>
                  </w:r>
                </w:p>
              </w:tc>
            </w:tr>
            <w:tr w:rsidR="000B764C" w:rsidRPr="00BA312B" w14:paraId="4123DE17" w14:textId="77777777" w:rsidTr="00666559">
              <w:tblPrEx>
                <w:tblCellMar>
                  <w:left w:w="108" w:type="dxa"/>
                  <w:right w:w="108" w:type="dxa"/>
                </w:tblCellMar>
              </w:tblPrEx>
              <w:trPr>
                <w:jc w:val="center"/>
              </w:trPr>
              <w:tc>
                <w:tcPr>
                  <w:tcW w:w="5000" w:type="pct"/>
                  <w:tcBorders>
                    <w:top w:val="nil"/>
                    <w:bottom w:val="nil"/>
                    <w:right w:val="nil"/>
                  </w:tcBorders>
                </w:tcPr>
                <w:p w14:paraId="765BF71C" w14:textId="58180E4C" w:rsidR="000B764C" w:rsidRPr="00FF3F43" w:rsidRDefault="00671D46" w:rsidP="00FF3F43">
                  <w:pPr>
                    <w:pStyle w:val="Figure"/>
                  </w:pPr>
                  <w:r>
                    <w:rPr>
                      <w:noProof/>
                    </w:rPr>
                    <w:drawing>
                      <wp:inline distT="0" distB="0" distL="0" distR="0" wp14:anchorId="2DE94E21" wp14:editId="1E613FF6">
                        <wp:extent cx="5400000" cy="2340000"/>
                        <wp:effectExtent l="0" t="0" r="0" b="3175"/>
                        <wp:docPr id="22" name="Chart 22" descr="Average treatment days per episode&#10;&#10;More details can be found within the text surrounding this image." title="Figure 13.13 Average cost and treatment days per episode of care (2015-16 doll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80BE802" w14:textId="77777777" w:rsidR="00F44F07" w:rsidRPr="00BA312B" w:rsidRDefault="00F44F07" w:rsidP="00DC07ED">
            <w:pPr>
              <w:pStyle w:val="Figure"/>
            </w:pPr>
          </w:p>
        </w:tc>
      </w:tr>
      <w:tr w:rsidR="00F44F07" w:rsidRPr="00006D05" w14:paraId="5A4B6B00" w14:textId="77777777" w:rsidTr="00492B7D">
        <w:tc>
          <w:tcPr>
            <w:tcW w:w="8789" w:type="dxa"/>
            <w:tcBorders>
              <w:top w:val="nil"/>
              <w:left w:val="nil"/>
              <w:bottom w:val="nil"/>
              <w:right w:val="nil"/>
            </w:tcBorders>
            <w:shd w:val="clear" w:color="auto" w:fill="auto"/>
          </w:tcPr>
          <w:p w14:paraId="20EA5F01" w14:textId="2F18EDC7" w:rsidR="00F44F07" w:rsidRPr="00006D05" w:rsidRDefault="00F44F07" w:rsidP="00AA639E">
            <w:pPr>
              <w:pStyle w:val="Note"/>
              <w:rPr>
                <w:i/>
              </w:rPr>
            </w:pPr>
            <w:r w:rsidRPr="00006D05">
              <w:rPr>
                <w:rStyle w:val="NoteLabel"/>
              </w:rPr>
              <w:t>a</w:t>
            </w:r>
            <w:r w:rsidRPr="00006D05">
              <w:t xml:space="preserve"> See </w:t>
            </w:r>
            <w:r w:rsidR="001B26A2" w:rsidRPr="00006D05">
              <w:t>box</w:t>
            </w:r>
            <w:r w:rsidR="00AB25A8">
              <w:t> </w:t>
            </w:r>
            <w:r w:rsidR="002C77E1">
              <w:t>13.15</w:t>
            </w:r>
            <w:r w:rsidR="00BA312B" w:rsidRPr="00006D05">
              <w:t xml:space="preserve"> </w:t>
            </w:r>
            <w:r w:rsidRPr="00006D05">
              <w:t>and table </w:t>
            </w:r>
            <w:r w:rsidR="001B26A2" w:rsidRPr="00006D05">
              <w:t>13A.</w:t>
            </w:r>
            <w:r w:rsidR="00AA639E">
              <w:t>37</w:t>
            </w:r>
            <w:r w:rsidR="008719A2" w:rsidRPr="00006D05">
              <w:t xml:space="preserve"> </w:t>
            </w:r>
            <w:r w:rsidRPr="00006D05">
              <w:t xml:space="preserve">for detailed definitions, footnotes and caveats. </w:t>
            </w:r>
            <w:r w:rsidRPr="00006D05">
              <w:rPr>
                <w:rStyle w:val="NoteLabel"/>
              </w:rPr>
              <w:t>b</w:t>
            </w:r>
            <w:r w:rsidRPr="00006D05">
              <w:t xml:space="preserve"> Victorian 2011</w:t>
            </w:r>
            <w:r w:rsidRPr="00006D05">
              <w:noBreakHyphen/>
              <w:t>12 and 2</w:t>
            </w:r>
            <w:r w:rsidR="000A32E0">
              <w:t>012</w:t>
            </w:r>
            <w:r w:rsidR="000A32E0">
              <w:noBreakHyphen/>
              <w:t>13 data are not available.</w:t>
            </w:r>
          </w:p>
        </w:tc>
      </w:tr>
      <w:tr w:rsidR="00F44F07" w:rsidRPr="00BA312B" w14:paraId="3FF05A05" w14:textId="77777777" w:rsidTr="00492B7D">
        <w:tc>
          <w:tcPr>
            <w:tcW w:w="8789" w:type="dxa"/>
            <w:tcBorders>
              <w:top w:val="nil"/>
              <w:left w:val="nil"/>
              <w:bottom w:val="nil"/>
              <w:right w:val="nil"/>
            </w:tcBorders>
            <w:shd w:val="clear" w:color="auto" w:fill="auto"/>
          </w:tcPr>
          <w:p w14:paraId="1A54BD56" w14:textId="06E2CA94" w:rsidR="00F44F07" w:rsidRPr="00BA312B" w:rsidRDefault="00F44F07" w:rsidP="00AA639E">
            <w:pPr>
              <w:pStyle w:val="Source"/>
            </w:pPr>
            <w:r w:rsidRPr="00006D05">
              <w:rPr>
                <w:i/>
              </w:rPr>
              <w:t>Source</w:t>
            </w:r>
            <w:r w:rsidRPr="00006D05">
              <w:t>:</w:t>
            </w:r>
            <w:r w:rsidRPr="00006D05">
              <w:rPr>
                <w:i/>
              </w:rPr>
              <w:t xml:space="preserve"> </w:t>
            </w:r>
            <w:r w:rsidRPr="00006D05">
              <w:t>AIHW (unpublished) Community Mental Health Care (CMHC) NMDS; AIHW (unpublished) MHE NMDS; table </w:t>
            </w:r>
            <w:r w:rsidR="001B26A2" w:rsidRPr="00006D05">
              <w:t>13A.</w:t>
            </w:r>
            <w:r w:rsidR="00AA639E">
              <w:t>37</w:t>
            </w:r>
            <w:r w:rsidRPr="00006D05">
              <w:t>.</w:t>
            </w:r>
          </w:p>
        </w:tc>
      </w:tr>
      <w:tr w:rsidR="00F44F07" w:rsidRPr="00BA312B" w14:paraId="3D549BF7" w14:textId="77777777" w:rsidTr="00492B7D">
        <w:tc>
          <w:tcPr>
            <w:tcW w:w="8789" w:type="dxa"/>
            <w:tcBorders>
              <w:top w:val="nil"/>
              <w:left w:val="nil"/>
              <w:bottom w:val="single" w:sz="6" w:space="0" w:color="78A22F"/>
              <w:right w:val="nil"/>
            </w:tcBorders>
            <w:shd w:val="clear" w:color="auto" w:fill="auto"/>
          </w:tcPr>
          <w:p w14:paraId="02BA3A20" w14:textId="77777777" w:rsidR="00F44F07" w:rsidRPr="00BA312B" w:rsidRDefault="00F44F07" w:rsidP="00DC07ED">
            <w:pPr>
              <w:pStyle w:val="Figurespace"/>
            </w:pPr>
          </w:p>
        </w:tc>
      </w:tr>
      <w:tr w:rsidR="00F44F07" w:rsidRPr="00BA312B" w14:paraId="26A2BD70" w14:textId="77777777" w:rsidTr="00492B7D">
        <w:tc>
          <w:tcPr>
            <w:tcW w:w="8789" w:type="dxa"/>
            <w:tcBorders>
              <w:top w:val="single" w:sz="6" w:space="0" w:color="78A22F"/>
              <w:left w:val="nil"/>
              <w:bottom w:val="nil"/>
              <w:right w:val="nil"/>
            </w:tcBorders>
          </w:tcPr>
          <w:p w14:paraId="71F0315D" w14:textId="48A5A89A" w:rsidR="00F44F07" w:rsidRPr="00BA312B" w:rsidRDefault="00F44F07" w:rsidP="00DC07ED">
            <w:pPr>
              <w:pStyle w:val="BoxSpaceBelow"/>
            </w:pPr>
          </w:p>
        </w:tc>
      </w:tr>
    </w:tbl>
    <w:p w14:paraId="4C4A46E1" w14:textId="771A4D97" w:rsidR="00771616" w:rsidRPr="00840CCB" w:rsidRDefault="00771616" w:rsidP="00771616">
      <w:pPr>
        <w:pStyle w:val="Heading3"/>
      </w:pPr>
      <w:r w:rsidRPr="00840CCB">
        <w:t>Outcomes</w:t>
      </w:r>
    </w:p>
    <w:p w14:paraId="588E13BB" w14:textId="77777777" w:rsidR="00DF478F" w:rsidRDefault="00DF478F" w:rsidP="00DF478F">
      <w:pPr>
        <w:pStyle w:val="BodyText"/>
        <w:rPr>
          <w:szCs w:val="26"/>
        </w:rPr>
      </w:pPr>
      <w:r w:rsidRPr="00650CF7">
        <w:rPr>
          <w:szCs w:val="26"/>
        </w:rPr>
        <w:t>Outcomes are the impact of services on the status of an individual or group (see ch</w:t>
      </w:r>
      <w:r w:rsidR="004C28F2">
        <w:rPr>
          <w:szCs w:val="26"/>
        </w:rPr>
        <w:t>apter 1</w:t>
      </w:r>
      <w:r w:rsidRPr="00650CF7">
        <w:rPr>
          <w:szCs w:val="26"/>
        </w:rPr>
        <w:t xml:space="preserve">). </w:t>
      </w:r>
    </w:p>
    <w:p w14:paraId="5D97DFA6" w14:textId="77777777" w:rsidR="002315C6" w:rsidRPr="00840CCB" w:rsidRDefault="002315C6" w:rsidP="009E765C">
      <w:pPr>
        <w:pStyle w:val="Heading4"/>
        <w:shd w:val="clear" w:color="auto" w:fill="FFFFFF" w:themeFill="background1"/>
      </w:pPr>
      <w:r w:rsidRPr="00840CCB">
        <w:lastRenderedPageBreak/>
        <w:t>Prevalence of mental illness</w:t>
      </w:r>
    </w:p>
    <w:p w14:paraId="266BC0AB" w14:textId="0C690DBE" w:rsidR="002315C6" w:rsidRPr="00840CCB" w:rsidRDefault="002315C6" w:rsidP="002315C6">
      <w:pPr>
        <w:pStyle w:val="BodyText"/>
      </w:pPr>
      <w:r w:rsidRPr="00840CCB">
        <w:t>‘Prevalence of mental illness’ is an indicator of governments’ objective</w:t>
      </w:r>
      <w:r w:rsidR="008D3719" w:rsidRPr="00840CCB">
        <w:t xml:space="preserve"> to, where possible</w:t>
      </w:r>
      <w:r w:rsidR="007A0DBF">
        <w:t>,</w:t>
      </w:r>
      <w:r w:rsidR="008D3719" w:rsidRPr="00840CCB">
        <w:t xml:space="preserve"> prevent the development of mental health problems, mental illness and suicide </w:t>
      </w:r>
      <w:r w:rsidRPr="00840CCB">
        <w:t>(</w:t>
      </w:r>
      <w:r w:rsidR="001B26A2" w:rsidRPr="00840CCB">
        <w:t>box</w:t>
      </w:r>
      <w:r w:rsidR="00840CCB" w:rsidRPr="00840CCB">
        <w:t> </w:t>
      </w:r>
      <w:r w:rsidR="00134A99">
        <w:t>13.16</w:t>
      </w:r>
      <w:r w:rsidRPr="00840CCB">
        <w:t>).</w:t>
      </w:r>
    </w:p>
    <w:p w14:paraId="0ECB200A" w14:textId="1641FB08" w:rsidR="006E6F6D" w:rsidRPr="009754CD" w:rsidRDefault="006E6F6D">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6F6D" w:rsidRPr="00840CCB" w14:paraId="7E8E8ED9" w14:textId="77777777" w:rsidTr="00492B7D">
        <w:tc>
          <w:tcPr>
            <w:tcW w:w="8789" w:type="dxa"/>
            <w:tcBorders>
              <w:top w:val="single" w:sz="6" w:space="0" w:color="78A22F"/>
              <w:left w:val="nil"/>
              <w:bottom w:val="nil"/>
              <w:right w:val="nil"/>
            </w:tcBorders>
            <w:shd w:val="clear" w:color="auto" w:fill="F2F2F2"/>
          </w:tcPr>
          <w:p w14:paraId="2198D0CA" w14:textId="77777777" w:rsidR="006E6F6D" w:rsidRPr="00840CCB" w:rsidRDefault="006E6F6D" w:rsidP="00134A99">
            <w:pPr>
              <w:pStyle w:val="BoxTitle"/>
            </w:pPr>
            <w:r w:rsidRPr="00840CCB">
              <w:rPr>
                <w:b w:val="0"/>
              </w:rPr>
              <w:t xml:space="preserve">Box </w:t>
            </w:r>
            <w:r w:rsidR="00134A99">
              <w:rPr>
                <w:b w:val="0"/>
              </w:rPr>
              <w:t>13.16</w:t>
            </w:r>
            <w:r w:rsidRPr="00840CCB">
              <w:tab/>
              <w:t xml:space="preserve">Prevalence of mental illness </w:t>
            </w:r>
          </w:p>
        </w:tc>
      </w:tr>
      <w:tr w:rsidR="006E6F6D" w:rsidRPr="00840CCB" w14:paraId="14D5C6EC" w14:textId="77777777" w:rsidTr="00492B7D">
        <w:trPr>
          <w:cantSplit/>
        </w:trPr>
        <w:tc>
          <w:tcPr>
            <w:tcW w:w="8789" w:type="dxa"/>
            <w:tcBorders>
              <w:top w:val="nil"/>
              <w:left w:val="nil"/>
              <w:bottom w:val="nil"/>
              <w:right w:val="nil"/>
            </w:tcBorders>
            <w:shd w:val="clear" w:color="auto" w:fill="F2F2F2"/>
          </w:tcPr>
          <w:p w14:paraId="3E0B2740" w14:textId="77777777" w:rsidR="006E6F6D" w:rsidRPr="00840CCB" w:rsidRDefault="006E6F6D" w:rsidP="006E6F6D">
            <w:pPr>
              <w:pStyle w:val="Box"/>
            </w:pPr>
            <w:r w:rsidRPr="00840CCB">
              <w:t xml:space="preserve">‘Prevalence of mental illness’ is defined as the proportion of the total population who have a mental illness. </w:t>
            </w:r>
          </w:p>
          <w:p w14:paraId="4CED8503" w14:textId="77777777" w:rsidR="006E6F6D" w:rsidRDefault="006E6F6D" w:rsidP="004D4228">
            <w:pPr>
              <w:pStyle w:val="Box"/>
            </w:pPr>
            <w:r w:rsidRPr="00840CCB">
              <w:t>A low or decreasing prevalence of mental illness can indicate that measures to prevent mental illness have been effective.</w:t>
            </w:r>
          </w:p>
          <w:p w14:paraId="4F1497DC" w14:textId="30761D6E" w:rsidR="006F72FE" w:rsidRPr="00840CCB" w:rsidRDefault="00E45840" w:rsidP="00E45840">
            <w:pPr>
              <w:pStyle w:val="Box"/>
            </w:pPr>
            <w:r w:rsidRPr="00840CCB">
              <w:t>Many of the risk and protective factors that can affect the development of mental health problems and mental illness are outside the scope of the mental health system. These include environmental, sociocultural and economic factors</w:t>
            </w:r>
            <w:r w:rsidR="006F72FE" w:rsidRPr="00840CCB">
              <w:t xml:space="preserve">, some </w:t>
            </w:r>
            <w:r w:rsidR="00F1012A" w:rsidRPr="00840CCB">
              <w:t xml:space="preserve">of which </w:t>
            </w:r>
            <w:r w:rsidR="006F72FE" w:rsidRPr="00840CCB">
              <w:t>can increase the risk of mental illness whil</w:t>
            </w:r>
            <w:r w:rsidR="00F1012A">
              <w:t>e</w:t>
            </w:r>
            <w:r w:rsidR="006F72FE" w:rsidRPr="00840CCB">
              <w:t xml:space="preserve"> others can support good mental health</w:t>
            </w:r>
            <w:r w:rsidRPr="00840CCB">
              <w:t xml:space="preserve">. </w:t>
            </w:r>
          </w:p>
          <w:p w14:paraId="6412AF9B" w14:textId="77777777" w:rsidR="00E45840" w:rsidRPr="00840CCB" w:rsidRDefault="00E45840" w:rsidP="00E45840">
            <w:pPr>
              <w:pStyle w:val="Box"/>
            </w:pPr>
            <w:r w:rsidRPr="00840CCB">
              <w:t>Not all mental illnesses are preventable and a reduction in the effect of symptoms and an improved quality of life will be a positive outcome for many people with a mental illness.</w:t>
            </w:r>
          </w:p>
          <w:p w14:paraId="3BE7C199" w14:textId="77777777" w:rsidR="00E45840" w:rsidRPr="00840CCB" w:rsidRDefault="00E45840" w:rsidP="00E45840">
            <w:pPr>
              <w:pStyle w:val="Box"/>
            </w:pPr>
            <w:r w:rsidRPr="00840CCB">
              <w:t>Data reported for this indicator are:</w:t>
            </w:r>
          </w:p>
          <w:p w14:paraId="44FAE0D3" w14:textId="77777777" w:rsidR="00E45840" w:rsidRPr="00840CCB" w:rsidRDefault="00E45840" w:rsidP="00E45840">
            <w:pPr>
              <w:pStyle w:val="BoxListBullet"/>
            </w:pPr>
            <w:r w:rsidRPr="00840CCB">
              <w:t>comparable (subject to caveats) across jurisdictions (no time series data are reported)</w:t>
            </w:r>
          </w:p>
          <w:p w14:paraId="678FDB1D" w14:textId="77777777" w:rsidR="00E45840" w:rsidRPr="00840CCB" w:rsidRDefault="00E45840" w:rsidP="00E45840">
            <w:pPr>
              <w:pStyle w:val="BoxListBullet"/>
            </w:pPr>
            <w:r w:rsidRPr="00840CCB">
              <w:t xml:space="preserve">complete (subject to caveats) for the current reporting period. All </w:t>
            </w:r>
            <w:r w:rsidRPr="004A6BB9">
              <w:t>required 2007 data</w:t>
            </w:r>
            <w:r w:rsidRPr="00840CCB">
              <w:t xml:space="preserve"> are a</w:t>
            </w:r>
            <w:r w:rsidR="001A14D4" w:rsidRPr="00840CCB">
              <w:t>vailable for all jurisdictions.</w:t>
            </w:r>
          </w:p>
        </w:tc>
      </w:tr>
      <w:tr w:rsidR="006E6F6D" w:rsidRPr="00840CCB" w14:paraId="0867DD29" w14:textId="77777777" w:rsidTr="00492B7D">
        <w:trPr>
          <w:cantSplit/>
        </w:trPr>
        <w:tc>
          <w:tcPr>
            <w:tcW w:w="8789" w:type="dxa"/>
            <w:tcBorders>
              <w:top w:val="nil"/>
              <w:left w:val="nil"/>
              <w:bottom w:val="single" w:sz="6" w:space="0" w:color="78A22F"/>
              <w:right w:val="nil"/>
            </w:tcBorders>
            <w:shd w:val="clear" w:color="auto" w:fill="F2F2F2"/>
          </w:tcPr>
          <w:p w14:paraId="683D07F9" w14:textId="77777777" w:rsidR="006E6F6D" w:rsidRPr="00840CCB" w:rsidRDefault="006E6F6D">
            <w:pPr>
              <w:pStyle w:val="Box"/>
              <w:spacing w:before="0" w:line="120" w:lineRule="exact"/>
            </w:pPr>
          </w:p>
        </w:tc>
      </w:tr>
      <w:tr w:rsidR="006E6F6D" w:rsidRPr="00840CCB" w14:paraId="6A230F60" w14:textId="77777777" w:rsidTr="00492B7D">
        <w:tc>
          <w:tcPr>
            <w:tcW w:w="8789" w:type="dxa"/>
            <w:tcBorders>
              <w:top w:val="single" w:sz="6" w:space="0" w:color="78A22F"/>
              <w:left w:val="nil"/>
              <w:bottom w:val="nil"/>
              <w:right w:val="nil"/>
            </w:tcBorders>
          </w:tcPr>
          <w:p w14:paraId="139C317C" w14:textId="7C4828A3" w:rsidR="006E6F6D" w:rsidRPr="00840CCB" w:rsidRDefault="006E6F6D" w:rsidP="004D4228">
            <w:pPr>
              <w:pStyle w:val="BoxSpaceBelow"/>
            </w:pPr>
          </w:p>
        </w:tc>
      </w:tr>
    </w:tbl>
    <w:p w14:paraId="5E11D1F4" w14:textId="23B7D104" w:rsidR="00771616" w:rsidRPr="009754CD" w:rsidRDefault="006F72FE" w:rsidP="002315C6">
      <w:pPr>
        <w:pStyle w:val="BodyText"/>
        <w:rPr>
          <w:color w:val="808080" w:themeColor="background1" w:themeShade="80"/>
        </w:rPr>
      </w:pPr>
      <w:r w:rsidRPr="00840CCB">
        <w:t xml:space="preserve">Nationally </w:t>
      </w:r>
      <w:r w:rsidRPr="004A6BB9">
        <w:t>i</w:t>
      </w:r>
      <w:r w:rsidR="007441A3" w:rsidRPr="004A6BB9">
        <w:t>n 2007, the</w:t>
      </w:r>
      <w:r w:rsidR="007441A3" w:rsidRPr="00840CCB">
        <w:t xml:space="preserve"> prevalence </w:t>
      </w:r>
      <w:r w:rsidR="0021367A" w:rsidRPr="00840CCB">
        <w:t xml:space="preserve">of </w:t>
      </w:r>
      <w:r w:rsidR="00B94C1D" w:rsidRPr="00840CCB">
        <w:t xml:space="preserve">a </w:t>
      </w:r>
      <w:r w:rsidR="0021367A" w:rsidRPr="00840CCB">
        <w:t>mental illness</w:t>
      </w:r>
      <w:r w:rsidRPr="00840CCB">
        <w:t xml:space="preserve"> (</w:t>
      </w:r>
      <w:r w:rsidR="007441A3" w:rsidRPr="00840CCB">
        <w:t xml:space="preserve">with symptoms in </w:t>
      </w:r>
      <w:r w:rsidR="00243E8F" w:rsidRPr="00840CCB">
        <w:t xml:space="preserve">the </w:t>
      </w:r>
      <w:r w:rsidR="007441A3" w:rsidRPr="00840CCB">
        <w:t>previous 12</w:t>
      </w:r>
      <w:r w:rsidRPr="00840CCB">
        <w:t> </w:t>
      </w:r>
      <w:r w:rsidR="007441A3" w:rsidRPr="00840CCB">
        <w:t>months</w:t>
      </w:r>
      <w:r w:rsidRPr="00840CCB">
        <w:t>)</w:t>
      </w:r>
      <w:r w:rsidR="007441A3" w:rsidRPr="00840CCB">
        <w:t xml:space="preserve"> was 20.0</w:t>
      </w:r>
      <w:r w:rsidR="0068010B" w:rsidRPr="00840CCB">
        <w:t> </w:t>
      </w:r>
      <w:r w:rsidR="007441A3" w:rsidRPr="00840CCB">
        <w:t>per</w:t>
      </w:r>
      <w:r w:rsidR="0068010B" w:rsidRPr="00840CCB">
        <w:t> </w:t>
      </w:r>
      <w:r w:rsidR="007441A3" w:rsidRPr="00840CCB">
        <w:t xml:space="preserve">cent </w:t>
      </w:r>
      <w:r w:rsidR="004C2D4E" w:rsidRPr="00840CCB">
        <w:t xml:space="preserve">for </w:t>
      </w:r>
      <w:r w:rsidRPr="00840CCB">
        <w:t xml:space="preserve">people </w:t>
      </w:r>
      <w:r w:rsidR="004C2D4E" w:rsidRPr="00840CCB">
        <w:t>aged 16</w:t>
      </w:r>
      <w:r w:rsidR="004C2D4E" w:rsidRPr="00840CCB">
        <w:sym w:font="Symbol" w:char="F02D"/>
      </w:r>
      <w:r w:rsidR="004C2D4E" w:rsidRPr="00840CCB">
        <w:t>85</w:t>
      </w:r>
      <w:r w:rsidR="007E7C79">
        <w:t> </w:t>
      </w:r>
      <w:r w:rsidR="004C2D4E" w:rsidRPr="00840CCB">
        <w:t>years</w:t>
      </w:r>
      <w:r w:rsidRPr="00840CCB">
        <w:t xml:space="preserve">, with </w:t>
      </w:r>
      <w:r w:rsidR="00B9731F" w:rsidRPr="00840CCB">
        <w:t>a</w:t>
      </w:r>
      <w:r w:rsidR="007441A3" w:rsidRPr="00840CCB">
        <w:t xml:space="preserve"> further 25.5</w:t>
      </w:r>
      <w:r w:rsidR="0068010B" w:rsidRPr="00840CCB">
        <w:t> </w:t>
      </w:r>
      <w:r w:rsidR="007441A3" w:rsidRPr="00840CCB">
        <w:t>per</w:t>
      </w:r>
      <w:r w:rsidR="0068010B" w:rsidRPr="00840CCB">
        <w:t> </w:t>
      </w:r>
      <w:r w:rsidR="007441A3" w:rsidRPr="00840CCB">
        <w:t xml:space="preserve">cent </w:t>
      </w:r>
      <w:r w:rsidRPr="00840CCB">
        <w:t xml:space="preserve">reported as having </w:t>
      </w:r>
      <w:r w:rsidR="007441A3" w:rsidRPr="00840CCB">
        <w:t xml:space="preserve">a mental illness at some point in </w:t>
      </w:r>
      <w:r w:rsidR="007441A3" w:rsidRPr="00006D05">
        <w:t>their life</w:t>
      </w:r>
      <w:r w:rsidR="0021367A" w:rsidRPr="00006D05">
        <w:t xml:space="preserve"> </w:t>
      </w:r>
      <w:r w:rsidR="007441A3" w:rsidRPr="00006D05">
        <w:t>(</w:t>
      </w:r>
      <w:r w:rsidR="0021367A" w:rsidRPr="00006D05">
        <w:t>table</w:t>
      </w:r>
      <w:r w:rsidR="0022260C" w:rsidRPr="00006D05">
        <w:t> </w:t>
      </w:r>
      <w:r w:rsidR="001B26A2" w:rsidRPr="00006D05">
        <w:t>13A.</w:t>
      </w:r>
      <w:r w:rsidR="008719A2" w:rsidRPr="00006D05">
        <w:t>3</w:t>
      </w:r>
      <w:r w:rsidR="00AA639E">
        <w:t>8</w:t>
      </w:r>
      <w:r w:rsidR="007441A3" w:rsidRPr="00006D05">
        <w:t>)</w:t>
      </w:r>
      <w:r w:rsidR="0021367A" w:rsidRPr="00006D05">
        <w:t>. National data on the prevalence of mental illness by disorder, age</w:t>
      </w:r>
      <w:r w:rsidR="003443C9">
        <w:t xml:space="preserve"> and</w:t>
      </w:r>
      <w:r w:rsidR="0021367A" w:rsidRPr="00006D05">
        <w:t xml:space="preserve"> sex are reported in </w:t>
      </w:r>
      <w:r w:rsidR="00E331FD">
        <w:br/>
      </w:r>
      <w:r w:rsidR="0021367A" w:rsidRPr="00006D05">
        <w:t>tables</w:t>
      </w:r>
      <w:r w:rsidR="00E331FD">
        <w:t> </w:t>
      </w:r>
      <w:r w:rsidR="001B26A2" w:rsidRPr="00006D05">
        <w:t>13A.</w:t>
      </w:r>
      <w:r w:rsidR="008719A2" w:rsidRPr="00006D05">
        <w:t>3</w:t>
      </w:r>
      <w:r w:rsidR="00AA639E">
        <w:t>8</w:t>
      </w:r>
      <w:r w:rsidRPr="00006D05">
        <w:t>–</w:t>
      </w:r>
      <w:r w:rsidR="00AA639E">
        <w:t>40</w:t>
      </w:r>
      <w:r w:rsidR="0021367A" w:rsidRPr="00006D05">
        <w:t xml:space="preserve">. </w:t>
      </w:r>
      <w:r w:rsidR="004C2D4E" w:rsidRPr="00006D05">
        <w:t>These</w:t>
      </w:r>
      <w:r w:rsidR="0021367A" w:rsidRPr="00006D05">
        <w:t xml:space="preserve"> prevalence estimates </w:t>
      </w:r>
      <w:r w:rsidR="004C2D4E" w:rsidRPr="00006D05">
        <w:t xml:space="preserve">are </w:t>
      </w:r>
      <w:r w:rsidR="0021367A" w:rsidRPr="00006D05">
        <w:t>for the mental</w:t>
      </w:r>
      <w:r w:rsidR="0021367A" w:rsidRPr="00840CCB">
        <w:t xml:space="preserve"> disorders that are considered to have the highest incidence rates in the population, but </w:t>
      </w:r>
      <w:r w:rsidR="004C2D4E" w:rsidRPr="00840CCB">
        <w:t>not</w:t>
      </w:r>
      <w:r w:rsidR="0021367A" w:rsidRPr="00840CCB">
        <w:t xml:space="preserve"> some severe mental disorders, such as schizophrenia and bipolar disorder. The </w:t>
      </w:r>
      <w:r w:rsidR="0021367A" w:rsidRPr="00840CCB">
        <w:rPr>
          <w:i/>
        </w:rPr>
        <w:t>National Survey of Psychotic Illness 2010</w:t>
      </w:r>
      <w:r w:rsidR="0021367A" w:rsidRPr="00840CCB">
        <w:t xml:space="preserve"> provides information on the one</w:t>
      </w:r>
      <w:r w:rsidR="00AB25A8">
        <w:noBreakHyphen/>
      </w:r>
      <w:r w:rsidR="0021367A" w:rsidRPr="00840CCB">
        <w:t>month treated prevalence of psychotic illnesses. In 2010, there were an estimated 3.1</w:t>
      </w:r>
      <w:r w:rsidR="0068010B" w:rsidRPr="00840CCB">
        <w:t> </w:t>
      </w:r>
      <w:r w:rsidR="0021367A" w:rsidRPr="00840CCB">
        <w:t>cases</w:t>
      </w:r>
      <w:r w:rsidR="006E6F6D" w:rsidRPr="00840CCB">
        <w:t xml:space="preserve"> </w:t>
      </w:r>
      <w:r w:rsidR="00B81273">
        <w:t>of psychotic illness per </w:t>
      </w:r>
      <w:r w:rsidR="0021367A" w:rsidRPr="00840CCB">
        <w:t>1000 adult population (ag</w:t>
      </w:r>
      <w:r w:rsidR="00B81273">
        <w:t>ed </w:t>
      </w:r>
      <w:r w:rsidR="0021367A" w:rsidRPr="00840CCB">
        <w:t>18</w:t>
      </w:r>
      <w:r w:rsidR="0021367A" w:rsidRPr="00840CCB">
        <w:rPr>
          <w:rFonts w:ascii="Calibri" w:hAnsi="Calibri"/>
        </w:rPr>
        <w:t>–</w:t>
      </w:r>
      <w:r w:rsidR="0021367A" w:rsidRPr="00840CCB">
        <w:t>64 years)</w:t>
      </w:r>
      <w:r w:rsidRPr="00840CCB">
        <w:t xml:space="preserve"> </w:t>
      </w:r>
      <w:r w:rsidR="0021367A" w:rsidRPr="00840CCB">
        <w:t>(Morgan</w:t>
      </w:r>
      <w:r w:rsidR="00113CBF" w:rsidRPr="00840CCB">
        <w:t> </w:t>
      </w:r>
      <w:r w:rsidR="0021367A" w:rsidRPr="00840CCB">
        <w:t>et</w:t>
      </w:r>
      <w:r w:rsidR="00113CBF" w:rsidRPr="00840CCB">
        <w:t> </w:t>
      </w:r>
      <w:r w:rsidR="0021367A" w:rsidRPr="00840CCB">
        <w:t>al.</w:t>
      </w:r>
      <w:r w:rsidR="00113CBF" w:rsidRPr="00840CCB">
        <w:t> </w:t>
      </w:r>
      <w:r w:rsidR="0021367A" w:rsidRPr="00840CCB">
        <w:t>2011).</w:t>
      </w:r>
    </w:p>
    <w:p w14:paraId="6CB0760C" w14:textId="74772290" w:rsidR="004C2D4E" w:rsidRDefault="008A44A9" w:rsidP="00D51092">
      <w:pPr>
        <w:pStyle w:val="BodyText"/>
      </w:pPr>
      <w:r w:rsidRPr="00840CCB">
        <w:t>The prevalence of mental illness among children and young people aged 4</w:t>
      </w:r>
      <w:r w:rsidRPr="00840CCB">
        <w:sym w:font="Symbol" w:char="F02D"/>
      </w:r>
      <w:r w:rsidRPr="00840CCB">
        <w:t>17</w:t>
      </w:r>
      <w:r w:rsidR="0068010B" w:rsidRPr="00840CCB">
        <w:t> </w:t>
      </w:r>
      <w:r w:rsidRPr="00840CCB">
        <w:t xml:space="preserve">years was </w:t>
      </w:r>
      <w:r w:rsidR="00B9731F" w:rsidRPr="00840CCB">
        <w:t xml:space="preserve">an estimated </w:t>
      </w:r>
      <w:r w:rsidR="004C2D4E" w:rsidRPr="00840CCB">
        <w:t>13.9</w:t>
      </w:r>
      <w:r w:rsidR="007E7C79">
        <w:t> </w:t>
      </w:r>
      <w:r w:rsidR="004C2D4E" w:rsidRPr="00840CCB">
        <w:t>per</w:t>
      </w:r>
      <w:r w:rsidR="007E7C79">
        <w:t> </w:t>
      </w:r>
      <w:r w:rsidR="004C2D4E" w:rsidRPr="00840CCB">
        <w:t>cent in 2013</w:t>
      </w:r>
      <w:r w:rsidR="00463329" w:rsidRPr="00840CCB">
        <w:noBreakHyphen/>
      </w:r>
      <w:r w:rsidR="004C2D4E" w:rsidRPr="00840CCB">
        <w:t>14</w:t>
      </w:r>
      <w:r w:rsidR="00B9731F" w:rsidRPr="00840CCB">
        <w:t xml:space="preserve"> (Lawrence</w:t>
      </w:r>
      <w:r w:rsidR="00113CBF" w:rsidRPr="00840CCB">
        <w:t> </w:t>
      </w:r>
      <w:r w:rsidR="00B9731F" w:rsidRPr="00840CCB">
        <w:t>et</w:t>
      </w:r>
      <w:r w:rsidR="00113CBF" w:rsidRPr="00840CCB">
        <w:t> </w:t>
      </w:r>
      <w:r w:rsidR="00B9731F" w:rsidRPr="00840CCB">
        <w:t>al. 2015)</w:t>
      </w:r>
      <w:r w:rsidR="00053085" w:rsidRPr="00840CCB">
        <w:t xml:space="preserve">. </w:t>
      </w:r>
      <w:r w:rsidR="004C2D4E" w:rsidRPr="00840CCB">
        <w:t>Attention</w:t>
      </w:r>
      <w:r w:rsidR="00113CBF" w:rsidRPr="00840CCB">
        <w:t xml:space="preserve"> </w:t>
      </w:r>
      <w:r w:rsidR="004C2D4E" w:rsidRPr="00840CCB">
        <w:t>deficit</w:t>
      </w:r>
      <w:r w:rsidR="00053085" w:rsidRPr="00840CCB">
        <w:t>/</w:t>
      </w:r>
      <w:r w:rsidR="004C2D4E" w:rsidRPr="00840CCB">
        <w:t xml:space="preserve">hyperactivity disorder </w:t>
      </w:r>
      <w:r w:rsidR="00D51092" w:rsidRPr="00840CCB">
        <w:t xml:space="preserve">(ADHD) </w:t>
      </w:r>
      <w:r w:rsidR="004C2D4E" w:rsidRPr="00840CCB">
        <w:t>was the most common mental illness overall</w:t>
      </w:r>
      <w:r w:rsidR="006F72FE" w:rsidRPr="00840CCB">
        <w:t xml:space="preserve"> for this age group</w:t>
      </w:r>
      <w:r w:rsidR="004C2D4E" w:rsidRPr="00840CCB">
        <w:t>, with 7.4</w:t>
      </w:r>
      <w:r w:rsidR="00B9731F" w:rsidRPr="00840CCB">
        <w:t> </w:t>
      </w:r>
      <w:r w:rsidR="004C2D4E" w:rsidRPr="00840CCB">
        <w:t>per</w:t>
      </w:r>
      <w:r w:rsidR="00B9731F" w:rsidRPr="00840CCB">
        <w:t> </w:t>
      </w:r>
      <w:r w:rsidR="004C2D4E" w:rsidRPr="00840CCB">
        <w:t>cent assessed as having ADHD in the previous 12</w:t>
      </w:r>
      <w:r w:rsidR="00B9731F" w:rsidRPr="00840CCB">
        <w:t> </w:t>
      </w:r>
      <w:r w:rsidR="004C2D4E" w:rsidRPr="00840CCB">
        <w:t>months</w:t>
      </w:r>
      <w:r w:rsidR="006F72FE" w:rsidRPr="00840CCB">
        <w:t xml:space="preserve">, followed by </w:t>
      </w:r>
      <w:r w:rsidR="00D51092" w:rsidRPr="00840CCB">
        <w:t>a</w:t>
      </w:r>
      <w:r w:rsidR="004C2D4E" w:rsidRPr="00840CCB">
        <w:t>nxiety disorders (6.9</w:t>
      </w:r>
      <w:r w:rsidR="007E7C79">
        <w:t> </w:t>
      </w:r>
      <w:r w:rsidR="00D51092" w:rsidRPr="00840CCB">
        <w:t>per</w:t>
      </w:r>
      <w:r w:rsidR="007E7C79">
        <w:t> </w:t>
      </w:r>
      <w:r w:rsidR="00D51092" w:rsidRPr="00840CCB">
        <w:t>cent</w:t>
      </w:r>
      <w:r w:rsidR="004C2D4E" w:rsidRPr="00840CCB">
        <w:t>)</w:t>
      </w:r>
      <w:r w:rsidR="00840CCB">
        <w:t xml:space="preserve"> (Lawrence</w:t>
      </w:r>
      <w:r w:rsidR="00E83D6F">
        <w:t> </w:t>
      </w:r>
      <w:r w:rsidR="00840CCB">
        <w:t>et</w:t>
      </w:r>
      <w:r w:rsidR="00E83D6F">
        <w:t> </w:t>
      </w:r>
      <w:r w:rsidR="00840CCB">
        <w:t>al</w:t>
      </w:r>
      <w:r w:rsidR="007E7C79">
        <w:t> </w:t>
      </w:r>
      <w:r w:rsidR="00840CCB">
        <w:t>2015).</w:t>
      </w:r>
    </w:p>
    <w:p w14:paraId="04744890" w14:textId="77777777" w:rsidR="007E7C79" w:rsidRDefault="00DF478F" w:rsidP="00DF478F">
      <w:pPr>
        <w:pStyle w:val="BodyText"/>
        <w:spacing w:before="200"/>
      </w:pPr>
      <w:r w:rsidRPr="00FF3F43">
        <w:t>A proxy measure of the overall mental health and wellbeing of the population is the Kessler</w:t>
      </w:r>
      <w:r w:rsidR="007E7C79">
        <w:t> </w:t>
      </w:r>
      <w:r w:rsidRPr="00FF3F43">
        <w:t xml:space="preserve">10 (K10) psychological distress scale. Very high levels of psychological distress may signify a need for professional help and provide an estimate of the need for mental health services (ABS 2012). </w:t>
      </w:r>
    </w:p>
    <w:p w14:paraId="48ADA697" w14:textId="7C105DA7" w:rsidR="00DF478F" w:rsidRPr="00FF3F43" w:rsidRDefault="007A0DBF" w:rsidP="00DF478F">
      <w:pPr>
        <w:pStyle w:val="BodyText"/>
        <w:spacing w:before="200"/>
      </w:pPr>
      <w:r>
        <w:lastRenderedPageBreak/>
        <w:t>Nationally in 2014</w:t>
      </w:r>
      <w:r w:rsidR="00BA1594">
        <w:noBreakHyphen/>
      </w:r>
      <w:r>
        <w:t>15, h</w:t>
      </w:r>
      <w:r w:rsidR="00DF478F" w:rsidRPr="00FF3F43">
        <w:t xml:space="preserve">igher levels of psychological distress </w:t>
      </w:r>
      <w:r>
        <w:t>we</w:t>
      </w:r>
      <w:r w:rsidR="00DF478F" w:rsidRPr="00FF3F43">
        <w:t>re reported for:</w:t>
      </w:r>
    </w:p>
    <w:p w14:paraId="48DCCEFD" w14:textId="4555214F" w:rsidR="00DF478F" w:rsidRPr="00006D05" w:rsidRDefault="00DF478F" w:rsidP="00DF478F">
      <w:pPr>
        <w:pStyle w:val="ListBullet"/>
      </w:pPr>
      <w:r w:rsidRPr="00006D05">
        <w:t>females compared to males (table</w:t>
      </w:r>
      <w:r w:rsidR="00AB25A8">
        <w:t> </w:t>
      </w:r>
      <w:r w:rsidRPr="00006D05">
        <w:t>13A.</w:t>
      </w:r>
      <w:r w:rsidR="008719A2" w:rsidRPr="00006D05">
        <w:t>4</w:t>
      </w:r>
      <w:r w:rsidR="00AA639E">
        <w:t>1</w:t>
      </w:r>
      <w:r w:rsidRPr="00006D05">
        <w:t>)</w:t>
      </w:r>
    </w:p>
    <w:p w14:paraId="59FD9B79" w14:textId="62AAFEB1" w:rsidR="00DF478F" w:rsidRPr="00006D05" w:rsidRDefault="00DF478F" w:rsidP="00DF478F">
      <w:pPr>
        <w:pStyle w:val="ListBullet"/>
      </w:pPr>
      <w:r w:rsidRPr="00006D05">
        <w:t>people with disability compar</w:t>
      </w:r>
      <w:r w:rsidR="008719A2" w:rsidRPr="00006D05">
        <w:t>ed to those without (table</w:t>
      </w:r>
      <w:r w:rsidR="003052D0">
        <w:t>s</w:t>
      </w:r>
      <w:r w:rsidR="008719A2" w:rsidRPr="00006D05">
        <w:t> 13A.4</w:t>
      </w:r>
      <w:r w:rsidR="00AA639E">
        <w:t>2</w:t>
      </w:r>
      <w:r w:rsidR="00973F09">
        <w:t>–</w:t>
      </w:r>
      <w:r w:rsidR="008719A2" w:rsidRPr="00006D05">
        <w:t>4</w:t>
      </w:r>
      <w:r w:rsidR="00AA639E">
        <w:t>3</w:t>
      </w:r>
      <w:r w:rsidRPr="00006D05">
        <w:t>)</w:t>
      </w:r>
    </w:p>
    <w:p w14:paraId="71424972" w14:textId="7FDD2A41" w:rsidR="00DF478F" w:rsidRPr="00006D05" w:rsidRDefault="00DF478F" w:rsidP="00DF478F">
      <w:pPr>
        <w:pStyle w:val="ListBullet"/>
      </w:pPr>
      <w:r w:rsidRPr="00006D05">
        <w:t xml:space="preserve">people in lower socioeconomic areas compared to those in higher areas </w:t>
      </w:r>
      <w:r w:rsidR="00951BA2" w:rsidRPr="00006D05">
        <w:br/>
      </w:r>
      <w:r w:rsidRPr="00006D05">
        <w:t>(table</w:t>
      </w:r>
      <w:r w:rsidR="003052D0">
        <w:t>s</w:t>
      </w:r>
      <w:r w:rsidRPr="00006D05">
        <w:t> 13A.</w:t>
      </w:r>
      <w:r w:rsidR="008719A2" w:rsidRPr="00006D05">
        <w:t>4</w:t>
      </w:r>
      <w:r w:rsidR="00AA639E">
        <w:t>2</w:t>
      </w:r>
      <w:r w:rsidR="00973F09">
        <w:t>–</w:t>
      </w:r>
      <w:r w:rsidR="008719A2" w:rsidRPr="00006D05">
        <w:t>4</w:t>
      </w:r>
      <w:r w:rsidR="00AA639E">
        <w:t>3</w:t>
      </w:r>
      <w:r w:rsidRPr="00006D05">
        <w:t>)</w:t>
      </w:r>
    </w:p>
    <w:p w14:paraId="1708881D" w14:textId="506F262F" w:rsidR="00DF478F" w:rsidRPr="00006D05" w:rsidRDefault="00DF478F" w:rsidP="00DF478F">
      <w:pPr>
        <w:pStyle w:val="ListBullet"/>
      </w:pPr>
      <w:r w:rsidRPr="00006D05">
        <w:t>Aboriginal and Torres Strait Islander Australians compared to non</w:t>
      </w:r>
      <w:r w:rsidRPr="00006D05">
        <w:noBreakHyphen/>
        <w:t>Indigenous Australians (table 13A.</w:t>
      </w:r>
      <w:r w:rsidR="008719A2" w:rsidRPr="00006D05">
        <w:t>4</w:t>
      </w:r>
      <w:r w:rsidR="00AA639E">
        <w:t>4</w:t>
      </w:r>
      <w:r w:rsidRPr="00006D05">
        <w:t>).</w:t>
      </w:r>
    </w:p>
    <w:p w14:paraId="3D5A7104" w14:textId="52D415CF" w:rsidR="00B70CCD" w:rsidRPr="00840CCB" w:rsidRDefault="00B70CCD" w:rsidP="00DF478F">
      <w:pPr>
        <w:pStyle w:val="BodyText"/>
        <w:spacing w:before="200"/>
      </w:pPr>
      <w:r w:rsidRPr="00006D05">
        <w:t xml:space="preserve">High rates of substance use and abuse can contribute to the onset of, and poor recovery from, mental illness. Information on rates of licit and illicit drug use can </w:t>
      </w:r>
      <w:r w:rsidRPr="00F1012A">
        <w:t xml:space="preserve">be found in </w:t>
      </w:r>
      <w:r w:rsidR="000F1ACA">
        <w:br/>
      </w:r>
      <w:r w:rsidRPr="00F1012A">
        <w:t>tables</w:t>
      </w:r>
      <w:r w:rsidR="000F1ACA">
        <w:t> </w:t>
      </w:r>
      <w:r w:rsidRPr="00F2429B">
        <w:t>13A.</w:t>
      </w:r>
      <w:r w:rsidR="008719A2" w:rsidRPr="00F2429B">
        <w:t>4</w:t>
      </w:r>
      <w:r w:rsidR="00AA639E">
        <w:t>5</w:t>
      </w:r>
      <w:r w:rsidR="005A40DE">
        <w:t>–</w:t>
      </w:r>
      <w:r w:rsidR="008719A2" w:rsidRPr="00F2429B">
        <w:t>4</w:t>
      </w:r>
      <w:r w:rsidR="00AA639E">
        <w:t>7</w:t>
      </w:r>
      <w:r w:rsidRPr="00F2429B">
        <w:t xml:space="preserve"> and the </w:t>
      </w:r>
      <w:r w:rsidRPr="00A65817">
        <w:rPr>
          <w:i/>
        </w:rPr>
        <w:t xml:space="preserve">National Drug Strategy Household Survey </w:t>
      </w:r>
      <w:r w:rsidR="008719A2" w:rsidRPr="00006D05">
        <w:t>(AIHW </w:t>
      </w:r>
      <w:r w:rsidRPr="00006D05">
        <w:t>201</w:t>
      </w:r>
      <w:r w:rsidR="00AE0479">
        <w:t>7</w:t>
      </w:r>
      <w:r w:rsidR="003052D0">
        <w:t>b</w:t>
      </w:r>
      <w:r w:rsidRPr="00006D05">
        <w:t>).</w:t>
      </w:r>
    </w:p>
    <w:p w14:paraId="51AE6DEF" w14:textId="77777777" w:rsidR="0021367A" w:rsidRPr="00840CCB" w:rsidRDefault="0021367A" w:rsidP="0021367A">
      <w:pPr>
        <w:pStyle w:val="Heading4"/>
      </w:pPr>
      <w:r w:rsidRPr="00840CCB">
        <w:t xml:space="preserve">Mortality due to suicide </w:t>
      </w:r>
    </w:p>
    <w:p w14:paraId="2BBC4E9B" w14:textId="77777777" w:rsidR="00511F10" w:rsidRPr="00840CCB" w:rsidRDefault="0021367A" w:rsidP="002315C6">
      <w:pPr>
        <w:pStyle w:val="BodyText"/>
      </w:pPr>
      <w:r w:rsidRPr="00840CCB">
        <w:t>‘Mortality due to suicide’ is an indicat</w:t>
      </w:r>
      <w:r w:rsidR="008D3719" w:rsidRPr="00840CCB">
        <w:t>or of governments’ objective to, where possible</w:t>
      </w:r>
      <w:r w:rsidR="00F1012A">
        <w:t>,</w:t>
      </w:r>
      <w:r w:rsidR="008D3719" w:rsidRPr="00840CCB">
        <w:t xml:space="preserve"> prevent the development of mental health problems, mental illness and suicide </w:t>
      </w:r>
      <w:r w:rsidR="001E5BD5" w:rsidRPr="00840CCB">
        <w:t>(</w:t>
      </w:r>
      <w:r w:rsidR="001B26A2" w:rsidRPr="00840CCB">
        <w:t>box</w:t>
      </w:r>
      <w:r w:rsidR="00AB25A8">
        <w:t> </w:t>
      </w:r>
      <w:r w:rsidR="00134A99">
        <w:t>13.17</w:t>
      </w:r>
      <w:r w:rsidR="001E5BD5" w:rsidRPr="00840CCB">
        <w:t>).</w:t>
      </w:r>
    </w:p>
    <w:p w14:paraId="72204F8C" w14:textId="774BE109" w:rsidR="00702CD3" w:rsidRPr="009754CD" w:rsidRDefault="00702CD3">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02CD3" w:rsidRPr="000B21ED" w14:paraId="645B1B99" w14:textId="77777777" w:rsidTr="00492B7D">
        <w:tc>
          <w:tcPr>
            <w:tcW w:w="8789" w:type="dxa"/>
            <w:tcBorders>
              <w:top w:val="single" w:sz="6" w:space="0" w:color="78A22F"/>
              <w:left w:val="nil"/>
              <w:bottom w:val="nil"/>
              <w:right w:val="nil"/>
            </w:tcBorders>
            <w:shd w:val="clear" w:color="auto" w:fill="F2F2F2"/>
          </w:tcPr>
          <w:p w14:paraId="5C989363" w14:textId="77777777" w:rsidR="00702CD3" w:rsidRPr="000B21ED" w:rsidRDefault="00702CD3" w:rsidP="00134A99">
            <w:pPr>
              <w:pStyle w:val="BoxTitle"/>
            </w:pPr>
            <w:r w:rsidRPr="000B21ED">
              <w:rPr>
                <w:b w:val="0"/>
              </w:rPr>
              <w:t xml:space="preserve">Box </w:t>
            </w:r>
            <w:r w:rsidR="00134A99">
              <w:rPr>
                <w:b w:val="0"/>
              </w:rPr>
              <w:t>13.17</w:t>
            </w:r>
            <w:r w:rsidRPr="000B21ED">
              <w:tab/>
              <w:t>Mortality due to suicide</w:t>
            </w:r>
          </w:p>
        </w:tc>
      </w:tr>
      <w:tr w:rsidR="00702CD3" w:rsidRPr="000B21ED" w14:paraId="39F632D2" w14:textId="77777777" w:rsidTr="00492B7D">
        <w:trPr>
          <w:cantSplit/>
        </w:trPr>
        <w:tc>
          <w:tcPr>
            <w:tcW w:w="8789" w:type="dxa"/>
            <w:tcBorders>
              <w:top w:val="nil"/>
              <w:left w:val="nil"/>
              <w:bottom w:val="nil"/>
              <w:right w:val="nil"/>
            </w:tcBorders>
            <w:shd w:val="clear" w:color="auto" w:fill="F2F2F2"/>
          </w:tcPr>
          <w:p w14:paraId="163EA63C" w14:textId="77777777" w:rsidR="00702CD3" w:rsidRPr="000B21ED" w:rsidRDefault="00702CD3" w:rsidP="00702CD3">
            <w:pPr>
              <w:pStyle w:val="Box"/>
            </w:pPr>
            <w:r w:rsidRPr="000B21ED">
              <w:t>‘Mortality due to suicide’ is defined as the suicide rate per 100</w:t>
            </w:r>
            <w:r w:rsidR="0022260C" w:rsidRPr="000B21ED">
              <w:t> </w:t>
            </w:r>
            <w:r w:rsidRPr="000B21ED">
              <w:t xml:space="preserve">000 people. </w:t>
            </w:r>
            <w:r w:rsidR="000E1737" w:rsidRPr="000B21ED">
              <w:t xml:space="preserve">Deaths from suicide are defined as causes of death with the </w:t>
            </w:r>
            <w:r w:rsidR="00A64644" w:rsidRPr="000B21ED">
              <w:t>International Classification of Diseases (ICD)</w:t>
            </w:r>
            <w:r w:rsidR="00463329" w:rsidRPr="000B21ED">
              <w:noBreakHyphen/>
            </w:r>
            <w:r w:rsidR="00A64644" w:rsidRPr="000B21ED">
              <w:t>1</w:t>
            </w:r>
            <w:r w:rsidR="000E1737" w:rsidRPr="000B21ED">
              <w:t>0 codes X60</w:t>
            </w:r>
            <w:r w:rsidR="000E1737" w:rsidRPr="000B21ED">
              <w:sym w:font="Symbol" w:char="F02D"/>
            </w:r>
            <w:r w:rsidR="000E1737" w:rsidRPr="000B21ED">
              <w:t>X84 and Y87.0.</w:t>
            </w:r>
          </w:p>
          <w:p w14:paraId="7C7C039D" w14:textId="77777777" w:rsidR="00702CD3" w:rsidRPr="000B21ED" w:rsidRDefault="00702CD3" w:rsidP="00702CD3">
            <w:pPr>
              <w:pStyle w:val="Box"/>
            </w:pPr>
            <w:r w:rsidRPr="000B21ED">
              <w:t>A low or decreasing suicide rate per 100</w:t>
            </w:r>
            <w:r w:rsidR="0022260C" w:rsidRPr="000B21ED">
              <w:t> </w:t>
            </w:r>
            <w:r w:rsidRPr="000B21ED">
              <w:t>000 people is desirable.</w:t>
            </w:r>
          </w:p>
          <w:p w14:paraId="3CA3AA9A" w14:textId="77777777" w:rsidR="00702CD3" w:rsidRPr="000B21ED" w:rsidRDefault="00702CD3" w:rsidP="00702CD3">
            <w:pPr>
              <w:pStyle w:val="Box"/>
            </w:pPr>
            <w:r w:rsidRPr="000B21ED">
              <w:t>While mental health services contribute to reducing suicides, other services also have a significant role</w:t>
            </w:r>
            <w:r w:rsidR="00C239DE">
              <w:t xml:space="preserve"> including p</w:t>
            </w:r>
            <w:r w:rsidRPr="000B21ED">
              <w:t xml:space="preserve">ublic mental health programs </w:t>
            </w:r>
            <w:r w:rsidR="00C239DE">
              <w:t>and</w:t>
            </w:r>
            <w:r w:rsidRPr="000B21ED">
              <w:t xml:space="preserve"> </w:t>
            </w:r>
            <w:r w:rsidR="00C239DE">
              <w:t>s</w:t>
            </w:r>
            <w:r w:rsidRPr="000B21ED">
              <w:t xml:space="preserve">uicide prevention </w:t>
            </w:r>
            <w:r w:rsidR="00C239DE">
              <w:t>programs (</w:t>
            </w:r>
            <w:r w:rsidRPr="000B21ED">
              <w:t xml:space="preserve">addressed through the initiatives of other government agencies, </w:t>
            </w:r>
            <w:r w:rsidR="004B70A3" w:rsidRPr="000B21ED">
              <w:t>NGOs</w:t>
            </w:r>
            <w:r w:rsidRPr="000B21ED">
              <w:t xml:space="preserve"> and other special interest groups</w:t>
            </w:r>
            <w:r w:rsidR="00C239DE">
              <w:t>)</w:t>
            </w:r>
            <w:r w:rsidRPr="000B21ED">
              <w:t xml:space="preserve">. </w:t>
            </w:r>
          </w:p>
          <w:p w14:paraId="6DD4A67E" w14:textId="77777777" w:rsidR="00052549" w:rsidRPr="000B21ED" w:rsidRDefault="00052549" w:rsidP="00052549">
            <w:pPr>
              <w:pStyle w:val="Box"/>
            </w:pPr>
            <w:r w:rsidRPr="000B21ED">
              <w:t>Many factors outside the control of mental health services can influence a person’s decision to commit suicide. These include environmental, sociocultural and economic risk factors. Often a combination of these factors can increase the risk of suicidal behaviour.</w:t>
            </w:r>
          </w:p>
          <w:p w14:paraId="120413BB" w14:textId="77777777" w:rsidR="00052549" w:rsidRPr="000B21ED" w:rsidRDefault="00052549" w:rsidP="00052549">
            <w:pPr>
              <w:pStyle w:val="Box"/>
            </w:pPr>
            <w:r w:rsidRPr="000B21ED">
              <w:t>Data reported for this indicator are:</w:t>
            </w:r>
          </w:p>
          <w:p w14:paraId="4175AC66" w14:textId="77777777" w:rsidR="00052549" w:rsidRPr="000B21ED" w:rsidRDefault="00052549" w:rsidP="00052549">
            <w:pPr>
              <w:pStyle w:val="BoxListBullet"/>
            </w:pPr>
            <w:r w:rsidRPr="000B21ED">
              <w:t xml:space="preserve">comparable (subject to caveats) across jurisdictions </w:t>
            </w:r>
            <w:r w:rsidR="00FD5780" w:rsidRPr="000B21ED">
              <w:t xml:space="preserve">and over time for some years and disaggregations </w:t>
            </w:r>
            <w:r w:rsidRPr="000B21ED">
              <w:t xml:space="preserve">but not comparable </w:t>
            </w:r>
            <w:r w:rsidR="00FD5780" w:rsidRPr="000B21ED">
              <w:t>for other years and</w:t>
            </w:r>
            <w:r w:rsidRPr="000B21ED">
              <w:t xml:space="preserve"> disaggregations</w:t>
            </w:r>
          </w:p>
          <w:p w14:paraId="5A63991F" w14:textId="077F76AF" w:rsidR="00052549" w:rsidRPr="000B21ED" w:rsidRDefault="00052549" w:rsidP="00AE0479">
            <w:pPr>
              <w:pStyle w:val="BoxListBullet"/>
            </w:pPr>
            <w:r w:rsidRPr="000B21ED">
              <w:t xml:space="preserve">complete </w:t>
            </w:r>
            <w:r w:rsidR="00CE1191" w:rsidRPr="000B21ED">
              <w:t xml:space="preserve">(subject to caveats) </w:t>
            </w:r>
            <w:r w:rsidRPr="000B21ED">
              <w:t xml:space="preserve">for the current reporting period. </w:t>
            </w:r>
            <w:r w:rsidR="00C239DE">
              <w:t xml:space="preserve">All required </w:t>
            </w:r>
            <w:r w:rsidR="00AE0479">
              <w:t>2016</w:t>
            </w:r>
            <w:r w:rsidR="00C239DE">
              <w:t xml:space="preserve"> data are a</w:t>
            </w:r>
            <w:r w:rsidR="00AE0479">
              <w:t>vailable for all jurisdictions</w:t>
            </w:r>
            <w:r w:rsidR="00590A49">
              <w:t>.</w:t>
            </w:r>
          </w:p>
        </w:tc>
      </w:tr>
      <w:tr w:rsidR="00702CD3" w:rsidRPr="000B21ED" w14:paraId="230D1E76" w14:textId="77777777" w:rsidTr="00492B7D">
        <w:trPr>
          <w:cantSplit/>
        </w:trPr>
        <w:tc>
          <w:tcPr>
            <w:tcW w:w="8789" w:type="dxa"/>
            <w:tcBorders>
              <w:top w:val="nil"/>
              <w:left w:val="nil"/>
              <w:bottom w:val="single" w:sz="6" w:space="0" w:color="78A22F"/>
              <w:right w:val="nil"/>
            </w:tcBorders>
            <w:shd w:val="clear" w:color="auto" w:fill="F2F2F2"/>
          </w:tcPr>
          <w:p w14:paraId="35088618" w14:textId="77777777" w:rsidR="00702CD3" w:rsidRPr="000B21ED" w:rsidRDefault="00702CD3">
            <w:pPr>
              <w:pStyle w:val="Box"/>
              <w:spacing w:before="0" w:line="120" w:lineRule="exact"/>
            </w:pPr>
          </w:p>
        </w:tc>
      </w:tr>
      <w:tr w:rsidR="00702CD3" w:rsidRPr="000B21ED" w14:paraId="122A1B37" w14:textId="77777777" w:rsidTr="00492B7D">
        <w:tc>
          <w:tcPr>
            <w:tcW w:w="8789" w:type="dxa"/>
            <w:tcBorders>
              <w:top w:val="single" w:sz="6" w:space="0" w:color="78A22F"/>
              <w:left w:val="nil"/>
              <w:bottom w:val="nil"/>
              <w:right w:val="nil"/>
            </w:tcBorders>
          </w:tcPr>
          <w:p w14:paraId="4956633E" w14:textId="3504FECC" w:rsidR="00702CD3" w:rsidRPr="000B21ED" w:rsidRDefault="00702CD3" w:rsidP="00702CD3">
            <w:pPr>
              <w:pStyle w:val="BoxSpaceBelow"/>
            </w:pPr>
          </w:p>
        </w:tc>
      </w:tr>
    </w:tbl>
    <w:p w14:paraId="7462D0B6" w14:textId="33234160" w:rsidR="00963BA0" w:rsidRPr="009754CD" w:rsidRDefault="0021367A" w:rsidP="0061119E">
      <w:pPr>
        <w:pStyle w:val="BodyText"/>
        <w:rPr>
          <w:color w:val="808080" w:themeColor="background1" w:themeShade="80"/>
        </w:rPr>
      </w:pPr>
      <w:r w:rsidRPr="00AE663E">
        <w:t xml:space="preserve">People with a mental illness </w:t>
      </w:r>
      <w:r w:rsidRPr="00AE0479">
        <w:t xml:space="preserve">are at a higher risk of suicide </w:t>
      </w:r>
      <w:r w:rsidR="007A0DBF">
        <w:t>compared to</w:t>
      </w:r>
      <w:r w:rsidRPr="00AE0479">
        <w:t xml:space="preserve"> the general population. </w:t>
      </w:r>
      <w:r w:rsidR="000E1737" w:rsidRPr="00AE0479">
        <w:t>For the period 20</w:t>
      </w:r>
      <w:r w:rsidR="000B21ED" w:rsidRPr="00AE0479">
        <w:t>1</w:t>
      </w:r>
      <w:r w:rsidR="00AE0479" w:rsidRPr="00AE0479">
        <w:t>2</w:t>
      </w:r>
      <w:r w:rsidR="000E1737" w:rsidRPr="00AE0479">
        <w:t>–201</w:t>
      </w:r>
      <w:r w:rsidR="00AE0479" w:rsidRPr="00AE0479">
        <w:t>6</w:t>
      </w:r>
      <w:r w:rsidR="000E1737" w:rsidRPr="00AE0479">
        <w:t>,</w:t>
      </w:r>
      <w:r w:rsidRPr="00006D05">
        <w:t xml:space="preserve"> </w:t>
      </w:r>
      <w:r w:rsidR="009A2BA2" w:rsidRPr="0061119E">
        <w:t>13 </w:t>
      </w:r>
      <w:r w:rsidR="00D368A5" w:rsidRPr="0061119E">
        <w:t>97</w:t>
      </w:r>
      <w:r w:rsidR="00747EB8" w:rsidRPr="0061119E">
        <w:t>4</w:t>
      </w:r>
      <w:r w:rsidR="00F55C8A" w:rsidRPr="00006D05">
        <w:t xml:space="preserve"> </w:t>
      </w:r>
      <w:r w:rsidRPr="00006D05">
        <w:t>deaths by suicide were recorded in Australia (table </w:t>
      </w:r>
      <w:r w:rsidR="001B26A2" w:rsidRPr="00006D05">
        <w:t>13A.</w:t>
      </w:r>
      <w:r w:rsidR="008719A2" w:rsidRPr="00006D05">
        <w:t>4</w:t>
      </w:r>
      <w:r w:rsidR="00AA639E">
        <w:t>8</w:t>
      </w:r>
      <w:r w:rsidRPr="00006D05">
        <w:t>) —</w:t>
      </w:r>
      <w:r w:rsidRPr="00AE663E">
        <w:t xml:space="preserve"> equivalent to </w:t>
      </w:r>
      <w:r w:rsidR="00AE663E" w:rsidRPr="009A2BA2">
        <w:t>11.</w:t>
      </w:r>
      <w:r w:rsidR="00D368A5">
        <w:t>8</w:t>
      </w:r>
      <w:r w:rsidR="0068010B" w:rsidRPr="009A2BA2">
        <w:t> </w:t>
      </w:r>
      <w:r w:rsidRPr="009A2BA2">
        <w:t>deaths</w:t>
      </w:r>
      <w:r w:rsidR="0068010B" w:rsidRPr="00AE663E">
        <w:t> </w:t>
      </w:r>
      <w:r w:rsidRPr="00AE663E">
        <w:t>per</w:t>
      </w:r>
      <w:r w:rsidR="0068010B" w:rsidRPr="00AE663E">
        <w:t> </w:t>
      </w:r>
      <w:r w:rsidRPr="00AE663E">
        <w:t>100</w:t>
      </w:r>
      <w:r w:rsidR="0022260C" w:rsidRPr="00AE663E">
        <w:t> </w:t>
      </w:r>
      <w:r w:rsidRPr="00AE663E">
        <w:t>000 people (</w:t>
      </w:r>
      <w:r w:rsidR="002615DE" w:rsidRPr="00AE663E">
        <w:t>figure </w:t>
      </w:r>
      <w:r w:rsidR="00DF7D42">
        <w:t>13.1</w:t>
      </w:r>
      <w:r w:rsidR="00A21D8E">
        <w:t>4</w:t>
      </w:r>
      <w:r w:rsidRPr="00AE663E">
        <w:t xml:space="preserve">). </w:t>
      </w:r>
      <w:r w:rsidR="008132FA">
        <w:t>T</w:t>
      </w:r>
      <w:r w:rsidR="00732DFB">
        <w:t>he national suicide rate has increased over the past 10 years (from 10.6</w:t>
      </w:r>
      <w:r w:rsidR="007E7C79">
        <w:t> </w:t>
      </w:r>
      <w:r w:rsidR="00732DFB">
        <w:t>deaths per</w:t>
      </w:r>
      <w:r w:rsidR="007E7C79">
        <w:t> </w:t>
      </w:r>
      <w:r w:rsidR="00732DFB">
        <w:t>100</w:t>
      </w:r>
      <w:r w:rsidR="00BA1594">
        <w:t> </w:t>
      </w:r>
      <w:r w:rsidR="007E7C79">
        <w:t>000 </w:t>
      </w:r>
      <w:r w:rsidR="00732DFB">
        <w:t>people in 2007)</w:t>
      </w:r>
      <w:r w:rsidR="008132FA" w:rsidRPr="008132FA">
        <w:t xml:space="preserve"> </w:t>
      </w:r>
      <w:r w:rsidR="008132FA">
        <w:t>(table</w:t>
      </w:r>
      <w:r w:rsidR="00BA1594">
        <w:t> </w:t>
      </w:r>
      <w:r w:rsidR="008132FA">
        <w:t>13A.48)</w:t>
      </w:r>
      <w:r w:rsidR="00732DFB">
        <w:t xml:space="preserve">. </w:t>
      </w:r>
    </w:p>
    <w:p w14:paraId="0DEDDE1E" w14:textId="1BAF9A93" w:rsidR="00CF4016" w:rsidRPr="009754CD" w:rsidRDefault="00CF4016" w:rsidP="001354BA">
      <w:pPr>
        <w:pStyle w:val="BodyText"/>
        <w:keepNext/>
        <w:spacing w:before="120" w:line="80" w:lineRule="atLeast"/>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615DE" w:rsidRPr="002615DE" w14:paraId="2A9841C2" w14:textId="77777777" w:rsidTr="00492B7D">
        <w:tc>
          <w:tcPr>
            <w:tcW w:w="8789" w:type="dxa"/>
            <w:tcBorders>
              <w:top w:val="single" w:sz="6" w:space="0" w:color="78A22F"/>
              <w:left w:val="nil"/>
              <w:bottom w:val="nil"/>
              <w:right w:val="nil"/>
            </w:tcBorders>
            <w:shd w:val="clear" w:color="auto" w:fill="auto"/>
          </w:tcPr>
          <w:p w14:paraId="796ECC15" w14:textId="6CADC107" w:rsidR="00CF4016" w:rsidRPr="002615DE" w:rsidRDefault="00CF4016" w:rsidP="00A21D8E">
            <w:pPr>
              <w:pStyle w:val="FigureTitle"/>
            </w:pPr>
            <w:r w:rsidRPr="002615DE">
              <w:rPr>
                <w:b w:val="0"/>
              </w:rPr>
              <w:t xml:space="preserve">Figure </w:t>
            </w:r>
            <w:r w:rsidR="00DF7D42">
              <w:rPr>
                <w:b w:val="0"/>
              </w:rPr>
              <w:t>13.1</w:t>
            </w:r>
            <w:r w:rsidR="00A21D8E">
              <w:rPr>
                <w:b w:val="0"/>
              </w:rPr>
              <w:t>4</w:t>
            </w:r>
            <w:r w:rsidRPr="002615DE">
              <w:tab/>
              <w:t xml:space="preserve">Suicide rates, 5 year </w:t>
            </w:r>
            <w:r w:rsidRPr="00D368A5">
              <w:t xml:space="preserve">average, </w:t>
            </w:r>
            <w:r w:rsidR="006B2C08" w:rsidRPr="00D368A5">
              <w:t>20</w:t>
            </w:r>
            <w:r w:rsidR="002615DE" w:rsidRPr="00D368A5">
              <w:t>1</w:t>
            </w:r>
            <w:r w:rsidR="00D368A5" w:rsidRPr="00D368A5">
              <w:t>2</w:t>
            </w:r>
            <w:r w:rsidRPr="00D368A5">
              <w:t>–</w:t>
            </w:r>
            <w:r w:rsidR="006B2C08" w:rsidRPr="00D368A5">
              <w:t>201</w:t>
            </w:r>
            <w:r w:rsidR="00D368A5" w:rsidRPr="00D368A5">
              <w:t>6</w:t>
            </w:r>
            <w:r w:rsidR="006B2C08" w:rsidRPr="00D368A5">
              <w:rPr>
                <w:rStyle w:val="NoteLabel"/>
                <w:b/>
              </w:rPr>
              <w:t>a</w:t>
            </w:r>
          </w:p>
        </w:tc>
      </w:tr>
      <w:tr w:rsidR="00CF4016" w:rsidRPr="002615DE" w14:paraId="463689A1" w14:textId="77777777" w:rsidTr="00492B7D">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6702AA" w:rsidRPr="002615DE" w14:paraId="08A4D3F7" w14:textId="77777777" w:rsidTr="00D368A5">
              <w:trPr>
                <w:jc w:val="center"/>
              </w:trPr>
              <w:tc>
                <w:tcPr>
                  <w:tcW w:w="8504" w:type="dxa"/>
                  <w:tcBorders>
                    <w:top w:val="nil"/>
                    <w:bottom w:val="nil"/>
                  </w:tcBorders>
                </w:tcPr>
                <w:p w14:paraId="2E1F7A55" w14:textId="1DC0025D" w:rsidR="00CF4016" w:rsidRPr="006D2B37" w:rsidRDefault="00D368A5" w:rsidP="006D2B37">
                  <w:pPr>
                    <w:pStyle w:val="Figure"/>
                  </w:pPr>
                  <w:r>
                    <w:rPr>
                      <w:noProof/>
                    </w:rPr>
                    <w:drawing>
                      <wp:inline distT="0" distB="0" distL="0" distR="0" wp14:anchorId="6A275A1D" wp14:editId="4390B31F">
                        <wp:extent cx="5400000" cy="2700000"/>
                        <wp:effectExtent l="0" t="0" r="0" b="5715"/>
                        <wp:docPr id="4" name="Chart 4" descr="More details can be found within the text surrounding this image. " title="Figure 13.14 Suicide rates, 5 year average, 2012–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36647057" w14:textId="77777777" w:rsidR="00CF4016" w:rsidRPr="002615DE" w:rsidRDefault="00CF4016" w:rsidP="00CF4016">
            <w:pPr>
              <w:pStyle w:val="Figure"/>
            </w:pPr>
          </w:p>
        </w:tc>
      </w:tr>
      <w:tr w:rsidR="00CF4016" w:rsidRPr="00006D05" w14:paraId="0F8F4BB5" w14:textId="77777777" w:rsidTr="00492B7D">
        <w:tc>
          <w:tcPr>
            <w:tcW w:w="8789" w:type="dxa"/>
            <w:tcBorders>
              <w:top w:val="nil"/>
              <w:left w:val="nil"/>
              <w:bottom w:val="nil"/>
              <w:right w:val="nil"/>
            </w:tcBorders>
            <w:shd w:val="clear" w:color="auto" w:fill="auto"/>
          </w:tcPr>
          <w:p w14:paraId="354ABF07" w14:textId="088CB075" w:rsidR="00CF4016" w:rsidRPr="00006D05" w:rsidRDefault="00CF4016" w:rsidP="00AA639E">
            <w:pPr>
              <w:pStyle w:val="Note"/>
              <w:spacing w:before="40"/>
              <w:rPr>
                <w:i/>
              </w:rPr>
            </w:pPr>
            <w:r w:rsidRPr="00006D05">
              <w:rPr>
                <w:rStyle w:val="NoteLabel"/>
              </w:rPr>
              <w:t>a</w:t>
            </w:r>
            <w:r w:rsidRPr="00006D05">
              <w:t xml:space="preserve"> </w:t>
            </w:r>
            <w:r w:rsidR="00CE1191" w:rsidRPr="00006D05">
              <w:t xml:space="preserve">See </w:t>
            </w:r>
            <w:r w:rsidR="001B26A2" w:rsidRPr="00006D05">
              <w:t>box</w:t>
            </w:r>
            <w:r w:rsidR="00AB25A8">
              <w:t> </w:t>
            </w:r>
            <w:r w:rsidR="002C77E1">
              <w:t>13.17</w:t>
            </w:r>
            <w:r w:rsidR="00721073" w:rsidRPr="00006D05">
              <w:t xml:space="preserve"> </w:t>
            </w:r>
            <w:r w:rsidR="00CE1191" w:rsidRPr="00006D05">
              <w:t>and table</w:t>
            </w:r>
            <w:r w:rsidR="00463329" w:rsidRPr="00006D05">
              <w:t> </w:t>
            </w:r>
            <w:r w:rsidR="001B26A2" w:rsidRPr="00006D05">
              <w:t>13A.</w:t>
            </w:r>
            <w:r w:rsidR="008719A2" w:rsidRPr="00006D05">
              <w:t>4</w:t>
            </w:r>
            <w:r w:rsidR="00AA639E">
              <w:t>8</w:t>
            </w:r>
            <w:r w:rsidR="00CE1191" w:rsidRPr="00006D05">
              <w:t xml:space="preserve"> </w:t>
            </w:r>
            <w:r w:rsidR="00C9207F" w:rsidRPr="00006D05">
              <w:t>for detailed definitions, footnotes and caveats</w:t>
            </w:r>
            <w:r w:rsidR="00CE1191" w:rsidRPr="00006D05">
              <w:t xml:space="preserve">. </w:t>
            </w:r>
          </w:p>
        </w:tc>
      </w:tr>
      <w:tr w:rsidR="00CF4016" w:rsidRPr="002615DE" w14:paraId="5B27576E" w14:textId="77777777" w:rsidTr="00492B7D">
        <w:tc>
          <w:tcPr>
            <w:tcW w:w="8789" w:type="dxa"/>
            <w:tcBorders>
              <w:top w:val="nil"/>
              <w:left w:val="nil"/>
              <w:bottom w:val="nil"/>
              <w:right w:val="nil"/>
            </w:tcBorders>
            <w:shd w:val="clear" w:color="auto" w:fill="auto"/>
          </w:tcPr>
          <w:p w14:paraId="07582245" w14:textId="57810068" w:rsidR="00CF4016" w:rsidRPr="002615DE" w:rsidRDefault="00CF4016" w:rsidP="00AA639E">
            <w:pPr>
              <w:pStyle w:val="Source"/>
            </w:pPr>
            <w:r w:rsidRPr="00006D05">
              <w:rPr>
                <w:i/>
              </w:rPr>
              <w:t>Source</w:t>
            </w:r>
            <w:r w:rsidRPr="00006D05">
              <w:t>:</w:t>
            </w:r>
            <w:r w:rsidRPr="00006D05">
              <w:rPr>
                <w:i/>
              </w:rPr>
              <w:t xml:space="preserve"> </w:t>
            </w:r>
            <w:r w:rsidRPr="00006D05">
              <w:t>ABS (</w:t>
            </w:r>
            <w:r w:rsidR="009A2BA2" w:rsidRPr="00006D05">
              <w:t>2016</w:t>
            </w:r>
            <w:r w:rsidRPr="00006D05">
              <w:t xml:space="preserve">) </w:t>
            </w:r>
            <w:r w:rsidRPr="00006D05">
              <w:rPr>
                <w:i/>
              </w:rPr>
              <w:t>Causes of Deaths, Australia</w:t>
            </w:r>
            <w:r w:rsidRPr="00006D05">
              <w:t>, Cat. no. 3303.0; table</w:t>
            </w:r>
            <w:r w:rsidR="0022260C" w:rsidRPr="00006D05">
              <w:t> </w:t>
            </w:r>
            <w:r w:rsidR="001B26A2" w:rsidRPr="00006D05">
              <w:t>13A.</w:t>
            </w:r>
            <w:r w:rsidR="008719A2" w:rsidRPr="00006D05">
              <w:t>4</w:t>
            </w:r>
            <w:r w:rsidR="00AA639E">
              <w:t>8</w:t>
            </w:r>
            <w:r w:rsidRPr="00006D05">
              <w:t>.</w:t>
            </w:r>
          </w:p>
        </w:tc>
      </w:tr>
      <w:tr w:rsidR="00CF4016" w:rsidRPr="002615DE" w14:paraId="558FBA25" w14:textId="77777777" w:rsidTr="00492B7D">
        <w:tc>
          <w:tcPr>
            <w:tcW w:w="8789" w:type="dxa"/>
            <w:tcBorders>
              <w:top w:val="nil"/>
              <w:left w:val="nil"/>
              <w:bottom w:val="single" w:sz="6" w:space="0" w:color="78A22F"/>
              <w:right w:val="nil"/>
            </w:tcBorders>
            <w:shd w:val="clear" w:color="auto" w:fill="auto"/>
          </w:tcPr>
          <w:p w14:paraId="0F51F0CE" w14:textId="77777777" w:rsidR="00CF4016" w:rsidRPr="002615DE" w:rsidRDefault="00CF4016" w:rsidP="00CF4016">
            <w:pPr>
              <w:pStyle w:val="Figurespace"/>
            </w:pPr>
          </w:p>
        </w:tc>
      </w:tr>
      <w:tr w:rsidR="00CF4016" w:rsidRPr="002615DE" w14:paraId="3BDE179B" w14:textId="77777777" w:rsidTr="00492B7D">
        <w:tc>
          <w:tcPr>
            <w:tcW w:w="8789" w:type="dxa"/>
            <w:tcBorders>
              <w:top w:val="single" w:sz="6" w:space="0" w:color="78A22F"/>
              <w:left w:val="nil"/>
              <w:bottom w:val="nil"/>
              <w:right w:val="nil"/>
            </w:tcBorders>
          </w:tcPr>
          <w:p w14:paraId="05E4F6D6" w14:textId="3AC9B14D" w:rsidR="00CF4016" w:rsidRPr="002615DE" w:rsidRDefault="00CF4016" w:rsidP="00CF4016">
            <w:pPr>
              <w:pStyle w:val="BoxSpaceBelow"/>
            </w:pPr>
          </w:p>
        </w:tc>
      </w:tr>
    </w:tbl>
    <w:p w14:paraId="523C610F" w14:textId="763A22C5" w:rsidR="00175FD3" w:rsidRPr="00AB25A8" w:rsidRDefault="00230D35" w:rsidP="0061119E">
      <w:pPr>
        <w:pStyle w:val="BodyText"/>
      </w:pPr>
      <w:r w:rsidRPr="0061119E">
        <w:t>For the period</w:t>
      </w:r>
      <w:r w:rsidR="00666047" w:rsidRPr="0061119E">
        <w:t xml:space="preserve"> 2007</w:t>
      </w:r>
      <w:r w:rsidR="00497B60" w:rsidRPr="00AE0479">
        <w:t>–</w:t>
      </w:r>
      <w:r w:rsidR="00666047" w:rsidRPr="0061119E">
        <w:t>2016</w:t>
      </w:r>
      <w:r w:rsidR="00A279FC" w:rsidRPr="0061119E">
        <w:t>, n</w:t>
      </w:r>
      <w:r w:rsidR="00C239DE" w:rsidRPr="0061119E">
        <w:t xml:space="preserve">ational </w:t>
      </w:r>
      <w:r w:rsidR="00676B83" w:rsidRPr="0061119E">
        <w:t xml:space="preserve">male </w:t>
      </w:r>
      <w:r w:rsidR="00A279FC" w:rsidRPr="0061119E">
        <w:t>suicide rate</w:t>
      </w:r>
      <w:r w:rsidR="00676B83" w:rsidRPr="0061119E">
        <w:t>s</w:t>
      </w:r>
      <w:r w:rsidR="00A279FC" w:rsidRPr="0061119E">
        <w:t xml:space="preserve"> </w:t>
      </w:r>
      <w:r w:rsidR="00676B83" w:rsidRPr="0061119E">
        <w:t>were</w:t>
      </w:r>
      <w:r w:rsidR="00A279FC" w:rsidRPr="0061119E">
        <w:t xml:space="preserve"> </w:t>
      </w:r>
      <w:r w:rsidR="00666047" w:rsidRPr="0061119E">
        <w:t xml:space="preserve">over </w:t>
      </w:r>
      <w:r w:rsidR="00A279FC" w:rsidRPr="0061119E">
        <w:t>three times</w:t>
      </w:r>
      <w:r w:rsidR="00666047" w:rsidRPr="0061119E">
        <w:t xml:space="preserve"> </w:t>
      </w:r>
      <w:r w:rsidR="00A279FC" w:rsidRPr="0061119E">
        <w:t xml:space="preserve">the rate for females </w:t>
      </w:r>
      <w:r w:rsidR="00C239DE" w:rsidRPr="0061119E">
        <w:t>(</w:t>
      </w:r>
      <w:r w:rsidR="00A279FC" w:rsidRPr="0061119E">
        <w:t xml:space="preserve">in 2016, </w:t>
      </w:r>
      <w:r w:rsidR="00C239DE" w:rsidRPr="0061119E">
        <w:t>17.</w:t>
      </w:r>
      <w:r w:rsidR="00C627F8" w:rsidRPr="0061119E">
        <w:t>8</w:t>
      </w:r>
      <w:r w:rsidR="00C239DE" w:rsidRPr="009A2BA2">
        <w:t> per 100 000 males</w:t>
      </w:r>
      <w:r w:rsidR="008B602C">
        <w:t xml:space="preserve"> </w:t>
      </w:r>
      <w:r w:rsidR="00676B83">
        <w:t>compared with</w:t>
      </w:r>
      <w:r w:rsidR="008B602C">
        <w:t xml:space="preserve"> </w:t>
      </w:r>
      <w:r w:rsidR="00C239DE" w:rsidRPr="0061119E">
        <w:t>5.</w:t>
      </w:r>
      <w:r w:rsidR="00C627F8" w:rsidRPr="0061119E">
        <w:t>8</w:t>
      </w:r>
      <w:r w:rsidR="00C239DE" w:rsidRPr="009A2BA2">
        <w:t> per 100 000 females)</w:t>
      </w:r>
      <w:r w:rsidR="00C239DE" w:rsidRPr="00DE3D05">
        <w:t xml:space="preserve"> (ABS 201</w:t>
      </w:r>
      <w:r w:rsidR="00D368A5">
        <w:t>7</w:t>
      </w:r>
      <w:r w:rsidR="00C239DE" w:rsidRPr="00DE3D05">
        <w:t>).</w:t>
      </w:r>
      <w:r w:rsidR="00C239DE">
        <w:t xml:space="preserve"> </w:t>
      </w:r>
      <w:r w:rsidR="00EE5892" w:rsidRPr="0061119E">
        <w:t>Suicide rates</w:t>
      </w:r>
      <w:r w:rsidR="00EE5892">
        <w:t xml:space="preserve"> </w:t>
      </w:r>
      <w:r w:rsidR="00175FD3" w:rsidRPr="00175FD3">
        <w:t xml:space="preserve">disaggregated by </w:t>
      </w:r>
      <w:r w:rsidR="0073365B">
        <w:t>significant urban areas</w:t>
      </w:r>
      <w:r w:rsidR="00175FD3" w:rsidRPr="00175FD3">
        <w:t xml:space="preserve">, Indigenous status and for 15–24 year olds </w:t>
      </w:r>
      <w:r w:rsidR="00EE5892" w:rsidRPr="0061119E">
        <w:t>vary across jurisdictions</w:t>
      </w:r>
      <w:r w:rsidR="00EE5892">
        <w:t xml:space="preserve"> (</w:t>
      </w:r>
      <w:r w:rsidR="00006D05">
        <w:t>tables </w:t>
      </w:r>
      <w:r w:rsidR="00175FD3" w:rsidRPr="00175FD3">
        <w:t>13A.</w:t>
      </w:r>
      <w:r w:rsidR="008719A2">
        <w:t>4</w:t>
      </w:r>
      <w:r w:rsidR="00AA639E">
        <w:t>9</w:t>
      </w:r>
      <w:r w:rsidR="00497B60" w:rsidRPr="00AE0479">
        <w:t>–</w:t>
      </w:r>
      <w:r w:rsidR="008719A2">
        <w:t>5</w:t>
      </w:r>
      <w:r w:rsidR="00AA639E">
        <w:t>1</w:t>
      </w:r>
      <w:r w:rsidR="00EE5892">
        <w:t>)</w:t>
      </w:r>
      <w:r w:rsidR="00C239DE" w:rsidRPr="00C239DE">
        <w:t>.</w:t>
      </w:r>
    </w:p>
    <w:p w14:paraId="71646EC9" w14:textId="77777777" w:rsidR="00203522" w:rsidRPr="006702AA" w:rsidRDefault="00E848BF" w:rsidP="00203522">
      <w:pPr>
        <w:pStyle w:val="Heading4"/>
      </w:pPr>
      <w:r w:rsidRPr="006702AA">
        <w:t>Physical</w:t>
      </w:r>
      <w:r w:rsidR="00203522" w:rsidRPr="006702AA">
        <w:t xml:space="preserve"> </w:t>
      </w:r>
      <w:r w:rsidRPr="006702AA">
        <w:t xml:space="preserve">health outcomes for </w:t>
      </w:r>
      <w:r w:rsidR="00203522" w:rsidRPr="006702AA">
        <w:t>people with a mental illness</w:t>
      </w:r>
    </w:p>
    <w:p w14:paraId="34FB1C44" w14:textId="77777777" w:rsidR="00821FE5" w:rsidRDefault="00582388" w:rsidP="00652625">
      <w:pPr>
        <w:pStyle w:val="BodyText"/>
      </w:pPr>
      <w:r w:rsidRPr="006702AA">
        <w:t xml:space="preserve">‘Physical health outcomes for people with a mental illness’ is an indicator of governments’ objective </w:t>
      </w:r>
      <w:r w:rsidR="008D3719" w:rsidRPr="006702AA">
        <w:t xml:space="preserve">to promote recovery and physical health and encourage meaningful participation in society </w:t>
      </w:r>
      <w:r w:rsidRPr="006702AA">
        <w:t>(</w:t>
      </w:r>
      <w:r w:rsidR="006702AA" w:rsidRPr="006702AA">
        <w:t>box </w:t>
      </w:r>
      <w:r w:rsidR="00134A99">
        <w:t>13.18</w:t>
      </w:r>
      <w:r w:rsidRPr="006702AA">
        <w:t>).</w:t>
      </w:r>
    </w:p>
    <w:p w14:paraId="5949D5B3" w14:textId="66A39DC7" w:rsidR="009F5387" w:rsidRDefault="009F53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F5387" w14:paraId="684F81AB" w14:textId="77777777" w:rsidTr="00492B7D">
        <w:trPr>
          <w:tblHeader/>
        </w:trPr>
        <w:tc>
          <w:tcPr>
            <w:tcW w:w="5000" w:type="pct"/>
            <w:tcBorders>
              <w:top w:val="single" w:sz="6" w:space="0" w:color="78A22F"/>
              <w:left w:val="nil"/>
              <w:bottom w:val="nil"/>
              <w:right w:val="nil"/>
            </w:tcBorders>
            <w:shd w:val="clear" w:color="auto" w:fill="F2F2F2"/>
          </w:tcPr>
          <w:p w14:paraId="00982852" w14:textId="09956F67" w:rsidR="009F5387" w:rsidRDefault="009F5387" w:rsidP="009F5387">
            <w:pPr>
              <w:pStyle w:val="BoxTitle"/>
            </w:pPr>
            <w:r>
              <w:rPr>
                <w:b w:val="0"/>
              </w:rPr>
              <w:t>Box 13.18</w:t>
            </w:r>
            <w:r>
              <w:tab/>
            </w:r>
            <w:r w:rsidRPr="006702AA">
              <w:t>Physical health outcomes for people with a mental illness</w:t>
            </w:r>
          </w:p>
        </w:tc>
      </w:tr>
      <w:tr w:rsidR="009F5387" w14:paraId="062F93FB" w14:textId="77777777" w:rsidTr="00492B7D">
        <w:tc>
          <w:tcPr>
            <w:tcW w:w="5000" w:type="pct"/>
            <w:tcBorders>
              <w:top w:val="nil"/>
              <w:left w:val="nil"/>
              <w:bottom w:val="nil"/>
              <w:right w:val="nil"/>
            </w:tcBorders>
            <w:shd w:val="clear" w:color="auto" w:fill="F2F2F2"/>
          </w:tcPr>
          <w:p w14:paraId="540A0E46" w14:textId="77777777" w:rsidR="009F5387" w:rsidRPr="00006D05" w:rsidRDefault="009F5387" w:rsidP="009F5387">
            <w:pPr>
              <w:pStyle w:val="Box"/>
            </w:pPr>
            <w:r w:rsidRPr="00006D05">
              <w:t>‘Physical health outcomes for people with a mental illness’ is defined as the proportion of adults with a mental illness (compared to those without a mental illness) who experienced a long</w:t>
            </w:r>
            <w:r w:rsidRPr="00006D05">
              <w:noBreakHyphen/>
              <w:t>term physical health condition: cancer, diabetes, arthritis, cardiovascular disease and asthma.</w:t>
            </w:r>
          </w:p>
          <w:p w14:paraId="4D2E5995" w14:textId="3FBABDD8" w:rsidR="009F5387" w:rsidRDefault="009F5387" w:rsidP="009F5387">
            <w:pPr>
              <w:pStyle w:val="Box"/>
            </w:pPr>
            <w:r w:rsidRPr="00006D05">
              <w:t>Low or decreasing proportions of people with a mental illness who experience a long</w:t>
            </w:r>
            <w:r w:rsidRPr="00006D05">
              <w:noBreakHyphen/>
              <w:t>term physical health condition are desirable.</w:t>
            </w:r>
          </w:p>
        </w:tc>
      </w:tr>
      <w:tr w:rsidR="009F5387" w14:paraId="1C4B5EC7" w14:textId="77777777" w:rsidTr="00492B7D">
        <w:tc>
          <w:tcPr>
            <w:tcW w:w="5000" w:type="pct"/>
            <w:tcBorders>
              <w:top w:val="nil"/>
              <w:left w:val="nil"/>
              <w:bottom w:val="nil"/>
              <w:right w:val="nil"/>
            </w:tcBorders>
            <w:shd w:val="clear" w:color="auto" w:fill="F2F2F2"/>
          </w:tcPr>
          <w:p w14:paraId="6A4CB868" w14:textId="12B251CD" w:rsidR="009F5387" w:rsidRDefault="009F5387" w:rsidP="009F5387">
            <w:pPr>
              <w:pStyle w:val="BoxSource"/>
              <w:jc w:val="right"/>
            </w:pPr>
            <w:r>
              <w:t>(continued next page)</w:t>
            </w:r>
          </w:p>
        </w:tc>
      </w:tr>
      <w:tr w:rsidR="009F5387" w14:paraId="466EFBEE" w14:textId="77777777" w:rsidTr="00492B7D">
        <w:tc>
          <w:tcPr>
            <w:tcW w:w="5000" w:type="pct"/>
            <w:tcBorders>
              <w:top w:val="nil"/>
              <w:left w:val="nil"/>
              <w:bottom w:val="single" w:sz="6" w:space="0" w:color="78A22F"/>
              <w:right w:val="nil"/>
            </w:tcBorders>
            <w:shd w:val="clear" w:color="auto" w:fill="F2F2F2"/>
          </w:tcPr>
          <w:p w14:paraId="127FA87A" w14:textId="77777777" w:rsidR="009F5387" w:rsidRDefault="009F5387">
            <w:pPr>
              <w:pStyle w:val="Box"/>
              <w:spacing w:before="0" w:line="120" w:lineRule="exact"/>
            </w:pPr>
          </w:p>
        </w:tc>
      </w:tr>
      <w:tr w:rsidR="009F5387" w:rsidRPr="000863A5" w14:paraId="2F1EB587" w14:textId="77777777" w:rsidTr="00492B7D">
        <w:tc>
          <w:tcPr>
            <w:tcW w:w="5000" w:type="pct"/>
            <w:tcBorders>
              <w:top w:val="single" w:sz="6" w:space="0" w:color="78A22F"/>
              <w:left w:val="nil"/>
              <w:bottom w:val="nil"/>
              <w:right w:val="nil"/>
            </w:tcBorders>
          </w:tcPr>
          <w:p w14:paraId="2AC3A85D" w14:textId="2DE8CE16" w:rsidR="009F5387" w:rsidRPr="00626D32" w:rsidRDefault="009F5387" w:rsidP="00355934">
            <w:pPr>
              <w:pStyle w:val="BoxSpaceBelow"/>
            </w:pPr>
          </w:p>
        </w:tc>
      </w:tr>
    </w:tbl>
    <w:p w14:paraId="1504F65A" w14:textId="77777777" w:rsidR="00DF6F2F" w:rsidRPr="006702AA" w:rsidRDefault="00DF6F2F" w:rsidP="00652625">
      <w:pPr>
        <w:pStyle w:val="BodyText"/>
      </w:pPr>
    </w:p>
    <w:p w14:paraId="2078314D" w14:textId="5736DFF5" w:rsidR="00CE1191" w:rsidRPr="009754CD" w:rsidRDefault="00CE1191">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E1191" w:rsidRPr="006702AA" w14:paraId="55F00AAA" w14:textId="77777777" w:rsidTr="00492B7D">
        <w:tc>
          <w:tcPr>
            <w:tcW w:w="8789" w:type="dxa"/>
            <w:tcBorders>
              <w:top w:val="single" w:sz="6" w:space="0" w:color="78A22F"/>
              <w:left w:val="nil"/>
              <w:bottom w:val="nil"/>
              <w:right w:val="nil"/>
            </w:tcBorders>
            <w:shd w:val="clear" w:color="auto" w:fill="F2F2F2"/>
          </w:tcPr>
          <w:p w14:paraId="3E080D39" w14:textId="69A66DB4" w:rsidR="00CE1191" w:rsidRPr="006702AA" w:rsidRDefault="00CE1191" w:rsidP="00134A99">
            <w:pPr>
              <w:pStyle w:val="BoxTitle"/>
            </w:pPr>
            <w:r w:rsidRPr="006702AA">
              <w:rPr>
                <w:b w:val="0"/>
              </w:rPr>
              <w:t xml:space="preserve">Box </w:t>
            </w:r>
            <w:r w:rsidR="00134A99">
              <w:rPr>
                <w:b w:val="0"/>
              </w:rPr>
              <w:t>13.18</w:t>
            </w:r>
            <w:r w:rsidRPr="006702AA">
              <w:tab/>
            </w:r>
            <w:r w:rsidR="009F5387" w:rsidRPr="009F5387">
              <w:rPr>
                <w:b w:val="0"/>
                <w:sz w:val="18"/>
                <w:szCs w:val="18"/>
              </w:rPr>
              <w:t>(continued)</w:t>
            </w:r>
            <w:r w:rsidRPr="006702AA">
              <w:t xml:space="preserve"> </w:t>
            </w:r>
          </w:p>
        </w:tc>
      </w:tr>
      <w:tr w:rsidR="00CE1191" w:rsidRPr="00006D05" w14:paraId="07E1F15E" w14:textId="77777777" w:rsidTr="00492B7D">
        <w:trPr>
          <w:cantSplit/>
        </w:trPr>
        <w:tc>
          <w:tcPr>
            <w:tcW w:w="8789" w:type="dxa"/>
            <w:tcBorders>
              <w:top w:val="nil"/>
              <w:left w:val="nil"/>
              <w:bottom w:val="nil"/>
              <w:right w:val="nil"/>
            </w:tcBorders>
            <w:shd w:val="clear" w:color="auto" w:fill="F2F2F2"/>
          </w:tcPr>
          <w:p w14:paraId="46383C50" w14:textId="092B4161" w:rsidR="00ED4141" w:rsidRPr="00006D05" w:rsidRDefault="00ED4141" w:rsidP="00ED4141">
            <w:pPr>
              <w:pStyle w:val="Box"/>
            </w:pPr>
            <w:r w:rsidRPr="00006D05">
              <w:t xml:space="preserve">People with a mental illness have </w:t>
            </w:r>
            <w:r w:rsidR="00334C40">
              <w:t>poorer</w:t>
            </w:r>
            <w:r w:rsidRPr="00006D05">
              <w:t xml:space="preserve"> physical health outcomes than people without mental illness (</w:t>
            </w:r>
            <w:proofErr w:type="spellStart"/>
            <w:r w:rsidRPr="00006D05">
              <w:t>Happell</w:t>
            </w:r>
            <w:proofErr w:type="spellEnd"/>
            <w:r w:rsidR="007E7C79">
              <w:t> </w:t>
            </w:r>
            <w:r w:rsidRPr="00006D05">
              <w:t>et</w:t>
            </w:r>
            <w:r w:rsidR="007E7C79">
              <w:t> </w:t>
            </w:r>
            <w:r w:rsidRPr="00006D05">
              <w:t>al.</w:t>
            </w:r>
            <w:r w:rsidR="007E7C79">
              <w:t> </w:t>
            </w:r>
            <w:r w:rsidRPr="00006D05">
              <w:t>2015; Lawrence, Hancock</w:t>
            </w:r>
            <w:r w:rsidR="007E7C79">
              <w:t xml:space="preserve"> </w:t>
            </w:r>
            <w:r w:rsidRPr="00006D05">
              <w:t xml:space="preserve">and </w:t>
            </w:r>
            <w:proofErr w:type="spellStart"/>
            <w:r w:rsidRPr="00006D05">
              <w:t>Kisely</w:t>
            </w:r>
            <w:proofErr w:type="spellEnd"/>
            <w:r w:rsidR="007E7C79">
              <w:t> </w:t>
            </w:r>
            <w:r w:rsidRPr="00006D05">
              <w:t>2013)</w:t>
            </w:r>
            <w:r w:rsidR="00267CA9" w:rsidRPr="00006D05">
              <w:t xml:space="preserve">, but the </w:t>
            </w:r>
            <w:r w:rsidR="00121C25" w:rsidRPr="00006D05">
              <w:t>relationship between</w:t>
            </w:r>
            <w:r w:rsidRPr="00006D05">
              <w:t xml:space="preserve"> </w:t>
            </w:r>
            <w:r w:rsidR="00267CA9" w:rsidRPr="00006D05">
              <w:t>the two</w:t>
            </w:r>
            <w:r w:rsidRPr="00006D05">
              <w:t xml:space="preserve"> is complex. Poor physical health can exacerbate mental health problems and poor mental health can lead to poor physical health. In addition, some psychiatric medications prescribed to treat mental health conditions </w:t>
            </w:r>
            <w:r w:rsidR="00267CA9" w:rsidRPr="00006D05">
              <w:t>may</w:t>
            </w:r>
            <w:r w:rsidRPr="00006D05">
              <w:t xml:space="preserve"> lead to </w:t>
            </w:r>
            <w:r w:rsidR="00334C40">
              <w:t xml:space="preserve">poorer </w:t>
            </w:r>
            <w:r w:rsidRPr="00006D05">
              <w:t>physical heal</w:t>
            </w:r>
            <w:r w:rsidR="00267CA9" w:rsidRPr="00006D05">
              <w:t>th</w:t>
            </w:r>
            <w:r w:rsidR="00AB25A8">
              <w:t>.</w:t>
            </w:r>
            <w:r w:rsidRPr="00006D05">
              <w:t xml:space="preserve"> </w:t>
            </w:r>
          </w:p>
          <w:p w14:paraId="766EA0E0" w14:textId="5BCC3DBD" w:rsidR="006702AA" w:rsidRPr="00284C40" w:rsidRDefault="006702AA" w:rsidP="00ED4141">
            <w:pPr>
              <w:pStyle w:val="Box"/>
            </w:pPr>
            <w:r w:rsidRPr="00006D05">
              <w:t xml:space="preserve">Greater exposure to particular health risk factors can also contribute to poorer physical health. Information on </w:t>
            </w:r>
            <w:r w:rsidR="00267CA9" w:rsidRPr="00006D05">
              <w:t>selected risk factors</w:t>
            </w:r>
            <w:r w:rsidRPr="00006D05">
              <w:t xml:space="preserve"> by mental illness status </w:t>
            </w:r>
            <w:r w:rsidRPr="00284C40">
              <w:t>can be found in table</w:t>
            </w:r>
            <w:r w:rsidR="00AB25A8" w:rsidRPr="00284C40">
              <w:t> </w:t>
            </w:r>
            <w:r w:rsidRPr="00284C40">
              <w:t>13A.</w:t>
            </w:r>
            <w:r w:rsidR="008719A2" w:rsidRPr="00284C40">
              <w:t>5</w:t>
            </w:r>
            <w:r w:rsidR="00AA639E">
              <w:t>2</w:t>
            </w:r>
            <w:r w:rsidRPr="00284C40">
              <w:t>.</w:t>
            </w:r>
          </w:p>
          <w:p w14:paraId="0D1EAD16" w14:textId="77777777" w:rsidR="00ED4141" w:rsidRPr="00284C40" w:rsidRDefault="00ED4141" w:rsidP="00ED4141">
            <w:pPr>
              <w:pStyle w:val="Box"/>
            </w:pPr>
            <w:r w:rsidRPr="00284C40">
              <w:t>Data reported for this indicator are:</w:t>
            </w:r>
          </w:p>
          <w:p w14:paraId="6CE2D445" w14:textId="77777777" w:rsidR="00ED4141" w:rsidRPr="00284C40" w:rsidRDefault="00ED4141" w:rsidP="00ED4141">
            <w:pPr>
              <w:pStyle w:val="BoxListBullet"/>
            </w:pPr>
            <w:r w:rsidRPr="00284C40">
              <w:t>comparable (subject to caveats) across jurisdictions (no time series data are reported)</w:t>
            </w:r>
          </w:p>
          <w:p w14:paraId="54F64C82" w14:textId="77777777" w:rsidR="00ED4141" w:rsidRPr="00006D05" w:rsidRDefault="00ED4141" w:rsidP="00334C40">
            <w:pPr>
              <w:pStyle w:val="BoxListBullet"/>
            </w:pPr>
            <w:r w:rsidRPr="00284C40">
              <w:t xml:space="preserve">complete </w:t>
            </w:r>
            <w:r w:rsidR="002245A4" w:rsidRPr="00284C40">
              <w:t xml:space="preserve">(subject to caveats) </w:t>
            </w:r>
            <w:r w:rsidRPr="00284C40">
              <w:t>for the current reporting period. All required 201</w:t>
            </w:r>
            <w:r w:rsidR="004E2ECD" w:rsidRPr="00284C40">
              <w:t>4</w:t>
            </w:r>
            <w:r w:rsidRPr="00284C40">
              <w:noBreakHyphen/>
              <w:t>1</w:t>
            </w:r>
            <w:r w:rsidR="004E2ECD" w:rsidRPr="00284C40">
              <w:t>5</w:t>
            </w:r>
            <w:r w:rsidRPr="00284C40">
              <w:t xml:space="preserve"> data</w:t>
            </w:r>
            <w:r w:rsidRPr="00006D05">
              <w:t xml:space="preserve"> are a</w:t>
            </w:r>
            <w:r w:rsidR="006702AA" w:rsidRPr="00006D05">
              <w:t>vailable for all jurisdictions.</w:t>
            </w:r>
          </w:p>
        </w:tc>
      </w:tr>
      <w:tr w:rsidR="00CE1191" w:rsidRPr="00006D05" w14:paraId="3EFD07C9" w14:textId="77777777" w:rsidTr="00492B7D">
        <w:trPr>
          <w:cantSplit/>
        </w:trPr>
        <w:tc>
          <w:tcPr>
            <w:tcW w:w="8789" w:type="dxa"/>
            <w:tcBorders>
              <w:top w:val="nil"/>
              <w:left w:val="nil"/>
              <w:bottom w:val="single" w:sz="6" w:space="0" w:color="78A22F"/>
              <w:right w:val="nil"/>
            </w:tcBorders>
            <w:shd w:val="clear" w:color="auto" w:fill="F2F2F2"/>
          </w:tcPr>
          <w:p w14:paraId="01F56A56" w14:textId="77777777" w:rsidR="00CE1191" w:rsidRPr="00006D05" w:rsidRDefault="00CE1191">
            <w:pPr>
              <w:pStyle w:val="Box"/>
              <w:spacing w:before="0" w:line="120" w:lineRule="exact"/>
            </w:pPr>
          </w:p>
        </w:tc>
      </w:tr>
      <w:tr w:rsidR="00CE1191" w:rsidRPr="00006D05" w14:paraId="54EB690E" w14:textId="77777777" w:rsidTr="00492B7D">
        <w:tc>
          <w:tcPr>
            <w:tcW w:w="8789" w:type="dxa"/>
            <w:tcBorders>
              <w:top w:val="single" w:sz="6" w:space="0" w:color="78A22F"/>
              <w:left w:val="nil"/>
              <w:bottom w:val="nil"/>
              <w:right w:val="nil"/>
            </w:tcBorders>
          </w:tcPr>
          <w:p w14:paraId="0C2079C0" w14:textId="6F3A9C28" w:rsidR="00CE1191" w:rsidRPr="00006D05" w:rsidRDefault="00CE1191" w:rsidP="004D4228">
            <w:pPr>
              <w:pStyle w:val="BoxSpaceBelow"/>
            </w:pPr>
          </w:p>
        </w:tc>
      </w:tr>
    </w:tbl>
    <w:p w14:paraId="662A21AA" w14:textId="631E9881" w:rsidR="00B93F05" w:rsidRPr="00246945" w:rsidRDefault="000C5D75" w:rsidP="00F15477">
      <w:pPr>
        <w:pStyle w:val="BodyText"/>
        <w:spacing w:before="200"/>
      </w:pPr>
      <w:r w:rsidRPr="00006D05">
        <w:t xml:space="preserve">A higher proportion of </w:t>
      </w:r>
      <w:r w:rsidR="00F76F82" w:rsidRPr="00006D05">
        <w:t>adults</w:t>
      </w:r>
      <w:r w:rsidR="007F688B" w:rsidRPr="00006D05">
        <w:t xml:space="preserve"> with a mental illness </w:t>
      </w:r>
      <w:r w:rsidRPr="00006D05">
        <w:t xml:space="preserve">had </w:t>
      </w:r>
      <w:r w:rsidR="007F688B" w:rsidRPr="00006D05">
        <w:t>long</w:t>
      </w:r>
      <w:r w:rsidR="0022260C" w:rsidRPr="00006D05">
        <w:noBreakHyphen/>
      </w:r>
      <w:r w:rsidR="007F688B" w:rsidRPr="00006D05">
        <w:t>term health condition</w:t>
      </w:r>
      <w:r w:rsidR="00D35272" w:rsidRPr="00006D05">
        <w:t>s</w:t>
      </w:r>
      <w:r w:rsidR="002D0D07" w:rsidRPr="00006D05">
        <w:t xml:space="preserve"> compared </w:t>
      </w:r>
      <w:r w:rsidRPr="00006D05">
        <w:t xml:space="preserve">to </w:t>
      </w:r>
      <w:r w:rsidR="00F76F82" w:rsidRPr="00006D05">
        <w:t>adults</w:t>
      </w:r>
      <w:r w:rsidRPr="00006D05">
        <w:t xml:space="preserve"> without </w:t>
      </w:r>
      <w:r w:rsidR="00334C40">
        <w:t xml:space="preserve">a </w:t>
      </w:r>
      <w:r w:rsidRPr="00006D05">
        <w:t>mental illness</w:t>
      </w:r>
      <w:r w:rsidR="007F688B" w:rsidRPr="00006D05">
        <w:t xml:space="preserve">. </w:t>
      </w:r>
      <w:r w:rsidR="002E271C" w:rsidRPr="00006D05">
        <w:t>Nationally in 201</w:t>
      </w:r>
      <w:r w:rsidR="00246945" w:rsidRPr="00006D05">
        <w:t>4</w:t>
      </w:r>
      <w:r w:rsidR="002E271C" w:rsidRPr="00006D05">
        <w:noBreakHyphen/>
        <w:t>1</w:t>
      </w:r>
      <w:r w:rsidR="00246945" w:rsidRPr="00006D05">
        <w:t>5</w:t>
      </w:r>
      <w:r w:rsidR="002E271C" w:rsidRPr="00006D05">
        <w:t>, the proportion</w:t>
      </w:r>
      <w:r w:rsidRPr="00006D05">
        <w:t>s</w:t>
      </w:r>
      <w:r w:rsidR="002E271C" w:rsidRPr="00006D05">
        <w:t xml:space="preserve"> of </w:t>
      </w:r>
      <w:r w:rsidR="00F76F82" w:rsidRPr="00006D05">
        <w:t>adults</w:t>
      </w:r>
      <w:r w:rsidR="002E271C" w:rsidRPr="00006D05">
        <w:t xml:space="preserve"> with a mental illness who </w:t>
      </w:r>
      <w:r w:rsidR="005F670E" w:rsidRPr="00006D05">
        <w:t>had</w:t>
      </w:r>
      <w:r w:rsidR="0031725E" w:rsidRPr="00006D05">
        <w:t xml:space="preserve"> </w:t>
      </w:r>
      <w:r w:rsidR="00767441" w:rsidRPr="00006D05">
        <w:t>arthritis</w:t>
      </w:r>
      <w:r w:rsidR="005F670E" w:rsidRPr="00006D05">
        <w:t xml:space="preserve"> </w:t>
      </w:r>
      <w:r w:rsidRPr="00006D05">
        <w:t>(</w:t>
      </w:r>
      <w:r w:rsidR="00767441" w:rsidRPr="00006D05">
        <w:t>26.</w:t>
      </w:r>
      <w:r w:rsidR="00246945" w:rsidRPr="00006D05">
        <w:t>4</w:t>
      </w:r>
      <w:r w:rsidR="00E83D6F">
        <w:t> </w:t>
      </w:r>
      <w:r w:rsidR="002E271C" w:rsidRPr="00006D05">
        <w:t>per</w:t>
      </w:r>
      <w:r w:rsidR="00E83D6F">
        <w:t> </w:t>
      </w:r>
      <w:r w:rsidR="002E271C" w:rsidRPr="00006D05">
        <w:t>cent</w:t>
      </w:r>
      <w:r w:rsidRPr="00006D05">
        <w:t>)</w:t>
      </w:r>
      <w:r w:rsidR="0031725E" w:rsidRPr="00006D05">
        <w:t xml:space="preserve"> and </w:t>
      </w:r>
      <w:r w:rsidR="005F670E" w:rsidRPr="00006D05">
        <w:t>cardiovascular disease</w:t>
      </w:r>
      <w:r w:rsidR="002E271C" w:rsidRPr="00006D05">
        <w:t xml:space="preserve"> </w:t>
      </w:r>
      <w:r w:rsidRPr="00006D05">
        <w:t>(</w:t>
      </w:r>
      <w:r w:rsidR="00246945" w:rsidRPr="00006D05">
        <w:t>8.6</w:t>
      </w:r>
      <w:r w:rsidR="008719A2" w:rsidRPr="00006D05">
        <w:t> per </w:t>
      </w:r>
      <w:r w:rsidR="002E271C" w:rsidRPr="00006D05">
        <w:t>cent</w:t>
      </w:r>
      <w:r w:rsidRPr="00006D05">
        <w:t xml:space="preserve">) were higher than those without </w:t>
      </w:r>
      <w:r w:rsidR="00334C40">
        <w:t xml:space="preserve">a </w:t>
      </w:r>
      <w:r w:rsidRPr="00006D05">
        <w:t>mental illness (</w:t>
      </w:r>
      <w:r w:rsidR="00767441" w:rsidRPr="00006D05">
        <w:t>16.</w:t>
      </w:r>
      <w:r w:rsidR="00246945" w:rsidRPr="00006D05">
        <w:t>4</w:t>
      </w:r>
      <w:r w:rsidR="00767441" w:rsidRPr="00006D05">
        <w:t> per</w:t>
      </w:r>
      <w:r w:rsidR="00E83D6F">
        <w:t> </w:t>
      </w:r>
      <w:r w:rsidR="00767441" w:rsidRPr="00006D05">
        <w:t xml:space="preserve">cent and </w:t>
      </w:r>
      <w:r w:rsidR="00DA172E" w:rsidRPr="00006D05">
        <w:t>5.</w:t>
      </w:r>
      <w:r w:rsidR="00246945" w:rsidRPr="00006D05">
        <w:t>6</w:t>
      </w:r>
      <w:r w:rsidR="00E83D6F">
        <w:t> </w:t>
      </w:r>
      <w:r w:rsidR="002E271C" w:rsidRPr="00006D05">
        <w:t>per</w:t>
      </w:r>
      <w:r w:rsidR="00E83D6F">
        <w:t> </w:t>
      </w:r>
      <w:r w:rsidR="002E271C" w:rsidRPr="00006D05">
        <w:t xml:space="preserve">cent </w:t>
      </w:r>
      <w:r w:rsidR="00BF2AD5" w:rsidRPr="00006D05">
        <w:t>respectively</w:t>
      </w:r>
      <w:r w:rsidRPr="00006D05">
        <w:t>)</w:t>
      </w:r>
      <w:r w:rsidR="00BF2AD5" w:rsidRPr="00006D05" w:rsidDel="00767441">
        <w:t xml:space="preserve"> </w:t>
      </w:r>
      <w:r w:rsidR="002E271C" w:rsidRPr="00006D05">
        <w:t>(</w:t>
      </w:r>
      <w:r w:rsidR="00AF4860">
        <w:t>table</w:t>
      </w:r>
      <w:r w:rsidR="00BA1594">
        <w:t> </w:t>
      </w:r>
      <w:r w:rsidR="00AF4860">
        <w:t>13A.53</w:t>
      </w:r>
      <w:r w:rsidR="00E73529" w:rsidRPr="00006D05">
        <w:t>)</w:t>
      </w:r>
      <w:r w:rsidR="002E271C" w:rsidRPr="00006D05">
        <w:t>.</w:t>
      </w:r>
      <w:r w:rsidR="0031725E" w:rsidRPr="00006D05">
        <w:t xml:space="preserve"> </w:t>
      </w:r>
      <w:r w:rsidR="005F670E" w:rsidRPr="00006D05">
        <w:t>Table</w:t>
      </w:r>
      <w:r w:rsidR="0022260C" w:rsidRPr="00006D05">
        <w:t> </w:t>
      </w:r>
      <w:r w:rsidR="001B26A2" w:rsidRPr="00006D05">
        <w:t>13A.</w:t>
      </w:r>
      <w:r w:rsidR="008719A2" w:rsidRPr="00006D05">
        <w:t>5</w:t>
      </w:r>
      <w:r w:rsidR="00AA639E">
        <w:t>3</w:t>
      </w:r>
      <w:r w:rsidR="0031725E" w:rsidRPr="00006D05">
        <w:t xml:space="preserve"> </w:t>
      </w:r>
      <w:r w:rsidR="00B65B61" w:rsidRPr="00006D05">
        <w:t>provides</w:t>
      </w:r>
      <w:r w:rsidR="005F670E" w:rsidRPr="00006D05">
        <w:t xml:space="preserve"> data</w:t>
      </w:r>
      <w:r w:rsidR="005F670E" w:rsidRPr="00246945">
        <w:t xml:space="preserve"> for cancer</w:t>
      </w:r>
      <w:r w:rsidR="00B65B61" w:rsidRPr="00246945">
        <w:t>, asthma</w:t>
      </w:r>
      <w:r w:rsidR="005F670E" w:rsidRPr="00246945">
        <w:t xml:space="preserve"> and diabetes.</w:t>
      </w:r>
    </w:p>
    <w:p w14:paraId="2BF0F88A" w14:textId="77777777" w:rsidR="00CF4016" w:rsidRPr="009C7D99" w:rsidRDefault="00CF4016" w:rsidP="00F15477">
      <w:pPr>
        <w:pStyle w:val="Heading4"/>
        <w:spacing w:before="360"/>
      </w:pPr>
      <w:r w:rsidRPr="009C7D99">
        <w:t>Social and economic inclusion of people with a mental illness</w:t>
      </w:r>
    </w:p>
    <w:p w14:paraId="567B90C3" w14:textId="77777777" w:rsidR="00CF4016" w:rsidRDefault="00CF4016" w:rsidP="002315C6">
      <w:pPr>
        <w:pStyle w:val="BodyText"/>
      </w:pPr>
      <w:r w:rsidRPr="009C7D99">
        <w:t xml:space="preserve">‘Social and economic inclusion of people with a mental illness’ is an indicator of governments’ objective to </w:t>
      </w:r>
      <w:r w:rsidR="008D3719" w:rsidRPr="009C7D99">
        <w:t xml:space="preserve">promote recovery and physical health and encourage meaningful participation in society </w:t>
      </w:r>
      <w:r w:rsidRPr="009C7D99">
        <w:t>(</w:t>
      </w:r>
      <w:r w:rsidR="004E2ECD" w:rsidRPr="009C7D99">
        <w:t>box </w:t>
      </w:r>
      <w:r w:rsidR="00134A99">
        <w:t>13.19</w:t>
      </w:r>
      <w:r w:rsidRPr="009C7D99">
        <w:t>).</w:t>
      </w:r>
    </w:p>
    <w:p w14:paraId="3CFB62D7" w14:textId="3685A8C9" w:rsidR="009F5387" w:rsidRDefault="009F5387" w:rsidP="00F15477">
      <w:pPr>
        <w:pStyle w:val="BoxSpaceAbove"/>
        <w:spacing w:before="26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F5387" w14:paraId="4193D74D" w14:textId="77777777" w:rsidTr="00492B7D">
        <w:trPr>
          <w:tblHeader/>
        </w:trPr>
        <w:tc>
          <w:tcPr>
            <w:tcW w:w="5000" w:type="pct"/>
            <w:tcBorders>
              <w:top w:val="single" w:sz="6" w:space="0" w:color="78A22F"/>
              <w:left w:val="nil"/>
              <w:bottom w:val="nil"/>
              <w:right w:val="nil"/>
            </w:tcBorders>
            <w:shd w:val="clear" w:color="auto" w:fill="F2F2F2"/>
          </w:tcPr>
          <w:p w14:paraId="130BAA60" w14:textId="2CAF085E" w:rsidR="009F5387" w:rsidRDefault="009F5387" w:rsidP="00F15477">
            <w:pPr>
              <w:pStyle w:val="BoxTitle"/>
              <w:spacing w:before="60"/>
            </w:pPr>
            <w:r>
              <w:rPr>
                <w:b w:val="0"/>
              </w:rPr>
              <w:t>Box 13.19</w:t>
            </w:r>
            <w:r>
              <w:tab/>
            </w:r>
            <w:r w:rsidRPr="00E37466">
              <w:t>Social and economic inclusion of people with a mental illness</w:t>
            </w:r>
          </w:p>
        </w:tc>
      </w:tr>
      <w:tr w:rsidR="009F5387" w14:paraId="1EF01312" w14:textId="77777777" w:rsidTr="00492B7D">
        <w:tc>
          <w:tcPr>
            <w:tcW w:w="5000" w:type="pct"/>
            <w:tcBorders>
              <w:top w:val="nil"/>
              <w:left w:val="nil"/>
              <w:bottom w:val="nil"/>
              <w:right w:val="nil"/>
            </w:tcBorders>
            <w:shd w:val="clear" w:color="auto" w:fill="F2F2F2"/>
          </w:tcPr>
          <w:p w14:paraId="7D3BFC48" w14:textId="77777777" w:rsidR="009F5387" w:rsidRPr="00E37466" w:rsidRDefault="009F5387" w:rsidP="009F5387">
            <w:pPr>
              <w:pStyle w:val="Box"/>
            </w:pPr>
            <w:r w:rsidRPr="00E37466">
              <w:t xml:space="preserve">‘Social and economic inclusion of people with a mental illness’ is defined by two measures, </w:t>
            </w:r>
            <w:r>
              <w:t xml:space="preserve">with </w:t>
            </w:r>
            <w:r w:rsidRPr="00E37466">
              <w:t>the proportion of people:</w:t>
            </w:r>
          </w:p>
          <w:p w14:paraId="014A5C82" w14:textId="660347A5" w:rsidR="009F5387" w:rsidRPr="00E37466" w:rsidRDefault="009F5387" w:rsidP="00F15477">
            <w:pPr>
              <w:pStyle w:val="BoxListBullet"/>
              <w:spacing w:before="80"/>
            </w:pPr>
            <w:r w:rsidRPr="00E37466">
              <w:t>aged 16–64</w:t>
            </w:r>
            <w:r w:rsidR="007E7C79">
              <w:t> </w:t>
            </w:r>
            <w:r w:rsidRPr="00E37466">
              <w:t>years with a mental illness who are employed, compared with the proportion for people without a mental illness</w:t>
            </w:r>
          </w:p>
          <w:p w14:paraId="44BCB0D7" w14:textId="7ADCD7C9" w:rsidR="009F5387" w:rsidRDefault="009F5387" w:rsidP="00F15477">
            <w:pPr>
              <w:pStyle w:val="BoxListBullet"/>
              <w:spacing w:before="80"/>
            </w:pPr>
            <w:r w:rsidRPr="00E37466">
              <w:t>aged 15</w:t>
            </w:r>
            <w:r w:rsidR="007E7C79">
              <w:t> </w:t>
            </w:r>
            <w:r w:rsidRPr="00E37466">
              <w:t xml:space="preserve">years </w:t>
            </w:r>
            <w:r>
              <w:t>and</w:t>
            </w:r>
            <w:r w:rsidRPr="00E37466">
              <w:t xml:space="preserve"> over with a mental illness who had face</w:t>
            </w:r>
            <w:r w:rsidRPr="00E37466">
              <w:noBreakHyphen/>
              <w:t>to</w:t>
            </w:r>
            <w:r w:rsidRPr="00E37466">
              <w:noBreakHyphen/>
              <w:t xml:space="preserve">face contact with family or friends living outside the household in the </w:t>
            </w:r>
            <w:r>
              <w:t>p</w:t>
            </w:r>
            <w:r w:rsidRPr="00E37466">
              <w:t>ast week, compared with the proportion for people without a mental illness.</w:t>
            </w:r>
          </w:p>
          <w:p w14:paraId="6D37DB52" w14:textId="77777777" w:rsidR="009F5387" w:rsidRDefault="009F5387" w:rsidP="00F15477">
            <w:pPr>
              <w:pStyle w:val="Box"/>
              <w:spacing w:before="80"/>
            </w:pPr>
            <w:r w:rsidRPr="00E37466">
              <w:t xml:space="preserve">High or increasing proportions </w:t>
            </w:r>
            <w:r>
              <w:t>of</w:t>
            </w:r>
            <w:r w:rsidRPr="00E37466">
              <w:t xml:space="preserve"> people with a mental illness who are employed</w:t>
            </w:r>
            <w:r>
              <w:t xml:space="preserve">, or </w:t>
            </w:r>
            <w:r w:rsidRPr="00E37466">
              <w:t>who had face</w:t>
            </w:r>
            <w:r>
              <w:t>–</w:t>
            </w:r>
            <w:r w:rsidRPr="00E37466">
              <w:t>to</w:t>
            </w:r>
            <w:r>
              <w:t>–</w:t>
            </w:r>
            <w:r w:rsidRPr="00E37466">
              <w:t>face contact with family or friends</w:t>
            </w:r>
            <w:r>
              <w:t>,</w:t>
            </w:r>
            <w:r w:rsidRPr="00E37466">
              <w:t xml:space="preserve"> </w:t>
            </w:r>
            <w:r>
              <w:t>are</w:t>
            </w:r>
            <w:r w:rsidRPr="00E37466">
              <w:t xml:space="preserve"> desirable.</w:t>
            </w:r>
          </w:p>
          <w:p w14:paraId="5FB7882D" w14:textId="47DAB9C4" w:rsidR="009F5387" w:rsidRDefault="009F5387" w:rsidP="009F5387">
            <w:pPr>
              <w:pStyle w:val="Box"/>
            </w:pPr>
            <w:r w:rsidRPr="00E37466">
              <w:t xml:space="preserve">This indicator does not provide information on whether the employment, education or social activities participated in were appropriate or meaningful. </w:t>
            </w:r>
            <w:r>
              <w:t>It also does not provide information on why people who were not employed were not looking for work (for example, those outside the labour force).</w:t>
            </w:r>
          </w:p>
        </w:tc>
      </w:tr>
      <w:tr w:rsidR="009F5387" w14:paraId="71885F01" w14:textId="77777777" w:rsidTr="00492B7D">
        <w:tc>
          <w:tcPr>
            <w:tcW w:w="5000" w:type="pct"/>
            <w:tcBorders>
              <w:top w:val="nil"/>
              <w:left w:val="nil"/>
              <w:bottom w:val="nil"/>
              <w:right w:val="nil"/>
            </w:tcBorders>
            <w:shd w:val="clear" w:color="auto" w:fill="F2F2F2"/>
          </w:tcPr>
          <w:p w14:paraId="7B186284" w14:textId="26FAFAB4" w:rsidR="009F5387" w:rsidRDefault="009F5387" w:rsidP="009F5387">
            <w:pPr>
              <w:pStyle w:val="BoxSource"/>
              <w:spacing w:before="40"/>
              <w:jc w:val="right"/>
            </w:pPr>
            <w:r>
              <w:t>(continued next page)</w:t>
            </w:r>
          </w:p>
        </w:tc>
      </w:tr>
      <w:tr w:rsidR="009F5387" w14:paraId="16AEA6D2" w14:textId="77777777" w:rsidTr="00492B7D">
        <w:tc>
          <w:tcPr>
            <w:tcW w:w="5000" w:type="pct"/>
            <w:tcBorders>
              <w:top w:val="nil"/>
              <w:left w:val="nil"/>
              <w:bottom w:val="single" w:sz="6" w:space="0" w:color="78A22F"/>
              <w:right w:val="nil"/>
            </w:tcBorders>
            <w:shd w:val="clear" w:color="auto" w:fill="F2F2F2"/>
          </w:tcPr>
          <w:p w14:paraId="17B1AFB6" w14:textId="77777777" w:rsidR="009F5387" w:rsidRDefault="009F5387">
            <w:pPr>
              <w:pStyle w:val="Box"/>
              <w:spacing w:before="0" w:line="120" w:lineRule="exact"/>
            </w:pPr>
          </w:p>
        </w:tc>
      </w:tr>
      <w:tr w:rsidR="009F5387" w:rsidRPr="000863A5" w14:paraId="2459EDF4" w14:textId="77777777" w:rsidTr="00492B7D">
        <w:tc>
          <w:tcPr>
            <w:tcW w:w="5000" w:type="pct"/>
            <w:tcBorders>
              <w:top w:val="single" w:sz="6" w:space="0" w:color="78A22F"/>
              <w:left w:val="nil"/>
              <w:bottom w:val="nil"/>
              <w:right w:val="nil"/>
            </w:tcBorders>
          </w:tcPr>
          <w:p w14:paraId="454287A0" w14:textId="40A90368" w:rsidR="009F5387" w:rsidRPr="00626D32" w:rsidRDefault="009F5387" w:rsidP="00355934">
            <w:pPr>
              <w:pStyle w:val="BoxSpaceBelow"/>
            </w:pPr>
          </w:p>
        </w:tc>
      </w:tr>
    </w:tbl>
    <w:p w14:paraId="5D6D5F61" w14:textId="75A6B5E3" w:rsidR="003E71A2" w:rsidRPr="009754CD" w:rsidRDefault="003E71A2">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E71A2" w:rsidRPr="00E37466" w14:paraId="04494A4E" w14:textId="77777777" w:rsidTr="00492B7D">
        <w:tc>
          <w:tcPr>
            <w:tcW w:w="8789" w:type="dxa"/>
            <w:tcBorders>
              <w:top w:val="single" w:sz="6" w:space="0" w:color="78A22F"/>
              <w:left w:val="nil"/>
              <w:bottom w:val="nil"/>
              <w:right w:val="nil"/>
            </w:tcBorders>
            <w:shd w:val="clear" w:color="auto" w:fill="F2F2F2"/>
          </w:tcPr>
          <w:p w14:paraId="47F10493" w14:textId="4F4A5AE2" w:rsidR="003E71A2" w:rsidRPr="00E37466" w:rsidRDefault="003E71A2" w:rsidP="009F5387">
            <w:pPr>
              <w:pStyle w:val="BoxTitle"/>
            </w:pPr>
            <w:r w:rsidRPr="00E37466">
              <w:rPr>
                <w:b w:val="0"/>
              </w:rPr>
              <w:t xml:space="preserve">Box </w:t>
            </w:r>
            <w:r w:rsidR="00134A99">
              <w:rPr>
                <w:b w:val="0"/>
              </w:rPr>
              <w:t>13.19</w:t>
            </w:r>
            <w:r w:rsidRPr="00E37466">
              <w:tab/>
            </w:r>
            <w:r w:rsidR="009F5387" w:rsidRPr="009F5387">
              <w:rPr>
                <w:b w:val="0"/>
                <w:sz w:val="18"/>
                <w:szCs w:val="18"/>
              </w:rPr>
              <w:t>(continued)</w:t>
            </w:r>
          </w:p>
        </w:tc>
      </w:tr>
      <w:tr w:rsidR="003E71A2" w:rsidRPr="00E37466" w14:paraId="4D464E1D" w14:textId="77777777" w:rsidTr="00492B7D">
        <w:trPr>
          <w:cantSplit/>
        </w:trPr>
        <w:tc>
          <w:tcPr>
            <w:tcW w:w="8789" w:type="dxa"/>
            <w:tcBorders>
              <w:top w:val="nil"/>
              <w:left w:val="nil"/>
              <w:bottom w:val="nil"/>
              <w:right w:val="nil"/>
            </w:tcBorders>
            <w:shd w:val="clear" w:color="auto" w:fill="F2F2F2"/>
          </w:tcPr>
          <w:p w14:paraId="2BA204B2" w14:textId="77777777" w:rsidR="003E71A2" w:rsidRPr="006359FB" w:rsidRDefault="003E71A2" w:rsidP="003E71A2">
            <w:pPr>
              <w:pStyle w:val="Box"/>
            </w:pPr>
            <w:r w:rsidRPr="00E37466">
              <w:t xml:space="preserve">Data reported for </w:t>
            </w:r>
            <w:r w:rsidRPr="006359FB">
              <w:t>this indicator are:</w:t>
            </w:r>
          </w:p>
          <w:p w14:paraId="019AF87C" w14:textId="2FEABE75" w:rsidR="003E71A2" w:rsidRPr="006359FB" w:rsidRDefault="003E71A2" w:rsidP="003E71A2">
            <w:pPr>
              <w:pStyle w:val="BoxListBullet"/>
            </w:pPr>
            <w:r w:rsidRPr="006359FB">
              <w:t>comparable (subject to caveats) across jurisdictions</w:t>
            </w:r>
            <w:r w:rsidR="0095258D" w:rsidRPr="006359FB">
              <w:t xml:space="preserve"> for all surveys</w:t>
            </w:r>
            <w:r w:rsidR="00371415">
              <w:t>,</w:t>
            </w:r>
            <w:r w:rsidRPr="006359FB">
              <w:t xml:space="preserve"> and </w:t>
            </w:r>
            <w:r w:rsidR="0095258D" w:rsidRPr="006359FB">
              <w:t xml:space="preserve">over time </w:t>
            </w:r>
            <w:r w:rsidR="00BF2AD5" w:rsidRPr="006359FB">
              <w:t xml:space="preserve">for </w:t>
            </w:r>
            <w:r w:rsidR="00D80B1C" w:rsidRPr="006359FB">
              <w:br/>
            </w:r>
            <w:r w:rsidR="00E37466" w:rsidRPr="006359FB">
              <w:t>2014</w:t>
            </w:r>
            <w:r w:rsidR="00AB25A8" w:rsidRPr="00D25EAF">
              <w:noBreakHyphen/>
            </w:r>
            <w:r w:rsidR="00E37466" w:rsidRPr="00D25EAF">
              <w:t xml:space="preserve">15, </w:t>
            </w:r>
            <w:r w:rsidRPr="006359FB">
              <w:t>2011</w:t>
            </w:r>
            <w:r w:rsidR="00AB25A8" w:rsidRPr="006359FB">
              <w:noBreakHyphen/>
            </w:r>
            <w:r w:rsidRPr="006359FB">
              <w:t xml:space="preserve">12 </w:t>
            </w:r>
            <w:r w:rsidR="00BF2AD5" w:rsidRPr="006359FB">
              <w:t>and</w:t>
            </w:r>
            <w:r w:rsidRPr="006359FB">
              <w:t xml:space="preserve"> 2007</w:t>
            </w:r>
            <w:r w:rsidRPr="006359FB">
              <w:noBreakHyphen/>
              <w:t xml:space="preserve">08 </w:t>
            </w:r>
            <w:r w:rsidR="0003132C" w:rsidRPr="006359FB">
              <w:t>(</w:t>
            </w:r>
            <w:r w:rsidRPr="006359FB">
              <w:t>NHS</w:t>
            </w:r>
            <w:r w:rsidR="0095258D" w:rsidRPr="006359FB">
              <w:t xml:space="preserve"> </w:t>
            </w:r>
            <w:r w:rsidRPr="006359FB">
              <w:t>data</w:t>
            </w:r>
            <w:r w:rsidR="0003132C" w:rsidRPr="006359FB">
              <w:t>)</w:t>
            </w:r>
            <w:r w:rsidRPr="006359FB">
              <w:t xml:space="preserve"> </w:t>
            </w:r>
          </w:p>
          <w:p w14:paraId="313B5C07" w14:textId="77777777" w:rsidR="003E71A2" w:rsidRPr="00E37466" w:rsidRDefault="003E71A2" w:rsidP="00422FC0">
            <w:pPr>
              <w:pStyle w:val="BoxListBullet"/>
            </w:pPr>
            <w:r w:rsidRPr="006359FB">
              <w:t xml:space="preserve">complete </w:t>
            </w:r>
            <w:r w:rsidR="002245A4" w:rsidRPr="006359FB">
              <w:t xml:space="preserve">(subject to caveats) </w:t>
            </w:r>
            <w:r w:rsidRPr="006359FB">
              <w:t xml:space="preserve">for the current reporting period. All required </w:t>
            </w:r>
            <w:r w:rsidR="00E37466" w:rsidRPr="006359FB">
              <w:t>2014</w:t>
            </w:r>
            <w:r w:rsidR="00AB25A8" w:rsidRPr="006359FB">
              <w:noBreakHyphen/>
            </w:r>
            <w:r w:rsidR="00E37466" w:rsidRPr="006359FB">
              <w:t xml:space="preserve">15 </w:t>
            </w:r>
            <w:r w:rsidRPr="006359FB">
              <w:t>data</w:t>
            </w:r>
            <w:r w:rsidR="009B45D5" w:rsidRPr="006359FB">
              <w:t xml:space="preserve"> and 2014 data</w:t>
            </w:r>
            <w:r w:rsidRPr="006359FB">
              <w:t xml:space="preserve"> are a</w:t>
            </w:r>
            <w:r w:rsidR="00E37466" w:rsidRPr="006359FB">
              <w:t>vailable for all jurisdictions.</w:t>
            </w:r>
          </w:p>
        </w:tc>
      </w:tr>
      <w:tr w:rsidR="003E71A2" w:rsidRPr="00E37466" w14:paraId="42073E3D" w14:textId="77777777" w:rsidTr="00492B7D">
        <w:trPr>
          <w:cantSplit/>
        </w:trPr>
        <w:tc>
          <w:tcPr>
            <w:tcW w:w="8789" w:type="dxa"/>
            <w:tcBorders>
              <w:top w:val="nil"/>
              <w:left w:val="nil"/>
              <w:bottom w:val="single" w:sz="6" w:space="0" w:color="78A22F"/>
              <w:right w:val="nil"/>
            </w:tcBorders>
            <w:shd w:val="clear" w:color="auto" w:fill="F2F2F2"/>
          </w:tcPr>
          <w:p w14:paraId="1D2F7E26" w14:textId="77777777" w:rsidR="003E71A2" w:rsidRPr="00E37466" w:rsidRDefault="003E71A2">
            <w:pPr>
              <w:pStyle w:val="Box"/>
              <w:spacing w:before="0" w:line="120" w:lineRule="exact"/>
            </w:pPr>
          </w:p>
        </w:tc>
      </w:tr>
      <w:tr w:rsidR="003E71A2" w:rsidRPr="00E37466" w14:paraId="26B856BF" w14:textId="77777777" w:rsidTr="00492B7D">
        <w:tc>
          <w:tcPr>
            <w:tcW w:w="8789" w:type="dxa"/>
            <w:tcBorders>
              <w:top w:val="single" w:sz="6" w:space="0" w:color="78A22F"/>
              <w:left w:val="nil"/>
              <w:bottom w:val="nil"/>
              <w:right w:val="nil"/>
            </w:tcBorders>
          </w:tcPr>
          <w:p w14:paraId="2AEB7A1C" w14:textId="179CC6CB" w:rsidR="003E71A2" w:rsidRPr="00E37466" w:rsidRDefault="003E71A2" w:rsidP="00697BFF">
            <w:pPr>
              <w:pStyle w:val="BoxSpaceBelow"/>
            </w:pPr>
          </w:p>
        </w:tc>
      </w:tr>
    </w:tbl>
    <w:p w14:paraId="08E4974F" w14:textId="7F9236EF" w:rsidR="003E71A2" w:rsidRPr="0099541D" w:rsidRDefault="003E71A2" w:rsidP="002315C6">
      <w:pPr>
        <w:pStyle w:val="BodyText"/>
      </w:pPr>
      <w:r w:rsidRPr="009C7D99">
        <w:t>Nationally in 201</w:t>
      </w:r>
      <w:r w:rsidR="009C7D99" w:rsidRPr="009C7D99">
        <w:t>4</w:t>
      </w:r>
      <w:r w:rsidR="00E83D6F">
        <w:noBreakHyphen/>
      </w:r>
      <w:r w:rsidRPr="009C7D99">
        <w:t>1</w:t>
      </w:r>
      <w:r w:rsidR="009C7D99" w:rsidRPr="009C7D99">
        <w:t>5</w:t>
      </w:r>
      <w:r w:rsidRPr="009C7D99">
        <w:t xml:space="preserve">, the proportion of </w:t>
      </w:r>
      <w:r w:rsidR="00D35272" w:rsidRPr="009C7D99">
        <w:t>people</w:t>
      </w:r>
      <w:r w:rsidRPr="009C7D99">
        <w:t xml:space="preserve"> </w:t>
      </w:r>
      <w:r w:rsidR="00422FC0">
        <w:t xml:space="preserve">with a mental illness who were </w:t>
      </w:r>
      <w:r w:rsidRPr="009C7D99">
        <w:t>employed was</w:t>
      </w:r>
      <w:r w:rsidR="009B45D5" w:rsidRPr="009C7D99">
        <w:t xml:space="preserve"> lower (</w:t>
      </w:r>
      <w:r w:rsidRPr="009C7D99">
        <w:t>6</w:t>
      </w:r>
      <w:r w:rsidR="009C7D99" w:rsidRPr="009C7D99">
        <w:t>2</w:t>
      </w:r>
      <w:r w:rsidRPr="009C7D99">
        <w:t>.</w:t>
      </w:r>
      <w:r w:rsidR="009C7D99" w:rsidRPr="0099541D">
        <w:t>3</w:t>
      </w:r>
      <w:r w:rsidR="00E83D6F">
        <w:t> </w:t>
      </w:r>
      <w:r w:rsidRPr="0099541D">
        <w:t>per</w:t>
      </w:r>
      <w:r w:rsidR="00E83D6F">
        <w:t> </w:t>
      </w:r>
      <w:r w:rsidRPr="0099541D">
        <w:t>cent</w:t>
      </w:r>
      <w:r w:rsidR="009B45D5" w:rsidRPr="0099541D">
        <w:t>)</w:t>
      </w:r>
      <w:r w:rsidRPr="0099541D">
        <w:t xml:space="preserve"> </w:t>
      </w:r>
      <w:r w:rsidR="00422FC0">
        <w:t xml:space="preserve">than the proportion of people without a mental illness who were employed </w:t>
      </w:r>
      <w:r w:rsidR="009B45D5" w:rsidRPr="0099541D">
        <w:t>(</w:t>
      </w:r>
      <w:r w:rsidR="009C7D99" w:rsidRPr="0099541D">
        <w:t>79.8</w:t>
      </w:r>
      <w:r w:rsidR="008A2016" w:rsidRPr="0099541D">
        <w:t> </w:t>
      </w:r>
      <w:r w:rsidRPr="0099541D">
        <w:t>per</w:t>
      </w:r>
      <w:r w:rsidR="008A2016" w:rsidRPr="0099541D">
        <w:t> </w:t>
      </w:r>
      <w:r w:rsidRPr="0099541D">
        <w:t>cent</w:t>
      </w:r>
      <w:r w:rsidR="009B45D5" w:rsidRPr="0099541D">
        <w:t>)</w:t>
      </w:r>
      <w:r w:rsidRPr="0099541D">
        <w:t xml:space="preserve"> (</w:t>
      </w:r>
      <w:r w:rsidR="00371415">
        <w:t>table</w:t>
      </w:r>
      <w:r w:rsidR="00BA1594">
        <w:t> </w:t>
      </w:r>
      <w:r w:rsidR="00371415">
        <w:t>13A.55</w:t>
      </w:r>
      <w:r w:rsidRPr="0099541D">
        <w:t>).</w:t>
      </w:r>
      <w:r w:rsidR="00D35272" w:rsidRPr="0099541D">
        <w:t xml:space="preserve"> </w:t>
      </w:r>
      <w:r w:rsidR="0019585A" w:rsidRPr="0099541D">
        <w:t>The</w:t>
      </w:r>
      <w:r w:rsidR="001D475A" w:rsidRPr="0099541D">
        <w:t xml:space="preserve"> </w:t>
      </w:r>
      <w:r w:rsidR="001058BE" w:rsidRPr="0099541D">
        <w:t>significantly</w:t>
      </w:r>
      <w:r w:rsidR="0019585A" w:rsidRPr="0099541D">
        <w:t xml:space="preserve"> higher proportion of people with a mental illness</w:t>
      </w:r>
      <w:r w:rsidR="00B65B61" w:rsidRPr="0099541D">
        <w:t xml:space="preserve"> </w:t>
      </w:r>
      <w:r w:rsidR="0019585A" w:rsidRPr="0099541D">
        <w:t xml:space="preserve">who do not participate in the </w:t>
      </w:r>
      <w:r w:rsidR="001058BE" w:rsidRPr="0099541D">
        <w:t>labour force</w:t>
      </w:r>
      <w:r w:rsidR="00B65B61" w:rsidRPr="0099541D">
        <w:t>, compared to those without a mental illness,</w:t>
      </w:r>
      <w:r w:rsidR="001058BE" w:rsidRPr="0099541D">
        <w:t xml:space="preserve"> </w:t>
      </w:r>
      <w:r w:rsidR="0019585A" w:rsidRPr="0099541D">
        <w:t xml:space="preserve">is a major contributing factor </w:t>
      </w:r>
      <w:r w:rsidR="001058BE" w:rsidRPr="0099541D">
        <w:t>(</w:t>
      </w:r>
      <w:r w:rsidR="009C7D99" w:rsidRPr="0099541D">
        <w:t>29.2</w:t>
      </w:r>
      <w:r w:rsidR="008A2016" w:rsidRPr="0099541D">
        <w:t> </w:t>
      </w:r>
      <w:r w:rsidR="001058BE" w:rsidRPr="0099541D">
        <w:t>per</w:t>
      </w:r>
      <w:r w:rsidR="008A2016" w:rsidRPr="0099541D">
        <w:t> </w:t>
      </w:r>
      <w:r w:rsidR="001058BE" w:rsidRPr="0099541D">
        <w:t xml:space="preserve">cent compared to </w:t>
      </w:r>
      <w:r w:rsidR="0019585A" w:rsidRPr="0099541D">
        <w:t>16.7</w:t>
      </w:r>
      <w:r w:rsidR="00E83D6F">
        <w:t> </w:t>
      </w:r>
      <w:r w:rsidR="001058BE" w:rsidRPr="0099541D">
        <w:t>per</w:t>
      </w:r>
      <w:r w:rsidR="00E83D6F">
        <w:t> </w:t>
      </w:r>
      <w:r w:rsidR="001058BE" w:rsidRPr="0099541D">
        <w:t>cent)</w:t>
      </w:r>
      <w:r w:rsidR="003443C9">
        <w:t xml:space="preserve"> (table 13A.5</w:t>
      </w:r>
      <w:r w:rsidR="00AA639E">
        <w:t>5</w:t>
      </w:r>
      <w:r w:rsidR="003443C9">
        <w:t>)</w:t>
      </w:r>
      <w:r w:rsidR="0099541D">
        <w:t>.</w:t>
      </w:r>
    </w:p>
    <w:p w14:paraId="448D74D6" w14:textId="607DE2D5" w:rsidR="009B45D5" w:rsidRPr="009754CD" w:rsidRDefault="00C265B9" w:rsidP="002315C6">
      <w:pPr>
        <w:pStyle w:val="BodyText"/>
        <w:rPr>
          <w:color w:val="808080" w:themeColor="background1" w:themeShade="80"/>
        </w:rPr>
      </w:pPr>
      <w:r>
        <w:t>Information on</w:t>
      </w:r>
      <w:r w:rsidR="009B45D5" w:rsidRPr="0099541D">
        <w:t xml:space="preserve"> the proportion of people aged 16</w:t>
      </w:r>
      <w:r w:rsidR="009B45D5" w:rsidRPr="0099541D">
        <w:rPr>
          <w:rFonts w:ascii="Calibri" w:hAnsi="Calibri"/>
        </w:rPr>
        <w:t>–</w:t>
      </w:r>
      <w:r w:rsidR="009B45D5" w:rsidRPr="0099541D">
        <w:t xml:space="preserve">30 years with a mental illness who were </w:t>
      </w:r>
      <w:r w:rsidR="009B45D5" w:rsidRPr="00006D05">
        <w:t xml:space="preserve">employed and/or are enrolled for study in a formal secondary or tertiary qualification </w:t>
      </w:r>
      <w:r w:rsidRPr="00006D05">
        <w:t xml:space="preserve">can be found in </w:t>
      </w:r>
      <w:r w:rsidR="009B45D5" w:rsidRPr="00006D05">
        <w:t>table </w:t>
      </w:r>
      <w:r w:rsidR="001B26A2" w:rsidRPr="00006D05">
        <w:t>13A.</w:t>
      </w:r>
      <w:r w:rsidR="004D5C1C" w:rsidRPr="00006D05">
        <w:t>5</w:t>
      </w:r>
      <w:r w:rsidR="00AA639E">
        <w:t>4</w:t>
      </w:r>
      <w:r w:rsidRPr="00006D05">
        <w:t>.</w:t>
      </w:r>
    </w:p>
    <w:p w14:paraId="52ECFED1" w14:textId="494DFC53" w:rsidR="0080574B" w:rsidRPr="009754CD" w:rsidRDefault="0080574B" w:rsidP="00D71789">
      <w:pPr>
        <w:pStyle w:val="BodyText"/>
        <w:rPr>
          <w:color w:val="808080" w:themeColor="background1" w:themeShade="80"/>
        </w:rPr>
      </w:pPr>
      <w:r w:rsidRPr="006359FB">
        <w:t>Nationally in 2014, the</w:t>
      </w:r>
      <w:r w:rsidRPr="0099541D">
        <w:t xml:space="preserve"> proportion of people </w:t>
      </w:r>
      <w:r w:rsidR="009B45D5" w:rsidRPr="0099541D">
        <w:t xml:space="preserve">aged </w:t>
      </w:r>
      <w:r w:rsidR="0095258D" w:rsidRPr="0099541D">
        <w:t>15</w:t>
      </w:r>
      <w:r w:rsidR="007E7C79">
        <w:t> </w:t>
      </w:r>
      <w:r w:rsidR="009B45D5" w:rsidRPr="0099541D">
        <w:t>years</w:t>
      </w:r>
      <w:r w:rsidR="0095258D" w:rsidRPr="0099541D">
        <w:t xml:space="preserve"> or over</w:t>
      </w:r>
      <w:r w:rsidR="009B45D5" w:rsidRPr="0099541D">
        <w:t xml:space="preserve"> </w:t>
      </w:r>
      <w:r w:rsidRPr="0099541D">
        <w:t>with a mental illness who had face</w:t>
      </w:r>
      <w:r w:rsidR="00463329" w:rsidRPr="0099541D">
        <w:noBreakHyphen/>
      </w:r>
      <w:r w:rsidRPr="0099541D">
        <w:t>to</w:t>
      </w:r>
      <w:r w:rsidR="00463329" w:rsidRPr="0099541D">
        <w:noBreakHyphen/>
      </w:r>
      <w:r w:rsidRPr="0099541D">
        <w:t>face contact with family or friends living outside the household in the last week (</w:t>
      </w:r>
      <w:r w:rsidR="004D4228" w:rsidRPr="0099541D">
        <w:t>76.5</w:t>
      </w:r>
      <w:r w:rsidR="007E7C79">
        <w:t> </w:t>
      </w:r>
      <w:r w:rsidRPr="00006D05">
        <w:t>per</w:t>
      </w:r>
      <w:r w:rsidR="007E7C79">
        <w:t> </w:t>
      </w:r>
      <w:r w:rsidRPr="00006D05">
        <w:t xml:space="preserve">cent) was </w:t>
      </w:r>
      <w:r w:rsidR="004D4228" w:rsidRPr="00006D05">
        <w:t>similar</w:t>
      </w:r>
      <w:r w:rsidRPr="00006D05">
        <w:t xml:space="preserve"> </w:t>
      </w:r>
      <w:r w:rsidR="004D4228" w:rsidRPr="00006D05">
        <w:t>to</w:t>
      </w:r>
      <w:r w:rsidRPr="00006D05">
        <w:t xml:space="preserve"> the </w:t>
      </w:r>
      <w:r w:rsidR="004D4228" w:rsidRPr="00006D05">
        <w:t>proportion</w:t>
      </w:r>
      <w:r w:rsidRPr="00006D05">
        <w:t xml:space="preserve"> for people without a mental illness (7</w:t>
      </w:r>
      <w:r w:rsidR="004D4228" w:rsidRPr="00006D05">
        <w:t>7</w:t>
      </w:r>
      <w:r w:rsidRPr="00006D05">
        <w:t>.</w:t>
      </w:r>
      <w:r w:rsidR="004D4228" w:rsidRPr="00006D05">
        <w:t>1</w:t>
      </w:r>
      <w:r w:rsidR="004B16D7" w:rsidRPr="00006D05">
        <w:t> </w:t>
      </w:r>
      <w:r w:rsidRPr="00006D05">
        <w:t>pe</w:t>
      </w:r>
      <w:r w:rsidR="00A54BAA">
        <w:t>r </w:t>
      </w:r>
      <w:r w:rsidRPr="00006D05">
        <w:t>cent) (</w:t>
      </w:r>
      <w:r w:rsidR="0099541D" w:rsidRPr="00006D05">
        <w:t>table</w:t>
      </w:r>
      <w:r w:rsidR="00AB25A8">
        <w:t> </w:t>
      </w:r>
      <w:r w:rsidR="0099541D" w:rsidRPr="00006D05">
        <w:t>13A.</w:t>
      </w:r>
      <w:r w:rsidR="004D5C1C" w:rsidRPr="00006D05">
        <w:t>5</w:t>
      </w:r>
      <w:r w:rsidR="00AA639E">
        <w:t>6</w:t>
      </w:r>
      <w:r w:rsidR="0099541D" w:rsidRPr="00006D05">
        <w:t>).</w:t>
      </w:r>
    </w:p>
    <w:p w14:paraId="68F872F6" w14:textId="77777777" w:rsidR="00557783" w:rsidRPr="001C5D84" w:rsidRDefault="00557783" w:rsidP="00557783">
      <w:pPr>
        <w:pStyle w:val="Heading4"/>
      </w:pPr>
      <w:r w:rsidRPr="001C5D84">
        <w:t>Mental health outcomes of consumers of specialised public mental health services</w:t>
      </w:r>
    </w:p>
    <w:p w14:paraId="1E5F3BCF" w14:textId="77777777" w:rsidR="00557783" w:rsidRDefault="00557783" w:rsidP="002315C6">
      <w:pPr>
        <w:pStyle w:val="BodyText"/>
      </w:pPr>
      <w:r w:rsidRPr="001C5D84">
        <w:t xml:space="preserve">‘Mental health outcomes of consumers of specialised public mental health services’ is an indicator of governments’ objective to </w:t>
      </w:r>
      <w:r w:rsidR="008D3719" w:rsidRPr="001C5D84">
        <w:t>promote recovery and physical health and encourage meaningful participation in society</w:t>
      </w:r>
      <w:r w:rsidRPr="001C5D84">
        <w:t xml:space="preserve"> (</w:t>
      </w:r>
      <w:r w:rsidR="001B26A2" w:rsidRPr="001C5D84">
        <w:t>box</w:t>
      </w:r>
      <w:r w:rsidR="00AB25A8">
        <w:t> </w:t>
      </w:r>
      <w:r w:rsidR="00134A99">
        <w:t>13.20</w:t>
      </w:r>
      <w:r w:rsidRPr="001C5D84">
        <w:t>).</w:t>
      </w:r>
    </w:p>
    <w:p w14:paraId="3CC47179" w14:textId="74832100" w:rsidR="009F5387" w:rsidRDefault="009F53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F5387" w14:paraId="19E29C99" w14:textId="77777777" w:rsidTr="00492B7D">
        <w:trPr>
          <w:tblHeader/>
        </w:trPr>
        <w:tc>
          <w:tcPr>
            <w:tcW w:w="5000" w:type="pct"/>
            <w:tcBorders>
              <w:top w:val="single" w:sz="6" w:space="0" w:color="78A22F"/>
              <w:left w:val="nil"/>
              <w:bottom w:val="nil"/>
              <w:right w:val="nil"/>
            </w:tcBorders>
            <w:shd w:val="clear" w:color="auto" w:fill="F2F2F2"/>
          </w:tcPr>
          <w:p w14:paraId="5741FF0E" w14:textId="609EE263" w:rsidR="009F5387" w:rsidRDefault="009F5387" w:rsidP="009F5387">
            <w:pPr>
              <w:pStyle w:val="BoxTitle"/>
            </w:pPr>
            <w:r>
              <w:rPr>
                <w:b w:val="0"/>
              </w:rPr>
              <w:t>Box 13.20</w:t>
            </w:r>
            <w:r>
              <w:tab/>
            </w:r>
            <w:r w:rsidRPr="00FF47C8">
              <w:t>Mental health outcomes of consumers of specialised public mental health services</w:t>
            </w:r>
          </w:p>
        </w:tc>
      </w:tr>
      <w:tr w:rsidR="009F5387" w14:paraId="44BA0D3A" w14:textId="77777777" w:rsidTr="00492B7D">
        <w:tc>
          <w:tcPr>
            <w:tcW w:w="5000" w:type="pct"/>
            <w:tcBorders>
              <w:top w:val="nil"/>
              <w:left w:val="nil"/>
              <w:bottom w:val="nil"/>
              <w:right w:val="nil"/>
            </w:tcBorders>
            <w:shd w:val="clear" w:color="auto" w:fill="F2F2F2"/>
          </w:tcPr>
          <w:p w14:paraId="31F9A8E2" w14:textId="77777777" w:rsidR="009F5387" w:rsidRDefault="009F5387" w:rsidP="00355934">
            <w:pPr>
              <w:pStyle w:val="Box"/>
            </w:pPr>
            <w:r w:rsidRPr="00006D05">
              <w:t xml:space="preserve">‘Mental health outcomes of consumers of specialised public mental health services’ is defined as the proportion of people receiving care who had a significant improvement in their clinical mental health outcomes, by service type. </w:t>
            </w:r>
            <w:r>
              <w:t>S</w:t>
            </w:r>
            <w:r w:rsidRPr="00006D05">
              <w:t xml:space="preserve">ection 13.4 </w:t>
            </w:r>
            <w:r>
              <w:t>provides</w:t>
            </w:r>
            <w:r w:rsidRPr="00006D05">
              <w:t xml:space="preserve"> information on how the consumer outcomes average score is derived.</w:t>
            </w:r>
          </w:p>
          <w:p w14:paraId="259E4B43" w14:textId="02F9B5D3" w:rsidR="009F5387" w:rsidRDefault="009F5387" w:rsidP="00355934">
            <w:pPr>
              <w:pStyle w:val="Box"/>
            </w:pPr>
            <w:r w:rsidRPr="00006D05">
              <w:t>A high or increasing proportion of people receiving care in State and Territory governments’ specialised public mental health services who had a significant improvement in their clinical mental health outcomes is desirable.</w:t>
            </w:r>
          </w:p>
        </w:tc>
      </w:tr>
      <w:tr w:rsidR="009F5387" w14:paraId="26ADF007" w14:textId="77777777" w:rsidTr="00492B7D">
        <w:tc>
          <w:tcPr>
            <w:tcW w:w="5000" w:type="pct"/>
            <w:tcBorders>
              <w:top w:val="nil"/>
              <w:left w:val="nil"/>
              <w:bottom w:val="nil"/>
              <w:right w:val="nil"/>
            </w:tcBorders>
            <w:shd w:val="clear" w:color="auto" w:fill="F2F2F2"/>
          </w:tcPr>
          <w:p w14:paraId="309A3347" w14:textId="2022518F" w:rsidR="009F5387" w:rsidRDefault="009F5387" w:rsidP="009F5387">
            <w:pPr>
              <w:pStyle w:val="BoxSource"/>
              <w:jc w:val="right"/>
            </w:pPr>
            <w:r>
              <w:t>(continued next page)</w:t>
            </w:r>
          </w:p>
        </w:tc>
      </w:tr>
      <w:tr w:rsidR="009F5387" w14:paraId="571C0A23" w14:textId="77777777" w:rsidTr="00492B7D">
        <w:tc>
          <w:tcPr>
            <w:tcW w:w="5000" w:type="pct"/>
            <w:tcBorders>
              <w:top w:val="nil"/>
              <w:left w:val="nil"/>
              <w:bottom w:val="single" w:sz="6" w:space="0" w:color="78A22F"/>
              <w:right w:val="nil"/>
            </w:tcBorders>
            <w:shd w:val="clear" w:color="auto" w:fill="F2F2F2"/>
          </w:tcPr>
          <w:p w14:paraId="79DE1016" w14:textId="77777777" w:rsidR="009F5387" w:rsidRDefault="009F5387">
            <w:pPr>
              <w:pStyle w:val="Box"/>
              <w:spacing w:before="0" w:line="120" w:lineRule="exact"/>
            </w:pPr>
          </w:p>
        </w:tc>
      </w:tr>
      <w:tr w:rsidR="009F5387" w:rsidRPr="000863A5" w14:paraId="2EC1AA39" w14:textId="77777777" w:rsidTr="00492B7D">
        <w:tc>
          <w:tcPr>
            <w:tcW w:w="5000" w:type="pct"/>
            <w:tcBorders>
              <w:top w:val="single" w:sz="6" w:space="0" w:color="78A22F"/>
              <w:left w:val="nil"/>
              <w:bottom w:val="nil"/>
              <w:right w:val="nil"/>
            </w:tcBorders>
          </w:tcPr>
          <w:p w14:paraId="69BDBB27" w14:textId="6595F33C" w:rsidR="009F5387" w:rsidRPr="00626D32" w:rsidRDefault="009F5387" w:rsidP="00355934">
            <w:pPr>
              <w:pStyle w:val="BoxSpaceBelow"/>
            </w:pPr>
          </w:p>
        </w:tc>
      </w:tr>
    </w:tbl>
    <w:p w14:paraId="7A940449" w14:textId="77777777" w:rsidR="009F5387" w:rsidRPr="001C5D84" w:rsidRDefault="009F5387" w:rsidP="002315C6">
      <w:pPr>
        <w:pStyle w:val="BodyText"/>
      </w:pPr>
    </w:p>
    <w:p w14:paraId="46863204" w14:textId="44A136EA" w:rsidR="0024394F" w:rsidRPr="009754CD" w:rsidRDefault="0024394F">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F47C8" w:rsidRPr="00FF47C8" w14:paraId="2D7C819E" w14:textId="77777777" w:rsidTr="00492B7D">
        <w:tc>
          <w:tcPr>
            <w:tcW w:w="8789" w:type="dxa"/>
            <w:tcBorders>
              <w:top w:val="single" w:sz="6" w:space="0" w:color="78A22F"/>
              <w:left w:val="nil"/>
              <w:bottom w:val="nil"/>
              <w:right w:val="nil"/>
            </w:tcBorders>
            <w:shd w:val="clear" w:color="auto" w:fill="F2F2F2"/>
          </w:tcPr>
          <w:p w14:paraId="253997AD" w14:textId="581F60E8" w:rsidR="0024394F" w:rsidRPr="00FF47C8" w:rsidRDefault="0024394F" w:rsidP="009F5387">
            <w:pPr>
              <w:pStyle w:val="BoxTitle"/>
              <w:rPr>
                <w:i/>
              </w:rPr>
            </w:pPr>
            <w:r w:rsidRPr="00FF47C8">
              <w:rPr>
                <w:b w:val="0"/>
              </w:rPr>
              <w:t xml:space="preserve">Box </w:t>
            </w:r>
            <w:r w:rsidR="00134A99">
              <w:rPr>
                <w:b w:val="0"/>
              </w:rPr>
              <w:t>13.20</w:t>
            </w:r>
            <w:r w:rsidRPr="00FF47C8">
              <w:tab/>
            </w:r>
            <w:r w:rsidR="009F5387" w:rsidRPr="009F5387">
              <w:rPr>
                <w:b w:val="0"/>
                <w:sz w:val="18"/>
                <w:szCs w:val="18"/>
              </w:rPr>
              <w:t>(continued)</w:t>
            </w:r>
            <w:r w:rsidRPr="00FF47C8">
              <w:t xml:space="preserve"> </w:t>
            </w:r>
          </w:p>
        </w:tc>
      </w:tr>
      <w:tr w:rsidR="00FF47C8" w:rsidRPr="00006D05" w14:paraId="7CB8C2A3" w14:textId="77777777" w:rsidTr="00492B7D">
        <w:trPr>
          <w:cantSplit/>
        </w:trPr>
        <w:tc>
          <w:tcPr>
            <w:tcW w:w="8789" w:type="dxa"/>
            <w:tcBorders>
              <w:top w:val="nil"/>
              <w:left w:val="nil"/>
              <w:bottom w:val="nil"/>
              <w:right w:val="nil"/>
            </w:tcBorders>
            <w:shd w:val="clear" w:color="auto" w:fill="F2F2F2"/>
          </w:tcPr>
          <w:p w14:paraId="01575D34" w14:textId="3A3CB1B3" w:rsidR="00371415" w:rsidRPr="00006D05" w:rsidRDefault="00371415" w:rsidP="001C5D84">
            <w:pPr>
              <w:pStyle w:val="Box"/>
            </w:pPr>
            <w:r w:rsidRPr="00006D05">
              <w:t xml:space="preserve">Supplementary data are reported on the proportion </w:t>
            </w:r>
            <w:r>
              <w:t xml:space="preserve">of people receiving care </w:t>
            </w:r>
            <w:r w:rsidRPr="00006D05">
              <w:t>who experienced no significant change or a significant deterioration in their mental health outcomes.</w:t>
            </w:r>
          </w:p>
          <w:p w14:paraId="613A0D74" w14:textId="1F01A229" w:rsidR="001C5D84" w:rsidRPr="00006D05" w:rsidRDefault="001C5D84" w:rsidP="001C5D84">
            <w:pPr>
              <w:pStyle w:val="Box"/>
            </w:pPr>
            <w:r w:rsidRPr="00006D05">
              <w:t>This indicator has a number of issues. The outcome measurement tool is imprecise</w:t>
            </w:r>
            <w:r w:rsidR="0003132C" w:rsidRPr="00006D05">
              <w:t xml:space="preserve"> as a</w:t>
            </w:r>
            <w:r w:rsidRPr="00006D05">
              <w:t xml:space="preserve"> single ‘average score’ does not reflect the complex service system in which services are delivered across multiple settings and provided as both discrete, short</w:t>
            </w:r>
            <w:r w:rsidR="00AB25A8">
              <w:noBreakHyphen/>
            </w:r>
            <w:r w:rsidRPr="00006D05">
              <w:t>term episodes of care and prolonged care over indefinite periods (AHMC</w:t>
            </w:r>
            <w:r w:rsidR="00E83D6F">
              <w:t> </w:t>
            </w:r>
            <w:r w:rsidRPr="00006D05">
              <w:t xml:space="preserve">2012). The approach separates a consumer’s care into segments (hospital versus the community) rather than tracking </w:t>
            </w:r>
            <w:r w:rsidR="00AD3550">
              <w:t>his or her</w:t>
            </w:r>
            <w:r w:rsidRPr="00006D05">
              <w:t xml:space="preserve"> overall outcome across treatment settings. </w:t>
            </w:r>
            <w:r w:rsidR="00511E99">
              <w:t>C</w:t>
            </w:r>
            <w:r w:rsidRPr="00006D05">
              <w:t xml:space="preserve">onsumers’ outcomes are measured from the clinician’s perspective </w:t>
            </w:r>
            <w:r w:rsidR="00AD3550">
              <w:t>rather than</w:t>
            </w:r>
            <w:r w:rsidRPr="00006D05">
              <w:t xml:space="preserve"> the consumer’s.</w:t>
            </w:r>
          </w:p>
          <w:p w14:paraId="0B2308FD" w14:textId="77777777" w:rsidR="001C5D84" w:rsidRPr="00006D05" w:rsidRDefault="001C5D84" w:rsidP="001C5D84">
            <w:pPr>
              <w:pStyle w:val="Box"/>
            </w:pPr>
            <w:r w:rsidRPr="00006D05">
              <w:t>Data reported for this indicator:</w:t>
            </w:r>
          </w:p>
          <w:p w14:paraId="5A1C9053" w14:textId="61CFA6AD" w:rsidR="001C5D84" w:rsidRPr="00006D05" w:rsidRDefault="001C5D84" w:rsidP="001C5D84">
            <w:pPr>
              <w:pStyle w:val="BoxListBullet"/>
            </w:pPr>
            <w:r w:rsidRPr="00006D05">
              <w:t xml:space="preserve">may not be comparable within jurisdictions over time and may not be comparable across jurisdictions due to differences in the quality of the data </w:t>
            </w:r>
            <w:r w:rsidR="00497B60">
              <w:t xml:space="preserve">(refer to caveats in attachment tables) </w:t>
            </w:r>
            <w:r w:rsidRPr="00006D05">
              <w:t xml:space="preserve">and the proportion of episodes for which completed outcomes data are available </w:t>
            </w:r>
            <w:r w:rsidR="00B70CCD" w:rsidRPr="00006D05">
              <w:t>(table</w:t>
            </w:r>
            <w:r w:rsidR="00AB25A8">
              <w:t> </w:t>
            </w:r>
            <w:r w:rsidR="00B70CCD" w:rsidRPr="00006D05">
              <w:t>13A.5</w:t>
            </w:r>
            <w:r w:rsidR="00AA639E">
              <w:t>7</w:t>
            </w:r>
            <w:r w:rsidR="00B70CCD" w:rsidRPr="00006D05">
              <w:t xml:space="preserve">) </w:t>
            </w:r>
          </w:p>
          <w:p w14:paraId="14D9A5C2" w14:textId="3C5D5482" w:rsidR="001C1480" w:rsidRPr="00006D05" w:rsidRDefault="001C5D84" w:rsidP="00AD3550">
            <w:pPr>
              <w:pStyle w:val="BoxListBullet"/>
            </w:pPr>
            <w:r w:rsidRPr="00006D05">
              <w:t xml:space="preserve">are complete (subject to caveats) for the current reporting period. All required data for </w:t>
            </w:r>
            <w:r w:rsidR="00FF47C8" w:rsidRPr="00006D05">
              <w:t>201</w:t>
            </w:r>
            <w:r w:rsidR="00AD3550">
              <w:t>5</w:t>
            </w:r>
            <w:r w:rsidRPr="00006D05">
              <w:noBreakHyphen/>
            </w:r>
            <w:r w:rsidR="00FF47C8" w:rsidRPr="00006D05">
              <w:t>1</w:t>
            </w:r>
            <w:r w:rsidR="00AD3550">
              <w:t>6</w:t>
            </w:r>
            <w:r w:rsidRPr="00006D05">
              <w:t xml:space="preserve"> are available for all jurisdictions.</w:t>
            </w:r>
            <w:r w:rsidR="003A7550">
              <w:t xml:space="preserve"> </w:t>
            </w:r>
          </w:p>
        </w:tc>
      </w:tr>
      <w:tr w:rsidR="00FF47C8" w:rsidRPr="00006D05" w14:paraId="18E2DD8C" w14:textId="77777777" w:rsidTr="00492B7D">
        <w:trPr>
          <w:cantSplit/>
        </w:trPr>
        <w:tc>
          <w:tcPr>
            <w:tcW w:w="8789" w:type="dxa"/>
            <w:tcBorders>
              <w:top w:val="nil"/>
              <w:left w:val="nil"/>
              <w:bottom w:val="single" w:sz="6" w:space="0" w:color="78A22F"/>
              <w:right w:val="nil"/>
            </w:tcBorders>
            <w:shd w:val="clear" w:color="auto" w:fill="F2F2F2"/>
          </w:tcPr>
          <w:p w14:paraId="570FEC23" w14:textId="77777777" w:rsidR="0024394F" w:rsidRPr="00006D05" w:rsidRDefault="0024394F">
            <w:pPr>
              <w:pStyle w:val="Box"/>
              <w:spacing w:before="0" w:line="120" w:lineRule="exact"/>
            </w:pPr>
          </w:p>
        </w:tc>
      </w:tr>
      <w:tr w:rsidR="00FF47C8" w:rsidRPr="00006D05" w14:paraId="63CDE93E" w14:textId="77777777" w:rsidTr="00492B7D">
        <w:tc>
          <w:tcPr>
            <w:tcW w:w="8789" w:type="dxa"/>
            <w:tcBorders>
              <w:top w:val="single" w:sz="6" w:space="0" w:color="78A22F"/>
              <w:left w:val="nil"/>
              <w:bottom w:val="nil"/>
              <w:right w:val="nil"/>
            </w:tcBorders>
          </w:tcPr>
          <w:p w14:paraId="525A0DBD" w14:textId="77C47AFB" w:rsidR="0024394F" w:rsidRPr="00006D05" w:rsidRDefault="0024394F" w:rsidP="00524693">
            <w:pPr>
              <w:pStyle w:val="BoxSpaceBelow"/>
            </w:pPr>
          </w:p>
        </w:tc>
      </w:tr>
    </w:tbl>
    <w:p w14:paraId="68EB5D1C" w14:textId="1851C56A" w:rsidR="00511E99" w:rsidRDefault="000806A8" w:rsidP="002315C6">
      <w:pPr>
        <w:pStyle w:val="BodyText"/>
      </w:pPr>
      <w:r w:rsidRPr="00D13091">
        <w:t xml:space="preserve">Nationally in </w:t>
      </w:r>
      <w:r w:rsidR="00792720" w:rsidRPr="00D13091">
        <w:t>201</w:t>
      </w:r>
      <w:r w:rsidR="00AD3550">
        <w:t>5</w:t>
      </w:r>
      <w:r w:rsidRPr="00D13091">
        <w:noBreakHyphen/>
      </w:r>
      <w:r w:rsidR="00792720" w:rsidRPr="00D13091">
        <w:t>1</w:t>
      </w:r>
      <w:r w:rsidR="00AD3550">
        <w:t>6</w:t>
      </w:r>
      <w:r w:rsidRPr="00D13091">
        <w:t xml:space="preserve">, </w:t>
      </w:r>
      <w:r w:rsidR="00284C40">
        <w:t>26.6</w:t>
      </w:r>
      <w:r w:rsidR="004B16D7" w:rsidRPr="00D13091">
        <w:t> </w:t>
      </w:r>
      <w:r w:rsidRPr="00D13091">
        <w:t>per</w:t>
      </w:r>
      <w:r w:rsidR="004B16D7" w:rsidRPr="00D13091">
        <w:t> </w:t>
      </w:r>
      <w:r w:rsidRPr="00D13091">
        <w:t xml:space="preserve">cent of people in ongoing </w:t>
      </w:r>
      <w:r w:rsidR="001E7B1B" w:rsidRPr="00D13091">
        <w:t>ambulatory</w:t>
      </w:r>
      <w:r w:rsidRPr="00D13091">
        <w:t xml:space="preserve"> care, </w:t>
      </w:r>
      <w:r w:rsidR="00284C40">
        <w:t>50.2</w:t>
      </w:r>
      <w:r w:rsidR="00E70A51" w:rsidRPr="00D13091">
        <w:t> </w:t>
      </w:r>
      <w:r w:rsidRPr="00D13091">
        <w:t>per</w:t>
      </w:r>
      <w:r w:rsidR="00C65019" w:rsidRPr="00D13091">
        <w:t> </w:t>
      </w:r>
      <w:r w:rsidRPr="00D13091">
        <w:t xml:space="preserve">cent of people discharged from </w:t>
      </w:r>
      <w:r w:rsidR="001E7B1B" w:rsidRPr="00D13091">
        <w:t xml:space="preserve">ambulatory care </w:t>
      </w:r>
      <w:r w:rsidRPr="00D13091">
        <w:t xml:space="preserve">and </w:t>
      </w:r>
      <w:r w:rsidR="00284C40">
        <w:t>72.5</w:t>
      </w:r>
      <w:r w:rsidR="004B16D7" w:rsidRPr="00D13091">
        <w:t> </w:t>
      </w:r>
      <w:r w:rsidRPr="00D13091">
        <w:t>per</w:t>
      </w:r>
      <w:r w:rsidR="004B16D7" w:rsidRPr="00D13091">
        <w:t> </w:t>
      </w:r>
      <w:r w:rsidRPr="00D13091">
        <w:t>cent of people discharged from a hospital psychiatric inpatient unit showed a significant improvement in their mental health clinical outcomes</w:t>
      </w:r>
      <w:r w:rsidRPr="00006D05">
        <w:t xml:space="preserve"> (</w:t>
      </w:r>
      <w:r w:rsidR="001B26A2" w:rsidRPr="00006D05">
        <w:t>figure</w:t>
      </w:r>
      <w:r w:rsidR="00FF47C8" w:rsidRPr="00006D05">
        <w:t> </w:t>
      </w:r>
      <w:r w:rsidR="00DF7D42">
        <w:t>13.</w:t>
      </w:r>
      <w:r w:rsidR="00A21D8E">
        <w:t>15</w:t>
      </w:r>
      <w:r w:rsidRPr="00006D05">
        <w:t xml:space="preserve">). </w:t>
      </w:r>
    </w:p>
    <w:p w14:paraId="6D79EAB4" w14:textId="70026865" w:rsidR="00524693" w:rsidRDefault="00FC6BEA" w:rsidP="002315C6">
      <w:pPr>
        <w:pStyle w:val="BodyText"/>
      </w:pPr>
      <w:r w:rsidRPr="00006D05">
        <w:t>Across age groups and over the reporting years</w:t>
      </w:r>
      <w:r w:rsidR="00F75BFB" w:rsidRPr="00006D05">
        <w:t xml:space="preserve"> from </w:t>
      </w:r>
      <w:r w:rsidR="00284C40">
        <w:t>2008</w:t>
      </w:r>
      <w:r w:rsidR="00BA1594">
        <w:noBreakHyphen/>
      </w:r>
      <w:r w:rsidR="00284C40">
        <w:t>09</w:t>
      </w:r>
      <w:r w:rsidRPr="00006D05">
        <w:t>,</w:t>
      </w:r>
      <w:r w:rsidR="00F75BFB" w:rsidRPr="00006D05">
        <w:t xml:space="preserve"> for those discharged from hospital and community care,</w:t>
      </w:r>
      <w:r w:rsidRPr="00006D05">
        <w:t xml:space="preserve"> a </w:t>
      </w:r>
      <w:r w:rsidR="00511E99">
        <w:t>greater</w:t>
      </w:r>
      <w:r w:rsidR="00511E99" w:rsidRPr="00006D05">
        <w:t xml:space="preserve"> </w:t>
      </w:r>
      <w:r w:rsidRPr="00006D05">
        <w:t>proportion of people aged 18</w:t>
      </w:r>
      <w:r w:rsidR="00F75BFB" w:rsidRPr="00006D05">
        <w:t>–</w:t>
      </w:r>
      <w:r w:rsidRPr="00006D05">
        <w:t>64 years old showed a significant improvement</w:t>
      </w:r>
      <w:r w:rsidR="00F75BFB" w:rsidRPr="00006D05">
        <w:t xml:space="preserve"> compared to </w:t>
      </w:r>
      <w:r w:rsidRPr="00006D05">
        <w:t xml:space="preserve">those </w:t>
      </w:r>
      <w:r w:rsidR="00F75BFB" w:rsidRPr="00006D05">
        <w:t xml:space="preserve">in </w:t>
      </w:r>
      <w:r w:rsidRPr="00006D05">
        <w:t xml:space="preserve">other age groups. </w:t>
      </w:r>
      <w:r w:rsidR="00125BBE">
        <w:t>Nationally in 2015</w:t>
      </w:r>
      <w:r w:rsidR="00125BBE">
        <w:noBreakHyphen/>
        <w:t>16, f</w:t>
      </w:r>
      <w:r w:rsidR="00F75BFB" w:rsidRPr="00006D05">
        <w:t xml:space="preserve">or those in ongoing community care, </w:t>
      </w:r>
      <w:r w:rsidRPr="00006D05">
        <w:t>younger people aged</w:t>
      </w:r>
      <w:r w:rsidR="00511E99">
        <w:t xml:space="preserve"> </w:t>
      </w:r>
      <w:r w:rsidRPr="00006D05">
        <w:t>0</w:t>
      </w:r>
      <w:r w:rsidR="00F75BFB" w:rsidRPr="00006D05">
        <w:t>–</w:t>
      </w:r>
      <w:r w:rsidRPr="00006D05">
        <w:t>17</w:t>
      </w:r>
      <w:r w:rsidR="00474C6E" w:rsidRPr="00006D05">
        <w:t> </w:t>
      </w:r>
      <w:r w:rsidRPr="00006D05">
        <w:t xml:space="preserve">years had the highest proportion </w:t>
      </w:r>
      <w:r w:rsidR="00AD3550">
        <w:t xml:space="preserve">of people </w:t>
      </w:r>
      <w:r w:rsidRPr="00006D05">
        <w:t>who showed a significant improvement</w:t>
      </w:r>
      <w:r w:rsidR="00F75BFB" w:rsidRPr="00006D05">
        <w:t xml:space="preserve"> compared to other age groups</w:t>
      </w:r>
      <w:r w:rsidRPr="00006D05">
        <w:t xml:space="preserve"> (table </w:t>
      </w:r>
      <w:r w:rsidR="001B26A2" w:rsidRPr="00006D05">
        <w:t>13A.</w:t>
      </w:r>
      <w:r w:rsidR="004D5C1C" w:rsidRPr="00006D05">
        <w:t>5</w:t>
      </w:r>
      <w:r w:rsidR="00AA639E">
        <w:t>8</w:t>
      </w:r>
      <w:r w:rsidRPr="00006D05">
        <w:t>).</w:t>
      </w:r>
    </w:p>
    <w:p w14:paraId="792DECE7" w14:textId="47AEF66E" w:rsidR="00524693" w:rsidRPr="009754CD" w:rsidRDefault="00524693" w:rsidP="00524693">
      <w:pPr>
        <w:pStyle w:val="BoxSpaceAbove"/>
        <w:rPr>
          <w:color w:val="808080" w:themeColor="background1" w:themeShade="80"/>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524693" w:rsidRPr="00FF47C8" w14:paraId="2E301C98" w14:textId="77777777" w:rsidTr="00492B7D">
        <w:tc>
          <w:tcPr>
            <w:tcW w:w="8789" w:type="dxa"/>
            <w:tcBorders>
              <w:top w:val="single" w:sz="6" w:space="0" w:color="78A22F"/>
              <w:left w:val="nil"/>
              <w:bottom w:val="nil"/>
              <w:right w:val="nil"/>
            </w:tcBorders>
            <w:shd w:val="clear" w:color="auto" w:fill="auto"/>
          </w:tcPr>
          <w:p w14:paraId="71E66150" w14:textId="6C63D096" w:rsidR="00524693" w:rsidRPr="00FF47C8" w:rsidRDefault="00524693" w:rsidP="00A21D8E">
            <w:pPr>
              <w:pStyle w:val="FigureTitle"/>
              <w:rPr>
                <w:i/>
              </w:rPr>
            </w:pPr>
            <w:r w:rsidRPr="00FF47C8">
              <w:rPr>
                <w:b w:val="0"/>
              </w:rPr>
              <w:t xml:space="preserve">Figure </w:t>
            </w:r>
            <w:r w:rsidR="00DF7D42">
              <w:rPr>
                <w:b w:val="0"/>
              </w:rPr>
              <w:t>13.</w:t>
            </w:r>
            <w:r w:rsidR="00A21D8E">
              <w:rPr>
                <w:b w:val="0"/>
              </w:rPr>
              <w:t>15</w:t>
            </w:r>
            <w:r w:rsidRPr="00FF47C8">
              <w:tab/>
            </w:r>
            <w:r w:rsidRPr="00EA606B">
              <w:t xml:space="preserve">Mental health outcomes of consumers of State and Territory governments’ specialised mental health services, </w:t>
            </w:r>
            <w:r w:rsidR="00930671" w:rsidRPr="00EA606B">
              <w:t>201</w:t>
            </w:r>
            <w:r w:rsidR="00AD3550">
              <w:t>5</w:t>
            </w:r>
            <w:r w:rsidR="00930671" w:rsidRPr="00EA606B">
              <w:noBreakHyphen/>
            </w:r>
            <w:r w:rsidR="00FF47C8" w:rsidRPr="00EA606B">
              <w:t>1</w:t>
            </w:r>
            <w:r w:rsidR="00AD3550">
              <w:t>6</w:t>
            </w:r>
            <w:r w:rsidR="000C1D1B" w:rsidRPr="00EA606B">
              <w:rPr>
                <w:rStyle w:val="NoteLabel"/>
                <w:b/>
              </w:rPr>
              <w:t>a</w:t>
            </w:r>
            <w:r w:rsidR="00B70CCD" w:rsidRPr="00EA606B">
              <w:rPr>
                <w:rStyle w:val="NoteLabel"/>
                <w:b/>
              </w:rPr>
              <w:t>, b</w:t>
            </w:r>
          </w:p>
        </w:tc>
      </w:tr>
      <w:tr w:rsidR="00524693" w:rsidRPr="00FF47C8" w14:paraId="1A4EB0DA" w14:textId="77777777" w:rsidTr="00492B7D">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24693" w:rsidRPr="00FF47C8" w14:paraId="6C89936E" w14:textId="77777777" w:rsidTr="00524693">
              <w:trPr>
                <w:jc w:val="center"/>
              </w:trPr>
              <w:tc>
                <w:tcPr>
                  <w:tcW w:w="5000" w:type="pct"/>
                  <w:tcBorders>
                    <w:top w:val="nil"/>
                    <w:bottom w:val="nil"/>
                  </w:tcBorders>
                </w:tcPr>
                <w:p w14:paraId="06C5C7AB" w14:textId="77777777" w:rsidR="00524693" w:rsidRPr="00FF47C8" w:rsidRDefault="00930671" w:rsidP="002B2D64">
                  <w:pPr>
                    <w:pStyle w:val="Figure"/>
                    <w:spacing w:before="0" w:after="0"/>
                    <w:rPr>
                      <w:rFonts w:asciiTheme="minorHAnsi" w:hAnsiTheme="minorHAnsi" w:cstheme="minorHAnsi"/>
                      <w:sz w:val="18"/>
                      <w:szCs w:val="18"/>
                    </w:rPr>
                  </w:pPr>
                  <w:r w:rsidRPr="00FF47C8">
                    <w:rPr>
                      <w:rFonts w:asciiTheme="minorHAnsi" w:hAnsiTheme="minorHAnsi" w:cstheme="minorHAnsi"/>
                      <w:b/>
                      <w:sz w:val="18"/>
                      <w:szCs w:val="18"/>
                    </w:rPr>
                    <w:t>People in ongoing community</w:t>
                  </w:r>
                  <w:r w:rsidR="00463329" w:rsidRPr="00FF47C8">
                    <w:rPr>
                      <w:rFonts w:asciiTheme="minorHAnsi" w:hAnsiTheme="minorHAnsi" w:cstheme="minorHAnsi"/>
                      <w:b/>
                      <w:sz w:val="18"/>
                      <w:szCs w:val="18"/>
                    </w:rPr>
                    <w:noBreakHyphen/>
                  </w:r>
                  <w:r w:rsidRPr="00FF47C8">
                    <w:rPr>
                      <w:rFonts w:asciiTheme="minorHAnsi" w:hAnsiTheme="minorHAnsi" w:cstheme="minorHAnsi"/>
                      <w:b/>
                      <w:sz w:val="18"/>
                      <w:szCs w:val="18"/>
                    </w:rPr>
                    <w:t>based ambulatory care</w:t>
                  </w:r>
                </w:p>
              </w:tc>
            </w:tr>
            <w:tr w:rsidR="00524693" w:rsidRPr="00FF47C8" w14:paraId="4A24665E" w14:textId="77777777" w:rsidTr="00973F09">
              <w:tblPrEx>
                <w:tblCellMar>
                  <w:left w:w="108" w:type="dxa"/>
                  <w:right w:w="108" w:type="dxa"/>
                </w:tblCellMar>
              </w:tblPrEx>
              <w:trPr>
                <w:jc w:val="center"/>
              </w:trPr>
              <w:tc>
                <w:tcPr>
                  <w:tcW w:w="5000" w:type="pct"/>
                  <w:tcBorders>
                    <w:top w:val="nil"/>
                    <w:bottom w:val="nil"/>
                  </w:tcBorders>
                </w:tcPr>
                <w:p w14:paraId="74E9D885" w14:textId="4BCF966E" w:rsidR="00524693" w:rsidRPr="00FF47C8" w:rsidRDefault="00973F09" w:rsidP="00524693">
                  <w:pPr>
                    <w:pStyle w:val="Figure"/>
                    <w:spacing w:before="60" w:after="60"/>
                  </w:pPr>
                  <w:r>
                    <w:rPr>
                      <w:noProof/>
                    </w:rPr>
                    <w:drawing>
                      <wp:inline distT="0" distB="0" distL="0" distR="0" wp14:anchorId="75CAEAA6" wp14:editId="68CA69B2">
                        <wp:extent cx="5262880" cy="1870075"/>
                        <wp:effectExtent l="0" t="0" r="0" b="0"/>
                        <wp:docPr id="66" name="Chart 66" descr="People in ongoing community-based ambulatory care&#10;&#10;More details can be found within the text surrounding this image." title="Figure 13.15 Mental health outcomes of consumers of State and Territory governments’ specialised mental health services,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524693" w:rsidRPr="00FF47C8" w14:paraId="25CA4864" w14:textId="77777777" w:rsidTr="00524693">
              <w:trPr>
                <w:jc w:val="center"/>
              </w:trPr>
              <w:tc>
                <w:tcPr>
                  <w:tcW w:w="5000" w:type="pct"/>
                  <w:tcBorders>
                    <w:top w:val="nil"/>
                    <w:bottom w:val="nil"/>
                  </w:tcBorders>
                </w:tcPr>
                <w:p w14:paraId="71780E52" w14:textId="77777777" w:rsidR="00524693" w:rsidRPr="00FF47C8" w:rsidRDefault="00930671" w:rsidP="00B70CCD">
                  <w:pPr>
                    <w:pStyle w:val="Figure"/>
                    <w:spacing w:before="0" w:after="0"/>
                    <w:rPr>
                      <w:rFonts w:asciiTheme="minorHAnsi" w:hAnsiTheme="minorHAnsi" w:cstheme="minorHAnsi"/>
                      <w:b/>
                      <w:sz w:val="18"/>
                      <w:szCs w:val="18"/>
                    </w:rPr>
                  </w:pPr>
                  <w:r w:rsidRPr="00FF47C8">
                    <w:rPr>
                      <w:rFonts w:asciiTheme="minorHAnsi" w:hAnsiTheme="minorHAnsi" w:cstheme="minorHAnsi"/>
                      <w:b/>
                      <w:sz w:val="18"/>
                      <w:szCs w:val="18"/>
                    </w:rPr>
                    <w:t>People discharged from community</w:t>
                  </w:r>
                  <w:r w:rsidR="00463329" w:rsidRPr="00FF47C8">
                    <w:rPr>
                      <w:rFonts w:asciiTheme="minorHAnsi" w:hAnsiTheme="minorHAnsi" w:cstheme="minorHAnsi"/>
                      <w:b/>
                      <w:sz w:val="18"/>
                      <w:szCs w:val="18"/>
                    </w:rPr>
                    <w:noBreakHyphen/>
                  </w:r>
                  <w:r w:rsidRPr="00FF47C8">
                    <w:rPr>
                      <w:rFonts w:asciiTheme="minorHAnsi" w:hAnsiTheme="minorHAnsi" w:cstheme="minorHAnsi"/>
                      <w:b/>
                      <w:sz w:val="18"/>
                      <w:szCs w:val="18"/>
                    </w:rPr>
                    <w:t>based ambulatory care</w:t>
                  </w:r>
                </w:p>
              </w:tc>
            </w:tr>
            <w:tr w:rsidR="00524693" w:rsidRPr="00FF47C8" w14:paraId="4E7625BE" w14:textId="77777777" w:rsidTr="00973F09">
              <w:tblPrEx>
                <w:tblCellMar>
                  <w:left w:w="108" w:type="dxa"/>
                  <w:right w:w="108" w:type="dxa"/>
                </w:tblCellMar>
              </w:tblPrEx>
              <w:trPr>
                <w:jc w:val="center"/>
              </w:trPr>
              <w:tc>
                <w:tcPr>
                  <w:tcW w:w="5000" w:type="pct"/>
                  <w:tcBorders>
                    <w:top w:val="nil"/>
                    <w:bottom w:val="nil"/>
                  </w:tcBorders>
                </w:tcPr>
                <w:p w14:paraId="5C47EDAE" w14:textId="21B32F6F" w:rsidR="00524693" w:rsidRPr="00FF47C8" w:rsidRDefault="00973F09" w:rsidP="00524693">
                  <w:pPr>
                    <w:pStyle w:val="Figure"/>
                    <w:spacing w:before="60" w:after="60"/>
                  </w:pPr>
                  <w:r>
                    <w:rPr>
                      <w:noProof/>
                    </w:rPr>
                    <w:drawing>
                      <wp:inline distT="0" distB="0" distL="0" distR="0" wp14:anchorId="722F6773" wp14:editId="3B15308F">
                        <wp:extent cx="5262880" cy="1870710"/>
                        <wp:effectExtent l="0" t="0" r="0" b="0"/>
                        <wp:docPr id="67" name="Chart 67" descr="People discharged from community-based ambulatory care&#10;&#10;More details can be found within the text surrounding this image." title="Figure 13.15 Mental health outcomes of consumers of State and Territory governments’ specialised mental health services,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930671" w:rsidRPr="00FF47C8" w14:paraId="0E02DDD6" w14:textId="77777777" w:rsidTr="00524693">
              <w:trPr>
                <w:jc w:val="center"/>
              </w:trPr>
              <w:tc>
                <w:tcPr>
                  <w:tcW w:w="5000" w:type="pct"/>
                  <w:tcBorders>
                    <w:top w:val="nil"/>
                    <w:bottom w:val="nil"/>
                  </w:tcBorders>
                </w:tcPr>
                <w:p w14:paraId="2592DBB1" w14:textId="77777777" w:rsidR="00930671" w:rsidRPr="00FF47C8" w:rsidRDefault="00930671" w:rsidP="00243E8F">
                  <w:pPr>
                    <w:pStyle w:val="Figure"/>
                    <w:spacing w:before="0" w:after="0"/>
                    <w:rPr>
                      <w:rFonts w:asciiTheme="minorHAnsi" w:hAnsiTheme="minorHAnsi" w:cstheme="minorHAnsi"/>
                      <w:b/>
                      <w:sz w:val="18"/>
                      <w:szCs w:val="18"/>
                    </w:rPr>
                  </w:pPr>
                  <w:r w:rsidRPr="00FF47C8">
                    <w:rPr>
                      <w:rFonts w:asciiTheme="minorHAnsi" w:hAnsiTheme="minorHAnsi" w:cstheme="minorHAnsi"/>
                      <w:b/>
                      <w:sz w:val="18"/>
                      <w:szCs w:val="18"/>
                    </w:rPr>
                    <w:t>People discharged from hospital</w:t>
                  </w:r>
                </w:p>
              </w:tc>
            </w:tr>
            <w:tr w:rsidR="00930671" w:rsidRPr="00FF47C8" w14:paraId="1F025766" w14:textId="77777777" w:rsidTr="00973F09">
              <w:tblPrEx>
                <w:tblCellMar>
                  <w:left w:w="108" w:type="dxa"/>
                  <w:right w:w="108" w:type="dxa"/>
                </w:tblCellMar>
              </w:tblPrEx>
              <w:trPr>
                <w:jc w:val="center"/>
              </w:trPr>
              <w:tc>
                <w:tcPr>
                  <w:tcW w:w="5000" w:type="pct"/>
                  <w:tcBorders>
                    <w:top w:val="nil"/>
                    <w:bottom w:val="nil"/>
                  </w:tcBorders>
                </w:tcPr>
                <w:p w14:paraId="1F0507A0" w14:textId="024DEF9C" w:rsidR="00930671" w:rsidRPr="00FF47C8" w:rsidRDefault="00973F09" w:rsidP="00524693">
                  <w:pPr>
                    <w:pStyle w:val="Figure"/>
                    <w:spacing w:before="60" w:after="60"/>
                  </w:pPr>
                  <w:r>
                    <w:rPr>
                      <w:noProof/>
                    </w:rPr>
                    <w:drawing>
                      <wp:inline distT="0" distB="0" distL="0" distR="0" wp14:anchorId="02EDF2D7" wp14:editId="0A33D8AA">
                        <wp:extent cx="5262880" cy="1870710"/>
                        <wp:effectExtent l="0" t="0" r="0" b="0"/>
                        <wp:docPr id="68" name="Chart 68" descr="People discharged from hospital&#10;&#10;More details can be found within the text surrounding this image." title="Figure 13.15 Mental health outcomes of consumers of State and Territory governments’ specialised mental health services,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37DFA877" w14:textId="77777777" w:rsidR="00524693" w:rsidRPr="00FF47C8" w:rsidRDefault="00524693" w:rsidP="00524693">
            <w:pPr>
              <w:pStyle w:val="Figure"/>
            </w:pPr>
          </w:p>
        </w:tc>
        <w:bookmarkStart w:id="6" w:name="_GoBack"/>
        <w:bookmarkEnd w:id="6"/>
      </w:tr>
      <w:tr w:rsidR="00524693" w:rsidRPr="00006D05" w14:paraId="4A643F15" w14:textId="77777777" w:rsidTr="00492B7D">
        <w:tc>
          <w:tcPr>
            <w:tcW w:w="8789" w:type="dxa"/>
            <w:tcBorders>
              <w:top w:val="nil"/>
              <w:left w:val="nil"/>
              <w:bottom w:val="nil"/>
              <w:right w:val="nil"/>
            </w:tcBorders>
            <w:shd w:val="clear" w:color="auto" w:fill="auto"/>
          </w:tcPr>
          <w:p w14:paraId="57E369F2" w14:textId="3DF2CF4A" w:rsidR="00524693" w:rsidRPr="00006D05" w:rsidRDefault="00524693" w:rsidP="00AA639E">
            <w:pPr>
              <w:pStyle w:val="Note"/>
              <w:rPr>
                <w:i/>
              </w:rPr>
            </w:pPr>
            <w:r w:rsidRPr="00006D05">
              <w:rPr>
                <w:rStyle w:val="NoteLabel"/>
              </w:rPr>
              <w:t>a</w:t>
            </w:r>
            <w:r w:rsidR="00930671" w:rsidRPr="00006D05">
              <w:t xml:space="preserve"> </w:t>
            </w:r>
            <w:r w:rsidR="000C1D1B" w:rsidRPr="00006D05">
              <w:t xml:space="preserve">See </w:t>
            </w:r>
            <w:r w:rsidR="001B26A2" w:rsidRPr="00006D05">
              <w:t>box</w:t>
            </w:r>
            <w:r w:rsidR="00AB25A8">
              <w:t> </w:t>
            </w:r>
            <w:r w:rsidR="00110142">
              <w:t>13.20</w:t>
            </w:r>
            <w:r w:rsidR="00721073" w:rsidRPr="00006D05">
              <w:t xml:space="preserve"> </w:t>
            </w:r>
            <w:r w:rsidR="000C1D1B" w:rsidRPr="00006D05">
              <w:t>and table </w:t>
            </w:r>
            <w:r w:rsidR="001B26A2" w:rsidRPr="00006D05">
              <w:t>13A.</w:t>
            </w:r>
            <w:r w:rsidR="004D5C1C" w:rsidRPr="00006D05">
              <w:t>5</w:t>
            </w:r>
            <w:r w:rsidR="00AA639E">
              <w:t>9</w:t>
            </w:r>
            <w:r w:rsidR="004D5C1C" w:rsidRPr="00006D05">
              <w:t xml:space="preserve"> </w:t>
            </w:r>
            <w:r w:rsidR="00C9207F" w:rsidRPr="00006D05">
              <w:t>for detailed definitions, footnotes and caveats</w:t>
            </w:r>
            <w:r w:rsidR="000C1D1B" w:rsidRPr="00006D05">
              <w:t xml:space="preserve">. </w:t>
            </w:r>
            <w:r w:rsidR="000C1D1B" w:rsidRPr="00006D05">
              <w:rPr>
                <w:rStyle w:val="NoteLabel"/>
              </w:rPr>
              <w:t>b</w:t>
            </w:r>
            <w:r w:rsidR="000C1D1B" w:rsidRPr="00006D05">
              <w:t xml:space="preserve"> </w:t>
            </w:r>
            <w:r w:rsidR="00830EE5" w:rsidRPr="00006D05">
              <w:t>Some</w:t>
            </w:r>
            <w:r w:rsidR="00B80565">
              <w:t xml:space="preserve"> ACT</w:t>
            </w:r>
            <w:r w:rsidR="003B6D95">
              <w:t xml:space="preserve"> and </w:t>
            </w:r>
            <w:r w:rsidR="00930671" w:rsidRPr="00006D05">
              <w:t>NT data are not published due to insufficient observations</w:t>
            </w:r>
            <w:r w:rsidR="00497B60">
              <w:t xml:space="preserve"> </w:t>
            </w:r>
            <w:r w:rsidR="00497B60" w:rsidRPr="0061119E">
              <w:t>but are included in Australian totals</w:t>
            </w:r>
            <w:r w:rsidR="008C31BF" w:rsidRPr="0061119E">
              <w:t>.</w:t>
            </w:r>
          </w:p>
        </w:tc>
      </w:tr>
      <w:tr w:rsidR="00524693" w:rsidRPr="00FF47C8" w14:paraId="3B5A2EC4" w14:textId="77777777" w:rsidTr="00492B7D">
        <w:tc>
          <w:tcPr>
            <w:tcW w:w="8789" w:type="dxa"/>
            <w:tcBorders>
              <w:top w:val="nil"/>
              <w:left w:val="nil"/>
              <w:bottom w:val="nil"/>
              <w:right w:val="nil"/>
            </w:tcBorders>
            <w:shd w:val="clear" w:color="auto" w:fill="auto"/>
          </w:tcPr>
          <w:p w14:paraId="02D4DE20" w14:textId="35B5414F" w:rsidR="00524693" w:rsidRPr="00FF47C8" w:rsidRDefault="00930671" w:rsidP="00AA639E">
            <w:pPr>
              <w:pStyle w:val="Source"/>
              <w:rPr>
                <w:i/>
              </w:rPr>
            </w:pPr>
            <w:r w:rsidRPr="00006D05">
              <w:rPr>
                <w:i/>
              </w:rPr>
              <w:t>Source</w:t>
            </w:r>
            <w:r w:rsidRPr="00006D05">
              <w:t>:</w:t>
            </w:r>
            <w:r w:rsidRPr="00006D05">
              <w:rPr>
                <w:i/>
              </w:rPr>
              <w:t xml:space="preserve"> </w:t>
            </w:r>
            <w:r w:rsidR="00C730E9" w:rsidRPr="00006D05">
              <w:t>AIHW (unpublished) from data provided by the Australian Mental Health Outcomes and Classification Network</w:t>
            </w:r>
            <w:r w:rsidRPr="00006D05">
              <w:t>; table </w:t>
            </w:r>
            <w:r w:rsidR="001B26A2" w:rsidRPr="00006D05">
              <w:t>13A.</w:t>
            </w:r>
            <w:r w:rsidR="004D5C1C" w:rsidRPr="00006D05">
              <w:t>5</w:t>
            </w:r>
            <w:r w:rsidR="00AA639E">
              <w:t>9</w:t>
            </w:r>
            <w:r w:rsidR="004D5C1C" w:rsidRPr="00006D05">
              <w:t>.</w:t>
            </w:r>
          </w:p>
        </w:tc>
      </w:tr>
      <w:tr w:rsidR="00524693" w:rsidRPr="00FF47C8" w14:paraId="3EE15330" w14:textId="77777777" w:rsidTr="00492B7D">
        <w:tc>
          <w:tcPr>
            <w:tcW w:w="8789" w:type="dxa"/>
            <w:tcBorders>
              <w:top w:val="nil"/>
              <w:left w:val="nil"/>
              <w:bottom w:val="single" w:sz="6" w:space="0" w:color="78A22F"/>
              <w:right w:val="nil"/>
            </w:tcBorders>
            <w:shd w:val="clear" w:color="auto" w:fill="auto"/>
          </w:tcPr>
          <w:p w14:paraId="0DC0F771" w14:textId="77777777" w:rsidR="00524693" w:rsidRPr="00FF47C8" w:rsidRDefault="00524693" w:rsidP="00524693">
            <w:pPr>
              <w:pStyle w:val="Figurespace"/>
            </w:pPr>
          </w:p>
        </w:tc>
      </w:tr>
      <w:tr w:rsidR="00524693" w:rsidRPr="00FF47C8" w14:paraId="0F9791F6" w14:textId="77777777" w:rsidTr="00492B7D">
        <w:tc>
          <w:tcPr>
            <w:tcW w:w="8789" w:type="dxa"/>
            <w:tcBorders>
              <w:top w:val="single" w:sz="6" w:space="0" w:color="78A22F"/>
              <w:left w:val="nil"/>
              <w:bottom w:val="nil"/>
              <w:right w:val="nil"/>
            </w:tcBorders>
          </w:tcPr>
          <w:p w14:paraId="6541278F" w14:textId="1E30AE8F" w:rsidR="00524693" w:rsidRPr="00FF47C8" w:rsidRDefault="00524693" w:rsidP="00524693">
            <w:pPr>
              <w:pStyle w:val="BoxSpaceBelow"/>
            </w:pPr>
          </w:p>
        </w:tc>
      </w:tr>
    </w:tbl>
    <w:p w14:paraId="44C74B41" w14:textId="77777777" w:rsidR="00606D5F" w:rsidRDefault="00606D5F" w:rsidP="00606D5F">
      <w:pPr>
        <w:pStyle w:val="Heading4"/>
      </w:pPr>
      <w:r>
        <w:lastRenderedPageBreak/>
        <w:t>Stigma and discrimination experienced by people living with mental health problems or mental illness</w:t>
      </w:r>
    </w:p>
    <w:p w14:paraId="2C9EE1FE" w14:textId="23B91DC9" w:rsidR="00606D5F" w:rsidRDefault="00606D5F" w:rsidP="00606D5F">
      <w:pPr>
        <w:pStyle w:val="BodyText"/>
      </w:pPr>
      <w:r w:rsidRPr="005E3DE3">
        <w:t xml:space="preserve">‘Stigma and discrimination experienced by people living with mental health problems or mental illness’ is an indicator of governments’ objective </w:t>
      </w:r>
      <w:r>
        <w:t xml:space="preserve">to </w:t>
      </w:r>
      <w:r w:rsidRPr="005E3DE3">
        <w:t xml:space="preserve">reduce the impact of </w:t>
      </w:r>
      <w:r>
        <w:t xml:space="preserve">mental illness </w:t>
      </w:r>
      <w:r w:rsidRPr="005E3DE3">
        <w:t>(including the effects of stigma and discrimination) (</w:t>
      </w:r>
      <w:r w:rsidR="00BA1594">
        <w:t>box </w:t>
      </w:r>
      <w:r w:rsidR="00134A99">
        <w:t>13.21</w:t>
      </w:r>
      <w:r w:rsidRPr="005E3DE3">
        <w:t>).</w:t>
      </w:r>
    </w:p>
    <w:p w14:paraId="66509DE5" w14:textId="4CA55A32" w:rsidR="00606D5F" w:rsidRPr="005E3DE3" w:rsidRDefault="00606D5F" w:rsidP="00606D5F">
      <w:pPr>
        <w:keepNext/>
        <w:spacing w:before="360" w:line="80" w:lineRule="exac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06D5F" w:rsidRPr="005E3DE3" w14:paraId="7A564B17" w14:textId="77777777" w:rsidTr="00492B7D">
        <w:tc>
          <w:tcPr>
            <w:tcW w:w="8789" w:type="dxa"/>
            <w:tcBorders>
              <w:top w:val="single" w:sz="6" w:space="0" w:color="78A22F"/>
              <w:left w:val="nil"/>
              <w:bottom w:val="nil"/>
              <w:right w:val="nil"/>
            </w:tcBorders>
            <w:shd w:val="clear" w:color="auto" w:fill="F2F2F2"/>
          </w:tcPr>
          <w:p w14:paraId="3DC6451D" w14:textId="49E0E68D" w:rsidR="00606D5F" w:rsidRPr="005E3DE3" w:rsidRDefault="00606D5F" w:rsidP="0021609E">
            <w:pPr>
              <w:keepNext/>
              <w:keepLines/>
              <w:spacing w:before="120" w:line="280" w:lineRule="exact"/>
              <w:ind w:left="1474" w:hanging="1474"/>
              <w:rPr>
                <w:rFonts w:ascii="Arial" w:hAnsi="Arial"/>
                <w:b/>
              </w:rPr>
            </w:pPr>
            <w:r w:rsidRPr="005E3DE3">
              <w:rPr>
                <w:rFonts w:ascii="Arial" w:hAnsi="Arial"/>
              </w:rPr>
              <w:t>Box</w:t>
            </w:r>
            <w:r w:rsidR="00EF1423">
              <w:rPr>
                <w:rFonts w:ascii="Arial" w:hAnsi="Arial"/>
              </w:rPr>
              <w:t> </w:t>
            </w:r>
            <w:r w:rsidR="0021609E">
              <w:rPr>
                <w:rFonts w:ascii="Arial" w:hAnsi="Arial"/>
              </w:rPr>
              <w:t>13.21</w:t>
            </w:r>
            <w:r w:rsidRPr="005E3DE3">
              <w:rPr>
                <w:rFonts w:ascii="Arial" w:hAnsi="Arial"/>
                <w:b/>
              </w:rPr>
              <w:tab/>
              <w:t xml:space="preserve">Stigma and discrimination experienced by people living with mental health problems or mental illness </w:t>
            </w:r>
          </w:p>
        </w:tc>
      </w:tr>
      <w:tr w:rsidR="00606D5F" w:rsidRPr="005E3DE3" w14:paraId="6ADA00F8" w14:textId="77777777" w:rsidTr="00492B7D">
        <w:tc>
          <w:tcPr>
            <w:tcW w:w="8789" w:type="dxa"/>
            <w:tcBorders>
              <w:top w:val="nil"/>
              <w:left w:val="nil"/>
              <w:bottom w:val="nil"/>
              <w:right w:val="nil"/>
            </w:tcBorders>
            <w:shd w:val="clear" w:color="auto" w:fill="F2F2F2"/>
          </w:tcPr>
          <w:p w14:paraId="5B8B9E3A" w14:textId="77777777" w:rsidR="00606D5F" w:rsidRPr="005E3DE3" w:rsidRDefault="00606D5F" w:rsidP="004A6BB9">
            <w:pPr>
              <w:keepNext/>
              <w:spacing w:before="120" w:line="260" w:lineRule="atLeast"/>
              <w:jc w:val="both"/>
              <w:rPr>
                <w:rFonts w:ascii="Arial" w:hAnsi="Arial"/>
                <w:sz w:val="20"/>
              </w:rPr>
            </w:pPr>
            <w:r w:rsidRPr="005E3DE3">
              <w:rPr>
                <w:rFonts w:ascii="Arial" w:hAnsi="Arial"/>
                <w:sz w:val="20"/>
              </w:rPr>
              <w:t>Stigma and discrimination experienced by people living with mental health problems or mental illness’ is defined as the proportion of people with a mental health condition who have experienced discrimination or been treated unfairly due to their mental health condition.</w:t>
            </w:r>
          </w:p>
          <w:p w14:paraId="1641EE11" w14:textId="77777777" w:rsidR="00606D5F" w:rsidRPr="005E3DE3" w:rsidRDefault="00606D5F" w:rsidP="004A6BB9">
            <w:pPr>
              <w:keepNext/>
              <w:spacing w:before="120" w:line="260" w:lineRule="atLeast"/>
              <w:jc w:val="both"/>
              <w:rPr>
                <w:rFonts w:ascii="Arial" w:hAnsi="Arial"/>
                <w:sz w:val="20"/>
              </w:rPr>
            </w:pPr>
            <w:r w:rsidRPr="005E3DE3">
              <w:rPr>
                <w:rFonts w:ascii="Arial" w:hAnsi="Arial"/>
                <w:sz w:val="20"/>
              </w:rPr>
              <w:t>A low or decreasing proportion of people experiencing discrimination or being treated unfairly is desirable.</w:t>
            </w:r>
          </w:p>
          <w:p w14:paraId="7A56B13A" w14:textId="77777777" w:rsidR="00606D5F" w:rsidRPr="005E3DE3" w:rsidRDefault="00606D5F" w:rsidP="004A6BB9">
            <w:pPr>
              <w:keepNext/>
              <w:spacing w:before="120" w:line="260" w:lineRule="atLeast"/>
              <w:jc w:val="both"/>
              <w:rPr>
                <w:rFonts w:ascii="Arial" w:hAnsi="Arial"/>
                <w:sz w:val="20"/>
              </w:rPr>
            </w:pPr>
            <w:r w:rsidRPr="005E3DE3">
              <w:rPr>
                <w:rFonts w:ascii="Arial" w:hAnsi="Arial"/>
                <w:sz w:val="20"/>
              </w:rPr>
              <w:t>Data are not yet available for reporting against this indicator.</w:t>
            </w:r>
          </w:p>
        </w:tc>
      </w:tr>
      <w:tr w:rsidR="00606D5F" w:rsidRPr="005E3DE3" w14:paraId="41DAA3D8" w14:textId="77777777" w:rsidTr="00492B7D">
        <w:tc>
          <w:tcPr>
            <w:tcW w:w="8789" w:type="dxa"/>
            <w:tcBorders>
              <w:top w:val="nil"/>
              <w:left w:val="nil"/>
              <w:bottom w:val="single" w:sz="6" w:space="0" w:color="78A22F"/>
              <w:right w:val="nil"/>
            </w:tcBorders>
            <w:shd w:val="clear" w:color="auto" w:fill="F2F2F2"/>
          </w:tcPr>
          <w:p w14:paraId="48641085" w14:textId="77777777" w:rsidR="00606D5F" w:rsidRPr="005E3DE3" w:rsidRDefault="00606D5F" w:rsidP="004A6BB9">
            <w:pPr>
              <w:keepNext/>
              <w:spacing w:line="120" w:lineRule="exact"/>
              <w:jc w:val="both"/>
              <w:rPr>
                <w:rFonts w:ascii="Arial" w:hAnsi="Arial"/>
                <w:sz w:val="20"/>
              </w:rPr>
            </w:pPr>
          </w:p>
        </w:tc>
      </w:tr>
      <w:tr w:rsidR="00606D5F" w:rsidRPr="005E3DE3" w14:paraId="6D8C1339" w14:textId="77777777" w:rsidTr="00492B7D">
        <w:tc>
          <w:tcPr>
            <w:tcW w:w="8789" w:type="dxa"/>
            <w:tcBorders>
              <w:top w:val="single" w:sz="6" w:space="0" w:color="78A22F"/>
              <w:left w:val="nil"/>
              <w:bottom w:val="nil"/>
              <w:right w:val="nil"/>
            </w:tcBorders>
          </w:tcPr>
          <w:p w14:paraId="7BCC7406" w14:textId="7E821D7B" w:rsidR="00606D5F" w:rsidRPr="005E3DE3" w:rsidRDefault="00606D5F" w:rsidP="004A6BB9">
            <w:pPr>
              <w:spacing w:before="60" w:after="60" w:line="80" w:lineRule="exact"/>
              <w:jc w:val="both"/>
              <w:rPr>
                <w:rFonts w:ascii="Arial" w:hAnsi="Arial"/>
                <w:sz w:val="14"/>
              </w:rPr>
            </w:pPr>
          </w:p>
        </w:tc>
      </w:tr>
    </w:tbl>
    <w:p w14:paraId="31CA5417" w14:textId="19A8E710" w:rsidR="00740F59" w:rsidRPr="00AF0EBE" w:rsidRDefault="00CB08D6" w:rsidP="00740F59">
      <w:pPr>
        <w:pStyle w:val="Heading2"/>
      </w:pPr>
      <w:bookmarkStart w:id="7" w:name="_Toc461444234"/>
      <w:r>
        <w:t>13.</w:t>
      </w:r>
      <w:r w:rsidR="00B81273">
        <w:rPr>
          <w:noProof/>
        </w:rPr>
        <w:t>4</w:t>
      </w:r>
      <w:r w:rsidR="00740F59" w:rsidRPr="00AF0EBE">
        <w:tab/>
        <w:t>Definitions of key terms</w:t>
      </w:r>
      <w:bookmarkEnd w:id="7"/>
    </w:p>
    <w:p w14:paraId="3A08BCDD" w14:textId="2693B062" w:rsidR="00740F59" w:rsidRPr="009754CD" w:rsidRDefault="00740F59" w:rsidP="00974092">
      <w:pPr>
        <w:pStyle w:val="BoxSpaceAbove"/>
        <w:rPr>
          <w:color w:val="808080" w:themeColor="background1" w:themeShade="80"/>
        </w:rPr>
      </w:pPr>
    </w:p>
    <w:tbl>
      <w:tblPr>
        <w:tblW w:w="0" w:type="auto"/>
        <w:tblLayout w:type="fixed"/>
        <w:tblCellMar>
          <w:left w:w="0" w:type="dxa"/>
          <w:right w:w="0" w:type="dxa"/>
        </w:tblCellMar>
        <w:tblLook w:val="0000" w:firstRow="0" w:lastRow="0" w:firstColumn="0" w:lastColumn="0" w:noHBand="0" w:noVBand="0"/>
      </w:tblPr>
      <w:tblGrid>
        <w:gridCol w:w="2410"/>
        <w:gridCol w:w="6379"/>
      </w:tblGrid>
      <w:tr w:rsidR="00863461" w:rsidRPr="00D42CFD" w14:paraId="1890A3AA" w14:textId="77777777" w:rsidTr="00C55E5E">
        <w:tc>
          <w:tcPr>
            <w:tcW w:w="2410" w:type="dxa"/>
            <w:shd w:val="clear" w:color="auto" w:fill="FFFFFF" w:themeFill="background1"/>
          </w:tcPr>
          <w:p w14:paraId="7A3A6538" w14:textId="77777777" w:rsidR="00740F59" w:rsidRPr="00D152ED" w:rsidRDefault="00740F59" w:rsidP="00C55E5E">
            <w:pPr>
              <w:pStyle w:val="TableBodyText"/>
              <w:keepNext w:val="0"/>
              <w:keepLines w:val="0"/>
              <w:widowControl w:val="0"/>
              <w:jc w:val="left"/>
              <w:rPr>
                <w:b/>
              </w:rPr>
            </w:pPr>
            <w:r w:rsidRPr="00D152ED">
              <w:rPr>
                <w:b/>
              </w:rPr>
              <w:t>Accrued mental health patient days</w:t>
            </w:r>
          </w:p>
        </w:tc>
        <w:tc>
          <w:tcPr>
            <w:tcW w:w="6379" w:type="dxa"/>
            <w:shd w:val="clear" w:color="auto" w:fill="FFFFFF" w:themeFill="background1"/>
          </w:tcPr>
          <w:p w14:paraId="2D4A1480" w14:textId="77777777" w:rsidR="00740F59" w:rsidRPr="00D42CFD" w:rsidRDefault="00740F59" w:rsidP="00D152ED">
            <w:pPr>
              <w:pStyle w:val="TableBodyText"/>
              <w:keepNext w:val="0"/>
              <w:keepLines w:val="0"/>
              <w:widowControl w:val="0"/>
              <w:jc w:val="left"/>
            </w:pPr>
            <w:r w:rsidRPr="00D42CFD">
              <w:t xml:space="preserve">Mental health care days are days of admitted patient care provided to admitted patients in psychiatric hospitals, designated psychiatric units and days of residential care provided to residents in residential mental health services. Accrued mental health care days can also be referred to as occupied bed days in specialised mental health services. The days to be counted are only those days occurring within the reference </w:t>
            </w:r>
            <w:r w:rsidR="00A75DB8" w:rsidRPr="00D42CFD">
              <w:t>period, which</w:t>
            </w:r>
            <w:r w:rsidRPr="00D42CFD">
              <w:t xml:space="preserve"> is from 1 July to the following 30 June for the relevant period, even if the patient/resident was admitted prior to the reference period or discharged after the reference period.</w:t>
            </w:r>
          </w:p>
          <w:p w14:paraId="0E012F6C" w14:textId="08C13EEE" w:rsidR="00740F59" w:rsidRPr="00D42CFD" w:rsidRDefault="00822ABE" w:rsidP="00D152ED">
            <w:pPr>
              <w:pStyle w:val="TableBodyText"/>
              <w:keepNext w:val="0"/>
              <w:keepLines w:val="0"/>
              <w:widowControl w:val="0"/>
              <w:jc w:val="left"/>
            </w:pPr>
            <w:r>
              <w:t xml:space="preserve">In short, </w:t>
            </w:r>
            <w:r w:rsidR="00740F59" w:rsidRPr="00D42CFD">
              <w:t xml:space="preserve">the number of accrued mental health care days are </w:t>
            </w:r>
            <w:r>
              <w:t xml:space="preserve">calculated </w:t>
            </w:r>
            <w:r w:rsidR="00740F59" w:rsidRPr="00D42CFD">
              <w:t>as follows:</w:t>
            </w:r>
          </w:p>
          <w:p w14:paraId="5E84E932" w14:textId="77777777" w:rsidR="00740F59" w:rsidRPr="00D42CFD" w:rsidRDefault="00740F59" w:rsidP="00D152ED">
            <w:pPr>
              <w:pStyle w:val="TableBullet"/>
              <w:keepNext w:val="0"/>
              <w:keepLines w:val="0"/>
              <w:widowControl w:val="0"/>
            </w:pPr>
            <w:r w:rsidRPr="00D42CFD">
              <w:t>For a patient admitted and discharged on different days, all days are counted as mental health care days except the day of discharge and any leave days.</w:t>
            </w:r>
          </w:p>
          <w:p w14:paraId="2BF30E63" w14:textId="77777777" w:rsidR="00740F59" w:rsidRPr="00D42CFD" w:rsidRDefault="00740F59" w:rsidP="00D152ED">
            <w:pPr>
              <w:pStyle w:val="TableBullet"/>
              <w:keepNext w:val="0"/>
              <w:keepLines w:val="0"/>
              <w:widowControl w:val="0"/>
            </w:pPr>
            <w:r w:rsidRPr="00D42CFD">
              <w:t>Admission and discharge on the same day are equal to one patient day.</w:t>
            </w:r>
          </w:p>
          <w:p w14:paraId="267BC309" w14:textId="77777777" w:rsidR="00740F59" w:rsidRPr="00D42CFD" w:rsidRDefault="00740F59" w:rsidP="00D152ED">
            <w:pPr>
              <w:pStyle w:val="TableBullet"/>
              <w:keepNext w:val="0"/>
              <w:keepLines w:val="0"/>
              <w:widowControl w:val="0"/>
            </w:pPr>
            <w:r w:rsidRPr="00D42CFD">
              <w:t>Leave days involving an overnight absence are not counted.</w:t>
            </w:r>
          </w:p>
          <w:p w14:paraId="74F5E64A" w14:textId="77777777" w:rsidR="00740F59" w:rsidRPr="00D42CFD" w:rsidRDefault="00740F59" w:rsidP="00D152ED">
            <w:pPr>
              <w:pStyle w:val="TableBullet"/>
              <w:keepNext w:val="0"/>
              <w:keepLines w:val="0"/>
              <w:widowControl w:val="0"/>
            </w:pPr>
            <w:r w:rsidRPr="00D42CFD">
              <w:t>A patient day is recorded on the day of return from leave.</w:t>
            </w:r>
          </w:p>
        </w:tc>
      </w:tr>
      <w:tr w:rsidR="00B72BD5" w:rsidRPr="00D42CFD" w14:paraId="5DB78C30" w14:textId="77777777" w:rsidTr="00C55E5E">
        <w:tc>
          <w:tcPr>
            <w:tcW w:w="2410" w:type="dxa"/>
          </w:tcPr>
          <w:p w14:paraId="5A2B7168" w14:textId="6589E939" w:rsidR="00B72BD5" w:rsidRPr="00D152ED" w:rsidRDefault="00B72BD5" w:rsidP="00C55E5E">
            <w:pPr>
              <w:pStyle w:val="TableBodyText"/>
              <w:keepNext w:val="0"/>
              <w:keepLines w:val="0"/>
              <w:widowControl w:val="0"/>
              <w:jc w:val="left"/>
              <w:rPr>
                <w:b/>
              </w:rPr>
            </w:pPr>
            <w:r>
              <w:rPr>
                <w:b/>
              </w:rPr>
              <w:t>Acute services</w:t>
            </w:r>
          </w:p>
        </w:tc>
        <w:tc>
          <w:tcPr>
            <w:tcW w:w="6379" w:type="dxa"/>
          </w:tcPr>
          <w:p w14:paraId="72534B45" w14:textId="5E47B8DB" w:rsidR="00CC043D" w:rsidRPr="00D42CFD" w:rsidRDefault="00CC043D" w:rsidP="00CC043D">
            <w:pPr>
              <w:pStyle w:val="TableBodyText"/>
              <w:keepNext w:val="0"/>
              <w:keepLines w:val="0"/>
              <w:widowControl w:val="0"/>
              <w:jc w:val="left"/>
            </w:pPr>
            <w:r w:rsidRPr="00D42CFD">
              <w:t>Services that primarily provide specialised psychiatric care for people with acute episodes of mental illness. These episodes are characterised by recent onset of severe clinical symptoms of mental illness that have potential for prolonged dysfunction or risk to self and/or others. The key characteristic of acute services is that the treatment effort focuses on symptom reduction with a reasonable expectation of substantial improvement. In general, acute psychiatric services provide relatively short term treatment. Acute services can:</w:t>
            </w:r>
          </w:p>
          <w:p w14:paraId="58D24C15" w14:textId="77777777" w:rsidR="00CC043D" w:rsidRDefault="00CC043D" w:rsidP="00CC043D">
            <w:pPr>
              <w:pStyle w:val="TableBullet"/>
              <w:keepNext w:val="0"/>
              <w:keepLines w:val="0"/>
              <w:widowControl w:val="0"/>
            </w:pPr>
            <w:r w:rsidRPr="00D42CFD">
              <w:t>focus on assisting people who have had no prior contact or previous psychiatric history, or individuals with a continuing psychiatric illness for whom there has been an acute exacerbation of symptoms</w:t>
            </w:r>
          </w:p>
          <w:p w14:paraId="4FAA9233" w14:textId="16BDB5D8" w:rsidR="00B72BD5" w:rsidRPr="00D42CFD" w:rsidRDefault="00CC043D" w:rsidP="00CC043D">
            <w:pPr>
              <w:pStyle w:val="TableBullet"/>
              <w:keepNext w:val="0"/>
              <w:keepLines w:val="0"/>
              <w:widowControl w:val="0"/>
            </w:pPr>
            <w:r w:rsidRPr="00D42CFD">
              <w:t>target the general population or be specialised in nature, targeting specific clinical populations. The latter group include psychogeriatric, child and adolescent, youth and forensic mental health services.</w:t>
            </w:r>
          </w:p>
        </w:tc>
      </w:tr>
      <w:tr w:rsidR="00863461" w:rsidRPr="00D42CFD" w14:paraId="2C71B154" w14:textId="77777777" w:rsidTr="00C55E5E">
        <w:tc>
          <w:tcPr>
            <w:tcW w:w="2410" w:type="dxa"/>
          </w:tcPr>
          <w:p w14:paraId="7FE3711E" w14:textId="77777777" w:rsidR="00740F59" w:rsidRPr="00D152ED" w:rsidRDefault="00740F59" w:rsidP="00CC043D">
            <w:pPr>
              <w:pStyle w:val="TableBodyText"/>
              <w:keepLines w:val="0"/>
              <w:widowControl w:val="0"/>
              <w:jc w:val="left"/>
              <w:rPr>
                <w:b/>
              </w:rPr>
            </w:pPr>
            <w:r w:rsidRPr="00D152ED">
              <w:rPr>
                <w:b/>
              </w:rPr>
              <w:lastRenderedPageBreak/>
              <w:t>Ambulatory care services</w:t>
            </w:r>
            <w:r w:rsidRPr="00D152ED">
              <w:rPr>
                <w:b/>
              </w:rPr>
              <w:br/>
            </w:r>
          </w:p>
        </w:tc>
        <w:tc>
          <w:tcPr>
            <w:tcW w:w="6379" w:type="dxa"/>
          </w:tcPr>
          <w:p w14:paraId="53778D39" w14:textId="77777777" w:rsidR="00740F59" w:rsidRPr="00D42CFD" w:rsidRDefault="00740F59" w:rsidP="00CC043D">
            <w:pPr>
              <w:pStyle w:val="TableBodyText"/>
              <w:keepLines w:val="0"/>
              <w:widowControl w:val="0"/>
              <w:jc w:val="left"/>
            </w:pPr>
            <w:r w:rsidRPr="00D42CFD">
              <w:t>Mental health services dedicated to the assessment, treatment, rehabilitation or care of non</w:t>
            </w:r>
            <w:r w:rsidRPr="00D42CFD">
              <w:noBreakHyphen/>
              <w:t>admitted inpatients, including but not confined to crisis assessment and treatment services, mobile assessment and treatment services, outpatient clinic services (whether provided from a hospital or community mental health centre), child and adolescent outpatient treatment teams, social and living skills programs (including day programs, day hospitals and living skills centres), and psychogeriatric assessment teams and day programs.</w:t>
            </w:r>
          </w:p>
        </w:tc>
      </w:tr>
      <w:tr w:rsidR="00863461" w:rsidRPr="00D42CFD" w14:paraId="489164DD" w14:textId="77777777" w:rsidTr="00C55E5E">
        <w:tc>
          <w:tcPr>
            <w:tcW w:w="2410" w:type="dxa"/>
          </w:tcPr>
          <w:p w14:paraId="20ACB364" w14:textId="77777777" w:rsidR="00740F59" w:rsidRPr="00D152ED" w:rsidRDefault="00740F59" w:rsidP="00C55E5E">
            <w:pPr>
              <w:pStyle w:val="TableBodyText"/>
              <w:keepNext w:val="0"/>
              <w:keepLines w:val="0"/>
              <w:widowControl w:val="0"/>
              <w:jc w:val="left"/>
              <w:rPr>
                <w:b/>
              </w:rPr>
            </w:pPr>
            <w:r w:rsidRPr="00D152ED">
              <w:rPr>
                <w:b/>
              </w:rPr>
              <w:t>Anxiety disorders</w:t>
            </w:r>
          </w:p>
        </w:tc>
        <w:tc>
          <w:tcPr>
            <w:tcW w:w="6379" w:type="dxa"/>
          </w:tcPr>
          <w:p w14:paraId="1C6ACEEF" w14:textId="77777777" w:rsidR="00740F59" w:rsidRPr="00D42CFD" w:rsidRDefault="00740F59" w:rsidP="00D152ED">
            <w:pPr>
              <w:pStyle w:val="TableBodyText"/>
              <w:keepNext w:val="0"/>
              <w:keepLines w:val="0"/>
              <w:widowControl w:val="0"/>
              <w:jc w:val="left"/>
            </w:pPr>
            <w:r w:rsidRPr="00D42CFD">
              <w:t>Feelings of tension, distress or nervousness. Includes agoraphobia, social phobia, panic disorder, generalised anxiety disorder, obsessive–compulsive disorder and post</w:t>
            </w:r>
            <w:r w:rsidRPr="00D42CFD">
              <w:noBreakHyphen/>
              <w:t>traumatic stress disorder.</w:t>
            </w:r>
          </w:p>
        </w:tc>
      </w:tr>
      <w:tr w:rsidR="00C95827" w:rsidRPr="00D42CFD" w14:paraId="4798DB2A" w14:textId="77777777" w:rsidTr="0061119E">
        <w:tc>
          <w:tcPr>
            <w:tcW w:w="2410" w:type="dxa"/>
            <w:shd w:val="clear" w:color="auto" w:fill="auto"/>
          </w:tcPr>
          <w:p w14:paraId="3D324045" w14:textId="4E1CA4F6" w:rsidR="00C95827" w:rsidRPr="00D152ED" w:rsidRDefault="00C95827" w:rsidP="00C55E5E">
            <w:pPr>
              <w:pStyle w:val="TableBodyText"/>
              <w:keepNext w:val="0"/>
              <w:keepLines w:val="0"/>
              <w:widowControl w:val="0"/>
              <w:jc w:val="left"/>
              <w:rPr>
                <w:b/>
              </w:rPr>
            </w:pPr>
            <w:r>
              <w:rPr>
                <w:b/>
              </w:rPr>
              <w:t>Carer staff</w:t>
            </w:r>
          </w:p>
        </w:tc>
        <w:tc>
          <w:tcPr>
            <w:tcW w:w="6379" w:type="dxa"/>
            <w:shd w:val="clear" w:color="auto" w:fill="auto"/>
          </w:tcPr>
          <w:p w14:paraId="4BD8649E" w14:textId="46FBF8B6" w:rsidR="00C95827" w:rsidRPr="00D42CFD" w:rsidRDefault="00C95827" w:rsidP="008132FA">
            <w:pPr>
              <w:pStyle w:val="TableBodyText"/>
              <w:widowControl w:val="0"/>
              <w:jc w:val="left"/>
            </w:pPr>
            <w:r>
              <w:t xml:space="preserve">A </w:t>
            </w:r>
            <w:r w:rsidRPr="00C95827">
              <w:t>person specifically employed for the expertise developed from their experience as a mental health carer.</w:t>
            </w:r>
          </w:p>
        </w:tc>
      </w:tr>
      <w:tr w:rsidR="00863461" w:rsidRPr="00D42CFD" w14:paraId="6AD6A340" w14:textId="77777777" w:rsidTr="00C55E5E">
        <w:tc>
          <w:tcPr>
            <w:tcW w:w="2410" w:type="dxa"/>
          </w:tcPr>
          <w:p w14:paraId="7BDC96E0" w14:textId="1BAE683E" w:rsidR="00740F59" w:rsidRPr="00D152ED" w:rsidRDefault="00740F59" w:rsidP="00783B6B">
            <w:pPr>
              <w:pStyle w:val="TableBodyText"/>
              <w:keepNext w:val="0"/>
              <w:keepLines w:val="0"/>
              <w:widowControl w:val="0"/>
              <w:jc w:val="left"/>
              <w:rPr>
                <w:b/>
              </w:rPr>
            </w:pPr>
            <w:r w:rsidRPr="00D152ED">
              <w:rPr>
                <w:b/>
              </w:rPr>
              <w:t>Community</w:t>
            </w:r>
            <w:r w:rsidRPr="00D152ED">
              <w:rPr>
                <w:b/>
              </w:rPr>
              <w:noBreakHyphen/>
              <w:t xml:space="preserve">based residential </w:t>
            </w:r>
            <w:r w:rsidR="00783B6B">
              <w:rPr>
                <w:b/>
              </w:rPr>
              <w:t>care</w:t>
            </w:r>
            <w:r w:rsidRPr="00D152ED">
              <w:rPr>
                <w:b/>
              </w:rPr>
              <w:t xml:space="preserve"> </w:t>
            </w:r>
            <w:r w:rsidRPr="00D152ED">
              <w:rPr>
                <w:b/>
              </w:rPr>
              <w:br/>
            </w:r>
          </w:p>
        </w:tc>
        <w:tc>
          <w:tcPr>
            <w:tcW w:w="6379" w:type="dxa"/>
          </w:tcPr>
          <w:p w14:paraId="5895186B" w14:textId="0CE1DF2E" w:rsidR="00740F59" w:rsidRPr="00D42CFD" w:rsidRDefault="00740F59" w:rsidP="00783B6B">
            <w:pPr>
              <w:pStyle w:val="TableBodyText"/>
              <w:keepNext w:val="0"/>
              <w:keepLines w:val="0"/>
              <w:widowControl w:val="0"/>
              <w:jc w:val="left"/>
            </w:pPr>
            <w:r w:rsidRPr="00D42CFD">
              <w:t>Staffed residential units established in community settings that provide specialised treatment, rehabilitation or care for people affected by a mental illness or psychiatric disability. To be defined as community</w:t>
            </w:r>
            <w:r w:rsidRPr="00D42CFD">
              <w:noBreakHyphen/>
              <w:t>based residences, services must: provide residential care to people with mental illnesses or psychiatric disability; be located in a community setting external to the campus of a general hospital or psychiatric institution; employ onsite staff for at least some part of the day; and be government funded.</w:t>
            </w:r>
          </w:p>
        </w:tc>
      </w:tr>
      <w:tr w:rsidR="00863461" w:rsidRPr="00D42CFD" w14:paraId="193A2846" w14:textId="77777777" w:rsidTr="009E765C">
        <w:tc>
          <w:tcPr>
            <w:tcW w:w="2410" w:type="dxa"/>
          </w:tcPr>
          <w:p w14:paraId="4741BB0C" w14:textId="77777777" w:rsidR="00E649D2" w:rsidRPr="00D152ED" w:rsidRDefault="00E649D2" w:rsidP="00B57498">
            <w:pPr>
              <w:pStyle w:val="TableBodyText"/>
              <w:jc w:val="left"/>
              <w:rPr>
                <w:b/>
              </w:rPr>
            </w:pPr>
            <w:r w:rsidRPr="00D152ED">
              <w:rPr>
                <w:b/>
              </w:rPr>
              <w:t>Comparability</w:t>
            </w:r>
          </w:p>
        </w:tc>
        <w:tc>
          <w:tcPr>
            <w:tcW w:w="6379" w:type="dxa"/>
            <w:shd w:val="clear" w:color="auto" w:fill="FFFFFF" w:themeFill="background1"/>
          </w:tcPr>
          <w:p w14:paraId="3FB18B4F" w14:textId="77777777" w:rsidR="00E649D2" w:rsidRPr="00D42CFD" w:rsidRDefault="00E649D2" w:rsidP="00D152ED">
            <w:pPr>
              <w:pStyle w:val="TableBodyText"/>
              <w:keepNext w:val="0"/>
              <w:keepLines w:val="0"/>
              <w:widowControl w:val="0"/>
              <w:jc w:val="left"/>
              <w:rPr>
                <w:lang w:eastAsia="en-US"/>
              </w:rPr>
            </w:pPr>
            <w:r w:rsidRPr="00D42CFD">
              <w:t xml:space="preserve">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 </w:t>
            </w:r>
          </w:p>
        </w:tc>
      </w:tr>
      <w:tr w:rsidR="00863461" w:rsidRPr="00D42CFD" w14:paraId="304795A1" w14:textId="77777777" w:rsidTr="009E765C">
        <w:tc>
          <w:tcPr>
            <w:tcW w:w="2410" w:type="dxa"/>
          </w:tcPr>
          <w:p w14:paraId="6727BF59" w14:textId="77777777" w:rsidR="00E649D2" w:rsidRPr="00D152ED" w:rsidRDefault="00E649D2" w:rsidP="00B57498">
            <w:pPr>
              <w:pStyle w:val="TableBodyText"/>
              <w:jc w:val="left"/>
              <w:rPr>
                <w:b/>
              </w:rPr>
            </w:pPr>
            <w:r w:rsidRPr="00D152ED">
              <w:rPr>
                <w:b/>
              </w:rPr>
              <w:t>Completeness</w:t>
            </w:r>
          </w:p>
        </w:tc>
        <w:tc>
          <w:tcPr>
            <w:tcW w:w="6379" w:type="dxa"/>
            <w:shd w:val="clear" w:color="auto" w:fill="FFFFFF" w:themeFill="background1"/>
          </w:tcPr>
          <w:p w14:paraId="7AE4A2D4" w14:textId="77777777" w:rsidR="00E649D2" w:rsidRPr="00D42CFD" w:rsidRDefault="00E649D2" w:rsidP="00D152ED">
            <w:pPr>
              <w:pStyle w:val="TableBodyText"/>
              <w:keepNext w:val="0"/>
              <w:keepLines w:val="0"/>
              <w:widowControl w:val="0"/>
              <w:jc w:val="left"/>
              <w:rPr>
                <w:lang w:eastAsia="en-US"/>
              </w:rPr>
            </w:pPr>
            <w:r w:rsidRPr="00D42CFD">
              <w:t>Data are considered complete if all required data are available for all jurisdictions that provide the service.</w:t>
            </w:r>
          </w:p>
        </w:tc>
      </w:tr>
      <w:tr w:rsidR="00502E0D" w:rsidRPr="00D42CFD" w14:paraId="747BB6CF" w14:textId="77777777" w:rsidTr="0061119E">
        <w:tc>
          <w:tcPr>
            <w:tcW w:w="2410" w:type="dxa"/>
            <w:shd w:val="clear" w:color="auto" w:fill="auto"/>
          </w:tcPr>
          <w:p w14:paraId="6D8C036F" w14:textId="49212B92" w:rsidR="00502E0D" w:rsidRPr="00D152ED" w:rsidRDefault="00502E0D" w:rsidP="00B57498">
            <w:pPr>
              <w:pStyle w:val="TableBodyText"/>
              <w:jc w:val="left"/>
              <w:rPr>
                <w:b/>
              </w:rPr>
            </w:pPr>
            <w:r>
              <w:rPr>
                <w:b/>
              </w:rPr>
              <w:t>Consumer staff</w:t>
            </w:r>
          </w:p>
        </w:tc>
        <w:tc>
          <w:tcPr>
            <w:tcW w:w="6379" w:type="dxa"/>
            <w:shd w:val="clear" w:color="auto" w:fill="auto"/>
          </w:tcPr>
          <w:p w14:paraId="2F6C9ACF" w14:textId="385AB785" w:rsidR="00502E0D" w:rsidRPr="00D42CFD" w:rsidRDefault="00502E0D" w:rsidP="008132FA">
            <w:pPr>
              <w:pStyle w:val="TableBodyText"/>
              <w:keepNext w:val="0"/>
              <w:keepLines w:val="0"/>
              <w:widowControl w:val="0"/>
              <w:jc w:val="left"/>
            </w:pPr>
            <w:r>
              <w:t xml:space="preserve">A </w:t>
            </w:r>
            <w:r w:rsidRPr="00502E0D">
              <w:t xml:space="preserve">person </w:t>
            </w:r>
            <w:r>
              <w:t>s</w:t>
            </w:r>
            <w:r w:rsidRPr="00502E0D">
              <w:t>pecifically employed for the expertise developed from their lived experience of mental illness.</w:t>
            </w:r>
          </w:p>
        </w:tc>
      </w:tr>
      <w:tr w:rsidR="00863461" w:rsidRPr="00D42CFD" w14:paraId="5F3D67A1" w14:textId="77777777" w:rsidTr="00C55E5E">
        <w:tc>
          <w:tcPr>
            <w:tcW w:w="2410" w:type="dxa"/>
          </w:tcPr>
          <w:p w14:paraId="454409A5" w14:textId="77777777" w:rsidR="00E649D2" w:rsidRPr="00D152ED" w:rsidRDefault="00E649D2" w:rsidP="00C55E5E">
            <w:pPr>
              <w:pStyle w:val="TableBodyText"/>
              <w:keepNext w:val="0"/>
              <w:keepLines w:val="0"/>
              <w:widowControl w:val="0"/>
              <w:jc w:val="left"/>
              <w:rPr>
                <w:b/>
              </w:rPr>
            </w:pPr>
            <w:r w:rsidRPr="00D152ED">
              <w:rPr>
                <w:b/>
              </w:rPr>
              <w:t>Forensic mental health services</w:t>
            </w:r>
            <w:r w:rsidRPr="00D152ED">
              <w:rPr>
                <w:b/>
              </w:rPr>
              <w:br/>
            </w:r>
          </w:p>
        </w:tc>
        <w:tc>
          <w:tcPr>
            <w:tcW w:w="6379" w:type="dxa"/>
          </w:tcPr>
          <w:p w14:paraId="5E32D5B5" w14:textId="6AB2EFC5" w:rsidR="00E649D2" w:rsidRPr="00D42CFD" w:rsidRDefault="00E649D2" w:rsidP="00822ABE">
            <w:pPr>
              <w:pStyle w:val="TableBodyText"/>
              <w:keepNext w:val="0"/>
              <w:keepLines w:val="0"/>
              <w:widowControl w:val="0"/>
              <w:jc w:val="left"/>
            </w:pPr>
            <w:r w:rsidRPr="00D42CFD">
              <w:t xml:space="preserve">Services principally providing assessment, treatment and care of mentally ill </w:t>
            </w:r>
            <w:r w:rsidR="00822ABE">
              <w:t>people</w:t>
            </w:r>
            <w:r w:rsidR="00822ABE" w:rsidRPr="00D42CFD">
              <w:t xml:space="preserve"> </w:t>
            </w:r>
            <w:r w:rsidRPr="00D42CFD">
              <w:t>whose behaviour has led them to commit criminal offences or makes it likely that they will offend in the future if not adequately treated and contained. This includes prison</w:t>
            </w:r>
            <w:r w:rsidRPr="00D42CFD">
              <w:noBreakHyphen/>
              <w:t>based services, but excludes services that are primarily for children and adolescents and for older people even where they include a forensic component.</w:t>
            </w:r>
          </w:p>
        </w:tc>
      </w:tr>
      <w:tr w:rsidR="00863461" w:rsidRPr="00D42CFD" w14:paraId="7130CF25" w14:textId="77777777" w:rsidTr="00C55E5E">
        <w:tc>
          <w:tcPr>
            <w:tcW w:w="2410" w:type="dxa"/>
          </w:tcPr>
          <w:p w14:paraId="51BD7463" w14:textId="77777777" w:rsidR="00E649D2" w:rsidRPr="00D152ED" w:rsidRDefault="00E649D2" w:rsidP="00C55E5E">
            <w:pPr>
              <w:pStyle w:val="TableBodyText"/>
              <w:keepNext w:val="0"/>
              <w:keepLines w:val="0"/>
              <w:widowControl w:val="0"/>
              <w:jc w:val="left"/>
              <w:rPr>
                <w:b/>
              </w:rPr>
            </w:pPr>
            <w:r w:rsidRPr="00D152ED">
              <w:rPr>
                <w:b/>
              </w:rPr>
              <w:t>General mental health services</w:t>
            </w:r>
          </w:p>
        </w:tc>
        <w:tc>
          <w:tcPr>
            <w:tcW w:w="6379" w:type="dxa"/>
          </w:tcPr>
          <w:p w14:paraId="6C26DF31" w14:textId="776E7BB9" w:rsidR="00E649D2" w:rsidRPr="00D42CFD" w:rsidRDefault="00E649D2" w:rsidP="00D152ED">
            <w:pPr>
              <w:pStyle w:val="TableBodyText"/>
              <w:keepNext w:val="0"/>
              <w:keepLines w:val="0"/>
              <w:widowControl w:val="0"/>
              <w:jc w:val="left"/>
            </w:pPr>
            <w:r w:rsidRPr="00D42CFD">
              <w:t xml:space="preserve">Services that principally target the general adult population </w:t>
            </w:r>
            <w:r w:rsidRPr="00D42CFD">
              <w:br/>
              <w:t>(18–65 years old) but that can provide services to children, adolescents or older people. Includes, therefore, services that cannot be described as specialised child and adolescent</w:t>
            </w:r>
            <w:r w:rsidR="00822ABE">
              <w:t xml:space="preserve"> services</w:t>
            </w:r>
            <w:r w:rsidRPr="00D42CFD">
              <w:t>, youth</w:t>
            </w:r>
            <w:r w:rsidR="00822ABE">
              <w:t xml:space="preserve"> services</w:t>
            </w:r>
            <w:r w:rsidRPr="00D42CFD">
              <w:t xml:space="preserve">, </w:t>
            </w:r>
            <w:r w:rsidR="00822ABE">
              <w:t xml:space="preserve">services for </w:t>
            </w:r>
            <w:r w:rsidRPr="00D42CFD">
              <w:t xml:space="preserve">older people or forensic services. </w:t>
            </w:r>
          </w:p>
          <w:p w14:paraId="2A4D43DA" w14:textId="1F9AD984" w:rsidR="00E649D2" w:rsidRPr="00D42CFD" w:rsidRDefault="00E649D2" w:rsidP="00822ABE">
            <w:pPr>
              <w:pStyle w:val="TableBodyText"/>
              <w:keepNext w:val="0"/>
              <w:keepLines w:val="0"/>
              <w:widowControl w:val="0"/>
              <w:jc w:val="left"/>
            </w:pPr>
            <w:r w:rsidRPr="00D42CFD">
              <w:t xml:space="preserve">General mental health services include hospital units </w:t>
            </w:r>
            <w:r w:rsidR="00822ABE">
              <w:t xml:space="preserve">with a </w:t>
            </w:r>
            <w:r w:rsidRPr="00D42CFD">
              <w:t xml:space="preserve">principal function to provide some form of specialised service to the general adult population (for example, inpatient psychotherapy) or to focus on specific clinical disorders within the adult population (for example, </w:t>
            </w:r>
            <w:r w:rsidR="00BD5F3E" w:rsidRPr="00D42CFD">
              <w:t>postnatal</w:t>
            </w:r>
            <w:r w:rsidRPr="00D42CFD">
              <w:t xml:space="preserve"> depression, anxiety disorders).</w:t>
            </w:r>
          </w:p>
        </w:tc>
      </w:tr>
      <w:tr w:rsidR="00D42CFD" w:rsidRPr="00D42CFD" w14:paraId="48336CB7" w14:textId="77777777" w:rsidTr="00C55E5E">
        <w:tc>
          <w:tcPr>
            <w:tcW w:w="2410" w:type="dxa"/>
          </w:tcPr>
          <w:p w14:paraId="7887AD2F" w14:textId="77777777" w:rsidR="0014083B" w:rsidRPr="00D152ED" w:rsidRDefault="0014083B" w:rsidP="00DF478F">
            <w:pPr>
              <w:pStyle w:val="TableBodyText"/>
              <w:keepNext w:val="0"/>
              <w:keepLines w:val="0"/>
              <w:widowControl w:val="0"/>
              <w:jc w:val="left"/>
              <w:rPr>
                <w:b/>
              </w:rPr>
            </w:pPr>
            <w:r w:rsidRPr="00D152ED">
              <w:rPr>
                <w:b/>
              </w:rPr>
              <w:t>General practice</w:t>
            </w:r>
          </w:p>
        </w:tc>
        <w:tc>
          <w:tcPr>
            <w:tcW w:w="6379" w:type="dxa"/>
          </w:tcPr>
          <w:p w14:paraId="080BCFE6" w14:textId="77777777" w:rsidR="0014083B" w:rsidRPr="00D42CFD" w:rsidRDefault="0014083B" w:rsidP="00D152ED">
            <w:pPr>
              <w:pStyle w:val="TableBodyText"/>
              <w:keepNext w:val="0"/>
              <w:keepLines w:val="0"/>
              <w:widowControl w:val="0"/>
              <w:jc w:val="left"/>
            </w:pPr>
            <w:r w:rsidRPr="00D42CFD">
              <w:t xml:space="preserve">The organisational structure in which one or more GPs provide and supervise health care for a ‘population’ of patients. </w:t>
            </w:r>
          </w:p>
        </w:tc>
      </w:tr>
      <w:tr w:rsidR="00D42CFD" w:rsidRPr="00D42CFD" w14:paraId="47A9B993" w14:textId="77777777" w:rsidTr="00DF478F">
        <w:tc>
          <w:tcPr>
            <w:tcW w:w="2410" w:type="dxa"/>
          </w:tcPr>
          <w:p w14:paraId="77DE913A" w14:textId="77777777" w:rsidR="0014083B" w:rsidRPr="00D152ED" w:rsidRDefault="0014083B" w:rsidP="00DF478F">
            <w:pPr>
              <w:pStyle w:val="TableBodyText"/>
              <w:keepNext w:val="0"/>
              <w:keepLines w:val="0"/>
              <w:widowControl w:val="0"/>
              <w:jc w:val="left"/>
              <w:rPr>
                <w:b/>
              </w:rPr>
            </w:pPr>
            <w:r w:rsidRPr="00D152ED">
              <w:rPr>
                <w:b/>
              </w:rPr>
              <w:t>Health management</w:t>
            </w:r>
          </w:p>
        </w:tc>
        <w:tc>
          <w:tcPr>
            <w:tcW w:w="6379" w:type="dxa"/>
          </w:tcPr>
          <w:p w14:paraId="30765BBA" w14:textId="145F2E73" w:rsidR="0014083B" w:rsidRPr="00D42CFD" w:rsidRDefault="0014083B" w:rsidP="001F18B0">
            <w:pPr>
              <w:pStyle w:val="TableBodyText"/>
              <w:keepNext w:val="0"/>
              <w:keepLines w:val="0"/>
              <w:widowControl w:val="0"/>
              <w:jc w:val="left"/>
            </w:pPr>
            <w:r w:rsidRPr="00D42CFD">
              <w:t xml:space="preserve">The ongoing process beginning with initial </w:t>
            </w:r>
            <w:r w:rsidR="001F18B0" w:rsidRPr="0061119E">
              <w:t>consumer</w:t>
            </w:r>
            <w:r w:rsidR="001F18B0">
              <w:t xml:space="preserve"> </w:t>
            </w:r>
            <w:r w:rsidRPr="00D42CFD">
              <w:t xml:space="preserve">contact and including all actions relating to the </w:t>
            </w:r>
            <w:r w:rsidR="001F18B0" w:rsidRPr="0061119E">
              <w:t>consumer</w:t>
            </w:r>
            <w:r w:rsidRPr="00D42CFD">
              <w:t>. Includes assessment/evaluation, education of the person, family or carer(s), and diagnosis and treatment. Involves problems with adherence to treatment and liaison with, or referral to, other agencies.</w:t>
            </w:r>
          </w:p>
        </w:tc>
      </w:tr>
      <w:tr w:rsidR="00775F7E" w:rsidRPr="00D42CFD" w14:paraId="6E952580" w14:textId="77777777" w:rsidTr="006F0791">
        <w:tc>
          <w:tcPr>
            <w:tcW w:w="2410" w:type="dxa"/>
            <w:shd w:val="clear" w:color="auto" w:fill="FFFFFF" w:themeFill="background1"/>
          </w:tcPr>
          <w:p w14:paraId="55410F6C" w14:textId="77777777" w:rsidR="00775F7E" w:rsidRPr="00D152ED" w:rsidRDefault="00775F7E" w:rsidP="00DF478F">
            <w:pPr>
              <w:pStyle w:val="TableBodyText"/>
              <w:keepNext w:val="0"/>
              <w:keepLines w:val="0"/>
              <w:widowControl w:val="0"/>
              <w:jc w:val="left"/>
              <w:rPr>
                <w:b/>
              </w:rPr>
            </w:pPr>
            <w:r w:rsidRPr="00D152ED">
              <w:rPr>
                <w:b/>
              </w:rPr>
              <w:t>Mainstreaming</w:t>
            </w:r>
          </w:p>
        </w:tc>
        <w:tc>
          <w:tcPr>
            <w:tcW w:w="6379" w:type="dxa"/>
            <w:shd w:val="clear" w:color="auto" w:fill="FFFFFF" w:themeFill="background1"/>
          </w:tcPr>
          <w:p w14:paraId="3BF985F7" w14:textId="77777777" w:rsidR="00775F7E" w:rsidRPr="006F0791" w:rsidRDefault="00775F7E" w:rsidP="00D152ED">
            <w:pPr>
              <w:pStyle w:val="TableBodyText"/>
              <w:widowControl w:val="0"/>
              <w:jc w:val="left"/>
            </w:pPr>
            <w:r w:rsidRPr="006F0791">
              <w:t>The First National Mental Health Plan emphasised decreasing the number of psychiatric beds in favour of community</w:t>
            </w:r>
            <w:r w:rsidRPr="006F0791">
              <w:rPr>
                <w:rFonts w:ascii="Cambria Math" w:hAnsi="Cambria Math" w:cs="Cambria Math"/>
              </w:rPr>
              <w:t>‑</w:t>
            </w:r>
            <w:r w:rsidRPr="006F0791">
              <w:t>based options, reducing the reliance on stand</w:t>
            </w:r>
            <w:r w:rsidRPr="006F0791">
              <w:rPr>
                <w:rFonts w:ascii="Cambria Math" w:hAnsi="Cambria Math" w:cs="Cambria Math"/>
              </w:rPr>
              <w:t>‑</w:t>
            </w:r>
            <w:r w:rsidRPr="006F0791">
              <w:t>alone psychiatric hospitals, and ‘mainstreaming’ the delivery of acute inpatient care into general hospitals.</w:t>
            </w:r>
          </w:p>
        </w:tc>
      </w:tr>
      <w:tr w:rsidR="0014083B" w:rsidRPr="00D42CFD" w14:paraId="15338964" w14:textId="77777777" w:rsidTr="00C55E5E">
        <w:tc>
          <w:tcPr>
            <w:tcW w:w="2410" w:type="dxa"/>
          </w:tcPr>
          <w:p w14:paraId="055F9003" w14:textId="77777777" w:rsidR="0014083B" w:rsidRPr="00D152ED" w:rsidRDefault="0014083B" w:rsidP="00C55E5E">
            <w:pPr>
              <w:pStyle w:val="TableBodyText"/>
              <w:keepNext w:val="0"/>
              <w:keepLines w:val="0"/>
              <w:widowControl w:val="0"/>
              <w:jc w:val="left"/>
              <w:rPr>
                <w:b/>
              </w:rPr>
            </w:pPr>
            <w:r w:rsidRPr="00D152ED">
              <w:rPr>
                <w:b/>
              </w:rPr>
              <w:t>Mental health</w:t>
            </w:r>
          </w:p>
        </w:tc>
        <w:tc>
          <w:tcPr>
            <w:tcW w:w="6379" w:type="dxa"/>
          </w:tcPr>
          <w:p w14:paraId="3E246495" w14:textId="77777777" w:rsidR="0014083B" w:rsidRPr="00D42CFD" w:rsidRDefault="0014083B" w:rsidP="00D152ED">
            <w:pPr>
              <w:pStyle w:val="TableBodyText"/>
              <w:keepNext w:val="0"/>
              <w:keepLines w:val="0"/>
              <w:widowControl w:val="0"/>
              <w:jc w:val="left"/>
            </w:pPr>
            <w:r w:rsidRPr="00D42CFD">
              <w:t>The capacity of individuals within groups and the environment to interact with one another in ways that promote subjective wellbeing, the optimal development and use of mental abilities (cognitive, affective and relational) and the achievement of individual and collective goals consistent with justice.</w:t>
            </w:r>
          </w:p>
        </w:tc>
      </w:tr>
    </w:tbl>
    <w:p w14:paraId="355A5BE2" w14:textId="77777777" w:rsidR="009F5387" w:rsidRDefault="009F5387">
      <w:r>
        <w:br w:type="page"/>
      </w:r>
    </w:p>
    <w:tbl>
      <w:tblPr>
        <w:tblW w:w="0" w:type="auto"/>
        <w:tblLayout w:type="fixed"/>
        <w:tblCellMar>
          <w:left w:w="0" w:type="dxa"/>
          <w:right w:w="0" w:type="dxa"/>
        </w:tblCellMar>
        <w:tblLook w:val="0000" w:firstRow="0" w:lastRow="0" w:firstColumn="0" w:lastColumn="0" w:noHBand="0" w:noVBand="0"/>
      </w:tblPr>
      <w:tblGrid>
        <w:gridCol w:w="2410"/>
        <w:gridCol w:w="6379"/>
      </w:tblGrid>
      <w:tr w:rsidR="0014083B" w:rsidRPr="00D42CFD" w14:paraId="03A38986" w14:textId="77777777" w:rsidTr="00C55E5E">
        <w:tc>
          <w:tcPr>
            <w:tcW w:w="2410" w:type="dxa"/>
          </w:tcPr>
          <w:p w14:paraId="752A6BF6" w14:textId="1956E34A" w:rsidR="0014083B" w:rsidRPr="00D152ED" w:rsidRDefault="0014083B" w:rsidP="00C55E5E">
            <w:pPr>
              <w:pStyle w:val="TableBodyText"/>
              <w:keepNext w:val="0"/>
              <w:keepLines w:val="0"/>
              <w:widowControl w:val="0"/>
              <w:jc w:val="left"/>
              <w:rPr>
                <w:b/>
              </w:rPr>
            </w:pPr>
            <w:r w:rsidRPr="00D152ED">
              <w:rPr>
                <w:b/>
              </w:rPr>
              <w:lastRenderedPageBreak/>
              <w:t xml:space="preserve">Mental health </w:t>
            </w:r>
            <w:r w:rsidRPr="00D152ED">
              <w:rPr>
                <w:b/>
              </w:rPr>
              <w:br/>
              <w:t>problems</w:t>
            </w:r>
          </w:p>
        </w:tc>
        <w:tc>
          <w:tcPr>
            <w:tcW w:w="6379" w:type="dxa"/>
          </w:tcPr>
          <w:p w14:paraId="777CA3C4" w14:textId="77777777" w:rsidR="0014083B" w:rsidRPr="00D42CFD" w:rsidRDefault="0014083B" w:rsidP="00D152ED">
            <w:pPr>
              <w:pStyle w:val="TableBodyText"/>
              <w:keepNext w:val="0"/>
              <w:keepLines w:val="0"/>
              <w:widowControl w:val="0"/>
              <w:jc w:val="left"/>
            </w:pPr>
            <w:r w:rsidRPr="00D42CFD">
              <w:t>Diminished cognitive, emotional or social abilities, but not to the extent of meeting the criteria for a mental illness.</w:t>
            </w:r>
          </w:p>
        </w:tc>
      </w:tr>
      <w:tr w:rsidR="0074486B" w:rsidRPr="00D42CFD" w14:paraId="09010176" w14:textId="77777777" w:rsidTr="004621D7">
        <w:tc>
          <w:tcPr>
            <w:tcW w:w="2410" w:type="dxa"/>
          </w:tcPr>
          <w:p w14:paraId="1A8F87D0" w14:textId="77777777" w:rsidR="0074486B" w:rsidRPr="00D152ED" w:rsidRDefault="0074486B" w:rsidP="004621D7">
            <w:pPr>
              <w:pStyle w:val="TableBodyText"/>
              <w:keepNext w:val="0"/>
              <w:keepLines w:val="0"/>
              <w:widowControl w:val="0"/>
              <w:jc w:val="left"/>
              <w:rPr>
                <w:b/>
              </w:rPr>
            </w:pPr>
            <w:r w:rsidRPr="00D152ED">
              <w:rPr>
                <w:b/>
              </w:rPr>
              <w:t>Mental illness</w:t>
            </w:r>
          </w:p>
        </w:tc>
        <w:tc>
          <w:tcPr>
            <w:tcW w:w="6379" w:type="dxa"/>
          </w:tcPr>
          <w:p w14:paraId="0F59F462" w14:textId="77777777" w:rsidR="0074486B" w:rsidRPr="00D42CFD" w:rsidRDefault="0074486B" w:rsidP="004621D7">
            <w:pPr>
              <w:pStyle w:val="TableBodyText"/>
              <w:keepNext w:val="0"/>
              <w:keepLines w:val="0"/>
              <w:widowControl w:val="0"/>
              <w:jc w:val="left"/>
            </w:pPr>
            <w:r w:rsidRPr="00D42CFD">
              <w:t>A diagnosable illness that significantly interferes with an individual’s cognitive, emotional and/or social abilities.</w:t>
            </w:r>
          </w:p>
        </w:tc>
      </w:tr>
      <w:tr w:rsidR="0074486B" w:rsidRPr="00D42CFD" w14:paraId="749E093C" w14:textId="77777777" w:rsidTr="004621D7">
        <w:tc>
          <w:tcPr>
            <w:tcW w:w="2410" w:type="dxa"/>
          </w:tcPr>
          <w:p w14:paraId="289D44D1" w14:textId="77777777" w:rsidR="0074486B" w:rsidRPr="00D152ED" w:rsidRDefault="0074486B" w:rsidP="004621D7">
            <w:pPr>
              <w:pStyle w:val="TableBodyText"/>
              <w:jc w:val="left"/>
              <w:rPr>
                <w:b/>
              </w:rPr>
            </w:pPr>
            <w:r w:rsidRPr="00D152ED">
              <w:rPr>
                <w:b/>
              </w:rPr>
              <w:t>National Standards for Mental Health Services (NSMHS)</w:t>
            </w:r>
          </w:p>
        </w:tc>
        <w:tc>
          <w:tcPr>
            <w:tcW w:w="6379" w:type="dxa"/>
          </w:tcPr>
          <w:p w14:paraId="3465C53E" w14:textId="77777777" w:rsidR="0074486B" w:rsidRPr="00D42CFD" w:rsidRDefault="0074486B" w:rsidP="004621D7">
            <w:pPr>
              <w:pStyle w:val="TableBodyText"/>
              <w:jc w:val="left"/>
            </w:pPr>
            <w:r w:rsidRPr="00D42CFD">
              <w:t>Services at level 1 — services reviewed by an external accreditation agency and judged to have met all National Standards.</w:t>
            </w:r>
          </w:p>
          <w:p w14:paraId="3F4CA1A8" w14:textId="77777777" w:rsidR="0074486B" w:rsidRPr="00D42CFD" w:rsidRDefault="0074486B" w:rsidP="004621D7">
            <w:pPr>
              <w:pStyle w:val="TableBodyText"/>
              <w:jc w:val="left"/>
            </w:pPr>
            <w:r w:rsidRPr="00D42CFD">
              <w:t>Services at level 2 — services reviewed by an external accreditation agency and judged to have met some but not all National Standards.</w:t>
            </w:r>
          </w:p>
          <w:p w14:paraId="79E28477" w14:textId="77777777" w:rsidR="0074486B" w:rsidRPr="00D42CFD" w:rsidRDefault="0074486B" w:rsidP="004621D7">
            <w:pPr>
              <w:pStyle w:val="TableBodyText"/>
              <w:jc w:val="left"/>
            </w:pPr>
            <w:r w:rsidRPr="00D42CFD">
              <w:t>Services at level 3 — services (i) in the process of being reviewed by an external accreditation agency but the outcomes are not known, or (ii) booked for review by an external accreditation agency.</w:t>
            </w:r>
          </w:p>
          <w:p w14:paraId="0200D2A7" w14:textId="77777777" w:rsidR="0074486B" w:rsidRPr="00D42CFD" w:rsidRDefault="0074486B" w:rsidP="004621D7">
            <w:pPr>
              <w:pStyle w:val="TableBodyText"/>
              <w:jc w:val="left"/>
            </w:pPr>
            <w:r w:rsidRPr="00D42CFD">
              <w:t xml:space="preserve">Services at level 4 — services that do not meet criteria detailed under levels 1 to 3 </w:t>
            </w:r>
            <w:r>
              <w:t>(AHMC </w:t>
            </w:r>
            <w:r w:rsidRPr="00D42CFD">
              <w:t xml:space="preserve">2010). </w:t>
            </w:r>
          </w:p>
        </w:tc>
      </w:tr>
      <w:tr w:rsidR="0014083B" w:rsidRPr="00D42CFD" w14:paraId="37887ED2" w14:textId="77777777" w:rsidTr="00C55E5E">
        <w:tc>
          <w:tcPr>
            <w:tcW w:w="2410" w:type="dxa"/>
          </w:tcPr>
          <w:p w14:paraId="0A522D52" w14:textId="77777777" w:rsidR="0014083B" w:rsidRPr="00D152ED" w:rsidRDefault="0014083B" w:rsidP="00C55E5E">
            <w:pPr>
              <w:pStyle w:val="TableBodyText"/>
              <w:keepNext w:val="0"/>
              <w:keepLines w:val="0"/>
              <w:widowControl w:val="0"/>
              <w:jc w:val="left"/>
              <w:rPr>
                <w:b/>
              </w:rPr>
            </w:pPr>
            <w:r w:rsidRPr="00D152ED">
              <w:rPr>
                <w:b/>
              </w:rPr>
              <w:t>Non</w:t>
            </w:r>
            <w:r w:rsidRPr="00D152ED">
              <w:rPr>
                <w:b/>
              </w:rPr>
              <w:noBreakHyphen/>
              <w:t xml:space="preserve">acute </w:t>
            </w:r>
            <w:r w:rsidRPr="00D152ED">
              <w:rPr>
                <w:b/>
              </w:rPr>
              <w:br/>
              <w:t xml:space="preserve">services </w:t>
            </w:r>
          </w:p>
        </w:tc>
        <w:tc>
          <w:tcPr>
            <w:tcW w:w="6379" w:type="dxa"/>
          </w:tcPr>
          <w:p w14:paraId="0DA16388" w14:textId="77777777" w:rsidR="0014083B" w:rsidRPr="00D42CFD" w:rsidRDefault="0014083B" w:rsidP="00D152ED">
            <w:pPr>
              <w:pStyle w:val="TableBodyText"/>
              <w:keepNext w:val="0"/>
              <w:keepLines w:val="0"/>
              <w:widowControl w:val="0"/>
              <w:jc w:val="left"/>
            </w:pPr>
            <w:r w:rsidRPr="00D42CFD">
              <w:t>Non</w:t>
            </w:r>
            <w:r w:rsidRPr="00D42CFD">
              <w:noBreakHyphen/>
              <w:t>acute services are defined by two categories:</w:t>
            </w:r>
          </w:p>
          <w:p w14:paraId="0374097D" w14:textId="77777777" w:rsidR="0014083B" w:rsidRPr="00D42CFD" w:rsidRDefault="0014083B" w:rsidP="00D152ED">
            <w:pPr>
              <w:pStyle w:val="TableBullet"/>
              <w:keepNext w:val="0"/>
              <w:keepLines w:val="0"/>
              <w:widowControl w:val="0"/>
            </w:pPr>
            <w:r w:rsidRPr="00D42CFD">
              <w:t>Rehabilitation services that have a primary focus on intervention to reduce functional impairments that limit the independence of patients. Rehabilitation services are focused on disability and the promotion of personal recovery. They are characterised by an expectation of substantial improvement over the short to mid</w:t>
            </w:r>
            <w:r w:rsidRPr="00D42CFD">
              <w:noBreakHyphen/>
              <w:t>term. Patients treated by rehabilitation services usually have a relatively stable pattern of clinical symptoms.</w:t>
            </w:r>
          </w:p>
          <w:p w14:paraId="159CB2EA" w14:textId="77777777" w:rsidR="0014083B" w:rsidRPr="00D42CFD" w:rsidRDefault="0014083B" w:rsidP="00D152ED">
            <w:pPr>
              <w:pStyle w:val="TableBullet"/>
              <w:keepNext w:val="0"/>
              <w:keepLines w:val="0"/>
              <w:widowControl w:val="0"/>
            </w:pPr>
            <w:r w:rsidRPr="00D42CFD">
              <w:t>Extended care services that primarily provide care over an indefinite period for patients who have a stable but severe level of functional impairment and an inability to function independently, thus requiring extensive care and support. Patients of extended care services present a stable pattern of clinical symptoms, which can include high levels of severe unremitting symptoms of mental illness. Treatment is focused on preventing deterioration and reducing impairment; improvement is expected to occur slowly.</w:t>
            </w:r>
          </w:p>
        </w:tc>
      </w:tr>
      <w:tr w:rsidR="0014083B" w:rsidRPr="00D42CFD" w14:paraId="3158903A" w14:textId="77777777" w:rsidTr="00C55E5E">
        <w:tc>
          <w:tcPr>
            <w:tcW w:w="2410" w:type="dxa"/>
          </w:tcPr>
          <w:p w14:paraId="0A760087" w14:textId="77777777" w:rsidR="0014083B" w:rsidRPr="00D152ED" w:rsidRDefault="0014083B" w:rsidP="00A64644">
            <w:pPr>
              <w:pStyle w:val="TableBodyText"/>
              <w:keepNext w:val="0"/>
              <w:keepLines w:val="0"/>
              <w:widowControl w:val="0"/>
              <w:jc w:val="left"/>
              <w:rPr>
                <w:b/>
              </w:rPr>
            </w:pPr>
            <w:r w:rsidRPr="00D152ED">
              <w:rPr>
                <w:b/>
              </w:rPr>
              <w:t>Non</w:t>
            </w:r>
            <w:r w:rsidRPr="00D152ED">
              <w:rPr>
                <w:b/>
              </w:rPr>
              <w:noBreakHyphen/>
              <w:t>government organisations (NGOs)</w:t>
            </w:r>
            <w:r w:rsidRPr="00D152ED">
              <w:rPr>
                <w:b/>
              </w:rPr>
              <w:br/>
            </w:r>
          </w:p>
        </w:tc>
        <w:tc>
          <w:tcPr>
            <w:tcW w:w="6379" w:type="dxa"/>
          </w:tcPr>
          <w:p w14:paraId="6BFF0465" w14:textId="12975740" w:rsidR="0014083B" w:rsidRPr="00D42CFD" w:rsidRDefault="0014083B" w:rsidP="00886E8B">
            <w:pPr>
              <w:pStyle w:val="TableBodyText"/>
              <w:keepNext w:val="0"/>
              <w:keepLines w:val="0"/>
              <w:widowControl w:val="0"/>
              <w:jc w:val="left"/>
            </w:pPr>
            <w:r w:rsidRPr="00D42CFD">
              <w:t>Private not</w:t>
            </w:r>
            <w:r w:rsidRPr="00D42CFD">
              <w:noBreakHyphen/>
              <w:t>for</w:t>
            </w:r>
            <w:r w:rsidRPr="00D42CFD">
              <w:noBreakHyphen/>
              <w:t>profit community managed organisations that receive State and Territory government funding specifically for the purpose of providing community support services for people affected by a mental illness or psychiatric disability. Programs provided by the NGO sector can include supported accommodation services (including community</w:t>
            </w:r>
            <w:r w:rsidRPr="00D42CFD">
              <w:noBreakHyphen/>
              <w:t>based crisis and respite beds), vocational rehabilitation programs, advocacy programs (including system advocacy), consumer self</w:t>
            </w:r>
            <w:r w:rsidRPr="00D42CFD">
              <w:noBreakHyphen/>
              <w:t>help services, and support services for families and primary carers.</w:t>
            </w:r>
          </w:p>
        </w:tc>
      </w:tr>
      <w:tr w:rsidR="0014083B" w:rsidRPr="00D42CFD" w14:paraId="3DDEAFC7" w14:textId="77777777" w:rsidTr="00C55E5E">
        <w:tc>
          <w:tcPr>
            <w:tcW w:w="2410" w:type="dxa"/>
          </w:tcPr>
          <w:p w14:paraId="39FB9B58" w14:textId="1ADB0417" w:rsidR="0014083B" w:rsidRPr="00D152ED" w:rsidRDefault="0014083B" w:rsidP="00F73C9F">
            <w:pPr>
              <w:pStyle w:val="TableBodyText"/>
              <w:keepNext w:val="0"/>
              <w:keepLines w:val="0"/>
              <w:widowControl w:val="0"/>
              <w:jc w:val="left"/>
              <w:rPr>
                <w:b/>
              </w:rPr>
            </w:pPr>
            <w:r w:rsidRPr="00D152ED">
              <w:rPr>
                <w:b/>
              </w:rPr>
              <w:t xml:space="preserve">Older </w:t>
            </w:r>
            <w:r w:rsidR="00F73C9F">
              <w:rPr>
                <w:b/>
              </w:rPr>
              <w:t>persons</w:t>
            </w:r>
            <w:r w:rsidR="00F73C9F" w:rsidRPr="00D152ED">
              <w:rPr>
                <w:b/>
              </w:rPr>
              <w:t xml:space="preserve"> </w:t>
            </w:r>
            <w:r w:rsidRPr="00D152ED">
              <w:rPr>
                <w:b/>
              </w:rPr>
              <w:t>mental health services</w:t>
            </w:r>
          </w:p>
        </w:tc>
        <w:tc>
          <w:tcPr>
            <w:tcW w:w="6379" w:type="dxa"/>
          </w:tcPr>
          <w:p w14:paraId="0483584A" w14:textId="61D77AF1" w:rsidR="0014083B" w:rsidRPr="00D42CFD" w:rsidRDefault="0014083B" w:rsidP="00F73C9F">
            <w:pPr>
              <w:pStyle w:val="TableBodyText"/>
              <w:keepNext w:val="0"/>
              <w:keepLines w:val="0"/>
              <w:widowControl w:val="0"/>
              <w:jc w:val="left"/>
            </w:pPr>
            <w:r w:rsidRPr="00D42CFD">
              <w:t xml:space="preserve">Services principally targeting people in the age group 65 years or over. Classification of services in this category requires recognition by the regional or central funding authority of the special focus of the inpatient service on aged people. These services can include a forensic component. Excludes general mental health services that may treat older people as part of a more general service. </w:t>
            </w:r>
          </w:p>
        </w:tc>
      </w:tr>
      <w:tr w:rsidR="0074486B" w:rsidRPr="00D42CFD" w14:paraId="48666F8A" w14:textId="77777777" w:rsidTr="004621D7">
        <w:tc>
          <w:tcPr>
            <w:tcW w:w="2410" w:type="dxa"/>
          </w:tcPr>
          <w:p w14:paraId="3F8134C4" w14:textId="77777777" w:rsidR="0074486B" w:rsidRPr="00D152ED" w:rsidRDefault="0074486B" w:rsidP="004621D7">
            <w:pPr>
              <w:pStyle w:val="TableBodyText"/>
              <w:keepNext w:val="0"/>
              <w:keepLines w:val="0"/>
              <w:widowControl w:val="0"/>
              <w:jc w:val="left"/>
              <w:rPr>
                <w:b/>
              </w:rPr>
            </w:pPr>
            <w:r w:rsidRPr="00D152ED">
              <w:rPr>
                <w:b/>
              </w:rPr>
              <w:t xml:space="preserve">Outcomes measurement </w:t>
            </w:r>
            <w:r w:rsidRPr="00D152ED">
              <w:rPr>
                <w:rFonts w:ascii="Calibri" w:hAnsi="Calibri"/>
                <w:b/>
              </w:rPr>
              <w:t>—</w:t>
            </w:r>
            <w:r w:rsidRPr="00D152ED">
              <w:rPr>
                <w:b/>
              </w:rPr>
              <w:t xml:space="preserve"> calculating the consumers ‘score’.</w:t>
            </w:r>
          </w:p>
        </w:tc>
        <w:tc>
          <w:tcPr>
            <w:tcW w:w="6379" w:type="dxa"/>
          </w:tcPr>
          <w:p w14:paraId="5AD2146D" w14:textId="77777777" w:rsidR="0074486B" w:rsidRPr="00D42CFD" w:rsidRDefault="0074486B" w:rsidP="004621D7">
            <w:pPr>
              <w:pStyle w:val="TableBodyText"/>
              <w:keepNext w:val="0"/>
              <w:keepLines w:val="0"/>
              <w:widowControl w:val="0"/>
              <w:jc w:val="left"/>
            </w:pPr>
            <w:r w:rsidRPr="00D42CFD">
              <w:t>The assessment of a consumer’s clinical mental health outcomes is based on the changes reported in a consumer’s ‘score’ on a rating scale known as the Health of the Nation Outcomes Scale (HoNOS), or for children and adolescents, the Health of the Nation Outcome Scales for Children and Adolescents (HoNOSCA). Outcome scores are classified based on effect size — a statistic used to assess the magnitude of a treatment effect (AHMC 2012). The effect size is based on the ratio of the difference between the pre</w:t>
            </w:r>
            <w:r w:rsidRPr="00D42CFD">
              <w:noBreakHyphen/>
              <w:t xml:space="preserve"> and post</w:t>
            </w:r>
            <w:r w:rsidRPr="00D42CFD">
              <w:noBreakHyphen/>
              <w:t>scores to the standard deviation of the pre</w:t>
            </w:r>
            <w:r w:rsidRPr="00D42CFD">
              <w:noBreakHyphen/>
              <w:t xml:space="preserve">score. Individual episodes are classified as ‘significant improvement’ if the effect size index is </w:t>
            </w:r>
            <w:r w:rsidRPr="00D42CFD">
              <w:rPr>
                <w:shd w:val="clear" w:color="auto" w:fill="FFFFFF" w:themeFill="background1"/>
              </w:rPr>
              <w:t xml:space="preserve">greater than or equal to positive 0.5; ‘no change’ if the index is between 0.5 and </w:t>
            </w:r>
            <w:r w:rsidRPr="00D42CFD">
              <w:rPr>
                <w:shd w:val="clear" w:color="auto" w:fill="FFFFFF" w:themeFill="background1"/>
              </w:rPr>
              <w:noBreakHyphen/>
              <w:t>0.5; and ‘significant</w:t>
            </w:r>
            <w:r w:rsidRPr="00D42CFD">
              <w:t xml:space="preserve"> deterioration’ if the effect size index is less than or equal to </w:t>
            </w:r>
            <w:r w:rsidRPr="00D42CFD">
              <w:noBreakHyphen/>
              <w:t>0.5 (AHMC 2012)</w:t>
            </w:r>
            <w:r>
              <w:t>.</w:t>
            </w:r>
          </w:p>
        </w:tc>
      </w:tr>
      <w:tr w:rsidR="0014083B" w:rsidRPr="00D42CFD" w14:paraId="6345351C" w14:textId="77777777" w:rsidTr="00C55E5E">
        <w:tc>
          <w:tcPr>
            <w:tcW w:w="2410" w:type="dxa"/>
          </w:tcPr>
          <w:p w14:paraId="230A352B" w14:textId="77777777" w:rsidR="0014083B" w:rsidRPr="00D152ED" w:rsidRDefault="0014083B" w:rsidP="00C55E5E">
            <w:pPr>
              <w:pStyle w:val="TableBodyText"/>
              <w:keepNext w:val="0"/>
              <w:keepLines w:val="0"/>
              <w:widowControl w:val="0"/>
              <w:jc w:val="left"/>
              <w:rPr>
                <w:b/>
              </w:rPr>
            </w:pPr>
            <w:r w:rsidRPr="00D152ED">
              <w:rPr>
                <w:b/>
              </w:rPr>
              <w:t xml:space="preserve">Outpatient services </w:t>
            </w:r>
            <w:r w:rsidRPr="00D152ED">
              <w:rPr>
                <w:b/>
              </w:rPr>
              <w:br/>
              <w:t xml:space="preserve"> — community</w:t>
            </w:r>
            <w:r w:rsidRPr="00D152ED">
              <w:rPr>
                <w:b/>
              </w:rPr>
              <w:noBreakHyphen/>
              <w:t>based</w:t>
            </w:r>
          </w:p>
        </w:tc>
        <w:tc>
          <w:tcPr>
            <w:tcW w:w="6379" w:type="dxa"/>
          </w:tcPr>
          <w:p w14:paraId="59A67E39" w14:textId="77777777" w:rsidR="0014083B" w:rsidRPr="00D42CFD" w:rsidRDefault="0014083B" w:rsidP="00D152ED">
            <w:pPr>
              <w:pStyle w:val="TableBodyText"/>
              <w:keepNext w:val="0"/>
              <w:keepLines w:val="0"/>
              <w:widowControl w:val="0"/>
              <w:jc w:val="left"/>
            </w:pPr>
            <w:r w:rsidRPr="00D42CFD">
              <w:t>Services primarily provided to non</w:t>
            </w:r>
            <w:r w:rsidRPr="00D42CFD">
              <w:noBreakHyphen/>
              <w:t>admitted patients on an appointment basis and delivered from health centres located in community settings, physically separated within hospital sites. They can include outreach or domiciliary care as an adjunct to services provided from the centre base.</w:t>
            </w:r>
          </w:p>
        </w:tc>
      </w:tr>
      <w:tr w:rsidR="0014083B" w:rsidRPr="00D42CFD" w14:paraId="42309D13" w14:textId="77777777" w:rsidTr="00C55E5E">
        <w:tc>
          <w:tcPr>
            <w:tcW w:w="2410" w:type="dxa"/>
          </w:tcPr>
          <w:p w14:paraId="71135C4B" w14:textId="77777777" w:rsidR="0014083B" w:rsidRPr="00D152ED" w:rsidRDefault="0014083B" w:rsidP="00C55E5E">
            <w:pPr>
              <w:pStyle w:val="TableBodyText"/>
              <w:keepNext w:val="0"/>
              <w:keepLines w:val="0"/>
              <w:widowControl w:val="0"/>
              <w:jc w:val="left"/>
              <w:rPr>
                <w:b/>
              </w:rPr>
            </w:pPr>
            <w:r w:rsidRPr="00D152ED">
              <w:rPr>
                <w:b/>
              </w:rPr>
              <w:t xml:space="preserve">Outpatient services </w:t>
            </w:r>
            <w:r w:rsidRPr="00D152ED">
              <w:rPr>
                <w:b/>
              </w:rPr>
              <w:br/>
              <w:t xml:space="preserve"> — hospital</w:t>
            </w:r>
            <w:r w:rsidRPr="00D152ED">
              <w:rPr>
                <w:b/>
              </w:rPr>
              <w:noBreakHyphen/>
              <w:t>based</w:t>
            </w:r>
          </w:p>
        </w:tc>
        <w:tc>
          <w:tcPr>
            <w:tcW w:w="6379" w:type="dxa"/>
          </w:tcPr>
          <w:p w14:paraId="0EC8A362" w14:textId="77777777" w:rsidR="0014083B" w:rsidRPr="00D42CFD" w:rsidRDefault="0014083B" w:rsidP="00D152ED">
            <w:pPr>
              <w:pStyle w:val="TableBodyText"/>
              <w:keepNext w:val="0"/>
              <w:keepLines w:val="0"/>
              <w:widowControl w:val="0"/>
              <w:jc w:val="left"/>
            </w:pPr>
            <w:r w:rsidRPr="00D42CFD">
              <w:t>Services primarily provided to non</w:t>
            </w:r>
            <w:r w:rsidRPr="00D42CFD">
              <w:noBreakHyphen/>
              <w:t>admitted patients on an appointment basis and delivered from clinics located within hospitals. They can include outreach or domiciliary care as an adjunct to services provided from the clinic base.</w:t>
            </w:r>
          </w:p>
        </w:tc>
      </w:tr>
    </w:tbl>
    <w:p w14:paraId="68F53767" w14:textId="77777777" w:rsidR="009F5387" w:rsidRDefault="009F5387">
      <w:r>
        <w:br w:type="page"/>
      </w:r>
    </w:p>
    <w:tbl>
      <w:tblPr>
        <w:tblW w:w="0" w:type="auto"/>
        <w:tblLayout w:type="fixed"/>
        <w:tblCellMar>
          <w:left w:w="0" w:type="dxa"/>
          <w:right w:w="0" w:type="dxa"/>
        </w:tblCellMar>
        <w:tblLook w:val="0000" w:firstRow="0" w:lastRow="0" w:firstColumn="0" w:lastColumn="0" w:noHBand="0" w:noVBand="0"/>
      </w:tblPr>
      <w:tblGrid>
        <w:gridCol w:w="2410"/>
        <w:gridCol w:w="6379"/>
      </w:tblGrid>
      <w:tr w:rsidR="0014083B" w:rsidRPr="00D42CFD" w14:paraId="57645A87" w14:textId="77777777" w:rsidTr="00C55E5E">
        <w:tc>
          <w:tcPr>
            <w:tcW w:w="2410" w:type="dxa"/>
          </w:tcPr>
          <w:p w14:paraId="6DA1CBC9" w14:textId="6683CA4F" w:rsidR="0014083B" w:rsidRPr="00D152ED" w:rsidRDefault="0014083B" w:rsidP="00C55E5E">
            <w:pPr>
              <w:pStyle w:val="TableBodyText"/>
              <w:keepNext w:val="0"/>
              <w:keepLines w:val="0"/>
              <w:widowControl w:val="0"/>
              <w:jc w:val="left"/>
              <w:rPr>
                <w:b/>
              </w:rPr>
            </w:pPr>
            <w:r w:rsidRPr="00D152ED">
              <w:rPr>
                <w:b/>
              </w:rPr>
              <w:lastRenderedPageBreak/>
              <w:t>Prevalence</w:t>
            </w:r>
          </w:p>
        </w:tc>
        <w:tc>
          <w:tcPr>
            <w:tcW w:w="6379" w:type="dxa"/>
          </w:tcPr>
          <w:p w14:paraId="7313BDC6" w14:textId="77777777" w:rsidR="0014083B" w:rsidRPr="00D42CFD" w:rsidRDefault="0014083B" w:rsidP="00D152ED">
            <w:pPr>
              <w:pStyle w:val="TableBodyText"/>
              <w:keepNext w:val="0"/>
              <w:keepLines w:val="0"/>
              <w:widowControl w:val="0"/>
              <w:jc w:val="left"/>
            </w:pPr>
            <w:r w:rsidRPr="00D42CFD">
              <w:t>The number of cases of a disease present in a population at a given time (point prevalence) or during a given period (period prevalence).</w:t>
            </w:r>
          </w:p>
        </w:tc>
      </w:tr>
      <w:tr w:rsidR="0014083B" w:rsidRPr="00D42CFD" w14:paraId="0C686DC2" w14:textId="77777777" w:rsidTr="00C55E5E">
        <w:tc>
          <w:tcPr>
            <w:tcW w:w="2410" w:type="dxa"/>
          </w:tcPr>
          <w:p w14:paraId="3FF1C1CA" w14:textId="77777777" w:rsidR="0014083B" w:rsidRPr="00D152ED" w:rsidRDefault="0014083B" w:rsidP="00C55E5E">
            <w:pPr>
              <w:pStyle w:val="TableBodyText"/>
              <w:keepNext w:val="0"/>
              <w:keepLines w:val="0"/>
              <w:widowControl w:val="0"/>
              <w:jc w:val="left"/>
              <w:rPr>
                <w:b/>
              </w:rPr>
            </w:pPr>
            <w:r w:rsidRPr="00D152ED">
              <w:rPr>
                <w:b/>
              </w:rPr>
              <w:t>Preventive interventions</w:t>
            </w:r>
          </w:p>
        </w:tc>
        <w:tc>
          <w:tcPr>
            <w:tcW w:w="6379" w:type="dxa"/>
          </w:tcPr>
          <w:p w14:paraId="38A42691" w14:textId="77777777" w:rsidR="0014083B" w:rsidRPr="00D42CFD" w:rsidRDefault="0014083B" w:rsidP="00D152ED">
            <w:pPr>
              <w:pStyle w:val="TableBodyText"/>
              <w:keepNext w:val="0"/>
              <w:keepLines w:val="0"/>
              <w:widowControl w:val="0"/>
              <w:jc w:val="left"/>
            </w:pPr>
            <w:r w:rsidRPr="00D42CFD">
              <w:t>Programs designed to decrease the incidence, prevalence and negative outcomes of illnesses.</w:t>
            </w:r>
          </w:p>
        </w:tc>
      </w:tr>
      <w:tr w:rsidR="0074486B" w:rsidRPr="00D42CFD" w14:paraId="4FDF6214" w14:textId="77777777" w:rsidTr="004621D7">
        <w:tc>
          <w:tcPr>
            <w:tcW w:w="2410" w:type="dxa"/>
            <w:shd w:val="clear" w:color="auto" w:fill="FFFFFF" w:themeFill="background1"/>
          </w:tcPr>
          <w:p w14:paraId="484A5879" w14:textId="77777777" w:rsidR="0074486B" w:rsidRPr="00D152ED" w:rsidRDefault="0074486B" w:rsidP="004621D7">
            <w:pPr>
              <w:pStyle w:val="TableBodyText"/>
              <w:keepNext w:val="0"/>
              <w:keepLines w:val="0"/>
              <w:widowControl w:val="0"/>
              <w:jc w:val="left"/>
              <w:rPr>
                <w:b/>
              </w:rPr>
            </w:pPr>
            <w:r w:rsidRPr="00D152ED">
              <w:rPr>
                <w:b/>
              </w:rPr>
              <w:t>Psychiatric</w:t>
            </w:r>
            <w:r w:rsidRPr="00D152ED">
              <w:rPr>
                <w:b/>
              </w:rPr>
              <w:br/>
              <w:t>hospitals</w:t>
            </w:r>
          </w:p>
        </w:tc>
        <w:tc>
          <w:tcPr>
            <w:tcW w:w="6379" w:type="dxa"/>
            <w:shd w:val="clear" w:color="auto" w:fill="FFFFFF" w:themeFill="background1"/>
          </w:tcPr>
          <w:p w14:paraId="6730E602" w14:textId="77777777" w:rsidR="0074486B" w:rsidRPr="00D42CFD" w:rsidRDefault="0074486B" w:rsidP="004621D7">
            <w:pPr>
              <w:pStyle w:val="TableBodyText"/>
              <w:keepNext w:val="0"/>
              <w:keepLines w:val="0"/>
              <w:widowControl w:val="0"/>
              <w:jc w:val="left"/>
            </w:pPr>
            <w:r w:rsidRPr="00D42CFD">
              <w:t>Health establishments that are primarily devoted to the treatment and care of inpatients with psychiatric, mental or behavioural disorders, and that are situated at physically separate locations from a general hospital. Stand</w:t>
            </w:r>
            <w:r w:rsidRPr="00D42CFD">
              <w:noBreakHyphen/>
              <w:t>alone hospitals may or may not be managed by the mainstream health system. Psychiatric hospitals situated at physically separate locations from a general hospital are included within the ‘stand</w:t>
            </w:r>
            <w:r w:rsidRPr="00D42CFD">
              <w:noBreakHyphen/>
              <w:t>alone’ category regardless of whether they are under the management control of a general hospital. A health establishment that operates in a separate building but is located on, or immediately adjoining, the acute care hospital campus can also be a stand</w:t>
            </w:r>
            <w:r w:rsidRPr="00D42CFD">
              <w:noBreakHyphen/>
              <w:t>alone hospitals if the following criteria are not met:</w:t>
            </w:r>
          </w:p>
          <w:p w14:paraId="59F4C293" w14:textId="77777777" w:rsidR="0074486B" w:rsidRPr="00D42CFD" w:rsidRDefault="0074486B" w:rsidP="004621D7">
            <w:pPr>
              <w:pStyle w:val="TableBullet"/>
              <w:keepNext w:val="0"/>
              <w:keepLines w:val="0"/>
              <w:widowControl w:val="0"/>
              <w:shd w:val="clear" w:color="auto" w:fill="FFFFFF" w:themeFill="background1"/>
            </w:pPr>
            <w:r w:rsidRPr="00D42CFD">
              <w:t xml:space="preserve">a single organisational or management structure covers the acute care hospital and the psychiatric hospital </w:t>
            </w:r>
          </w:p>
          <w:p w14:paraId="1DD9782B" w14:textId="77777777" w:rsidR="0074486B" w:rsidRPr="00D42CFD" w:rsidRDefault="0074486B" w:rsidP="004621D7">
            <w:pPr>
              <w:pStyle w:val="TableBullet"/>
              <w:keepNext w:val="0"/>
              <w:keepLines w:val="0"/>
              <w:widowControl w:val="0"/>
              <w:shd w:val="clear" w:color="auto" w:fill="FFFFFF" w:themeFill="background1"/>
            </w:pPr>
            <w:r w:rsidRPr="00D42CFD">
              <w:t>a single employer covers the staff of the acute care hospital and the psychiatric hospital</w:t>
            </w:r>
          </w:p>
          <w:p w14:paraId="3AE3B947" w14:textId="77777777" w:rsidR="0074486B" w:rsidRPr="00D42CFD" w:rsidRDefault="0074486B" w:rsidP="004621D7">
            <w:pPr>
              <w:pStyle w:val="TableBullet"/>
              <w:keepNext w:val="0"/>
              <w:keepLines w:val="0"/>
              <w:widowControl w:val="0"/>
              <w:shd w:val="clear" w:color="auto" w:fill="FFFFFF" w:themeFill="background1"/>
            </w:pPr>
            <w:r w:rsidRPr="00D42CFD">
              <w:t xml:space="preserve">the location of the acute care hospital and psychiatric hospital can be regarded as part of a single overall hospital campus </w:t>
            </w:r>
          </w:p>
          <w:p w14:paraId="4D47A059" w14:textId="77777777" w:rsidR="0074486B" w:rsidRPr="00D42CFD" w:rsidRDefault="0074486B" w:rsidP="004621D7">
            <w:pPr>
              <w:pStyle w:val="TableBullet"/>
              <w:keepNext w:val="0"/>
              <w:keepLines w:val="0"/>
              <w:widowControl w:val="0"/>
              <w:shd w:val="clear" w:color="auto" w:fill="FFFFFF" w:themeFill="background1"/>
            </w:pPr>
            <w:r w:rsidRPr="00D42CFD">
              <w:t>the patients of the psychiatric hospital are regarded as patients of the single integrated health service.</w:t>
            </w:r>
          </w:p>
        </w:tc>
      </w:tr>
      <w:tr w:rsidR="0014083B" w:rsidRPr="00D42CFD" w14:paraId="72B14697" w14:textId="77777777" w:rsidTr="00C55E5E">
        <w:tc>
          <w:tcPr>
            <w:tcW w:w="2410" w:type="dxa"/>
          </w:tcPr>
          <w:p w14:paraId="1D47603B" w14:textId="77777777" w:rsidR="0014083B" w:rsidRPr="00D152ED" w:rsidRDefault="0014083B" w:rsidP="00C55E5E">
            <w:pPr>
              <w:pStyle w:val="TableBodyText"/>
              <w:keepNext w:val="0"/>
              <w:keepLines w:val="0"/>
              <w:widowControl w:val="0"/>
              <w:jc w:val="left"/>
              <w:rPr>
                <w:b/>
              </w:rPr>
            </w:pPr>
            <w:r w:rsidRPr="00D152ED">
              <w:rPr>
                <w:b/>
              </w:rPr>
              <w:t>Psychiatrist</w:t>
            </w:r>
          </w:p>
        </w:tc>
        <w:tc>
          <w:tcPr>
            <w:tcW w:w="6379" w:type="dxa"/>
          </w:tcPr>
          <w:p w14:paraId="5643661D" w14:textId="77777777" w:rsidR="0014083B" w:rsidRPr="00D42CFD" w:rsidRDefault="0014083B" w:rsidP="00D152ED">
            <w:pPr>
              <w:pStyle w:val="TableBodyText"/>
              <w:keepNext w:val="0"/>
              <w:keepLines w:val="0"/>
              <w:widowControl w:val="0"/>
              <w:jc w:val="left"/>
            </w:pPr>
            <w:r w:rsidRPr="00D42CFD">
              <w:t>A medical practitioner with specialist training in psychiatry.</w:t>
            </w:r>
          </w:p>
        </w:tc>
      </w:tr>
      <w:tr w:rsidR="0014083B" w:rsidRPr="00D42CFD" w14:paraId="645CBA97" w14:textId="77777777" w:rsidTr="00B0676C">
        <w:trPr>
          <w:cantSplit/>
        </w:trPr>
        <w:tc>
          <w:tcPr>
            <w:tcW w:w="2410" w:type="dxa"/>
          </w:tcPr>
          <w:p w14:paraId="15EE09D1" w14:textId="77777777" w:rsidR="0014083B" w:rsidRPr="00D152ED" w:rsidRDefault="0014083B" w:rsidP="00C55E5E">
            <w:pPr>
              <w:pStyle w:val="TableBodyText"/>
              <w:keepNext w:val="0"/>
              <w:keepLines w:val="0"/>
              <w:widowControl w:val="0"/>
              <w:jc w:val="left"/>
              <w:rPr>
                <w:b/>
              </w:rPr>
            </w:pPr>
            <w:r w:rsidRPr="00D152ED">
              <w:rPr>
                <w:b/>
              </w:rPr>
              <w:t>Public health</w:t>
            </w:r>
          </w:p>
          <w:p w14:paraId="67FB4D3F" w14:textId="77777777" w:rsidR="0014083B" w:rsidRPr="00D152ED" w:rsidRDefault="0014083B" w:rsidP="00C55E5E">
            <w:pPr>
              <w:pStyle w:val="TableBodyText"/>
              <w:keepNext w:val="0"/>
              <w:keepLines w:val="0"/>
              <w:widowControl w:val="0"/>
              <w:jc w:val="left"/>
              <w:rPr>
                <w:b/>
              </w:rPr>
            </w:pPr>
          </w:p>
        </w:tc>
        <w:tc>
          <w:tcPr>
            <w:tcW w:w="6379" w:type="dxa"/>
          </w:tcPr>
          <w:p w14:paraId="2ECF5E2D" w14:textId="77777777" w:rsidR="0014083B" w:rsidRPr="00D42CFD" w:rsidRDefault="0014083B" w:rsidP="00D152ED">
            <w:pPr>
              <w:pStyle w:val="TableBodyText"/>
              <w:keepNext w:val="0"/>
              <w:keepLines w:val="0"/>
              <w:widowControl w:val="0"/>
              <w:jc w:val="left"/>
            </w:pPr>
            <w:r w:rsidRPr="00D42CFD">
              <w:t>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particular at</w:t>
            </w:r>
            <w:r w:rsidRPr="00D42CFD">
              <w:noBreakHyphen/>
              <w:t>risk groups) and complements clinical provision of health care services.</w:t>
            </w:r>
          </w:p>
        </w:tc>
      </w:tr>
      <w:tr w:rsidR="0014083B" w:rsidRPr="00D42CFD" w14:paraId="23D368CF" w14:textId="77777777" w:rsidTr="00C55E5E">
        <w:tc>
          <w:tcPr>
            <w:tcW w:w="2410" w:type="dxa"/>
          </w:tcPr>
          <w:p w14:paraId="546F0F51" w14:textId="77777777" w:rsidR="0014083B" w:rsidRPr="00D152ED" w:rsidRDefault="0014083B" w:rsidP="00C55E5E">
            <w:pPr>
              <w:pStyle w:val="TableBodyText"/>
              <w:keepNext w:val="0"/>
              <w:keepLines w:val="0"/>
              <w:widowControl w:val="0"/>
              <w:jc w:val="left"/>
              <w:rPr>
                <w:b/>
              </w:rPr>
            </w:pPr>
            <w:r w:rsidRPr="00D152ED">
              <w:rPr>
                <w:b/>
              </w:rPr>
              <w:t>Public (non</w:t>
            </w:r>
            <w:r w:rsidRPr="00D152ED">
              <w:rPr>
                <w:b/>
              </w:rPr>
              <w:noBreakHyphen/>
              <w:t>psychiatric) hospital</w:t>
            </w:r>
          </w:p>
        </w:tc>
        <w:tc>
          <w:tcPr>
            <w:tcW w:w="6379" w:type="dxa"/>
          </w:tcPr>
          <w:p w14:paraId="43AB75CF" w14:textId="77777777" w:rsidR="0014083B" w:rsidRPr="00D42CFD" w:rsidRDefault="0014083B" w:rsidP="00D152ED">
            <w:pPr>
              <w:pStyle w:val="TableBodyText"/>
              <w:keepNext w:val="0"/>
              <w:keepLines w:val="0"/>
              <w:widowControl w:val="0"/>
              <w:jc w:val="left"/>
            </w:pPr>
            <w:r w:rsidRPr="00D42CFD">
              <w:t>A hospital that provides at least minimum medical, surgical or obstetric services for inpatient treatment and/or care, and around</w:t>
            </w:r>
            <w:r w:rsidRPr="00D42CFD">
              <w:noBreakHyphen/>
              <w:t>the</w:t>
            </w:r>
            <w:r w:rsidRPr="00D42CFD">
              <w:noBreakHyphen/>
              <w:t>clock, comprehensive, qualified nursing services, as well as other necessary professional services.</w:t>
            </w:r>
          </w:p>
        </w:tc>
      </w:tr>
      <w:tr w:rsidR="002C41BE" w:rsidRPr="00D42CFD" w14:paraId="724DDF74" w14:textId="77777777" w:rsidTr="0061119E">
        <w:tc>
          <w:tcPr>
            <w:tcW w:w="2410" w:type="dxa"/>
            <w:shd w:val="clear" w:color="auto" w:fill="auto"/>
          </w:tcPr>
          <w:p w14:paraId="26F13060" w14:textId="5E6D6F9D" w:rsidR="002C41BE" w:rsidRPr="00D152ED" w:rsidRDefault="002C41BE" w:rsidP="00C55E5E">
            <w:pPr>
              <w:pStyle w:val="TableBodyText"/>
              <w:keepNext w:val="0"/>
              <w:keepLines w:val="0"/>
              <w:widowControl w:val="0"/>
              <w:jc w:val="left"/>
              <w:rPr>
                <w:b/>
              </w:rPr>
            </w:pPr>
            <w:r w:rsidRPr="002C41BE">
              <w:rPr>
                <w:b/>
              </w:rPr>
              <w:t>Restraint</w:t>
            </w:r>
          </w:p>
        </w:tc>
        <w:tc>
          <w:tcPr>
            <w:tcW w:w="6379" w:type="dxa"/>
            <w:shd w:val="clear" w:color="auto" w:fill="auto"/>
          </w:tcPr>
          <w:p w14:paraId="0DD9A9A5" w14:textId="0E6457EC" w:rsidR="002C41BE" w:rsidRPr="00D42CFD" w:rsidRDefault="002C41BE" w:rsidP="00D152ED">
            <w:pPr>
              <w:pStyle w:val="TableBodyText"/>
              <w:keepNext w:val="0"/>
              <w:keepLines w:val="0"/>
              <w:widowControl w:val="0"/>
              <w:jc w:val="left"/>
            </w:pPr>
            <w:r>
              <w:t>T</w:t>
            </w:r>
            <w:r w:rsidRPr="002C41BE">
              <w:t>he restriction of an individual’s freedom of movement by physical or mechanical means.</w:t>
            </w:r>
          </w:p>
        </w:tc>
      </w:tr>
      <w:tr w:rsidR="0014083B" w:rsidRPr="00D42CFD" w14:paraId="4E749385" w14:textId="77777777" w:rsidTr="00C55E5E">
        <w:tc>
          <w:tcPr>
            <w:tcW w:w="2410" w:type="dxa"/>
          </w:tcPr>
          <w:p w14:paraId="0068822D" w14:textId="77777777" w:rsidR="0014083B" w:rsidRPr="00D152ED" w:rsidRDefault="0014083B" w:rsidP="00C55E5E">
            <w:pPr>
              <w:pStyle w:val="TableBodyText"/>
              <w:keepNext w:val="0"/>
              <w:keepLines w:val="0"/>
              <w:widowControl w:val="0"/>
              <w:jc w:val="left"/>
              <w:rPr>
                <w:b/>
              </w:rPr>
            </w:pPr>
            <w:r w:rsidRPr="00D152ED">
              <w:rPr>
                <w:b/>
              </w:rPr>
              <w:t>Schizophrenia</w:t>
            </w:r>
          </w:p>
        </w:tc>
        <w:tc>
          <w:tcPr>
            <w:tcW w:w="6379" w:type="dxa"/>
          </w:tcPr>
          <w:p w14:paraId="4456BBEF" w14:textId="77777777" w:rsidR="0014083B" w:rsidRPr="00D42CFD" w:rsidRDefault="0014083B" w:rsidP="00D152ED">
            <w:pPr>
              <w:pStyle w:val="TableBodyText"/>
              <w:keepNext w:val="0"/>
              <w:keepLines w:val="0"/>
              <w:widowControl w:val="0"/>
              <w:jc w:val="left"/>
            </w:pPr>
            <w:r w:rsidRPr="00D42CFD">
              <w:t>A combination of signs and symptoms that can include delusions, hallucinations, disorganised speech or behaviour, a flattening in emotions, and restrictions in thought, speech and goal directed behaviour.</w:t>
            </w:r>
          </w:p>
        </w:tc>
      </w:tr>
      <w:tr w:rsidR="0014083B" w:rsidRPr="00D42CFD" w14:paraId="6B505328" w14:textId="77777777" w:rsidTr="00C55E5E">
        <w:tc>
          <w:tcPr>
            <w:tcW w:w="2410" w:type="dxa"/>
          </w:tcPr>
          <w:p w14:paraId="694C396B" w14:textId="77777777" w:rsidR="0014083B" w:rsidRPr="00D152ED" w:rsidRDefault="0014083B" w:rsidP="00C55E5E">
            <w:pPr>
              <w:pStyle w:val="TableBodyText"/>
              <w:keepNext w:val="0"/>
              <w:keepLines w:val="0"/>
              <w:widowControl w:val="0"/>
              <w:jc w:val="left"/>
              <w:rPr>
                <w:b/>
              </w:rPr>
            </w:pPr>
            <w:r w:rsidRPr="00D152ED">
              <w:rPr>
                <w:b/>
              </w:rPr>
              <w:t>Seclusion</w:t>
            </w:r>
          </w:p>
        </w:tc>
        <w:tc>
          <w:tcPr>
            <w:tcW w:w="6379" w:type="dxa"/>
          </w:tcPr>
          <w:p w14:paraId="2C43B17D" w14:textId="77777777" w:rsidR="0014083B" w:rsidRPr="00D42CFD" w:rsidRDefault="0014083B" w:rsidP="00D152ED">
            <w:pPr>
              <w:pStyle w:val="TableBodyText"/>
              <w:keepNext w:val="0"/>
              <w:keepLines w:val="0"/>
              <w:widowControl w:val="0"/>
              <w:jc w:val="left"/>
            </w:pPr>
            <w:r w:rsidRPr="00D42CFD">
              <w:t>Seclusion is the confinement of the consumer at any time of the day or night alone in a room or area from which free exit is prevented. The intended purpose of the confinement is not relevant in determining what is or is not seclusion. Seclusion applies even if the consumer agrees or requests the confinement (NMHPSC 2011b).</w:t>
            </w:r>
          </w:p>
          <w:p w14:paraId="3BFCC64D" w14:textId="77777777" w:rsidR="0014083B" w:rsidRPr="00D42CFD" w:rsidRDefault="0014083B" w:rsidP="00D152ED">
            <w:pPr>
              <w:pStyle w:val="TableBodyText"/>
              <w:keepNext w:val="0"/>
              <w:keepLines w:val="0"/>
              <w:widowControl w:val="0"/>
              <w:jc w:val="left"/>
            </w:pPr>
            <w:r w:rsidRPr="00D42CFD">
              <w:t>The awareness of the consumer that they are confined alone and denied exit is not relevant in determining what is or is not seclusion. The structure and dimensions of the area to which the consumer is confined is not relevant in determining what is or is not seclusion. The area may be an open area, for example, a courtyard. Seclusion does not include confinement of consumers to High Dependency sections of gazetted mental health units, unless it meets the definition (AIHW 2015).</w:t>
            </w:r>
          </w:p>
        </w:tc>
      </w:tr>
      <w:tr w:rsidR="0014083B" w:rsidRPr="00D42CFD" w14:paraId="1876F851" w14:textId="77777777" w:rsidTr="00C55E5E">
        <w:tc>
          <w:tcPr>
            <w:tcW w:w="2410" w:type="dxa"/>
          </w:tcPr>
          <w:p w14:paraId="039327E9" w14:textId="77777777" w:rsidR="0014083B" w:rsidRPr="00D152ED" w:rsidRDefault="0014083B" w:rsidP="00C55E5E">
            <w:pPr>
              <w:pStyle w:val="TableBodyText"/>
              <w:keepNext w:val="0"/>
              <w:keepLines w:val="0"/>
              <w:widowControl w:val="0"/>
              <w:jc w:val="left"/>
              <w:rPr>
                <w:b/>
              </w:rPr>
            </w:pPr>
            <w:r w:rsidRPr="00D152ED">
              <w:rPr>
                <w:b/>
              </w:rPr>
              <w:t>Seclusion event</w:t>
            </w:r>
          </w:p>
        </w:tc>
        <w:tc>
          <w:tcPr>
            <w:tcW w:w="6379" w:type="dxa"/>
          </w:tcPr>
          <w:p w14:paraId="3F6ECB38" w14:textId="77777777" w:rsidR="0014083B" w:rsidRPr="00D42CFD" w:rsidRDefault="0014083B" w:rsidP="00D152ED">
            <w:pPr>
              <w:pStyle w:val="TableBodyText"/>
              <w:keepNext w:val="0"/>
              <w:keepLines w:val="0"/>
              <w:widowControl w:val="0"/>
              <w:jc w:val="left"/>
            </w:pPr>
            <w:r w:rsidRPr="00D42CFD">
              <w:t>An event is when a consumer enters seclusion and when there is a clinical decision to cease seclusion. Following the clinical decision to cease seclusion, if a consumer re</w:t>
            </w:r>
            <w:r w:rsidRPr="00D42CFD">
              <w:noBreakHyphen/>
              <w:t>enters seclusion within a short period of time this would be considered a new seclusion event. The term ‘seclusion event’ is utilised to differentiate it from the different definitions of ‘seclusion episode’ used across jurisdictions (NMHPSC 2011b).</w:t>
            </w:r>
          </w:p>
        </w:tc>
      </w:tr>
      <w:tr w:rsidR="00D42CFD" w:rsidRPr="00D42CFD" w14:paraId="51A98856" w14:textId="77777777" w:rsidTr="00DF478F">
        <w:tc>
          <w:tcPr>
            <w:tcW w:w="2410" w:type="dxa"/>
          </w:tcPr>
          <w:p w14:paraId="2720EE27" w14:textId="77777777" w:rsidR="00D42CFD" w:rsidRPr="00D152ED" w:rsidRDefault="00D42CFD" w:rsidP="00DF478F">
            <w:pPr>
              <w:pStyle w:val="TableBodyText"/>
              <w:keepNext w:val="0"/>
              <w:keepLines w:val="0"/>
              <w:widowControl w:val="0"/>
              <w:jc w:val="left"/>
              <w:rPr>
                <w:b/>
              </w:rPr>
            </w:pPr>
            <w:r w:rsidRPr="00D152ED">
              <w:rPr>
                <w:b/>
              </w:rPr>
              <w:t>Separation</w:t>
            </w:r>
          </w:p>
        </w:tc>
        <w:tc>
          <w:tcPr>
            <w:tcW w:w="6379" w:type="dxa"/>
          </w:tcPr>
          <w:p w14:paraId="355D26E2" w14:textId="3DCBFBE1" w:rsidR="00D42CFD" w:rsidRPr="00D42CFD" w:rsidRDefault="00D42CFD" w:rsidP="00D152ED">
            <w:pPr>
              <w:pStyle w:val="TableBodyText"/>
              <w:keepNext w:val="0"/>
              <w:keepLines w:val="0"/>
              <w:widowControl w:val="0"/>
              <w:jc w:val="left"/>
            </w:pPr>
            <w:r w:rsidRPr="00D42CFD">
              <w:t xml:space="preserve">An episode of care for an admitted patient, which can be a total hospital stay, or a portion of a hospital stay beginning or ending in a change of type of care (for example, from acute to rehabilitation). Separation also means the process by which an admitted patient completes an episode of care. </w:t>
            </w:r>
            <w:r w:rsidR="009F5387">
              <w:br/>
            </w:r>
          </w:p>
        </w:tc>
      </w:tr>
      <w:tr w:rsidR="0014083B" w:rsidRPr="00D42CFD" w14:paraId="7A4E27DE" w14:textId="77777777" w:rsidTr="00C55E5E">
        <w:tc>
          <w:tcPr>
            <w:tcW w:w="2410" w:type="dxa"/>
          </w:tcPr>
          <w:p w14:paraId="6FE03C15" w14:textId="6FDA8C0E" w:rsidR="0014083B" w:rsidRPr="00D152ED" w:rsidRDefault="009F5387" w:rsidP="00C55E5E">
            <w:pPr>
              <w:pStyle w:val="TableBodyText"/>
              <w:keepNext w:val="0"/>
              <w:keepLines w:val="0"/>
              <w:widowControl w:val="0"/>
              <w:jc w:val="left"/>
              <w:rPr>
                <w:b/>
              </w:rPr>
            </w:pPr>
            <w:r>
              <w:rPr>
                <w:rFonts w:ascii="Times New Roman" w:hAnsi="Times New Roman"/>
                <w:sz w:val="24"/>
                <w:szCs w:val="24"/>
              </w:rPr>
              <w:lastRenderedPageBreak/>
              <w:br w:type="page"/>
            </w:r>
            <w:r w:rsidR="0014083B" w:rsidRPr="00D152ED">
              <w:rPr>
                <w:b/>
              </w:rPr>
              <w:t>Specialised mental health inpatient services</w:t>
            </w:r>
          </w:p>
        </w:tc>
        <w:tc>
          <w:tcPr>
            <w:tcW w:w="6379" w:type="dxa"/>
          </w:tcPr>
          <w:p w14:paraId="086DE09A" w14:textId="77777777" w:rsidR="0014083B" w:rsidRPr="00D42CFD" w:rsidRDefault="0014083B" w:rsidP="00D152ED">
            <w:pPr>
              <w:pStyle w:val="TableBodyText"/>
              <w:keepNext w:val="0"/>
              <w:keepLines w:val="0"/>
              <w:widowControl w:val="0"/>
              <w:jc w:val="left"/>
            </w:pPr>
            <w:r w:rsidRPr="00D42CFD">
              <w:t>Services provided to admitted patients in stand</w:t>
            </w:r>
            <w:r w:rsidRPr="00D42CFD">
              <w:noBreakHyphen/>
              <w:t>alone psychiatric hospitals or specialised psychiatric units located within general hospitals.</w:t>
            </w:r>
          </w:p>
        </w:tc>
      </w:tr>
      <w:tr w:rsidR="0014083B" w:rsidRPr="00D42CFD" w14:paraId="6A4E41ED" w14:textId="77777777" w:rsidTr="00C55E5E">
        <w:tc>
          <w:tcPr>
            <w:tcW w:w="2410" w:type="dxa"/>
          </w:tcPr>
          <w:p w14:paraId="235C6B22" w14:textId="77777777" w:rsidR="0014083B" w:rsidRPr="00D152ED" w:rsidRDefault="0014083B" w:rsidP="00C55E5E">
            <w:pPr>
              <w:pStyle w:val="TableBodyText"/>
              <w:keepNext w:val="0"/>
              <w:keepLines w:val="0"/>
              <w:widowControl w:val="0"/>
              <w:jc w:val="left"/>
              <w:rPr>
                <w:b/>
              </w:rPr>
            </w:pPr>
            <w:r w:rsidRPr="00D152ED">
              <w:rPr>
                <w:b/>
              </w:rPr>
              <w:t>Specialised mental health services</w:t>
            </w:r>
          </w:p>
        </w:tc>
        <w:tc>
          <w:tcPr>
            <w:tcW w:w="6379" w:type="dxa"/>
          </w:tcPr>
          <w:p w14:paraId="2B86B804" w14:textId="77777777" w:rsidR="0014083B" w:rsidRPr="00D42CFD" w:rsidRDefault="0014083B" w:rsidP="00D152ED">
            <w:pPr>
              <w:pStyle w:val="TableBodyText"/>
              <w:keepNext w:val="0"/>
              <w:keepLines w:val="0"/>
              <w:widowControl w:val="0"/>
              <w:jc w:val="left"/>
            </w:pPr>
            <w:r w:rsidRPr="00D42CFD">
              <w:t>Services whose primary function is specifically to provide treatment, rehabilitation or community support targeted towards people affected by a mental illness or psychiatric disability. Further, such activities are delivered from a service or facility that is readily identifiable as both specialised and serving a mental health function. This criterion applies regardless of the source of funds.</w:t>
            </w:r>
          </w:p>
        </w:tc>
      </w:tr>
      <w:tr w:rsidR="0014083B" w:rsidRPr="00D42CFD" w14:paraId="0B1522B9" w14:textId="77777777" w:rsidTr="00C55E5E">
        <w:tc>
          <w:tcPr>
            <w:tcW w:w="2410" w:type="dxa"/>
          </w:tcPr>
          <w:p w14:paraId="5743FE15" w14:textId="77777777" w:rsidR="0014083B" w:rsidRPr="00D152ED" w:rsidRDefault="0014083B" w:rsidP="00C55E5E">
            <w:pPr>
              <w:pStyle w:val="TableBodyText"/>
              <w:keepNext w:val="0"/>
              <w:keepLines w:val="0"/>
              <w:widowControl w:val="0"/>
              <w:jc w:val="left"/>
              <w:rPr>
                <w:b/>
              </w:rPr>
            </w:pPr>
            <w:r w:rsidRPr="00D152ED">
              <w:rPr>
                <w:b/>
                <w:u w:val="single"/>
              </w:rPr>
              <w:br w:type="page"/>
            </w:r>
            <w:r w:rsidRPr="00D152ED">
              <w:rPr>
                <w:b/>
              </w:rPr>
              <w:t>Specialised residential services</w:t>
            </w:r>
          </w:p>
        </w:tc>
        <w:tc>
          <w:tcPr>
            <w:tcW w:w="6379" w:type="dxa"/>
          </w:tcPr>
          <w:p w14:paraId="6677556D" w14:textId="77777777" w:rsidR="0014083B" w:rsidRPr="00D42CFD" w:rsidRDefault="0014083B" w:rsidP="00D152ED">
            <w:pPr>
              <w:pStyle w:val="TableBodyText"/>
              <w:keepNext w:val="0"/>
              <w:keepLines w:val="0"/>
              <w:widowControl w:val="0"/>
              <w:jc w:val="left"/>
            </w:pPr>
            <w:r w:rsidRPr="00D42CFD">
              <w:t>Services provided in the community that are staffed by mental health professionals on a non</w:t>
            </w:r>
            <w:r w:rsidRPr="00D42CFD">
              <w:noBreakHyphen/>
              <w:t>24 or 24</w:t>
            </w:r>
            <w:r w:rsidRPr="00D42CFD">
              <w:noBreakHyphen/>
              <w:t>hour basis.</w:t>
            </w:r>
          </w:p>
        </w:tc>
      </w:tr>
      <w:tr w:rsidR="0014083B" w:rsidRPr="00D42CFD" w14:paraId="563E5E88" w14:textId="77777777" w:rsidTr="00C55E5E">
        <w:tc>
          <w:tcPr>
            <w:tcW w:w="2410" w:type="dxa"/>
          </w:tcPr>
          <w:p w14:paraId="44E1CACE" w14:textId="77777777" w:rsidR="0014083B" w:rsidRPr="00D152ED" w:rsidRDefault="0014083B" w:rsidP="00C55E5E">
            <w:pPr>
              <w:pStyle w:val="TableBodyText"/>
              <w:keepNext w:val="0"/>
              <w:keepLines w:val="0"/>
              <w:widowControl w:val="0"/>
              <w:jc w:val="left"/>
              <w:rPr>
                <w:b/>
              </w:rPr>
            </w:pPr>
            <w:r w:rsidRPr="00D152ED">
              <w:rPr>
                <w:b/>
              </w:rPr>
              <w:t>Staffing categories (mental health)</w:t>
            </w:r>
          </w:p>
        </w:tc>
        <w:tc>
          <w:tcPr>
            <w:tcW w:w="6379" w:type="dxa"/>
          </w:tcPr>
          <w:p w14:paraId="252E1223" w14:textId="77777777" w:rsidR="0014083B" w:rsidRPr="00D42CFD" w:rsidRDefault="0014083B" w:rsidP="00D152ED">
            <w:pPr>
              <w:pStyle w:val="TableBodyText"/>
              <w:keepNext w:val="0"/>
              <w:keepLines w:val="0"/>
              <w:widowControl w:val="0"/>
              <w:jc w:val="left"/>
            </w:pPr>
            <w:r w:rsidRPr="00D42CFD">
              <w:t>Medical officers: all medical officers employed or engaged by the organisation on a full time or part time basis. Includes visiting medical officers who are engaged on an hourly, sessional or fee</w:t>
            </w:r>
            <w:r w:rsidRPr="00D42CFD">
              <w:noBreakHyphen/>
              <w:t>for</w:t>
            </w:r>
            <w:r w:rsidRPr="00D42CFD">
              <w:noBreakHyphen/>
              <w:t>service basis.</w:t>
            </w:r>
          </w:p>
          <w:p w14:paraId="737A7F43" w14:textId="77777777" w:rsidR="0014083B" w:rsidRPr="00D42CFD" w:rsidRDefault="0014083B" w:rsidP="00D152ED">
            <w:pPr>
              <w:pStyle w:val="TableBodyText"/>
              <w:keepNext w:val="0"/>
              <w:keepLines w:val="0"/>
              <w:widowControl w:val="0"/>
              <w:jc w:val="left"/>
            </w:pPr>
            <w:r w:rsidRPr="00D42CFD">
              <w:t>Psychiatrists and consultant psychiatrists: medical officers who are registered to practice psychiatry under the relevant State or Territory medical registration board; or who are fellows of the Royal Australian and New Zealand College of Psychiatrists or registered with Health Insurance Commission as a specialist in Psychiatry.</w:t>
            </w:r>
          </w:p>
          <w:p w14:paraId="3D71102C" w14:textId="77777777" w:rsidR="0014083B" w:rsidRPr="00D42CFD" w:rsidRDefault="0014083B" w:rsidP="00D152ED">
            <w:pPr>
              <w:pStyle w:val="TableBodyText"/>
              <w:keepNext w:val="0"/>
              <w:keepLines w:val="0"/>
              <w:widowControl w:val="0"/>
              <w:jc w:val="left"/>
            </w:pPr>
            <w:r w:rsidRPr="00D42CFD">
              <w:t>Psychiatry registrars and trainees: medical officers who are formal trainees within the Royal Australian and New Zealand College of Psychiatrists’ Postgraduate Training Program.</w:t>
            </w:r>
          </w:p>
          <w:p w14:paraId="358631F1" w14:textId="77777777" w:rsidR="0014083B" w:rsidRPr="00D42CFD" w:rsidRDefault="0014083B" w:rsidP="00D152ED">
            <w:pPr>
              <w:pStyle w:val="TableBodyText"/>
              <w:keepNext w:val="0"/>
              <w:keepLines w:val="0"/>
              <w:widowControl w:val="0"/>
              <w:jc w:val="left"/>
            </w:pPr>
            <w:r w:rsidRPr="00D42CFD">
              <w:t>Other medical officers: medical officers employed or engaged by the organisation who are not registered as psychiatrists within the State or Territory, or as formal trainees within the Royal Australian and New Zealand College of Psychiatrists’ Postgraduate Training Program.</w:t>
            </w:r>
          </w:p>
          <w:p w14:paraId="7836A8BD" w14:textId="77777777" w:rsidR="0014083B" w:rsidRPr="00D42CFD" w:rsidRDefault="0014083B" w:rsidP="00D152ED">
            <w:pPr>
              <w:pStyle w:val="TableBodyText"/>
              <w:keepNext w:val="0"/>
              <w:keepLines w:val="0"/>
              <w:widowControl w:val="0"/>
              <w:jc w:val="left"/>
            </w:pPr>
            <w:r w:rsidRPr="00D42CFD">
              <w:t>Nursing staff: all categories of registered nurses and enrolled nurses, employed or engaged by the organisation.</w:t>
            </w:r>
          </w:p>
          <w:p w14:paraId="63F451B8" w14:textId="77777777" w:rsidR="0014083B" w:rsidRPr="00D42CFD" w:rsidRDefault="0014083B" w:rsidP="00D152ED">
            <w:pPr>
              <w:pStyle w:val="TableBodyText"/>
              <w:keepNext w:val="0"/>
              <w:keepLines w:val="0"/>
              <w:widowControl w:val="0"/>
              <w:jc w:val="left"/>
            </w:pPr>
            <w:r w:rsidRPr="00D42CFD">
              <w:t>Registered nurses: people with at least a three year training certificate or tertiary qualification who are certified as being a registered nurse with the State or Territory registration board. This is a comprehensive category and includes general and specialised categories of registered nurses.</w:t>
            </w:r>
          </w:p>
          <w:p w14:paraId="2EEFF1D0" w14:textId="77777777" w:rsidR="0014083B" w:rsidRPr="00D42CFD" w:rsidRDefault="0014083B" w:rsidP="00D152ED">
            <w:pPr>
              <w:pStyle w:val="TableBodyText"/>
              <w:keepNext w:val="0"/>
              <w:keepLines w:val="0"/>
              <w:widowControl w:val="0"/>
              <w:jc w:val="left"/>
            </w:pPr>
            <w:r w:rsidRPr="00D42CFD">
              <w:t>Enrolled nurses: refers to people who are second level nurses who are enrolled in all states except Victoria where they are registered by the state registration board to practise in this capacity. Includes general enrolled nurse and specialist enrolled nurse (e.g. mothercraft nurses in some states).</w:t>
            </w:r>
          </w:p>
          <w:p w14:paraId="461C769A" w14:textId="77777777" w:rsidR="0014083B" w:rsidRPr="00D42CFD" w:rsidRDefault="0014083B" w:rsidP="00D152ED">
            <w:pPr>
              <w:pStyle w:val="TableBodyText"/>
              <w:keepNext w:val="0"/>
              <w:keepLines w:val="0"/>
              <w:widowControl w:val="0"/>
              <w:jc w:val="left"/>
            </w:pPr>
            <w:r w:rsidRPr="00D42CFD">
              <w:t>Diagnostic and health professionals (allied health professionals): qualified staff (other than qualified medical or nursing staff) who are engaged in duties of a diagnostic, professional or technical nature. This category covers all allied health professionals, such as social workers, psychologists, occupational therapists, physiotherapists, and other diagnostic and health professionals.</w:t>
            </w:r>
          </w:p>
          <w:p w14:paraId="4CFEDB12" w14:textId="193DCE09" w:rsidR="0014083B" w:rsidRPr="00D42CFD" w:rsidRDefault="0014083B" w:rsidP="00D152ED">
            <w:pPr>
              <w:pStyle w:val="TableBodyText"/>
              <w:keepNext w:val="0"/>
              <w:keepLines w:val="0"/>
              <w:widowControl w:val="0"/>
              <w:jc w:val="left"/>
            </w:pPr>
            <w:r w:rsidRPr="00D42CFD">
              <w:t>Social workers: people who have completed recognised training and are eligible for membership of the Australian Association of Social Workers.</w:t>
            </w:r>
          </w:p>
          <w:p w14:paraId="6827154F" w14:textId="77777777" w:rsidR="0014083B" w:rsidRPr="00D42CFD" w:rsidRDefault="0014083B" w:rsidP="00D152ED">
            <w:pPr>
              <w:pStyle w:val="TableBodyText"/>
              <w:keepNext w:val="0"/>
              <w:keepLines w:val="0"/>
              <w:widowControl w:val="0"/>
              <w:jc w:val="left"/>
            </w:pPr>
            <w:r w:rsidRPr="00D42CFD">
              <w:t>Psychologists: people who are registered as psychologists with the relevant State or Territory registration board.</w:t>
            </w:r>
          </w:p>
          <w:p w14:paraId="3E695463" w14:textId="77777777" w:rsidR="0014083B" w:rsidRPr="00D42CFD" w:rsidRDefault="0014083B" w:rsidP="00D152ED">
            <w:pPr>
              <w:pStyle w:val="TableBodyText"/>
              <w:keepNext w:val="0"/>
              <w:keepLines w:val="0"/>
              <w:widowControl w:val="0"/>
              <w:jc w:val="left"/>
            </w:pPr>
            <w:r w:rsidRPr="00D42CFD">
              <w:t>Occupational therapists: people who have completed a course of recognised training and who are eligible for membership of the Australian Association of Occupational Therapists.</w:t>
            </w:r>
          </w:p>
          <w:p w14:paraId="69D727E3" w14:textId="77777777" w:rsidR="0014083B" w:rsidRPr="00D42CFD" w:rsidRDefault="0014083B" w:rsidP="00D152ED">
            <w:pPr>
              <w:pStyle w:val="TableBodyText"/>
              <w:keepNext w:val="0"/>
              <w:keepLines w:val="0"/>
              <w:widowControl w:val="0"/>
              <w:jc w:val="left"/>
            </w:pPr>
            <w:r w:rsidRPr="00D42CFD">
              <w:t>Other personal care staff: attendants, assistants, home companions, family aides, ward helpers, warders, orderlies, ward assistants and nursing assistants who are engaged primarily in the provision of personal care to patients or residents, and who are not formally qualified or who are undergoing training in nursing or allied health professions.</w:t>
            </w:r>
          </w:p>
          <w:p w14:paraId="7E222C11" w14:textId="77777777" w:rsidR="0014083B" w:rsidRPr="00D42CFD" w:rsidRDefault="0014083B" w:rsidP="00D152ED">
            <w:pPr>
              <w:pStyle w:val="TableBodyText"/>
              <w:keepNext w:val="0"/>
              <w:keepLines w:val="0"/>
              <w:widowControl w:val="0"/>
              <w:jc w:val="left"/>
            </w:pPr>
            <w:r w:rsidRPr="00D42CFD">
              <w:t>Administrative and clerical staff: staff engaged in administrative and clerical duties. Excludes medical, nursing, diagnostic and health professional and domestic staff wholly or partly involved in administrative and clerical duties, who should be counted under their appropriate occupational categories. Civil engineers and computing staff are included in this category.</w:t>
            </w:r>
          </w:p>
          <w:p w14:paraId="00018B01" w14:textId="77777777" w:rsidR="0014083B" w:rsidRPr="00D42CFD" w:rsidRDefault="0014083B" w:rsidP="00D152ED">
            <w:pPr>
              <w:pStyle w:val="TableBodyText"/>
              <w:keepNext w:val="0"/>
              <w:keepLines w:val="0"/>
              <w:widowControl w:val="0"/>
              <w:jc w:val="left"/>
            </w:pPr>
            <w:r w:rsidRPr="00D42CFD">
              <w:t>Domestic and other staff: staff involved in the provision of food and cleaning services including domestic staff primarily engaged in administrative duties such as food services manager. Dieticians are excluded.</w:t>
            </w:r>
          </w:p>
        </w:tc>
      </w:tr>
      <w:tr w:rsidR="0014083B" w:rsidRPr="00D42CFD" w14:paraId="20332475" w14:textId="77777777" w:rsidTr="00C55E5E">
        <w:tc>
          <w:tcPr>
            <w:tcW w:w="2410" w:type="dxa"/>
          </w:tcPr>
          <w:p w14:paraId="4DCE8ABD" w14:textId="558AAE4B" w:rsidR="0014083B" w:rsidRPr="00D152ED" w:rsidRDefault="009F5387" w:rsidP="00C55E5E">
            <w:pPr>
              <w:pStyle w:val="TableBodyText"/>
              <w:keepNext w:val="0"/>
              <w:keepLines w:val="0"/>
              <w:widowControl w:val="0"/>
              <w:jc w:val="left"/>
              <w:rPr>
                <w:b/>
              </w:rPr>
            </w:pPr>
            <w:r>
              <w:rPr>
                <w:b/>
              </w:rPr>
              <w:br/>
            </w:r>
            <w:r w:rsidR="0014083B" w:rsidRPr="00D152ED">
              <w:rPr>
                <w:b/>
              </w:rPr>
              <w:lastRenderedPageBreak/>
              <w:t>Substance use disorders</w:t>
            </w:r>
          </w:p>
        </w:tc>
        <w:tc>
          <w:tcPr>
            <w:tcW w:w="6379" w:type="dxa"/>
          </w:tcPr>
          <w:p w14:paraId="07AD58C5" w14:textId="674217C1" w:rsidR="0014083B" w:rsidRPr="00D42CFD" w:rsidRDefault="009F5387" w:rsidP="00D152ED">
            <w:pPr>
              <w:pStyle w:val="TableBodyText"/>
              <w:keepNext w:val="0"/>
              <w:keepLines w:val="0"/>
              <w:widowControl w:val="0"/>
              <w:jc w:val="left"/>
            </w:pPr>
            <w:r>
              <w:lastRenderedPageBreak/>
              <w:br/>
            </w:r>
            <w:r>
              <w:br/>
            </w:r>
            <w:r w:rsidR="0014083B" w:rsidRPr="00D42CFD">
              <w:lastRenderedPageBreak/>
              <w:t>Disorders in which drugs or alcohol are used to such an extent that behaviour becomes maladaptive, social and occupational functioning is impaired, and control or abstinence becomes impossible. Reliance on the drug can be psychological (as in substance misuse) or physiological (as in substance dependence).</w:t>
            </w:r>
          </w:p>
        </w:tc>
      </w:tr>
      <w:tr w:rsidR="0014083B" w:rsidRPr="00D42CFD" w14:paraId="3B7A26C0" w14:textId="77777777" w:rsidTr="00C55E5E">
        <w:tc>
          <w:tcPr>
            <w:tcW w:w="2410" w:type="dxa"/>
            <w:shd w:val="clear" w:color="auto" w:fill="FFFFFF" w:themeFill="background1"/>
          </w:tcPr>
          <w:p w14:paraId="650A5A65" w14:textId="77777777" w:rsidR="0014083B" w:rsidRPr="00D152ED" w:rsidRDefault="0014083B" w:rsidP="00C55E5E">
            <w:pPr>
              <w:pStyle w:val="TableBodyText"/>
              <w:keepNext w:val="0"/>
              <w:keepLines w:val="0"/>
              <w:widowControl w:val="0"/>
              <w:jc w:val="left"/>
              <w:rPr>
                <w:b/>
              </w:rPr>
            </w:pPr>
            <w:r w:rsidRPr="00D152ED">
              <w:rPr>
                <w:b/>
              </w:rPr>
              <w:lastRenderedPageBreak/>
              <w:t>Youth mental health services</w:t>
            </w:r>
          </w:p>
        </w:tc>
        <w:tc>
          <w:tcPr>
            <w:tcW w:w="6379" w:type="dxa"/>
            <w:shd w:val="clear" w:color="auto" w:fill="FFFFFF" w:themeFill="background1"/>
          </w:tcPr>
          <w:p w14:paraId="593AAFE1" w14:textId="77777777" w:rsidR="0014083B" w:rsidRPr="00D42CFD" w:rsidRDefault="0014083B" w:rsidP="00D152ED">
            <w:pPr>
              <w:pStyle w:val="TableBodyText"/>
              <w:keepNext w:val="0"/>
              <w:keepLines w:val="0"/>
              <w:widowControl w:val="0"/>
              <w:jc w:val="left"/>
            </w:pPr>
            <w:r w:rsidRPr="00D42CFD">
              <w:t xml:space="preserve">Services principally targeting children and young people generally aged </w:t>
            </w:r>
            <w:r w:rsidR="00A65817">
              <w:br/>
            </w:r>
            <w:r w:rsidRPr="00D42CFD">
              <w:t>16</w:t>
            </w:r>
            <w:r w:rsidRPr="00D42CFD">
              <w:noBreakHyphen/>
              <w:t>25 years. The classification of a service into this category requires recognition by the regional or central funding authority of the special focus of the service. These services may include a forensic component.</w:t>
            </w:r>
          </w:p>
        </w:tc>
      </w:tr>
    </w:tbl>
    <w:p w14:paraId="582D6FB0" w14:textId="6E3FCC73" w:rsidR="00740F59" w:rsidRPr="00C4599D" w:rsidRDefault="00CB08D6" w:rsidP="00740F59">
      <w:pPr>
        <w:pStyle w:val="Heading2"/>
      </w:pPr>
      <w:bookmarkStart w:id="8" w:name="_Toc461444235"/>
      <w:r>
        <w:t>13.</w:t>
      </w:r>
      <w:r w:rsidR="00B81273">
        <w:rPr>
          <w:noProof/>
        </w:rPr>
        <w:t>5</w:t>
      </w:r>
      <w:r w:rsidR="00740F59" w:rsidRPr="00C4599D">
        <w:tab/>
        <w:t>References</w:t>
      </w:r>
      <w:bookmarkEnd w:id="8"/>
    </w:p>
    <w:p w14:paraId="622287E8" w14:textId="7C274006" w:rsidR="00C4599D" w:rsidRDefault="00740F59" w:rsidP="00AC2FB8">
      <w:pPr>
        <w:pStyle w:val="Reference"/>
      </w:pPr>
      <w:r w:rsidRPr="004C4169">
        <w:t>ABS (A</w:t>
      </w:r>
      <w:r w:rsidR="00C4599D">
        <w:t xml:space="preserve">ustralian Bureau of Statistics), </w:t>
      </w:r>
      <w:r w:rsidR="00C4599D" w:rsidRPr="0061119E">
        <w:t>201</w:t>
      </w:r>
      <w:r w:rsidR="00666047" w:rsidRPr="0061119E">
        <w:t>7</w:t>
      </w:r>
      <w:r w:rsidR="00C4599D">
        <w:t xml:space="preserve">, </w:t>
      </w:r>
      <w:r w:rsidR="00DE3D05">
        <w:rPr>
          <w:i/>
        </w:rPr>
        <w:t xml:space="preserve">Causes of Death, Australia, </w:t>
      </w:r>
      <w:r w:rsidR="00DE3D05" w:rsidRPr="0061119E">
        <w:rPr>
          <w:i/>
        </w:rPr>
        <w:t>201</w:t>
      </w:r>
      <w:r w:rsidR="00666047" w:rsidRPr="0061119E">
        <w:rPr>
          <w:i/>
        </w:rPr>
        <w:t>6</w:t>
      </w:r>
      <w:r w:rsidR="00C4599D" w:rsidRPr="0061119E">
        <w:t>,</w:t>
      </w:r>
      <w:r w:rsidR="00C4599D" w:rsidRPr="00230D35">
        <w:rPr>
          <w:shd w:val="clear" w:color="auto" w:fill="FFFF00"/>
        </w:rPr>
        <w:t xml:space="preserve"> </w:t>
      </w:r>
      <w:r w:rsidR="00C4599D" w:rsidRPr="004C4169">
        <w:t>Cat. no. </w:t>
      </w:r>
      <w:r w:rsidR="00C4599D" w:rsidRPr="00C4599D">
        <w:t>3303.0</w:t>
      </w:r>
      <w:r w:rsidR="00C4599D" w:rsidRPr="004C4169">
        <w:t>, Canberra.</w:t>
      </w:r>
    </w:p>
    <w:p w14:paraId="61C4A85F" w14:textId="77777777" w:rsidR="00740F59" w:rsidRPr="004C4169" w:rsidRDefault="00C4599D" w:rsidP="00AC2FB8">
      <w:pPr>
        <w:pStyle w:val="Reference"/>
      </w:pPr>
      <w:r w:rsidRPr="004C4169">
        <w:t>——</w:t>
      </w:r>
      <w:r w:rsidR="007A07C8">
        <w:t> </w:t>
      </w:r>
      <w:r w:rsidR="00740F59" w:rsidRPr="004C4169">
        <w:t xml:space="preserve">2012, </w:t>
      </w:r>
      <w:r w:rsidR="00740F59" w:rsidRPr="004C4169">
        <w:rPr>
          <w:i/>
        </w:rPr>
        <w:t>Information Paper: Use of the Kessler Psychological Distress Scale in ABS Health Surveys</w:t>
      </w:r>
      <w:r w:rsidR="00881ABA" w:rsidRPr="004C4169">
        <w:t>, Australia, 2007</w:t>
      </w:r>
      <w:r w:rsidR="00881ABA" w:rsidRPr="004C4169">
        <w:noBreakHyphen/>
        <w:t>08, Cat. </w:t>
      </w:r>
      <w:r w:rsidR="00740F59" w:rsidRPr="004C4169">
        <w:t>no.</w:t>
      </w:r>
      <w:r w:rsidR="00881ABA" w:rsidRPr="004C4169">
        <w:t> </w:t>
      </w:r>
      <w:r w:rsidR="00740F59" w:rsidRPr="004C4169">
        <w:t>4817.0.55.001, Canberra.</w:t>
      </w:r>
    </w:p>
    <w:p w14:paraId="507C1D3A" w14:textId="77777777" w:rsidR="00740F59" w:rsidRPr="004C4169" w:rsidRDefault="00740F59" w:rsidP="00740F59">
      <w:pPr>
        <w:pStyle w:val="Reference"/>
      </w:pPr>
      <w:r w:rsidRPr="004C4169">
        <w:t xml:space="preserve">Australian Health Ministers 1991, </w:t>
      </w:r>
      <w:r w:rsidRPr="004C4169">
        <w:rPr>
          <w:i/>
        </w:rPr>
        <w:t>Mental Health Statement of Rights and Responsibilities</w:t>
      </w:r>
      <w:r w:rsidRPr="004C4169">
        <w:t>, Australian Government Publishing Service, Canberra.</w:t>
      </w:r>
    </w:p>
    <w:p w14:paraId="447A164F" w14:textId="77777777" w:rsidR="00E1564D" w:rsidRDefault="00740F59" w:rsidP="00E1564D">
      <w:pPr>
        <w:pStyle w:val="Reference"/>
      </w:pPr>
      <w:r w:rsidRPr="004C4169">
        <w:t xml:space="preserve">AHMC (Australian Health Ministers’ Conference) 2010, </w:t>
      </w:r>
      <w:r w:rsidRPr="004C4169">
        <w:rPr>
          <w:i/>
        </w:rPr>
        <w:t>National Standards for Mental Health Services 2010</w:t>
      </w:r>
      <w:r w:rsidRPr="004C4169">
        <w:t>, Canberra.</w:t>
      </w:r>
    </w:p>
    <w:p w14:paraId="1AB69F2E" w14:textId="4E199898" w:rsidR="00E1564D" w:rsidRPr="004C4169" w:rsidRDefault="00E1564D" w:rsidP="00E1564D">
      <w:pPr>
        <w:pStyle w:val="Reference"/>
      </w:pPr>
      <w:r w:rsidRPr="00E1564D">
        <w:t>—</w:t>
      </w:r>
      <w:r w:rsidR="007A07C8">
        <w:t>— </w:t>
      </w:r>
      <w:r w:rsidRPr="00E1564D">
        <w:t>2012, Council of Australian Governments National Action Plan for Mental Health 2006–2011: Progress Report 2009</w:t>
      </w:r>
      <w:r w:rsidR="003B5457">
        <w:noBreakHyphen/>
      </w:r>
      <w:r w:rsidRPr="00E1564D">
        <w:t>10, Report prepared under the auspice of the Mental Health Standing Committee of the Australian Health Ministers’ Advisory Council).</w:t>
      </w:r>
    </w:p>
    <w:p w14:paraId="6B057050" w14:textId="36714EB6" w:rsidR="002233BD" w:rsidRDefault="00740F59" w:rsidP="00740F59">
      <w:pPr>
        <w:pStyle w:val="Reference"/>
      </w:pPr>
      <w:r w:rsidRPr="00AE0479">
        <w:t xml:space="preserve">AIHW (Australian Institute of Health and Welfare) </w:t>
      </w:r>
      <w:r w:rsidR="002233BD" w:rsidRPr="00AE0479">
        <w:t>201</w:t>
      </w:r>
      <w:r w:rsidR="00803E85">
        <w:t>5</w:t>
      </w:r>
      <w:r w:rsidR="002233BD" w:rsidRPr="00AE0479">
        <w:t xml:space="preserve">, </w:t>
      </w:r>
      <w:r w:rsidR="00803E85" w:rsidRPr="00803E85">
        <w:rPr>
          <w:i/>
        </w:rPr>
        <w:t>Seclusion</w:t>
      </w:r>
      <w:r w:rsidR="00803E85">
        <w:t>, Meteor Metadata Online Registry,</w:t>
      </w:r>
      <w:r w:rsidR="00803E85" w:rsidRPr="00D67340">
        <w:rPr>
          <w:i/>
        </w:rPr>
        <w:t xml:space="preserve"> </w:t>
      </w:r>
      <w:r w:rsidR="00803E85" w:rsidRPr="00803E85">
        <w:t xml:space="preserve">http://meteor.aihw.gov.au/content/index.phtml/itemId/557975 </w:t>
      </w:r>
      <w:r w:rsidR="00803E85">
        <w:t>(accessed 18</w:t>
      </w:r>
      <w:r w:rsidR="00355934">
        <w:t> </w:t>
      </w:r>
      <w:r w:rsidR="00803E85">
        <w:t>December 2017)</w:t>
      </w:r>
    </w:p>
    <w:p w14:paraId="193ACD28" w14:textId="77777777" w:rsidR="003052D0" w:rsidRPr="004C4169" w:rsidRDefault="003052D0" w:rsidP="003052D0">
      <w:pPr>
        <w:pStyle w:val="Reference"/>
      </w:pPr>
      <w:r w:rsidRPr="00803E85">
        <w:t>—</w:t>
      </w:r>
      <w:r>
        <w:t xml:space="preserve">— </w:t>
      </w:r>
      <w:r w:rsidRPr="00D67340">
        <w:t>2017</w:t>
      </w:r>
      <w:r>
        <w:t>a</w:t>
      </w:r>
      <w:r w:rsidRPr="00D67340">
        <w:t xml:space="preserve">, </w:t>
      </w:r>
      <w:r w:rsidRPr="00D67340">
        <w:rPr>
          <w:i/>
        </w:rPr>
        <w:t>Mental Health Services in Australia Online</w:t>
      </w:r>
      <w:r w:rsidRPr="00D67340">
        <w:t>, mhsa.aihw.gov</w:t>
      </w:r>
      <w:r w:rsidRPr="004C4169">
        <w:t xml:space="preserve">.au/home/ (accessed </w:t>
      </w:r>
      <w:r>
        <w:t>3</w:t>
      </w:r>
      <w:r w:rsidRPr="004C4169">
        <w:t> October</w:t>
      </w:r>
      <w:r>
        <w:t xml:space="preserve"> </w:t>
      </w:r>
      <w:r w:rsidRPr="004C4169">
        <w:t>201</w:t>
      </w:r>
      <w:r>
        <w:t>7</w:t>
      </w:r>
      <w:r w:rsidRPr="004C4169">
        <w:t>).</w:t>
      </w:r>
    </w:p>
    <w:p w14:paraId="599FAFAF" w14:textId="45AD5F54" w:rsidR="00803E85" w:rsidRDefault="00803E85" w:rsidP="00803E85">
      <w:pPr>
        <w:pStyle w:val="Reference"/>
      </w:pPr>
      <w:r w:rsidRPr="00803E85">
        <w:t>—</w:t>
      </w:r>
      <w:r>
        <w:t xml:space="preserve">— </w:t>
      </w:r>
      <w:r w:rsidRPr="00D67340">
        <w:t>2017</w:t>
      </w:r>
      <w:r w:rsidR="003052D0">
        <w:t>b</w:t>
      </w:r>
      <w:r>
        <w:t>,</w:t>
      </w:r>
      <w:r w:rsidRPr="00803E85">
        <w:rPr>
          <w:i/>
        </w:rPr>
        <w:t xml:space="preserve"> </w:t>
      </w:r>
      <w:r w:rsidRPr="00D67340">
        <w:rPr>
          <w:i/>
        </w:rPr>
        <w:t>National Drug Strategy Household Survey detailed report 2016</w:t>
      </w:r>
      <w:r w:rsidRPr="00D67340">
        <w:t>, Drug statistics series no. 31, Cat. no. PHE 214, Canberra.</w:t>
      </w:r>
    </w:p>
    <w:p w14:paraId="1DB19888" w14:textId="018410DE" w:rsidR="00C63BD9" w:rsidRPr="004C4169" w:rsidRDefault="004F240B" w:rsidP="00C63BD9">
      <w:pPr>
        <w:pStyle w:val="Reference"/>
      </w:pPr>
      <w:proofErr w:type="spellStart"/>
      <w:r>
        <w:t>DoH</w:t>
      </w:r>
      <w:proofErr w:type="spellEnd"/>
      <w:r>
        <w:t xml:space="preserve"> (</w:t>
      </w:r>
      <w:r w:rsidR="003346FA" w:rsidRPr="004C4169">
        <w:t>Department of Health</w:t>
      </w:r>
      <w:r>
        <w:t>)</w:t>
      </w:r>
      <w:r w:rsidR="003346FA" w:rsidRPr="004C4169">
        <w:t xml:space="preserve"> 2014, </w:t>
      </w:r>
      <w:r w:rsidR="003346FA" w:rsidRPr="004C4169">
        <w:rPr>
          <w:i/>
        </w:rPr>
        <w:t>National mental health strategy</w:t>
      </w:r>
      <w:r w:rsidR="00C63BD9">
        <w:rPr>
          <w:i/>
        </w:rPr>
        <w:t xml:space="preserve">, </w:t>
      </w:r>
      <w:r w:rsidR="003346FA" w:rsidRPr="004C4169">
        <w:t xml:space="preserve">available at </w:t>
      </w:r>
      <w:r w:rsidR="00C63BD9" w:rsidRPr="00225448">
        <w:t>www.health.gov.au/internet/main/publishing.nsf/Content/mental</w:t>
      </w:r>
      <w:r w:rsidR="00355934">
        <w:noBreakHyphen/>
      </w:r>
      <w:r w:rsidR="00C63BD9" w:rsidRPr="00225448">
        <w:t>strat</w:t>
      </w:r>
      <w:r w:rsidR="00C63BD9">
        <w:t xml:space="preserve"> </w:t>
      </w:r>
      <w:r w:rsidR="00C63BD9" w:rsidRPr="0061119E">
        <w:t>(accessed 1</w:t>
      </w:r>
      <w:r w:rsidR="00355934">
        <w:t> </w:t>
      </w:r>
      <w:r w:rsidR="00C63BD9" w:rsidRPr="0061119E">
        <w:t>December 2017)</w:t>
      </w:r>
      <w:r w:rsidR="00C63BD9">
        <w:t xml:space="preserve">. </w:t>
      </w:r>
    </w:p>
    <w:p w14:paraId="72914EF0" w14:textId="77777777" w:rsidR="00740F59" w:rsidRPr="004C4169" w:rsidRDefault="00740F59" w:rsidP="00740F59">
      <w:pPr>
        <w:pStyle w:val="Reference"/>
      </w:pPr>
      <w:r w:rsidRPr="004C4169">
        <w:t xml:space="preserve">DoHA (Department of Health and Ageing) 2010, </w:t>
      </w:r>
      <w:r w:rsidRPr="004C4169">
        <w:rPr>
          <w:i/>
        </w:rPr>
        <w:t>National Mental Health Report 2010: Summary of 15 years of reform in Australia’s Mental Health Services under the National Mental Health Strategy 1993–2008</w:t>
      </w:r>
      <w:r w:rsidRPr="004C4169">
        <w:t>, Australian Government, Canberra.</w:t>
      </w:r>
    </w:p>
    <w:p w14:paraId="4B8E540F" w14:textId="77777777" w:rsidR="00740F59" w:rsidRPr="004C4169" w:rsidRDefault="00740F59" w:rsidP="00740F59">
      <w:pPr>
        <w:pStyle w:val="Reference"/>
      </w:pPr>
      <w:r w:rsidRPr="004C4169">
        <w:t xml:space="preserve">DHAC (Australian Government Department of Health and Community Services) and AIHW 1999, </w:t>
      </w:r>
      <w:r w:rsidRPr="004C4169">
        <w:rPr>
          <w:i/>
        </w:rPr>
        <w:t>National Health Priority Areas Report: Mental Health 1998</w:t>
      </w:r>
      <w:r w:rsidRPr="004C4169">
        <w:t>, AIHW</w:t>
      </w:r>
      <w:r w:rsidR="00981C68" w:rsidRPr="004C4169">
        <w:t> </w:t>
      </w:r>
      <w:r w:rsidRPr="004C4169">
        <w:t>Cat.</w:t>
      </w:r>
      <w:r w:rsidR="00981C68" w:rsidRPr="004C4169">
        <w:t> </w:t>
      </w:r>
      <w:r w:rsidRPr="004C4169">
        <w:t>no. PHE</w:t>
      </w:r>
      <w:r w:rsidR="00881ABA" w:rsidRPr="004C4169">
        <w:t> </w:t>
      </w:r>
      <w:r w:rsidRPr="004C4169">
        <w:t>13, Canberra.</w:t>
      </w:r>
    </w:p>
    <w:p w14:paraId="57467869" w14:textId="5A86F6F3" w:rsidR="009D1B00" w:rsidRDefault="009D1B00" w:rsidP="0061119E">
      <w:pPr>
        <w:pStyle w:val="Reference"/>
      </w:pPr>
      <w:r>
        <w:t>DSS (Department of Social Services) 201</w:t>
      </w:r>
      <w:r w:rsidR="005363C0">
        <w:t>6</w:t>
      </w:r>
      <w:r>
        <w:t xml:space="preserve">, </w:t>
      </w:r>
      <w:r w:rsidRPr="009D1B00">
        <w:rPr>
          <w:i/>
        </w:rPr>
        <w:t>Mental Health</w:t>
      </w:r>
      <w:r>
        <w:rPr>
          <w:i/>
        </w:rPr>
        <w:t>: NDIS transition fact sheet</w:t>
      </w:r>
      <w:r w:rsidR="00BC73D0">
        <w:rPr>
          <w:i/>
        </w:rPr>
        <w:t>s</w:t>
      </w:r>
      <w:r>
        <w:t xml:space="preserve">, </w:t>
      </w:r>
      <w:r w:rsidRPr="00225448">
        <w:t>www.dss.gov.au/our</w:t>
      </w:r>
      <w:r w:rsidR="00355934">
        <w:noBreakHyphen/>
      </w:r>
      <w:r w:rsidRPr="00225448">
        <w:t>responsibilities/mental</w:t>
      </w:r>
      <w:r w:rsidR="00355934">
        <w:noBreakHyphen/>
      </w:r>
      <w:r w:rsidRPr="00225448">
        <w:t>health/publications</w:t>
      </w:r>
      <w:r w:rsidR="00355934">
        <w:noBreakHyphen/>
      </w:r>
      <w:r w:rsidRPr="00225448">
        <w:t>articles</w:t>
      </w:r>
      <w:r>
        <w:t xml:space="preserve"> (accessed 17</w:t>
      </w:r>
      <w:r w:rsidR="00182A76">
        <w:t> </w:t>
      </w:r>
      <w:r>
        <w:t>November 2017)</w:t>
      </w:r>
    </w:p>
    <w:p w14:paraId="2E3B9B7E" w14:textId="389AB451" w:rsidR="00D015BF" w:rsidRPr="00863461" w:rsidRDefault="00D015BF" w:rsidP="00D015BF">
      <w:pPr>
        <w:pStyle w:val="Reference"/>
      </w:pPr>
      <w:r w:rsidRPr="00863461">
        <w:lastRenderedPageBreak/>
        <w:t>Happell, B., Platania</w:t>
      </w:r>
      <w:r w:rsidR="00463329" w:rsidRPr="00863461">
        <w:noBreakHyphen/>
      </w:r>
      <w:r w:rsidRPr="00863461">
        <w:t>Phung, C., Webster, S., McKenna, B., Millar, F., Stanton, R., Galletly, C., Castle, D., Furness, T., Liu, D. and Scott, D 2015, ‘Applying the World Health Organization Mental Health Action Plan to evaluate policy on addressing co</w:t>
      </w:r>
      <w:r w:rsidRPr="00863461">
        <w:noBreakHyphen/>
        <w:t xml:space="preserve">occurrence of physical and mental illnesses in Australia’, </w:t>
      </w:r>
      <w:r w:rsidRPr="00863461">
        <w:rPr>
          <w:i/>
        </w:rPr>
        <w:t>Australian Health Review</w:t>
      </w:r>
      <w:r w:rsidR="009F5387">
        <w:t>, Vol. </w:t>
      </w:r>
      <w:r w:rsidRPr="00863461">
        <w:t>39, pp.</w:t>
      </w:r>
      <w:r w:rsidR="00463329" w:rsidRPr="00863461">
        <w:t> </w:t>
      </w:r>
      <w:r w:rsidR="00730DC7">
        <w:t xml:space="preserve">370–378, </w:t>
      </w:r>
      <w:r w:rsidRPr="0061119E">
        <w:t>CS</w:t>
      </w:r>
      <w:r w:rsidR="00324EB3" w:rsidRPr="0061119E">
        <w:t>I</w:t>
      </w:r>
      <w:r w:rsidRPr="0061119E">
        <w:t>RO</w:t>
      </w:r>
      <w:r w:rsidRPr="00863461">
        <w:t xml:space="preserve"> Publishing (available at http://dx.doi.org/10.1071/AH14098).</w:t>
      </w:r>
    </w:p>
    <w:p w14:paraId="3FC8F4A9" w14:textId="77777777" w:rsidR="00740F59" w:rsidRPr="004C4169" w:rsidRDefault="00740F59" w:rsidP="00740F59">
      <w:pPr>
        <w:pStyle w:val="Reference"/>
      </w:pPr>
      <w:r w:rsidRPr="004C4169">
        <w:t xml:space="preserve">Lawrence, D., Hancock, K. and Kisely S. 2013, ‘The gap in life expectancy from preventable physical illness in psychiatric patients in Western Australia: retrospective analysis of population based registers’, </w:t>
      </w:r>
      <w:r w:rsidRPr="004C4169">
        <w:rPr>
          <w:i/>
        </w:rPr>
        <w:t>British Medical Journal</w:t>
      </w:r>
      <w:r w:rsidRPr="004C4169">
        <w:t>, Vol.</w:t>
      </w:r>
      <w:r w:rsidR="00881ABA" w:rsidRPr="004C4169">
        <w:t> </w:t>
      </w:r>
      <w:r w:rsidRPr="004C4169">
        <w:t>346.</w:t>
      </w:r>
    </w:p>
    <w:p w14:paraId="1B5EC09A" w14:textId="77777777" w:rsidR="00CC7E85" w:rsidRPr="004C4169" w:rsidRDefault="00CC7E85" w:rsidP="00CC7E85">
      <w:pPr>
        <w:pStyle w:val="Reference"/>
      </w:pPr>
      <w:r w:rsidRPr="004C4169">
        <w:t>Lawrence, D., Johnson, S., Hafekost, J., Boterhoven, K., Sawyer, M., Ainley, J., Zubrick,</w:t>
      </w:r>
      <w:r w:rsidR="00053085" w:rsidRPr="004C4169">
        <w:t> </w:t>
      </w:r>
      <w:r w:rsidRPr="004C4169">
        <w:t xml:space="preserve">S. 2015, </w:t>
      </w:r>
      <w:r w:rsidRPr="004C4169">
        <w:rPr>
          <w:i/>
        </w:rPr>
        <w:t>The Mental Health of Children and Adolescents. Report on the second Australian Child and Adolescent Survey of Mental Health and Wellbeing</w:t>
      </w:r>
      <w:r w:rsidRPr="004C4169">
        <w:t>, Department of Health, Canberra.</w:t>
      </w:r>
    </w:p>
    <w:p w14:paraId="1D0F992E" w14:textId="77777777" w:rsidR="00740F59" w:rsidRPr="004C4169" w:rsidRDefault="00740F59" w:rsidP="00740F59">
      <w:pPr>
        <w:pStyle w:val="Reference"/>
      </w:pPr>
      <w:r w:rsidRPr="004C4169">
        <w:t xml:space="preserve">Morgan, V., Waterreus, A., Jablensky, A., Mackinnon, A., McGrath, J., Carr, V., Bush, R., Castle, D., Cohen, M., Harvey, C., Galletly, C., Stain, H., Neil, A. McGorry, P., Hocking, B., Shah, S., Saw, S. 2011, </w:t>
      </w:r>
      <w:r w:rsidRPr="004C4169">
        <w:rPr>
          <w:i/>
        </w:rPr>
        <w:t>People Living With Psychotic Illness 2010, Report on the Second Australian National Survey</w:t>
      </w:r>
      <w:r w:rsidRPr="004C4169">
        <w:t>, Australian Government, Canberra.</w:t>
      </w:r>
    </w:p>
    <w:p w14:paraId="7A744D41" w14:textId="6B6C03F2" w:rsidR="00740F59" w:rsidRPr="004C4169" w:rsidRDefault="00740F59" w:rsidP="00740F59">
      <w:pPr>
        <w:pStyle w:val="Reference"/>
      </w:pPr>
      <w:r w:rsidRPr="004C4169">
        <w:t xml:space="preserve">NMHPSC (National Mental Health Performance Subcommittee) 2011a, </w:t>
      </w:r>
      <w:r w:rsidRPr="004C4169">
        <w:rPr>
          <w:i/>
        </w:rPr>
        <w:t>The Fourth National Mental Health Plan Measurement Strategy 2011</w:t>
      </w:r>
      <w:r w:rsidRPr="004C4169">
        <w:t xml:space="preserve">, Report produced for the Australian Health Ministers Advisory Council Mental Health Standing Committee, </w:t>
      </w:r>
      <w:r w:rsidR="00182A76" w:rsidRPr="0061119E">
        <w:t>https://mhsa.aihw.gov.au/committees/publications/ (accessed 1</w:t>
      </w:r>
      <w:r w:rsidR="00355934">
        <w:t> </w:t>
      </w:r>
      <w:r w:rsidR="00182A76" w:rsidRPr="0061119E">
        <w:t>December 2017)</w:t>
      </w:r>
      <w:r w:rsidRPr="004C4169">
        <w:t>.</w:t>
      </w:r>
    </w:p>
    <w:p w14:paraId="5AC4A4C2" w14:textId="1D9EB076" w:rsidR="00740F59" w:rsidRPr="004C4169" w:rsidRDefault="007A07C8" w:rsidP="00740F59">
      <w:pPr>
        <w:pStyle w:val="Reference"/>
      </w:pPr>
      <w:r>
        <w:t>—— </w:t>
      </w:r>
      <w:r w:rsidR="00740F59" w:rsidRPr="004C4169">
        <w:t xml:space="preserve">2011b, </w:t>
      </w:r>
      <w:r w:rsidR="00740F59" w:rsidRPr="004C4169">
        <w:rPr>
          <w:i/>
        </w:rPr>
        <w:t>Key performance indicators for Australian public mental health services: second edition 2011</w:t>
      </w:r>
      <w:r w:rsidR="00740F59" w:rsidRPr="004C4169">
        <w:t xml:space="preserve">, Report produced for the Australian Health Ministers Advisory Council Mental Health Standing Committee, </w:t>
      </w:r>
      <w:r w:rsidR="00730DC7" w:rsidRPr="00730DC7">
        <w:t>https://mhsa.aihw.gov.au/committees/</w:t>
      </w:r>
      <w:r w:rsidR="00730DC7">
        <w:t xml:space="preserve"> </w:t>
      </w:r>
      <w:r w:rsidR="00C87941" w:rsidRPr="0061119E">
        <w:t>publications/</w:t>
      </w:r>
      <w:r w:rsidR="00740F59" w:rsidRPr="0061119E">
        <w:t xml:space="preserve"> (accessed </w:t>
      </w:r>
      <w:r w:rsidR="00C87941" w:rsidRPr="0061119E">
        <w:t>1</w:t>
      </w:r>
      <w:r w:rsidR="00355934">
        <w:t> </w:t>
      </w:r>
      <w:r w:rsidR="00C87941" w:rsidRPr="0061119E">
        <w:t>December</w:t>
      </w:r>
      <w:r w:rsidR="00740F59" w:rsidRPr="0061119E">
        <w:t xml:space="preserve"> 201</w:t>
      </w:r>
      <w:r w:rsidR="00C87941" w:rsidRPr="0061119E">
        <w:t>7</w:t>
      </w:r>
      <w:r w:rsidR="00740F59" w:rsidRPr="0061119E">
        <w:t>).</w:t>
      </w:r>
    </w:p>
    <w:p w14:paraId="7FEB740F" w14:textId="77777777" w:rsidR="00740F59" w:rsidRPr="004C4169" w:rsidRDefault="00740F59" w:rsidP="00740F59">
      <w:pPr>
        <w:pStyle w:val="Reference"/>
      </w:pPr>
      <w:r w:rsidRPr="004C4169">
        <w:t xml:space="preserve">WHO (World Health Organization) 2001, </w:t>
      </w:r>
      <w:r w:rsidRPr="004C4169">
        <w:rPr>
          <w:i/>
        </w:rPr>
        <w:t>Strengthening mental health promotion</w:t>
      </w:r>
      <w:r w:rsidRPr="004C4169">
        <w:t>, Fact</w:t>
      </w:r>
      <w:r w:rsidR="00881ABA" w:rsidRPr="004C4169">
        <w:t> </w:t>
      </w:r>
      <w:r w:rsidRPr="004C4169">
        <w:t xml:space="preserve">sheet </w:t>
      </w:r>
      <w:r w:rsidR="00881ABA" w:rsidRPr="004C4169">
        <w:t>no. </w:t>
      </w:r>
      <w:r w:rsidRPr="004C4169">
        <w:t>220, Geneva.</w:t>
      </w:r>
    </w:p>
    <w:sectPr w:rsidR="00740F59" w:rsidRPr="004C4169" w:rsidSect="00083745">
      <w:headerReference w:type="even" r:id="rId27"/>
      <w:headerReference w:type="default" r:id="rId28"/>
      <w:footerReference w:type="even" r:id="rId29"/>
      <w:footerReference w:type="default" r:id="rId30"/>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C6A00" w14:textId="77777777" w:rsidR="00DD04FE" w:rsidRDefault="00DD04FE">
      <w:r>
        <w:separator/>
      </w:r>
    </w:p>
    <w:p w14:paraId="29EB4DE7" w14:textId="77777777" w:rsidR="00DD04FE" w:rsidRDefault="00DD04FE"/>
  </w:endnote>
  <w:endnote w:type="continuationSeparator" w:id="0">
    <w:p w14:paraId="1BAD7406" w14:textId="77777777" w:rsidR="00DD04FE" w:rsidRDefault="00DD04FE">
      <w:r>
        <w:continuationSeparator/>
      </w:r>
    </w:p>
    <w:p w14:paraId="6848B915" w14:textId="77777777" w:rsidR="00DD04FE" w:rsidRDefault="00DD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D04FE" w14:paraId="6D821D78" w14:textId="77777777" w:rsidTr="005F48ED">
      <w:trPr>
        <w:trHeight w:hRule="exact" w:val="567"/>
      </w:trPr>
      <w:tc>
        <w:tcPr>
          <w:tcW w:w="510" w:type="dxa"/>
        </w:tcPr>
        <w:p w14:paraId="753E9E19" w14:textId="3C5FF682" w:rsidR="00DD04FE" w:rsidRPr="00A24443" w:rsidRDefault="00DD04FE" w:rsidP="0019293B">
          <w:pPr>
            <w:pStyle w:val="Footer"/>
            <w:tabs>
              <w:tab w:val="left" w:pos="0"/>
            </w:tabs>
            <w:ind w:right="0"/>
            <w:rPr>
              <w:rStyle w:val="PageNumbe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C1C43">
            <w:rPr>
              <w:rStyle w:val="PageNumber"/>
              <w:caps w:val="0"/>
              <w:noProof/>
            </w:rPr>
            <w:t>2</w:t>
          </w:r>
          <w:r w:rsidRPr="00A24443">
            <w:rPr>
              <w:rStyle w:val="PageNumber"/>
              <w:caps w:val="0"/>
            </w:rPr>
            <w:fldChar w:fldCharType="end"/>
          </w:r>
        </w:p>
      </w:tc>
      <w:tc>
        <w:tcPr>
          <w:tcW w:w="7767" w:type="dxa"/>
        </w:tcPr>
        <w:p w14:paraId="7E442E0C" w14:textId="60F3A3C4" w:rsidR="00DD04FE" w:rsidRPr="0013739A" w:rsidRDefault="00DD04FE" w:rsidP="0013739A">
          <w:pPr>
            <w:pStyle w:val="Footer"/>
            <w:rPr>
              <w:rFonts w:cs="Arial"/>
            </w:rPr>
          </w:pPr>
          <w:r>
            <w:rPr>
              <w:rFonts w:cs="Arial"/>
            </w:rPr>
            <w:t>Report on Government Services 2018</w:t>
          </w:r>
          <w:bookmarkStart w:id="9" w:name="DraftReportEven"/>
          <w:bookmarkEnd w:id="9"/>
        </w:p>
      </w:tc>
      <w:tc>
        <w:tcPr>
          <w:tcW w:w="510" w:type="dxa"/>
        </w:tcPr>
        <w:p w14:paraId="18A78410" w14:textId="77777777" w:rsidR="00DD04FE" w:rsidRDefault="00DD04FE" w:rsidP="0019293B">
          <w:pPr>
            <w:pStyle w:val="Footer"/>
          </w:pPr>
        </w:p>
      </w:tc>
    </w:tr>
  </w:tbl>
  <w:p w14:paraId="33B1859F" w14:textId="77777777" w:rsidR="00DD04FE" w:rsidRDefault="00DD04FE" w:rsidP="0019293B">
    <w:pPr>
      <w:pStyle w:val="FooterEnd"/>
    </w:pPr>
  </w:p>
  <w:p w14:paraId="0C02F518" w14:textId="77777777" w:rsidR="00DD04FE" w:rsidRDefault="00DD04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D04FE" w14:paraId="3B8B0E3C" w14:textId="77777777" w:rsidTr="005F48ED">
      <w:trPr>
        <w:trHeight w:hRule="exact" w:val="567"/>
      </w:trPr>
      <w:tc>
        <w:tcPr>
          <w:tcW w:w="510" w:type="dxa"/>
        </w:tcPr>
        <w:p w14:paraId="6F97BE9A" w14:textId="77777777" w:rsidR="00DD04FE" w:rsidRDefault="00DD04FE">
          <w:pPr>
            <w:pStyle w:val="Footer"/>
            <w:ind w:right="360" w:firstLine="360"/>
          </w:pPr>
        </w:p>
      </w:tc>
      <w:tc>
        <w:tcPr>
          <w:tcW w:w="7767" w:type="dxa"/>
        </w:tcPr>
        <w:p w14:paraId="2B7814E7" w14:textId="540FFB90" w:rsidR="00DD04FE" w:rsidRPr="00BA5B14" w:rsidRDefault="00DD04FE" w:rsidP="0013739A">
          <w:pPr>
            <w:pStyle w:val="Footer"/>
            <w:jc w:val="right"/>
            <w:rPr>
              <w:rFonts w:cs="Arial"/>
            </w:rPr>
          </w:pPr>
          <w:r>
            <w:rPr>
              <w:rFonts w:cs="Arial"/>
            </w:rPr>
            <w:t>MENTAL HEALTH MANAGEMENT</w:t>
          </w:r>
        </w:p>
      </w:tc>
      <w:tc>
        <w:tcPr>
          <w:tcW w:w="510" w:type="dxa"/>
        </w:tcPr>
        <w:p w14:paraId="38C6BE9B" w14:textId="0AF85E19" w:rsidR="00DD04FE" w:rsidRPr="00A24443" w:rsidRDefault="00DD04FE">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C1C43">
            <w:rPr>
              <w:rStyle w:val="PageNumber"/>
              <w:caps w:val="0"/>
              <w:noProof/>
            </w:rPr>
            <w:t>1</w:t>
          </w:r>
          <w:r w:rsidRPr="00A24443">
            <w:rPr>
              <w:rStyle w:val="PageNumber"/>
              <w:caps w:val="0"/>
            </w:rPr>
            <w:fldChar w:fldCharType="end"/>
          </w:r>
        </w:p>
      </w:tc>
    </w:tr>
  </w:tbl>
  <w:p w14:paraId="60ADEA0A" w14:textId="77777777" w:rsidR="00DD04FE" w:rsidRDefault="00DD04FE">
    <w:pPr>
      <w:pStyle w:val="FooterEnd"/>
    </w:pPr>
  </w:p>
  <w:p w14:paraId="4434A2FE" w14:textId="77777777" w:rsidR="00DD04FE" w:rsidRPr="00F16633" w:rsidRDefault="00DD04FE" w:rsidP="00F1663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990F8" w14:textId="77777777" w:rsidR="00DD04FE" w:rsidRDefault="00DD04FE">
      <w:r>
        <w:separator/>
      </w:r>
    </w:p>
    <w:p w14:paraId="6DDB3AAE" w14:textId="77777777" w:rsidR="00DD04FE" w:rsidRDefault="00DD04FE"/>
  </w:footnote>
  <w:footnote w:type="continuationSeparator" w:id="0">
    <w:p w14:paraId="23A08173" w14:textId="77777777" w:rsidR="00DD04FE" w:rsidRDefault="00DD04FE">
      <w:r>
        <w:continuationSeparator/>
      </w:r>
    </w:p>
    <w:p w14:paraId="5F92E2CE" w14:textId="77777777" w:rsidR="00DD04FE" w:rsidRDefault="00DD04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D04FE" w14:paraId="3CB26B6C" w14:textId="77777777">
      <w:tc>
        <w:tcPr>
          <w:tcW w:w="2155" w:type="dxa"/>
          <w:tcBorders>
            <w:top w:val="single" w:sz="24" w:space="0" w:color="auto"/>
          </w:tcBorders>
        </w:tcPr>
        <w:p w14:paraId="6C874272" w14:textId="77777777" w:rsidR="00DD04FE" w:rsidRDefault="00DD04FE" w:rsidP="0019293B">
          <w:pPr>
            <w:pStyle w:val="HeaderEven"/>
          </w:pPr>
        </w:p>
      </w:tc>
      <w:tc>
        <w:tcPr>
          <w:tcW w:w="6634" w:type="dxa"/>
          <w:tcBorders>
            <w:top w:val="single" w:sz="6" w:space="0" w:color="auto"/>
          </w:tcBorders>
        </w:tcPr>
        <w:p w14:paraId="1C0D1384" w14:textId="1CBC9C05" w:rsidR="00DD04FE" w:rsidRDefault="00DD04FE" w:rsidP="00D43C8D">
          <w:pPr>
            <w:pStyle w:val="HeaderEven"/>
            <w:jc w:val="right"/>
          </w:pPr>
        </w:p>
      </w:tc>
    </w:tr>
  </w:tbl>
  <w:p w14:paraId="23CFD81E" w14:textId="77777777" w:rsidR="00DD04FE" w:rsidRDefault="00DD04FE"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D04FE" w14:paraId="732CD308" w14:textId="77777777">
      <w:tc>
        <w:tcPr>
          <w:tcW w:w="6634" w:type="dxa"/>
          <w:tcBorders>
            <w:top w:val="single" w:sz="6" w:space="0" w:color="auto"/>
          </w:tcBorders>
        </w:tcPr>
        <w:p w14:paraId="19E653D7" w14:textId="77777777" w:rsidR="00DD04FE" w:rsidRDefault="00DD04FE" w:rsidP="00E669E2">
          <w:pPr>
            <w:pStyle w:val="HeaderOdd"/>
          </w:pPr>
        </w:p>
      </w:tc>
      <w:tc>
        <w:tcPr>
          <w:tcW w:w="2155" w:type="dxa"/>
          <w:tcBorders>
            <w:top w:val="single" w:sz="24" w:space="0" w:color="auto"/>
          </w:tcBorders>
        </w:tcPr>
        <w:p w14:paraId="342B10B6" w14:textId="77777777" w:rsidR="00DD04FE" w:rsidRDefault="00DD04FE" w:rsidP="00E669E2">
          <w:pPr>
            <w:pStyle w:val="HeaderOdd"/>
          </w:pPr>
        </w:p>
      </w:tc>
    </w:tr>
  </w:tbl>
  <w:p w14:paraId="19A8CD99" w14:textId="77777777" w:rsidR="00DD04FE" w:rsidRDefault="00DD04FE" w:rsidP="00E669E2">
    <w:pPr>
      <w:pStyle w:val="HeaderEnd"/>
    </w:pPr>
  </w:p>
  <w:p w14:paraId="06181787" w14:textId="77777777" w:rsidR="00DD04FE" w:rsidRDefault="00DD04F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C6B03BB"/>
    <w:multiLevelType w:val="hybridMultilevel"/>
    <w:tmpl w:val="39A4C416"/>
    <w:lvl w:ilvl="0" w:tplc="E9CCF90E">
      <w:start w:val="2014"/>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44B564F"/>
    <w:multiLevelType w:val="hybridMultilevel"/>
    <w:tmpl w:val="26607CAE"/>
    <w:lvl w:ilvl="0" w:tplc="809C4D0C">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3E333E"/>
    <w:multiLevelType w:val="hybridMultilevel"/>
    <w:tmpl w:val="1B3639B2"/>
    <w:lvl w:ilvl="0" w:tplc="51AA3AD2">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92049"/>
    <w:multiLevelType w:val="hybridMultilevel"/>
    <w:tmpl w:val="9BFA40B8"/>
    <w:lvl w:ilvl="0" w:tplc="078E316E">
      <w:start w:val="2014"/>
      <w:numFmt w:val="bullet"/>
      <w:lvlText w:val="—"/>
      <w:lvlJc w:val="left"/>
      <w:pPr>
        <w:ind w:left="1320" w:hanging="480"/>
      </w:pPr>
      <w:rPr>
        <w:rFonts w:ascii="Times New Roman" w:eastAsia="Times New Roman" w:hAnsi="Times New Roman" w:cs="Times New Roman"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74D7209B"/>
    <w:multiLevelType w:val="hybridMultilevel"/>
    <w:tmpl w:val="B31E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8"/>
  </w:num>
  <w:num w:numId="4">
    <w:abstractNumId w:val="4"/>
  </w:num>
  <w:num w:numId="5">
    <w:abstractNumId w:val="23"/>
  </w:num>
  <w:num w:numId="6">
    <w:abstractNumId w:val="20"/>
  </w:num>
  <w:num w:numId="7">
    <w:abstractNumId w:val="9"/>
  </w:num>
  <w:num w:numId="8">
    <w:abstractNumId w:val="19"/>
  </w:num>
  <w:num w:numId="9">
    <w:abstractNumId w:val="8"/>
  </w:num>
  <w:num w:numId="10">
    <w:abstractNumId w:val="7"/>
  </w:num>
  <w:num w:numId="11">
    <w:abstractNumId w:val="11"/>
  </w:num>
  <w:num w:numId="12">
    <w:abstractNumId w:val="12"/>
  </w:num>
  <w:num w:numId="13">
    <w:abstractNumId w:val="5"/>
  </w:num>
  <w:num w:numId="14">
    <w:abstractNumId w:val="21"/>
  </w:num>
  <w:num w:numId="15">
    <w:abstractNumId w:val="25"/>
  </w:num>
  <w:num w:numId="16">
    <w:abstractNumId w:val="17"/>
  </w:num>
  <w:num w:numId="17">
    <w:abstractNumId w:val="26"/>
  </w:num>
  <w:num w:numId="18">
    <w:abstractNumId w:val="22"/>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3"/>
  </w:num>
  <w:num w:numId="24">
    <w:abstractNumId w:val="13"/>
  </w:num>
  <w:num w:numId="25">
    <w:abstractNumId w:val="13"/>
  </w:num>
  <w:num w:numId="26">
    <w:abstractNumId w:val="13"/>
  </w:num>
  <w:num w:numId="27">
    <w:abstractNumId w:val="13"/>
  </w:num>
  <w:num w:numId="28">
    <w:abstractNumId w:val="6"/>
  </w:num>
  <w:num w:numId="29">
    <w:abstractNumId w:val="16"/>
  </w:num>
  <w:num w:numId="30">
    <w:abstractNumId w:val="24"/>
  </w:num>
  <w:num w:numId="31">
    <w:abstractNumId w:val="13"/>
  </w:num>
  <w:num w:numId="32">
    <w:abstractNumId w:val="14"/>
  </w:num>
  <w:num w:numId="33">
    <w:abstractNumId w:val="15"/>
  </w:num>
  <w:num w:numId="3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MENTAL HEALTH MANAGEMENT"/>
    <w:docVar w:name="ShortReportTitle" w:val="Report on Government Services 2018"/>
  </w:docVars>
  <w:rsids>
    <w:rsidRoot w:val="005F2EAC"/>
    <w:rsid w:val="00001F95"/>
    <w:rsid w:val="00002EAD"/>
    <w:rsid w:val="00002F92"/>
    <w:rsid w:val="00004575"/>
    <w:rsid w:val="00004A54"/>
    <w:rsid w:val="0000655A"/>
    <w:rsid w:val="0000676A"/>
    <w:rsid w:val="00006D05"/>
    <w:rsid w:val="00006D4D"/>
    <w:rsid w:val="00011F18"/>
    <w:rsid w:val="00013A12"/>
    <w:rsid w:val="000157A1"/>
    <w:rsid w:val="00017BED"/>
    <w:rsid w:val="00017CF8"/>
    <w:rsid w:val="000216D7"/>
    <w:rsid w:val="000225F5"/>
    <w:rsid w:val="000227D5"/>
    <w:rsid w:val="00023358"/>
    <w:rsid w:val="00023C68"/>
    <w:rsid w:val="000245AA"/>
    <w:rsid w:val="00026279"/>
    <w:rsid w:val="00027874"/>
    <w:rsid w:val="00027C10"/>
    <w:rsid w:val="0003050E"/>
    <w:rsid w:val="0003065E"/>
    <w:rsid w:val="0003132C"/>
    <w:rsid w:val="00033C1F"/>
    <w:rsid w:val="00035E36"/>
    <w:rsid w:val="00036587"/>
    <w:rsid w:val="0003664B"/>
    <w:rsid w:val="00037211"/>
    <w:rsid w:val="00037B56"/>
    <w:rsid w:val="0004111F"/>
    <w:rsid w:val="00041DCC"/>
    <w:rsid w:val="000428B3"/>
    <w:rsid w:val="000430B1"/>
    <w:rsid w:val="000433AF"/>
    <w:rsid w:val="0004369D"/>
    <w:rsid w:val="00043C52"/>
    <w:rsid w:val="000440B4"/>
    <w:rsid w:val="00047146"/>
    <w:rsid w:val="000477EA"/>
    <w:rsid w:val="00050249"/>
    <w:rsid w:val="00050A71"/>
    <w:rsid w:val="00050F87"/>
    <w:rsid w:val="00052549"/>
    <w:rsid w:val="00052FA5"/>
    <w:rsid w:val="00053085"/>
    <w:rsid w:val="0005382D"/>
    <w:rsid w:val="0005415E"/>
    <w:rsid w:val="00055077"/>
    <w:rsid w:val="0005606A"/>
    <w:rsid w:val="000565B3"/>
    <w:rsid w:val="000575B5"/>
    <w:rsid w:val="00062D60"/>
    <w:rsid w:val="00062DA8"/>
    <w:rsid w:val="00062F01"/>
    <w:rsid w:val="0006364C"/>
    <w:rsid w:val="00063E26"/>
    <w:rsid w:val="00066FE7"/>
    <w:rsid w:val="00067BA2"/>
    <w:rsid w:val="0007150B"/>
    <w:rsid w:val="00073E4F"/>
    <w:rsid w:val="00073E98"/>
    <w:rsid w:val="00074248"/>
    <w:rsid w:val="00074BE9"/>
    <w:rsid w:val="00080390"/>
    <w:rsid w:val="000806A8"/>
    <w:rsid w:val="00080D30"/>
    <w:rsid w:val="00081EAC"/>
    <w:rsid w:val="0008223D"/>
    <w:rsid w:val="00083260"/>
    <w:rsid w:val="000832FA"/>
    <w:rsid w:val="00083745"/>
    <w:rsid w:val="00083882"/>
    <w:rsid w:val="00085CAE"/>
    <w:rsid w:val="00086939"/>
    <w:rsid w:val="00086AE3"/>
    <w:rsid w:val="00086B08"/>
    <w:rsid w:val="00087685"/>
    <w:rsid w:val="00090017"/>
    <w:rsid w:val="00090543"/>
    <w:rsid w:val="0009370E"/>
    <w:rsid w:val="000938E3"/>
    <w:rsid w:val="000938F5"/>
    <w:rsid w:val="00094527"/>
    <w:rsid w:val="00095094"/>
    <w:rsid w:val="00095663"/>
    <w:rsid w:val="00095F6F"/>
    <w:rsid w:val="00095FDD"/>
    <w:rsid w:val="00096E55"/>
    <w:rsid w:val="0009783E"/>
    <w:rsid w:val="000A0EAC"/>
    <w:rsid w:val="000A2452"/>
    <w:rsid w:val="000A274A"/>
    <w:rsid w:val="000A2B36"/>
    <w:rsid w:val="000A32E0"/>
    <w:rsid w:val="000A3D4D"/>
    <w:rsid w:val="000A422F"/>
    <w:rsid w:val="000A530B"/>
    <w:rsid w:val="000A7F2B"/>
    <w:rsid w:val="000B0525"/>
    <w:rsid w:val="000B1022"/>
    <w:rsid w:val="000B138B"/>
    <w:rsid w:val="000B21ED"/>
    <w:rsid w:val="000B290D"/>
    <w:rsid w:val="000B2DF7"/>
    <w:rsid w:val="000B3483"/>
    <w:rsid w:val="000B3B63"/>
    <w:rsid w:val="000B3BF9"/>
    <w:rsid w:val="000B3DF0"/>
    <w:rsid w:val="000B4E7D"/>
    <w:rsid w:val="000B5F9F"/>
    <w:rsid w:val="000B601B"/>
    <w:rsid w:val="000B6922"/>
    <w:rsid w:val="000B69A0"/>
    <w:rsid w:val="000B764C"/>
    <w:rsid w:val="000B7725"/>
    <w:rsid w:val="000B7774"/>
    <w:rsid w:val="000C0C8F"/>
    <w:rsid w:val="000C1315"/>
    <w:rsid w:val="000C182E"/>
    <w:rsid w:val="000C1D1B"/>
    <w:rsid w:val="000C207E"/>
    <w:rsid w:val="000C2197"/>
    <w:rsid w:val="000C2D55"/>
    <w:rsid w:val="000C5BCD"/>
    <w:rsid w:val="000C5D75"/>
    <w:rsid w:val="000C6072"/>
    <w:rsid w:val="000C6608"/>
    <w:rsid w:val="000C75D3"/>
    <w:rsid w:val="000D0785"/>
    <w:rsid w:val="000D09C4"/>
    <w:rsid w:val="000D1472"/>
    <w:rsid w:val="000D23A9"/>
    <w:rsid w:val="000D41E9"/>
    <w:rsid w:val="000D5A4D"/>
    <w:rsid w:val="000D5DA9"/>
    <w:rsid w:val="000D68F2"/>
    <w:rsid w:val="000D74B6"/>
    <w:rsid w:val="000D7CBB"/>
    <w:rsid w:val="000E00AE"/>
    <w:rsid w:val="000E066C"/>
    <w:rsid w:val="000E069F"/>
    <w:rsid w:val="000E0E79"/>
    <w:rsid w:val="000E1737"/>
    <w:rsid w:val="000E3455"/>
    <w:rsid w:val="000E41EF"/>
    <w:rsid w:val="000E4A09"/>
    <w:rsid w:val="000E5E67"/>
    <w:rsid w:val="000E784B"/>
    <w:rsid w:val="000F0035"/>
    <w:rsid w:val="000F0427"/>
    <w:rsid w:val="000F04E7"/>
    <w:rsid w:val="000F060A"/>
    <w:rsid w:val="000F1ACA"/>
    <w:rsid w:val="000F35C7"/>
    <w:rsid w:val="000F3DCD"/>
    <w:rsid w:val="000F420B"/>
    <w:rsid w:val="000F43D2"/>
    <w:rsid w:val="000F67C1"/>
    <w:rsid w:val="00100ED0"/>
    <w:rsid w:val="001015D3"/>
    <w:rsid w:val="00101926"/>
    <w:rsid w:val="00101961"/>
    <w:rsid w:val="00101BAC"/>
    <w:rsid w:val="0010468D"/>
    <w:rsid w:val="001058BE"/>
    <w:rsid w:val="00106354"/>
    <w:rsid w:val="00110116"/>
    <w:rsid w:val="00110142"/>
    <w:rsid w:val="00110613"/>
    <w:rsid w:val="00112C83"/>
    <w:rsid w:val="00113CBF"/>
    <w:rsid w:val="001163D9"/>
    <w:rsid w:val="001170E1"/>
    <w:rsid w:val="00117896"/>
    <w:rsid w:val="00117EFB"/>
    <w:rsid w:val="00120072"/>
    <w:rsid w:val="00121C25"/>
    <w:rsid w:val="00121E52"/>
    <w:rsid w:val="00123EDC"/>
    <w:rsid w:val="00125BBE"/>
    <w:rsid w:val="001261E0"/>
    <w:rsid w:val="00126BA9"/>
    <w:rsid w:val="00126EB8"/>
    <w:rsid w:val="00127333"/>
    <w:rsid w:val="001274D4"/>
    <w:rsid w:val="00127703"/>
    <w:rsid w:val="00127B12"/>
    <w:rsid w:val="00127C22"/>
    <w:rsid w:val="0013032D"/>
    <w:rsid w:val="00130587"/>
    <w:rsid w:val="001305B9"/>
    <w:rsid w:val="0013108A"/>
    <w:rsid w:val="001320A4"/>
    <w:rsid w:val="001323F8"/>
    <w:rsid w:val="0013451D"/>
    <w:rsid w:val="00134A99"/>
    <w:rsid w:val="00135317"/>
    <w:rsid w:val="001354BA"/>
    <w:rsid w:val="001359B2"/>
    <w:rsid w:val="00135AE5"/>
    <w:rsid w:val="001363AA"/>
    <w:rsid w:val="00136F58"/>
    <w:rsid w:val="00137155"/>
    <w:rsid w:val="0013739A"/>
    <w:rsid w:val="0014083B"/>
    <w:rsid w:val="00141436"/>
    <w:rsid w:val="00142165"/>
    <w:rsid w:val="001424C4"/>
    <w:rsid w:val="0014325B"/>
    <w:rsid w:val="00143BEA"/>
    <w:rsid w:val="0014546C"/>
    <w:rsid w:val="00146269"/>
    <w:rsid w:val="001469F2"/>
    <w:rsid w:val="00150BFF"/>
    <w:rsid w:val="00150FEC"/>
    <w:rsid w:val="00152D0F"/>
    <w:rsid w:val="00153F23"/>
    <w:rsid w:val="00153FA1"/>
    <w:rsid w:val="00155304"/>
    <w:rsid w:val="00155F24"/>
    <w:rsid w:val="001563F9"/>
    <w:rsid w:val="001577CB"/>
    <w:rsid w:val="00160552"/>
    <w:rsid w:val="00162434"/>
    <w:rsid w:val="0016301B"/>
    <w:rsid w:val="00163190"/>
    <w:rsid w:val="00163C9A"/>
    <w:rsid w:val="001644A8"/>
    <w:rsid w:val="00164921"/>
    <w:rsid w:val="00164B4B"/>
    <w:rsid w:val="001664CF"/>
    <w:rsid w:val="00166FD8"/>
    <w:rsid w:val="0016725C"/>
    <w:rsid w:val="001745D0"/>
    <w:rsid w:val="0017487E"/>
    <w:rsid w:val="00175597"/>
    <w:rsid w:val="001758BF"/>
    <w:rsid w:val="00175FD3"/>
    <w:rsid w:val="00176969"/>
    <w:rsid w:val="00177AE1"/>
    <w:rsid w:val="00181711"/>
    <w:rsid w:val="00182A76"/>
    <w:rsid w:val="00182FC9"/>
    <w:rsid w:val="00183E82"/>
    <w:rsid w:val="001840F7"/>
    <w:rsid w:val="00185B0D"/>
    <w:rsid w:val="0018633A"/>
    <w:rsid w:val="001869EB"/>
    <w:rsid w:val="00186BB3"/>
    <w:rsid w:val="001878BB"/>
    <w:rsid w:val="0019115A"/>
    <w:rsid w:val="00191AE0"/>
    <w:rsid w:val="0019293B"/>
    <w:rsid w:val="00192BC4"/>
    <w:rsid w:val="00193BD5"/>
    <w:rsid w:val="001940ED"/>
    <w:rsid w:val="00194149"/>
    <w:rsid w:val="0019426B"/>
    <w:rsid w:val="001950CE"/>
    <w:rsid w:val="0019585A"/>
    <w:rsid w:val="00195C26"/>
    <w:rsid w:val="00195F4E"/>
    <w:rsid w:val="001978C8"/>
    <w:rsid w:val="001A05B7"/>
    <w:rsid w:val="001A0CD9"/>
    <w:rsid w:val="001A1088"/>
    <w:rsid w:val="001A14D4"/>
    <w:rsid w:val="001A2B31"/>
    <w:rsid w:val="001A3B21"/>
    <w:rsid w:val="001A46D4"/>
    <w:rsid w:val="001A4C79"/>
    <w:rsid w:val="001A5367"/>
    <w:rsid w:val="001A5918"/>
    <w:rsid w:val="001A5BE7"/>
    <w:rsid w:val="001A66B6"/>
    <w:rsid w:val="001A67D1"/>
    <w:rsid w:val="001A6A4B"/>
    <w:rsid w:val="001B0EBD"/>
    <w:rsid w:val="001B13F4"/>
    <w:rsid w:val="001B1942"/>
    <w:rsid w:val="001B194D"/>
    <w:rsid w:val="001B1EB5"/>
    <w:rsid w:val="001B26A2"/>
    <w:rsid w:val="001B3117"/>
    <w:rsid w:val="001B34E7"/>
    <w:rsid w:val="001B4661"/>
    <w:rsid w:val="001B4687"/>
    <w:rsid w:val="001B4E73"/>
    <w:rsid w:val="001B6C2F"/>
    <w:rsid w:val="001C0539"/>
    <w:rsid w:val="001C0865"/>
    <w:rsid w:val="001C0AED"/>
    <w:rsid w:val="001C1480"/>
    <w:rsid w:val="001C220F"/>
    <w:rsid w:val="001C3ABA"/>
    <w:rsid w:val="001C5111"/>
    <w:rsid w:val="001C5D84"/>
    <w:rsid w:val="001C65DC"/>
    <w:rsid w:val="001D04A1"/>
    <w:rsid w:val="001D1186"/>
    <w:rsid w:val="001D1E22"/>
    <w:rsid w:val="001D3073"/>
    <w:rsid w:val="001D3C61"/>
    <w:rsid w:val="001D475A"/>
    <w:rsid w:val="001D5143"/>
    <w:rsid w:val="001D5B88"/>
    <w:rsid w:val="001D727E"/>
    <w:rsid w:val="001E0443"/>
    <w:rsid w:val="001E0AA2"/>
    <w:rsid w:val="001E143A"/>
    <w:rsid w:val="001E3D16"/>
    <w:rsid w:val="001E3F0B"/>
    <w:rsid w:val="001E479C"/>
    <w:rsid w:val="001E5BD5"/>
    <w:rsid w:val="001E7B1B"/>
    <w:rsid w:val="001E7BC7"/>
    <w:rsid w:val="001E7BE8"/>
    <w:rsid w:val="001E7DCB"/>
    <w:rsid w:val="001F0248"/>
    <w:rsid w:val="001F16C1"/>
    <w:rsid w:val="001F18B0"/>
    <w:rsid w:val="001F1DD0"/>
    <w:rsid w:val="001F3324"/>
    <w:rsid w:val="001F3467"/>
    <w:rsid w:val="001F37F4"/>
    <w:rsid w:val="001F3EB3"/>
    <w:rsid w:val="001F491C"/>
    <w:rsid w:val="001F4F86"/>
    <w:rsid w:val="001F5F43"/>
    <w:rsid w:val="001F6682"/>
    <w:rsid w:val="001F6B10"/>
    <w:rsid w:val="001F7910"/>
    <w:rsid w:val="00200147"/>
    <w:rsid w:val="00201973"/>
    <w:rsid w:val="00202C2C"/>
    <w:rsid w:val="00203050"/>
    <w:rsid w:val="00203522"/>
    <w:rsid w:val="002041CA"/>
    <w:rsid w:val="0020552D"/>
    <w:rsid w:val="00205587"/>
    <w:rsid w:val="002058DD"/>
    <w:rsid w:val="00206030"/>
    <w:rsid w:val="00206106"/>
    <w:rsid w:val="00206D26"/>
    <w:rsid w:val="00207682"/>
    <w:rsid w:val="00210501"/>
    <w:rsid w:val="0021143A"/>
    <w:rsid w:val="002116BB"/>
    <w:rsid w:val="00211E47"/>
    <w:rsid w:val="00212377"/>
    <w:rsid w:val="0021315E"/>
    <w:rsid w:val="002135AB"/>
    <w:rsid w:val="0021367A"/>
    <w:rsid w:val="0021384F"/>
    <w:rsid w:val="002144BE"/>
    <w:rsid w:val="0021609E"/>
    <w:rsid w:val="0021696B"/>
    <w:rsid w:val="0022060C"/>
    <w:rsid w:val="00221C87"/>
    <w:rsid w:val="00221C8C"/>
    <w:rsid w:val="00222551"/>
    <w:rsid w:val="0022260C"/>
    <w:rsid w:val="002228CF"/>
    <w:rsid w:val="002233BD"/>
    <w:rsid w:val="002241CC"/>
    <w:rsid w:val="002245A4"/>
    <w:rsid w:val="00224BEA"/>
    <w:rsid w:val="00225448"/>
    <w:rsid w:val="00226784"/>
    <w:rsid w:val="002271F2"/>
    <w:rsid w:val="002278F4"/>
    <w:rsid w:val="00230A82"/>
    <w:rsid w:val="00230D35"/>
    <w:rsid w:val="002315C6"/>
    <w:rsid w:val="002340DD"/>
    <w:rsid w:val="00235CB4"/>
    <w:rsid w:val="00237482"/>
    <w:rsid w:val="002404C0"/>
    <w:rsid w:val="002405C4"/>
    <w:rsid w:val="00241393"/>
    <w:rsid w:val="00242279"/>
    <w:rsid w:val="0024394F"/>
    <w:rsid w:val="00243997"/>
    <w:rsid w:val="00243D34"/>
    <w:rsid w:val="00243E8F"/>
    <w:rsid w:val="0024516C"/>
    <w:rsid w:val="00245C82"/>
    <w:rsid w:val="00246945"/>
    <w:rsid w:val="00247A1E"/>
    <w:rsid w:val="00247BAE"/>
    <w:rsid w:val="002501B5"/>
    <w:rsid w:val="00250456"/>
    <w:rsid w:val="00250AEB"/>
    <w:rsid w:val="00251B58"/>
    <w:rsid w:val="002534AE"/>
    <w:rsid w:val="00253F05"/>
    <w:rsid w:val="00254295"/>
    <w:rsid w:val="00254F5F"/>
    <w:rsid w:val="002550D2"/>
    <w:rsid w:val="00257B3C"/>
    <w:rsid w:val="00257CA3"/>
    <w:rsid w:val="00260EBD"/>
    <w:rsid w:val="002615DE"/>
    <w:rsid w:val="00262C26"/>
    <w:rsid w:val="00263B04"/>
    <w:rsid w:val="00266512"/>
    <w:rsid w:val="002672F8"/>
    <w:rsid w:val="00267CA9"/>
    <w:rsid w:val="00270261"/>
    <w:rsid w:val="0027059E"/>
    <w:rsid w:val="00270DBB"/>
    <w:rsid w:val="002724BA"/>
    <w:rsid w:val="00272E3D"/>
    <w:rsid w:val="00273334"/>
    <w:rsid w:val="002734EE"/>
    <w:rsid w:val="0027441C"/>
    <w:rsid w:val="00274462"/>
    <w:rsid w:val="00275E59"/>
    <w:rsid w:val="002771B6"/>
    <w:rsid w:val="00277325"/>
    <w:rsid w:val="00277676"/>
    <w:rsid w:val="002822ED"/>
    <w:rsid w:val="00283601"/>
    <w:rsid w:val="002838E5"/>
    <w:rsid w:val="00283D04"/>
    <w:rsid w:val="0028413A"/>
    <w:rsid w:val="00284C40"/>
    <w:rsid w:val="002857F5"/>
    <w:rsid w:val="00291B40"/>
    <w:rsid w:val="00292E9E"/>
    <w:rsid w:val="002935AA"/>
    <w:rsid w:val="00293F8A"/>
    <w:rsid w:val="0029420D"/>
    <w:rsid w:val="002951E4"/>
    <w:rsid w:val="00296306"/>
    <w:rsid w:val="00297E2A"/>
    <w:rsid w:val="002A102D"/>
    <w:rsid w:val="002A1101"/>
    <w:rsid w:val="002A164E"/>
    <w:rsid w:val="002A176C"/>
    <w:rsid w:val="002A206D"/>
    <w:rsid w:val="002A2F8C"/>
    <w:rsid w:val="002A3B35"/>
    <w:rsid w:val="002A558D"/>
    <w:rsid w:val="002B1784"/>
    <w:rsid w:val="002B2C9A"/>
    <w:rsid w:val="002B2D64"/>
    <w:rsid w:val="002B2F24"/>
    <w:rsid w:val="002B30E9"/>
    <w:rsid w:val="002B37DC"/>
    <w:rsid w:val="002B4008"/>
    <w:rsid w:val="002B49F2"/>
    <w:rsid w:val="002B57E3"/>
    <w:rsid w:val="002B6019"/>
    <w:rsid w:val="002B6282"/>
    <w:rsid w:val="002B6925"/>
    <w:rsid w:val="002B70A7"/>
    <w:rsid w:val="002C0E67"/>
    <w:rsid w:val="002C0FB8"/>
    <w:rsid w:val="002C2211"/>
    <w:rsid w:val="002C41BE"/>
    <w:rsid w:val="002C439F"/>
    <w:rsid w:val="002C563A"/>
    <w:rsid w:val="002C5790"/>
    <w:rsid w:val="002C5C9B"/>
    <w:rsid w:val="002C5EF0"/>
    <w:rsid w:val="002C5F6A"/>
    <w:rsid w:val="002C60FB"/>
    <w:rsid w:val="002C6AE7"/>
    <w:rsid w:val="002C775B"/>
    <w:rsid w:val="002C77E1"/>
    <w:rsid w:val="002D0C42"/>
    <w:rsid w:val="002D0D07"/>
    <w:rsid w:val="002D0E8E"/>
    <w:rsid w:val="002D2C14"/>
    <w:rsid w:val="002D36B2"/>
    <w:rsid w:val="002D3B8D"/>
    <w:rsid w:val="002D3B91"/>
    <w:rsid w:val="002D4C57"/>
    <w:rsid w:val="002D596E"/>
    <w:rsid w:val="002E02E8"/>
    <w:rsid w:val="002E0DAD"/>
    <w:rsid w:val="002E1394"/>
    <w:rsid w:val="002E271C"/>
    <w:rsid w:val="002E485F"/>
    <w:rsid w:val="002E5031"/>
    <w:rsid w:val="002E5A1F"/>
    <w:rsid w:val="002E5C98"/>
    <w:rsid w:val="002E5CCE"/>
    <w:rsid w:val="002E63D4"/>
    <w:rsid w:val="002E6619"/>
    <w:rsid w:val="002E77D5"/>
    <w:rsid w:val="002F225B"/>
    <w:rsid w:val="002F2357"/>
    <w:rsid w:val="002F5428"/>
    <w:rsid w:val="002F6BDB"/>
    <w:rsid w:val="002F794B"/>
    <w:rsid w:val="003009B2"/>
    <w:rsid w:val="00301189"/>
    <w:rsid w:val="0030181A"/>
    <w:rsid w:val="00301E4A"/>
    <w:rsid w:val="003021AD"/>
    <w:rsid w:val="003022BA"/>
    <w:rsid w:val="003033DB"/>
    <w:rsid w:val="00303B02"/>
    <w:rsid w:val="003052D0"/>
    <w:rsid w:val="003059B1"/>
    <w:rsid w:val="00305B68"/>
    <w:rsid w:val="0030688E"/>
    <w:rsid w:val="003072FC"/>
    <w:rsid w:val="003105DE"/>
    <w:rsid w:val="003106E4"/>
    <w:rsid w:val="00312661"/>
    <w:rsid w:val="00312758"/>
    <w:rsid w:val="00312B71"/>
    <w:rsid w:val="0031327A"/>
    <w:rsid w:val="0031349B"/>
    <w:rsid w:val="00313810"/>
    <w:rsid w:val="00314728"/>
    <w:rsid w:val="003168B8"/>
    <w:rsid w:val="00316F87"/>
    <w:rsid w:val="0031725E"/>
    <w:rsid w:val="00320374"/>
    <w:rsid w:val="00322D64"/>
    <w:rsid w:val="00323E09"/>
    <w:rsid w:val="00324EB3"/>
    <w:rsid w:val="00325922"/>
    <w:rsid w:val="00325FED"/>
    <w:rsid w:val="00326E47"/>
    <w:rsid w:val="003270B5"/>
    <w:rsid w:val="003305E5"/>
    <w:rsid w:val="0033314A"/>
    <w:rsid w:val="00333932"/>
    <w:rsid w:val="00333C8F"/>
    <w:rsid w:val="00333F0C"/>
    <w:rsid w:val="003346FA"/>
    <w:rsid w:val="00334C40"/>
    <w:rsid w:val="00335B81"/>
    <w:rsid w:val="00335E2B"/>
    <w:rsid w:val="00335EB0"/>
    <w:rsid w:val="00337C8B"/>
    <w:rsid w:val="00340858"/>
    <w:rsid w:val="00341A28"/>
    <w:rsid w:val="00341A68"/>
    <w:rsid w:val="00341C0D"/>
    <w:rsid w:val="00341D46"/>
    <w:rsid w:val="003426D1"/>
    <w:rsid w:val="0034337C"/>
    <w:rsid w:val="0034407C"/>
    <w:rsid w:val="003443C9"/>
    <w:rsid w:val="003477ED"/>
    <w:rsid w:val="00347D4D"/>
    <w:rsid w:val="003500A0"/>
    <w:rsid w:val="003518AA"/>
    <w:rsid w:val="00351F02"/>
    <w:rsid w:val="00352165"/>
    <w:rsid w:val="00352CB2"/>
    <w:rsid w:val="00353182"/>
    <w:rsid w:val="00354A01"/>
    <w:rsid w:val="00354F05"/>
    <w:rsid w:val="003557C1"/>
    <w:rsid w:val="00355934"/>
    <w:rsid w:val="003565D9"/>
    <w:rsid w:val="003566BA"/>
    <w:rsid w:val="00360224"/>
    <w:rsid w:val="003602E1"/>
    <w:rsid w:val="003604F5"/>
    <w:rsid w:val="00360FF7"/>
    <w:rsid w:val="003612AF"/>
    <w:rsid w:val="00361EB3"/>
    <w:rsid w:val="00362D44"/>
    <w:rsid w:val="00363650"/>
    <w:rsid w:val="00363C49"/>
    <w:rsid w:val="00364258"/>
    <w:rsid w:val="00364299"/>
    <w:rsid w:val="00364D09"/>
    <w:rsid w:val="00365EC8"/>
    <w:rsid w:val="0036625A"/>
    <w:rsid w:val="0036759D"/>
    <w:rsid w:val="003701B1"/>
    <w:rsid w:val="0037026F"/>
    <w:rsid w:val="00371240"/>
    <w:rsid w:val="00371415"/>
    <w:rsid w:val="003718D8"/>
    <w:rsid w:val="00372ED6"/>
    <w:rsid w:val="0037391B"/>
    <w:rsid w:val="00373E3A"/>
    <w:rsid w:val="00373EFA"/>
    <w:rsid w:val="00374731"/>
    <w:rsid w:val="00375374"/>
    <w:rsid w:val="00375E1F"/>
    <w:rsid w:val="00376E59"/>
    <w:rsid w:val="0037756E"/>
    <w:rsid w:val="00377EC1"/>
    <w:rsid w:val="00380340"/>
    <w:rsid w:val="0038038A"/>
    <w:rsid w:val="00382529"/>
    <w:rsid w:val="0038254B"/>
    <w:rsid w:val="00383A9A"/>
    <w:rsid w:val="0038451E"/>
    <w:rsid w:val="00384DED"/>
    <w:rsid w:val="003869A3"/>
    <w:rsid w:val="00387A3C"/>
    <w:rsid w:val="003908F1"/>
    <w:rsid w:val="00390D98"/>
    <w:rsid w:val="003919F9"/>
    <w:rsid w:val="00391D4C"/>
    <w:rsid w:val="00391DA4"/>
    <w:rsid w:val="00391EB3"/>
    <w:rsid w:val="00391EBF"/>
    <w:rsid w:val="003920CF"/>
    <w:rsid w:val="00393ABC"/>
    <w:rsid w:val="0039622B"/>
    <w:rsid w:val="00396578"/>
    <w:rsid w:val="003978B7"/>
    <w:rsid w:val="003A42DB"/>
    <w:rsid w:val="003A4F0B"/>
    <w:rsid w:val="003A5D23"/>
    <w:rsid w:val="003A6EEF"/>
    <w:rsid w:val="003A7550"/>
    <w:rsid w:val="003B0D43"/>
    <w:rsid w:val="003B23C2"/>
    <w:rsid w:val="003B2DFA"/>
    <w:rsid w:val="003B5457"/>
    <w:rsid w:val="003B6D95"/>
    <w:rsid w:val="003B6DD7"/>
    <w:rsid w:val="003B741F"/>
    <w:rsid w:val="003C1976"/>
    <w:rsid w:val="003C3880"/>
    <w:rsid w:val="003C38B5"/>
    <w:rsid w:val="003C5354"/>
    <w:rsid w:val="003C5878"/>
    <w:rsid w:val="003C5D99"/>
    <w:rsid w:val="003C78E9"/>
    <w:rsid w:val="003D038F"/>
    <w:rsid w:val="003D08FE"/>
    <w:rsid w:val="003D1087"/>
    <w:rsid w:val="003D17D4"/>
    <w:rsid w:val="003D48F6"/>
    <w:rsid w:val="003D4AC1"/>
    <w:rsid w:val="003D6F27"/>
    <w:rsid w:val="003D74C1"/>
    <w:rsid w:val="003D755A"/>
    <w:rsid w:val="003E18E3"/>
    <w:rsid w:val="003E26EB"/>
    <w:rsid w:val="003E2967"/>
    <w:rsid w:val="003E2F59"/>
    <w:rsid w:val="003E323F"/>
    <w:rsid w:val="003E3E5B"/>
    <w:rsid w:val="003E56CB"/>
    <w:rsid w:val="003E71A2"/>
    <w:rsid w:val="003E746B"/>
    <w:rsid w:val="003F0789"/>
    <w:rsid w:val="003F2816"/>
    <w:rsid w:val="003F30DF"/>
    <w:rsid w:val="003F3744"/>
    <w:rsid w:val="003F39FC"/>
    <w:rsid w:val="003F4207"/>
    <w:rsid w:val="003F4652"/>
    <w:rsid w:val="003F5144"/>
    <w:rsid w:val="00401722"/>
    <w:rsid w:val="00401882"/>
    <w:rsid w:val="00402085"/>
    <w:rsid w:val="00403158"/>
    <w:rsid w:val="004035B3"/>
    <w:rsid w:val="00405E55"/>
    <w:rsid w:val="004062D1"/>
    <w:rsid w:val="004100C8"/>
    <w:rsid w:val="00411CB1"/>
    <w:rsid w:val="00411DBD"/>
    <w:rsid w:val="00412ACE"/>
    <w:rsid w:val="004136B5"/>
    <w:rsid w:val="004145D2"/>
    <w:rsid w:val="0041464B"/>
    <w:rsid w:val="004147C0"/>
    <w:rsid w:val="0042055E"/>
    <w:rsid w:val="00422FC0"/>
    <w:rsid w:val="0042364B"/>
    <w:rsid w:val="00424E42"/>
    <w:rsid w:val="004257C6"/>
    <w:rsid w:val="004260CB"/>
    <w:rsid w:val="004265D0"/>
    <w:rsid w:val="004267CC"/>
    <w:rsid w:val="00426CB4"/>
    <w:rsid w:val="0042779E"/>
    <w:rsid w:val="00427BDE"/>
    <w:rsid w:val="00430E8D"/>
    <w:rsid w:val="00431249"/>
    <w:rsid w:val="00431F3B"/>
    <w:rsid w:val="00432F35"/>
    <w:rsid w:val="00433098"/>
    <w:rsid w:val="00434C19"/>
    <w:rsid w:val="00435FAB"/>
    <w:rsid w:val="004405FD"/>
    <w:rsid w:val="004418E9"/>
    <w:rsid w:val="00442684"/>
    <w:rsid w:val="004445A0"/>
    <w:rsid w:val="004460E5"/>
    <w:rsid w:val="00447158"/>
    <w:rsid w:val="004502D8"/>
    <w:rsid w:val="00450425"/>
    <w:rsid w:val="00450810"/>
    <w:rsid w:val="00450F78"/>
    <w:rsid w:val="00452118"/>
    <w:rsid w:val="00455C4F"/>
    <w:rsid w:val="00456117"/>
    <w:rsid w:val="004571CC"/>
    <w:rsid w:val="00457632"/>
    <w:rsid w:val="00460772"/>
    <w:rsid w:val="00460879"/>
    <w:rsid w:val="00460F79"/>
    <w:rsid w:val="00461255"/>
    <w:rsid w:val="00461318"/>
    <w:rsid w:val="004621D7"/>
    <w:rsid w:val="00462C59"/>
    <w:rsid w:val="004631AD"/>
    <w:rsid w:val="00463329"/>
    <w:rsid w:val="00465824"/>
    <w:rsid w:val="004668C2"/>
    <w:rsid w:val="00467AF7"/>
    <w:rsid w:val="0047006B"/>
    <w:rsid w:val="00470737"/>
    <w:rsid w:val="00472958"/>
    <w:rsid w:val="00472E02"/>
    <w:rsid w:val="004737F4"/>
    <w:rsid w:val="00474C6E"/>
    <w:rsid w:val="0047587F"/>
    <w:rsid w:val="00477144"/>
    <w:rsid w:val="00477869"/>
    <w:rsid w:val="00481585"/>
    <w:rsid w:val="00481BBE"/>
    <w:rsid w:val="00481CF5"/>
    <w:rsid w:val="004837CA"/>
    <w:rsid w:val="00485132"/>
    <w:rsid w:val="0048555E"/>
    <w:rsid w:val="00485686"/>
    <w:rsid w:val="00490D00"/>
    <w:rsid w:val="00491144"/>
    <w:rsid w:val="00491380"/>
    <w:rsid w:val="00492B7D"/>
    <w:rsid w:val="00492EE7"/>
    <w:rsid w:val="0049338A"/>
    <w:rsid w:val="0049459F"/>
    <w:rsid w:val="00496856"/>
    <w:rsid w:val="00497B60"/>
    <w:rsid w:val="004A02A7"/>
    <w:rsid w:val="004A0C4A"/>
    <w:rsid w:val="004A11D8"/>
    <w:rsid w:val="004A2830"/>
    <w:rsid w:val="004A38DD"/>
    <w:rsid w:val="004A491A"/>
    <w:rsid w:val="004A6BB9"/>
    <w:rsid w:val="004A6BFD"/>
    <w:rsid w:val="004B16D7"/>
    <w:rsid w:val="004B1C3C"/>
    <w:rsid w:val="004B2FFD"/>
    <w:rsid w:val="004B3E30"/>
    <w:rsid w:val="004B43AE"/>
    <w:rsid w:val="004B4DEC"/>
    <w:rsid w:val="004B610A"/>
    <w:rsid w:val="004B70A3"/>
    <w:rsid w:val="004B7578"/>
    <w:rsid w:val="004B7ED0"/>
    <w:rsid w:val="004C1228"/>
    <w:rsid w:val="004C193F"/>
    <w:rsid w:val="004C1C43"/>
    <w:rsid w:val="004C28F2"/>
    <w:rsid w:val="004C2D4E"/>
    <w:rsid w:val="004C30ED"/>
    <w:rsid w:val="004C3FAE"/>
    <w:rsid w:val="004C4169"/>
    <w:rsid w:val="004C584A"/>
    <w:rsid w:val="004C6034"/>
    <w:rsid w:val="004D1012"/>
    <w:rsid w:val="004D1357"/>
    <w:rsid w:val="004D1567"/>
    <w:rsid w:val="004D4228"/>
    <w:rsid w:val="004D54D6"/>
    <w:rsid w:val="004D5675"/>
    <w:rsid w:val="004D5C1C"/>
    <w:rsid w:val="004D6227"/>
    <w:rsid w:val="004D630B"/>
    <w:rsid w:val="004D6777"/>
    <w:rsid w:val="004E0681"/>
    <w:rsid w:val="004E0904"/>
    <w:rsid w:val="004E24DE"/>
    <w:rsid w:val="004E2926"/>
    <w:rsid w:val="004E2ECD"/>
    <w:rsid w:val="004E2F6D"/>
    <w:rsid w:val="004E34B2"/>
    <w:rsid w:val="004E3A1E"/>
    <w:rsid w:val="004E5781"/>
    <w:rsid w:val="004E6042"/>
    <w:rsid w:val="004E617E"/>
    <w:rsid w:val="004E618E"/>
    <w:rsid w:val="004E74D4"/>
    <w:rsid w:val="004F240B"/>
    <w:rsid w:val="004F25B7"/>
    <w:rsid w:val="004F3625"/>
    <w:rsid w:val="004F646E"/>
    <w:rsid w:val="004F7DEB"/>
    <w:rsid w:val="00500201"/>
    <w:rsid w:val="00502755"/>
    <w:rsid w:val="00502E0D"/>
    <w:rsid w:val="005031F4"/>
    <w:rsid w:val="0050333A"/>
    <w:rsid w:val="00503886"/>
    <w:rsid w:val="00503A87"/>
    <w:rsid w:val="00503E87"/>
    <w:rsid w:val="00504317"/>
    <w:rsid w:val="005047F7"/>
    <w:rsid w:val="00505BA0"/>
    <w:rsid w:val="0051142E"/>
    <w:rsid w:val="00511E99"/>
    <w:rsid w:val="00511F10"/>
    <w:rsid w:val="005138C7"/>
    <w:rsid w:val="00513EA7"/>
    <w:rsid w:val="00515FC1"/>
    <w:rsid w:val="00516780"/>
    <w:rsid w:val="00517795"/>
    <w:rsid w:val="00517E8C"/>
    <w:rsid w:val="0052275A"/>
    <w:rsid w:val="00523639"/>
    <w:rsid w:val="00524693"/>
    <w:rsid w:val="00525F2A"/>
    <w:rsid w:val="0052634E"/>
    <w:rsid w:val="00526A95"/>
    <w:rsid w:val="00527EA3"/>
    <w:rsid w:val="0053031F"/>
    <w:rsid w:val="005310DC"/>
    <w:rsid w:val="0053115D"/>
    <w:rsid w:val="00531C7C"/>
    <w:rsid w:val="00531FE5"/>
    <w:rsid w:val="00532E57"/>
    <w:rsid w:val="00533757"/>
    <w:rsid w:val="00534077"/>
    <w:rsid w:val="0053471B"/>
    <w:rsid w:val="00534796"/>
    <w:rsid w:val="005363C0"/>
    <w:rsid w:val="00536CCF"/>
    <w:rsid w:val="005402FA"/>
    <w:rsid w:val="005405C6"/>
    <w:rsid w:val="00540ED4"/>
    <w:rsid w:val="00542698"/>
    <w:rsid w:val="005448DE"/>
    <w:rsid w:val="00544964"/>
    <w:rsid w:val="00547C6E"/>
    <w:rsid w:val="005528C4"/>
    <w:rsid w:val="0055322D"/>
    <w:rsid w:val="005560F4"/>
    <w:rsid w:val="005566E6"/>
    <w:rsid w:val="00557783"/>
    <w:rsid w:val="005625A7"/>
    <w:rsid w:val="005627AB"/>
    <w:rsid w:val="00563C61"/>
    <w:rsid w:val="00564A2C"/>
    <w:rsid w:val="00565744"/>
    <w:rsid w:val="00566E9E"/>
    <w:rsid w:val="005673E9"/>
    <w:rsid w:val="005676B0"/>
    <w:rsid w:val="005703C4"/>
    <w:rsid w:val="00570B09"/>
    <w:rsid w:val="00570BBD"/>
    <w:rsid w:val="00571428"/>
    <w:rsid w:val="0057233F"/>
    <w:rsid w:val="005729BD"/>
    <w:rsid w:val="00573C3C"/>
    <w:rsid w:val="00574C8E"/>
    <w:rsid w:val="00576003"/>
    <w:rsid w:val="00576076"/>
    <w:rsid w:val="00577D51"/>
    <w:rsid w:val="00580154"/>
    <w:rsid w:val="00580454"/>
    <w:rsid w:val="00580BAE"/>
    <w:rsid w:val="00580D9C"/>
    <w:rsid w:val="005812B9"/>
    <w:rsid w:val="00581A4D"/>
    <w:rsid w:val="0058223C"/>
    <w:rsid w:val="00582388"/>
    <w:rsid w:val="00582728"/>
    <w:rsid w:val="005829D5"/>
    <w:rsid w:val="00582CCC"/>
    <w:rsid w:val="00583C39"/>
    <w:rsid w:val="00585E99"/>
    <w:rsid w:val="00586450"/>
    <w:rsid w:val="00586A90"/>
    <w:rsid w:val="00586CEA"/>
    <w:rsid w:val="0058766A"/>
    <w:rsid w:val="00587F28"/>
    <w:rsid w:val="0059068F"/>
    <w:rsid w:val="005909CF"/>
    <w:rsid w:val="00590A49"/>
    <w:rsid w:val="00591E71"/>
    <w:rsid w:val="00592060"/>
    <w:rsid w:val="005948BD"/>
    <w:rsid w:val="00595AC3"/>
    <w:rsid w:val="005A004D"/>
    <w:rsid w:val="005A0882"/>
    <w:rsid w:val="005A0D41"/>
    <w:rsid w:val="005A0FEA"/>
    <w:rsid w:val="005A200B"/>
    <w:rsid w:val="005A2E5E"/>
    <w:rsid w:val="005A3A24"/>
    <w:rsid w:val="005A40DE"/>
    <w:rsid w:val="005A48BD"/>
    <w:rsid w:val="005A57ED"/>
    <w:rsid w:val="005A5A21"/>
    <w:rsid w:val="005A67F7"/>
    <w:rsid w:val="005B392F"/>
    <w:rsid w:val="005B4543"/>
    <w:rsid w:val="005B5BEB"/>
    <w:rsid w:val="005B706F"/>
    <w:rsid w:val="005C1E7C"/>
    <w:rsid w:val="005C249D"/>
    <w:rsid w:val="005C3013"/>
    <w:rsid w:val="005C3A72"/>
    <w:rsid w:val="005C46C7"/>
    <w:rsid w:val="005C4946"/>
    <w:rsid w:val="005C669C"/>
    <w:rsid w:val="005C77AF"/>
    <w:rsid w:val="005D18BF"/>
    <w:rsid w:val="005D1B75"/>
    <w:rsid w:val="005D1E22"/>
    <w:rsid w:val="005D26CF"/>
    <w:rsid w:val="005D329F"/>
    <w:rsid w:val="005D3A47"/>
    <w:rsid w:val="005D573B"/>
    <w:rsid w:val="005D63AF"/>
    <w:rsid w:val="005D7553"/>
    <w:rsid w:val="005D75F3"/>
    <w:rsid w:val="005E05C9"/>
    <w:rsid w:val="005E4135"/>
    <w:rsid w:val="005E50F9"/>
    <w:rsid w:val="005E6440"/>
    <w:rsid w:val="005E65D7"/>
    <w:rsid w:val="005E71FF"/>
    <w:rsid w:val="005E7E46"/>
    <w:rsid w:val="005E7FA2"/>
    <w:rsid w:val="005F1766"/>
    <w:rsid w:val="005F226C"/>
    <w:rsid w:val="005F2EAC"/>
    <w:rsid w:val="005F2F0F"/>
    <w:rsid w:val="005F4273"/>
    <w:rsid w:val="005F48ED"/>
    <w:rsid w:val="005F5456"/>
    <w:rsid w:val="005F670E"/>
    <w:rsid w:val="005F7444"/>
    <w:rsid w:val="00600FB4"/>
    <w:rsid w:val="00602F21"/>
    <w:rsid w:val="00605841"/>
    <w:rsid w:val="006062EF"/>
    <w:rsid w:val="00606D5F"/>
    <w:rsid w:val="00606E78"/>
    <w:rsid w:val="0060776C"/>
    <w:rsid w:val="00607BF1"/>
    <w:rsid w:val="0061119E"/>
    <w:rsid w:val="006113AE"/>
    <w:rsid w:val="00611E81"/>
    <w:rsid w:val="00613479"/>
    <w:rsid w:val="00614185"/>
    <w:rsid w:val="00616A7A"/>
    <w:rsid w:val="006170AF"/>
    <w:rsid w:val="0062017B"/>
    <w:rsid w:val="00620664"/>
    <w:rsid w:val="00620786"/>
    <w:rsid w:val="00621107"/>
    <w:rsid w:val="00622931"/>
    <w:rsid w:val="0062466A"/>
    <w:rsid w:val="00625992"/>
    <w:rsid w:val="00627BAB"/>
    <w:rsid w:val="00630BD1"/>
    <w:rsid w:val="00630D4D"/>
    <w:rsid w:val="00630E86"/>
    <w:rsid w:val="00632A74"/>
    <w:rsid w:val="006351C9"/>
    <w:rsid w:val="006359FB"/>
    <w:rsid w:val="00636A3B"/>
    <w:rsid w:val="00637C8F"/>
    <w:rsid w:val="00637E80"/>
    <w:rsid w:val="00640E58"/>
    <w:rsid w:val="00642C47"/>
    <w:rsid w:val="00642EB9"/>
    <w:rsid w:val="00643186"/>
    <w:rsid w:val="006447C0"/>
    <w:rsid w:val="006447D6"/>
    <w:rsid w:val="006448F1"/>
    <w:rsid w:val="0064695F"/>
    <w:rsid w:val="00646F9C"/>
    <w:rsid w:val="006500DF"/>
    <w:rsid w:val="0065166A"/>
    <w:rsid w:val="00652625"/>
    <w:rsid w:val="006526DF"/>
    <w:rsid w:val="00652DA7"/>
    <w:rsid w:val="00654D42"/>
    <w:rsid w:val="006554FC"/>
    <w:rsid w:val="00655C4E"/>
    <w:rsid w:val="0065603D"/>
    <w:rsid w:val="0066148F"/>
    <w:rsid w:val="00662783"/>
    <w:rsid w:val="00662C3F"/>
    <w:rsid w:val="0066416C"/>
    <w:rsid w:val="0066423C"/>
    <w:rsid w:val="00664C9E"/>
    <w:rsid w:val="0066539A"/>
    <w:rsid w:val="00666047"/>
    <w:rsid w:val="00666559"/>
    <w:rsid w:val="00666E02"/>
    <w:rsid w:val="0066755C"/>
    <w:rsid w:val="006702AA"/>
    <w:rsid w:val="00671D46"/>
    <w:rsid w:val="006737AD"/>
    <w:rsid w:val="006765E2"/>
    <w:rsid w:val="00676B83"/>
    <w:rsid w:val="0068010B"/>
    <w:rsid w:val="006821CD"/>
    <w:rsid w:val="00683428"/>
    <w:rsid w:val="00683A48"/>
    <w:rsid w:val="00683B69"/>
    <w:rsid w:val="006865C8"/>
    <w:rsid w:val="00687F97"/>
    <w:rsid w:val="00691182"/>
    <w:rsid w:val="006931BA"/>
    <w:rsid w:val="006936ED"/>
    <w:rsid w:val="00693EDF"/>
    <w:rsid w:val="00694149"/>
    <w:rsid w:val="00694C27"/>
    <w:rsid w:val="00695C45"/>
    <w:rsid w:val="00695F2F"/>
    <w:rsid w:val="006975D4"/>
    <w:rsid w:val="0069785F"/>
    <w:rsid w:val="00697BFF"/>
    <w:rsid w:val="006A00E3"/>
    <w:rsid w:val="006A0CA5"/>
    <w:rsid w:val="006A2D6E"/>
    <w:rsid w:val="006A3D99"/>
    <w:rsid w:val="006A4655"/>
    <w:rsid w:val="006A4CD2"/>
    <w:rsid w:val="006A6797"/>
    <w:rsid w:val="006A7085"/>
    <w:rsid w:val="006A71D8"/>
    <w:rsid w:val="006B03D8"/>
    <w:rsid w:val="006B11FF"/>
    <w:rsid w:val="006B2B3C"/>
    <w:rsid w:val="006B2C08"/>
    <w:rsid w:val="006B4DF1"/>
    <w:rsid w:val="006B612A"/>
    <w:rsid w:val="006B63EF"/>
    <w:rsid w:val="006C0E8A"/>
    <w:rsid w:val="006C1695"/>
    <w:rsid w:val="006C17CC"/>
    <w:rsid w:val="006C1D81"/>
    <w:rsid w:val="006C2192"/>
    <w:rsid w:val="006C2DE1"/>
    <w:rsid w:val="006C3116"/>
    <w:rsid w:val="006C319A"/>
    <w:rsid w:val="006C40A9"/>
    <w:rsid w:val="006C520D"/>
    <w:rsid w:val="006C7038"/>
    <w:rsid w:val="006D0E15"/>
    <w:rsid w:val="006D1761"/>
    <w:rsid w:val="006D1AD2"/>
    <w:rsid w:val="006D1F93"/>
    <w:rsid w:val="006D2B37"/>
    <w:rsid w:val="006D2F6B"/>
    <w:rsid w:val="006D321E"/>
    <w:rsid w:val="006D3A03"/>
    <w:rsid w:val="006D42C6"/>
    <w:rsid w:val="006D50A5"/>
    <w:rsid w:val="006D5E3A"/>
    <w:rsid w:val="006D714C"/>
    <w:rsid w:val="006E0E7E"/>
    <w:rsid w:val="006E130B"/>
    <w:rsid w:val="006E27D6"/>
    <w:rsid w:val="006E3506"/>
    <w:rsid w:val="006E4B87"/>
    <w:rsid w:val="006E6E72"/>
    <w:rsid w:val="006E6F5B"/>
    <w:rsid w:val="006E6F6D"/>
    <w:rsid w:val="006E73EF"/>
    <w:rsid w:val="006E744F"/>
    <w:rsid w:val="006E75F6"/>
    <w:rsid w:val="006F050E"/>
    <w:rsid w:val="006F0791"/>
    <w:rsid w:val="006F0D68"/>
    <w:rsid w:val="006F2BBA"/>
    <w:rsid w:val="006F2D82"/>
    <w:rsid w:val="006F3EBA"/>
    <w:rsid w:val="006F3F0F"/>
    <w:rsid w:val="006F4273"/>
    <w:rsid w:val="006F439A"/>
    <w:rsid w:val="006F5E0F"/>
    <w:rsid w:val="006F72FE"/>
    <w:rsid w:val="006F7A0C"/>
    <w:rsid w:val="006F7DB2"/>
    <w:rsid w:val="007011C0"/>
    <w:rsid w:val="00702CD3"/>
    <w:rsid w:val="00703679"/>
    <w:rsid w:val="007055CE"/>
    <w:rsid w:val="007079C9"/>
    <w:rsid w:val="007108E7"/>
    <w:rsid w:val="0071188B"/>
    <w:rsid w:val="007127ED"/>
    <w:rsid w:val="00714D4D"/>
    <w:rsid w:val="00715275"/>
    <w:rsid w:val="00716156"/>
    <w:rsid w:val="007173D8"/>
    <w:rsid w:val="007174AA"/>
    <w:rsid w:val="00720071"/>
    <w:rsid w:val="0072032B"/>
    <w:rsid w:val="00721073"/>
    <w:rsid w:val="00722DCE"/>
    <w:rsid w:val="00723050"/>
    <w:rsid w:val="00723141"/>
    <w:rsid w:val="00725F6B"/>
    <w:rsid w:val="0072632B"/>
    <w:rsid w:val="007266D3"/>
    <w:rsid w:val="00727055"/>
    <w:rsid w:val="00730DC7"/>
    <w:rsid w:val="00730EC1"/>
    <w:rsid w:val="00732029"/>
    <w:rsid w:val="007322C8"/>
    <w:rsid w:val="00732DFB"/>
    <w:rsid w:val="00733169"/>
    <w:rsid w:val="0073365B"/>
    <w:rsid w:val="00733FC0"/>
    <w:rsid w:val="00735268"/>
    <w:rsid w:val="00736D4B"/>
    <w:rsid w:val="00737F95"/>
    <w:rsid w:val="00740F59"/>
    <w:rsid w:val="00742C89"/>
    <w:rsid w:val="00743733"/>
    <w:rsid w:val="007437B9"/>
    <w:rsid w:val="007437D4"/>
    <w:rsid w:val="007441A3"/>
    <w:rsid w:val="0074486B"/>
    <w:rsid w:val="00745971"/>
    <w:rsid w:val="00745A71"/>
    <w:rsid w:val="00747DD6"/>
    <w:rsid w:val="00747EB8"/>
    <w:rsid w:val="00750EDE"/>
    <w:rsid w:val="00752AFE"/>
    <w:rsid w:val="00752F28"/>
    <w:rsid w:val="00753547"/>
    <w:rsid w:val="007564E8"/>
    <w:rsid w:val="00756B77"/>
    <w:rsid w:val="00756DCA"/>
    <w:rsid w:val="00756FA2"/>
    <w:rsid w:val="00757272"/>
    <w:rsid w:val="00757344"/>
    <w:rsid w:val="007604BB"/>
    <w:rsid w:val="0076190A"/>
    <w:rsid w:val="0076213D"/>
    <w:rsid w:val="0076216C"/>
    <w:rsid w:val="007634C0"/>
    <w:rsid w:val="0076411D"/>
    <w:rsid w:val="00765258"/>
    <w:rsid w:val="00766444"/>
    <w:rsid w:val="00767441"/>
    <w:rsid w:val="00770022"/>
    <w:rsid w:val="00771616"/>
    <w:rsid w:val="00772909"/>
    <w:rsid w:val="00772E2A"/>
    <w:rsid w:val="00774D89"/>
    <w:rsid w:val="00774E02"/>
    <w:rsid w:val="00775225"/>
    <w:rsid w:val="00775F7E"/>
    <w:rsid w:val="00776870"/>
    <w:rsid w:val="00777A59"/>
    <w:rsid w:val="00777FF0"/>
    <w:rsid w:val="007805AB"/>
    <w:rsid w:val="0078244B"/>
    <w:rsid w:val="00783B6B"/>
    <w:rsid w:val="00783F80"/>
    <w:rsid w:val="0078433F"/>
    <w:rsid w:val="00785232"/>
    <w:rsid w:val="0078531C"/>
    <w:rsid w:val="00786196"/>
    <w:rsid w:val="0078628D"/>
    <w:rsid w:val="007862A4"/>
    <w:rsid w:val="007862CE"/>
    <w:rsid w:val="00787864"/>
    <w:rsid w:val="00787DEC"/>
    <w:rsid w:val="00787F92"/>
    <w:rsid w:val="00790602"/>
    <w:rsid w:val="00790D18"/>
    <w:rsid w:val="007913AF"/>
    <w:rsid w:val="00792720"/>
    <w:rsid w:val="00792B10"/>
    <w:rsid w:val="0079380A"/>
    <w:rsid w:val="00795E45"/>
    <w:rsid w:val="0079701E"/>
    <w:rsid w:val="007971EF"/>
    <w:rsid w:val="00797242"/>
    <w:rsid w:val="00797870"/>
    <w:rsid w:val="007979C3"/>
    <w:rsid w:val="00797A40"/>
    <w:rsid w:val="00797BA2"/>
    <w:rsid w:val="007A07C8"/>
    <w:rsid w:val="007A0DBF"/>
    <w:rsid w:val="007A21EB"/>
    <w:rsid w:val="007A3C9D"/>
    <w:rsid w:val="007A4E85"/>
    <w:rsid w:val="007A5197"/>
    <w:rsid w:val="007A59B2"/>
    <w:rsid w:val="007A668E"/>
    <w:rsid w:val="007A7F8D"/>
    <w:rsid w:val="007B0234"/>
    <w:rsid w:val="007B15C2"/>
    <w:rsid w:val="007B17AF"/>
    <w:rsid w:val="007B1A93"/>
    <w:rsid w:val="007B23D6"/>
    <w:rsid w:val="007B30ED"/>
    <w:rsid w:val="007C2C68"/>
    <w:rsid w:val="007C36C9"/>
    <w:rsid w:val="007C5B6F"/>
    <w:rsid w:val="007C5D6F"/>
    <w:rsid w:val="007C700D"/>
    <w:rsid w:val="007D01B5"/>
    <w:rsid w:val="007D1295"/>
    <w:rsid w:val="007D1813"/>
    <w:rsid w:val="007D1853"/>
    <w:rsid w:val="007D2176"/>
    <w:rsid w:val="007D3AA3"/>
    <w:rsid w:val="007D3B28"/>
    <w:rsid w:val="007D60F2"/>
    <w:rsid w:val="007D6401"/>
    <w:rsid w:val="007D6A11"/>
    <w:rsid w:val="007D6F85"/>
    <w:rsid w:val="007D7305"/>
    <w:rsid w:val="007E01E4"/>
    <w:rsid w:val="007E077F"/>
    <w:rsid w:val="007E2039"/>
    <w:rsid w:val="007E23D7"/>
    <w:rsid w:val="007E4928"/>
    <w:rsid w:val="007E5CBA"/>
    <w:rsid w:val="007E7A12"/>
    <w:rsid w:val="007E7C79"/>
    <w:rsid w:val="007F0BC8"/>
    <w:rsid w:val="007F3961"/>
    <w:rsid w:val="007F3DCA"/>
    <w:rsid w:val="007F3EC8"/>
    <w:rsid w:val="007F41C8"/>
    <w:rsid w:val="007F492C"/>
    <w:rsid w:val="007F688B"/>
    <w:rsid w:val="007F692A"/>
    <w:rsid w:val="007F7107"/>
    <w:rsid w:val="008004E1"/>
    <w:rsid w:val="00800D4C"/>
    <w:rsid w:val="00801235"/>
    <w:rsid w:val="008017C5"/>
    <w:rsid w:val="00802375"/>
    <w:rsid w:val="00802623"/>
    <w:rsid w:val="00802F85"/>
    <w:rsid w:val="00803146"/>
    <w:rsid w:val="008033AF"/>
    <w:rsid w:val="008036EF"/>
    <w:rsid w:val="00803E85"/>
    <w:rsid w:val="00804599"/>
    <w:rsid w:val="008051D7"/>
    <w:rsid w:val="0080574B"/>
    <w:rsid w:val="008075B2"/>
    <w:rsid w:val="0080798C"/>
    <w:rsid w:val="0081030F"/>
    <w:rsid w:val="00810CC3"/>
    <w:rsid w:val="0081130F"/>
    <w:rsid w:val="00811C03"/>
    <w:rsid w:val="00811F58"/>
    <w:rsid w:val="00812F4A"/>
    <w:rsid w:val="008132F5"/>
    <w:rsid w:val="008132FA"/>
    <w:rsid w:val="00814C8A"/>
    <w:rsid w:val="0081517E"/>
    <w:rsid w:val="00815D9C"/>
    <w:rsid w:val="00815DB2"/>
    <w:rsid w:val="00817AAC"/>
    <w:rsid w:val="0082087D"/>
    <w:rsid w:val="00821504"/>
    <w:rsid w:val="0082175B"/>
    <w:rsid w:val="00821FE5"/>
    <w:rsid w:val="00822ABE"/>
    <w:rsid w:val="00822C5C"/>
    <w:rsid w:val="008239CF"/>
    <w:rsid w:val="00824425"/>
    <w:rsid w:val="00825687"/>
    <w:rsid w:val="00830006"/>
    <w:rsid w:val="00830B8E"/>
    <w:rsid w:val="00830EE5"/>
    <w:rsid w:val="00833D26"/>
    <w:rsid w:val="008355A8"/>
    <w:rsid w:val="00835771"/>
    <w:rsid w:val="00835C4B"/>
    <w:rsid w:val="008361A0"/>
    <w:rsid w:val="008361EA"/>
    <w:rsid w:val="00837556"/>
    <w:rsid w:val="00837878"/>
    <w:rsid w:val="00837B40"/>
    <w:rsid w:val="00840AC5"/>
    <w:rsid w:val="00840CCB"/>
    <w:rsid w:val="0084243E"/>
    <w:rsid w:val="0084283F"/>
    <w:rsid w:val="00842933"/>
    <w:rsid w:val="008453C5"/>
    <w:rsid w:val="008459EC"/>
    <w:rsid w:val="00847CB2"/>
    <w:rsid w:val="008518BF"/>
    <w:rsid w:val="00854255"/>
    <w:rsid w:val="008562F8"/>
    <w:rsid w:val="0085757F"/>
    <w:rsid w:val="008577EE"/>
    <w:rsid w:val="0086082C"/>
    <w:rsid w:val="00861D90"/>
    <w:rsid w:val="0086249B"/>
    <w:rsid w:val="008632EB"/>
    <w:rsid w:val="00863461"/>
    <w:rsid w:val="00864ADC"/>
    <w:rsid w:val="008664ED"/>
    <w:rsid w:val="00866D6F"/>
    <w:rsid w:val="00870475"/>
    <w:rsid w:val="008707C7"/>
    <w:rsid w:val="00871747"/>
    <w:rsid w:val="008718D9"/>
    <w:rsid w:val="00871970"/>
    <w:rsid w:val="008719A2"/>
    <w:rsid w:val="00871F08"/>
    <w:rsid w:val="008728DA"/>
    <w:rsid w:val="00873966"/>
    <w:rsid w:val="008740DF"/>
    <w:rsid w:val="0087723F"/>
    <w:rsid w:val="008773C0"/>
    <w:rsid w:val="00877CCB"/>
    <w:rsid w:val="00880153"/>
    <w:rsid w:val="008803B1"/>
    <w:rsid w:val="00880F97"/>
    <w:rsid w:val="0088133A"/>
    <w:rsid w:val="00881ABA"/>
    <w:rsid w:val="00881B26"/>
    <w:rsid w:val="0088451C"/>
    <w:rsid w:val="00884EA1"/>
    <w:rsid w:val="00885AA4"/>
    <w:rsid w:val="00886E8B"/>
    <w:rsid w:val="0089285E"/>
    <w:rsid w:val="0089436C"/>
    <w:rsid w:val="008A1598"/>
    <w:rsid w:val="008A1CEA"/>
    <w:rsid w:val="008A2016"/>
    <w:rsid w:val="008A3A60"/>
    <w:rsid w:val="008A3DDD"/>
    <w:rsid w:val="008A3F6E"/>
    <w:rsid w:val="008A44A9"/>
    <w:rsid w:val="008A4BDB"/>
    <w:rsid w:val="008A4DE9"/>
    <w:rsid w:val="008A4E80"/>
    <w:rsid w:val="008A5D62"/>
    <w:rsid w:val="008A756C"/>
    <w:rsid w:val="008A7E0F"/>
    <w:rsid w:val="008B0AD5"/>
    <w:rsid w:val="008B17D7"/>
    <w:rsid w:val="008B1A32"/>
    <w:rsid w:val="008B1F12"/>
    <w:rsid w:val="008B214A"/>
    <w:rsid w:val="008B23A1"/>
    <w:rsid w:val="008B5483"/>
    <w:rsid w:val="008B602C"/>
    <w:rsid w:val="008B65FC"/>
    <w:rsid w:val="008B6814"/>
    <w:rsid w:val="008C15AA"/>
    <w:rsid w:val="008C31BF"/>
    <w:rsid w:val="008C604C"/>
    <w:rsid w:val="008C77E1"/>
    <w:rsid w:val="008D07FD"/>
    <w:rsid w:val="008D1974"/>
    <w:rsid w:val="008D1EB3"/>
    <w:rsid w:val="008D2CCE"/>
    <w:rsid w:val="008D33DB"/>
    <w:rsid w:val="008D365C"/>
    <w:rsid w:val="008D3719"/>
    <w:rsid w:val="008D3F37"/>
    <w:rsid w:val="008D42EB"/>
    <w:rsid w:val="008D58DD"/>
    <w:rsid w:val="008D62CA"/>
    <w:rsid w:val="008D7622"/>
    <w:rsid w:val="008D7B1C"/>
    <w:rsid w:val="008E04C1"/>
    <w:rsid w:val="008E04FE"/>
    <w:rsid w:val="008E0A18"/>
    <w:rsid w:val="008E2482"/>
    <w:rsid w:val="008E29B9"/>
    <w:rsid w:val="008E46DA"/>
    <w:rsid w:val="008E494F"/>
    <w:rsid w:val="008F06D7"/>
    <w:rsid w:val="008F07E7"/>
    <w:rsid w:val="008F11A6"/>
    <w:rsid w:val="008F3D45"/>
    <w:rsid w:val="008F4E2F"/>
    <w:rsid w:val="008F6347"/>
    <w:rsid w:val="008F6C73"/>
    <w:rsid w:val="008F6EAE"/>
    <w:rsid w:val="008F71B7"/>
    <w:rsid w:val="0090096D"/>
    <w:rsid w:val="00900AB5"/>
    <w:rsid w:val="009021A6"/>
    <w:rsid w:val="009030BF"/>
    <w:rsid w:val="00903B52"/>
    <w:rsid w:val="00904198"/>
    <w:rsid w:val="00906BC4"/>
    <w:rsid w:val="0090715B"/>
    <w:rsid w:val="0091032F"/>
    <w:rsid w:val="009117ED"/>
    <w:rsid w:val="009125B7"/>
    <w:rsid w:val="00912994"/>
    <w:rsid w:val="00914368"/>
    <w:rsid w:val="00915C98"/>
    <w:rsid w:val="00916303"/>
    <w:rsid w:val="00917099"/>
    <w:rsid w:val="009200D2"/>
    <w:rsid w:val="009206DB"/>
    <w:rsid w:val="00921E77"/>
    <w:rsid w:val="00922921"/>
    <w:rsid w:val="00922EAE"/>
    <w:rsid w:val="0092485F"/>
    <w:rsid w:val="00924D53"/>
    <w:rsid w:val="00927E69"/>
    <w:rsid w:val="00930671"/>
    <w:rsid w:val="00931076"/>
    <w:rsid w:val="0093195A"/>
    <w:rsid w:val="009345D9"/>
    <w:rsid w:val="00934B15"/>
    <w:rsid w:val="009358ED"/>
    <w:rsid w:val="00936905"/>
    <w:rsid w:val="0093691E"/>
    <w:rsid w:val="00936DF7"/>
    <w:rsid w:val="00937C51"/>
    <w:rsid w:val="00940418"/>
    <w:rsid w:val="00940426"/>
    <w:rsid w:val="00940C87"/>
    <w:rsid w:val="009428BA"/>
    <w:rsid w:val="00942B62"/>
    <w:rsid w:val="00945186"/>
    <w:rsid w:val="009452E9"/>
    <w:rsid w:val="00946608"/>
    <w:rsid w:val="00946EDA"/>
    <w:rsid w:val="00947F53"/>
    <w:rsid w:val="00951B0C"/>
    <w:rsid w:val="00951BA2"/>
    <w:rsid w:val="0095258D"/>
    <w:rsid w:val="0095323B"/>
    <w:rsid w:val="00953BC1"/>
    <w:rsid w:val="00956A0C"/>
    <w:rsid w:val="00956ADF"/>
    <w:rsid w:val="00956BD9"/>
    <w:rsid w:val="0095776C"/>
    <w:rsid w:val="00960C54"/>
    <w:rsid w:val="00961A24"/>
    <w:rsid w:val="00962489"/>
    <w:rsid w:val="0096339F"/>
    <w:rsid w:val="00963BA0"/>
    <w:rsid w:val="00965302"/>
    <w:rsid w:val="009656F1"/>
    <w:rsid w:val="00966C30"/>
    <w:rsid w:val="00967064"/>
    <w:rsid w:val="00967CD3"/>
    <w:rsid w:val="009701A5"/>
    <w:rsid w:val="00971BA1"/>
    <w:rsid w:val="00973F09"/>
    <w:rsid w:val="00974092"/>
    <w:rsid w:val="009743E7"/>
    <w:rsid w:val="00974AE6"/>
    <w:rsid w:val="009754CD"/>
    <w:rsid w:val="00977300"/>
    <w:rsid w:val="00977572"/>
    <w:rsid w:val="0097779E"/>
    <w:rsid w:val="00980134"/>
    <w:rsid w:val="009802D3"/>
    <w:rsid w:val="00981C68"/>
    <w:rsid w:val="0098477F"/>
    <w:rsid w:val="009855CD"/>
    <w:rsid w:val="00985AF1"/>
    <w:rsid w:val="00985BE6"/>
    <w:rsid w:val="00986809"/>
    <w:rsid w:val="00990C2C"/>
    <w:rsid w:val="00990F9F"/>
    <w:rsid w:val="009935B0"/>
    <w:rsid w:val="00993CBA"/>
    <w:rsid w:val="0099541D"/>
    <w:rsid w:val="00996CCB"/>
    <w:rsid w:val="009A0C19"/>
    <w:rsid w:val="009A16E2"/>
    <w:rsid w:val="009A2BA2"/>
    <w:rsid w:val="009A2CEB"/>
    <w:rsid w:val="009A2E2E"/>
    <w:rsid w:val="009A5171"/>
    <w:rsid w:val="009A5219"/>
    <w:rsid w:val="009A605A"/>
    <w:rsid w:val="009A65C7"/>
    <w:rsid w:val="009A66BC"/>
    <w:rsid w:val="009B115C"/>
    <w:rsid w:val="009B1F5D"/>
    <w:rsid w:val="009B3983"/>
    <w:rsid w:val="009B45D5"/>
    <w:rsid w:val="009B4764"/>
    <w:rsid w:val="009B620E"/>
    <w:rsid w:val="009C3271"/>
    <w:rsid w:val="009C522C"/>
    <w:rsid w:val="009C538A"/>
    <w:rsid w:val="009C5DB9"/>
    <w:rsid w:val="009C6528"/>
    <w:rsid w:val="009C7A69"/>
    <w:rsid w:val="009C7BB1"/>
    <w:rsid w:val="009C7D99"/>
    <w:rsid w:val="009D1B00"/>
    <w:rsid w:val="009D1B4A"/>
    <w:rsid w:val="009D30C4"/>
    <w:rsid w:val="009D4675"/>
    <w:rsid w:val="009D4957"/>
    <w:rsid w:val="009D4B2E"/>
    <w:rsid w:val="009D613D"/>
    <w:rsid w:val="009D620E"/>
    <w:rsid w:val="009D6695"/>
    <w:rsid w:val="009E169A"/>
    <w:rsid w:val="009E1844"/>
    <w:rsid w:val="009E19D1"/>
    <w:rsid w:val="009E20FA"/>
    <w:rsid w:val="009E25F1"/>
    <w:rsid w:val="009E2922"/>
    <w:rsid w:val="009E3F2F"/>
    <w:rsid w:val="009E42E3"/>
    <w:rsid w:val="009E5E95"/>
    <w:rsid w:val="009E6B98"/>
    <w:rsid w:val="009E6CDF"/>
    <w:rsid w:val="009E765C"/>
    <w:rsid w:val="009F090A"/>
    <w:rsid w:val="009F0D1B"/>
    <w:rsid w:val="009F1049"/>
    <w:rsid w:val="009F29F9"/>
    <w:rsid w:val="009F42BD"/>
    <w:rsid w:val="009F4BF9"/>
    <w:rsid w:val="009F51F0"/>
    <w:rsid w:val="009F5387"/>
    <w:rsid w:val="009F5BBD"/>
    <w:rsid w:val="009F5D70"/>
    <w:rsid w:val="009F696D"/>
    <w:rsid w:val="009F6BC6"/>
    <w:rsid w:val="009F73C0"/>
    <w:rsid w:val="009F74EF"/>
    <w:rsid w:val="00A006BC"/>
    <w:rsid w:val="00A012A7"/>
    <w:rsid w:val="00A02826"/>
    <w:rsid w:val="00A02E53"/>
    <w:rsid w:val="00A03C8E"/>
    <w:rsid w:val="00A04BED"/>
    <w:rsid w:val="00A04C0A"/>
    <w:rsid w:val="00A05C99"/>
    <w:rsid w:val="00A10B41"/>
    <w:rsid w:val="00A11523"/>
    <w:rsid w:val="00A12F20"/>
    <w:rsid w:val="00A15A32"/>
    <w:rsid w:val="00A15D5A"/>
    <w:rsid w:val="00A164F9"/>
    <w:rsid w:val="00A17328"/>
    <w:rsid w:val="00A20388"/>
    <w:rsid w:val="00A212BE"/>
    <w:rsid w:val="00A21A06"/>
    <w:rsid w:val="00A21D8E"/>
    <w:rsid w:val="00A2226E"/>
    <w:rsid w:val="00A228CC"/>
    <w:rsid w:val="00A2380B"/>
    <w:rsid w:val="00A23A20"/>
    <w:rsid w:val="00A24443"/>
    <w:rsid w:val="00A251E8"/>
    <w:rsid w:val="00A254CF"/>
    <w:rsid w:val="00A25A0B"/>
    <w:rsid w:val="00A268B9"/>
    <w:rsid w:val="00A26CE1"/>
    <w:rsid w:val="00A2703A"/>
    <w:rsid w:val="00A278E5"/>
    <w:rsid w:val="00A279FC"/>
    <w:rsid w:val="00A302C5"/>
    <w:rsid w:val="00A32C66"/>
    <w:rsid w:val="00A3301A"/>
    <w:rsid w:val="00A33DFF"/>
    <w:rsid w:val="00A35115"/>
    <w:rsid w:val="00A36D9A"/>
    <w:rsid w:val="00A36E44"/>
    <w:rsid w:val="00A37A13"/>
    <w:rsid w:val="00A400C1"/>
    <w:rsid w:val="00A409D7"/>
    <w:rsid w:val="00A434A7"/>
    <w:rsid w:val="00A451DC"/>
    <w:rsid w:val="00A50703"/>
    <w:rsid w:val="00A51A23"/>
    <w:rsid w:val="00A527C7"/>
    <w:rsid w:val="00A535E2"/>
    <w:rsid w:val="00A54902"/>
    <w:rsid w:val="00A54B98"/>
    <w:rsid w:val="00A54BAA"/>
    <w:rsid w:val="00A554AB"/>
    <w:rsid w:val="00A57062"/>
    <w:rsid w:val="00A5796C"/>
    <w:rsid w:val="00A602D1"/>
    <w:rsid w:val="00A6104C"/>
    <w:rsid w:val="00A64331"/>
    <w:rsid w:val="00A64644"/>
    <w:rsid w:val="00A65817"/>
    <w:rsid w:val="00A66A51"/>
    <w:rsid w:val="00A67781"/>
    <w:rsid w:val="00A677CB"/>
    <w:rsid w:val="00A67C02"/>
    <w:rsid w:val="00A67F7A"/>
    <w:rsid w:val="00A704F8"/>
    <w:rsid w:val="00A70E5B"/>
    <w:rsid w:val="00A71512"/>
    <w:rsid w:val="00A71B2F"/>
    <w:rsid w:val="00A72555"/>
    <w:rsid w:val="00A74860"/>
    <w:rsid w:val="00A74E8C"/>
    <w:rsid w:val="00A7514D"/>
    <w:rsid w:val="00A75C4D"/>
    <w:rsid w:val="00A75DB8"/>
    <w:rsid w:val="00A75E35"/>
    <w:rsid w:val="00A761F9"/>
    <w:rsid w:val="00A7677C"/>
    <w:rsid w:val="00A76C29"/>
    <w:rsid w:val="00A77532"/>
    <w:rsid w:val="00A815E3"/>
    <w:rsid w:val="00A81D31"/>
    <w:rsid w:val="00A83748"/>
    <w:rsid w:val="00A83FA4"/>
    <w:rsid w:val="00A85AB5"/>
    <w:rsid w:val="00A860CA"/>
    <w:rsid w:val="00A87D0E"/>
    <w:rsid w:val="00A92637"/>
    <w:rsid w:val="00A92ABB"/>
    <w:rsid w:val="00A92B53"/>
    <w:rsid w:val="00A93623"/>
    <w:rsid w:val="00A940F4"/>
    <w:rsid w:val="00A94FA6"/>
    <w:rsid w:val="00A96ADF"/>
    <w:rsid w:val="00A96F2C"/>
    <w:rsid w:val="00AA0CFD"/>
    <w:rsid w:val="00AA0EFE"/>
    <w:rsid w:val="00AA1B2E"/>
    <w:rsid w:val="00AA26C2"/>
    <w:rsid w:val="00AA49A0"/>
    <w:rsid w:val="00AA639E"/>
    <w:rsid w:val="00AA6710"/>
    <w:rsid w:val="00AA6C1F"/>
    <w:rsid w:val="00AA6C4B"/>
    <w:rsid w:val="00AB0424"/>
    <w:rsid w:val="00AB0681"/>
    <w:rsid w:val="00AB1CAB"/>
    <w:rsid w:val="00AB1EC0"/>
    <w:rsid w:val="00AB25A8"/>
    <w:rsid w:val="00AB32AE"/>
    <w:rsid w:val="00AB4331"/>
    <w:rsid w:val="00AB4B2B"/>
    <w:rsid w:val="00AB57DF"/>
    <w:rsid w:val="00AB5CBB"/>
    <w:rsid w:val="00AB606D"/>
    <w:rsid w:val="00AB783B"/>
    <w:rsid w:val="00AC0C48"/>
    <w:rsid w:val="00AC2071"/>
    <w:rsid w:val="00AC2FB8"/>
    <w:rsid w:val="00AC3466"/>
    <w:rsid w:val="00AC3A15"/>
    <w:rsid w:val="00AC4144"/>
    <w:rsid w:val="00AC4803"/>
    <w:rsid w:val="00AC5568"/>
    <w:rsid w:val="00AC5EEA"/>
    <w:rsid w:val="00AC6814"/>
    <w:rsid w:val="00AC7E4B"/>
    <w:rsid w:val="00AD015B"/>
    <w:rsid w:val="00AD02E0"/>
    <w:rsid w:val="00AD03E6"/>
    <w:rsid w:val="00AD045A"/>
    <w:rsid w:val="00AD0EA9"/>
    <w:rsid w:val="00AD12E1"/>
    <w:rsid w:val="00AD25EC"/>
    <w:rsid w:val="00AD3550"/>
    <w:rsid w:val="00AD520B"/>
    <w:rsid w:val="00AE0479"/>
    <w:rsid w:val="00AE1139"/>
    <w:rsid w:val="00AE1444"/>
    <w:rsid w:val="00AE22D8"/>
    <w:rsid w:val="00AE29AE"/>
    <w:rsid w:val="00AE361A"/>
    <w:rsid w:val="00AE3BCC"/>
    <w:rsid w:val="00AE4807"/>
    <w:rsid w:val="00AE5ABA"/>
    <w:rsid w:val="00AE627A"/>
    <w:rsid w:val="00AE663E"/>
    <w:rsid w:val="00AE7145"/>
    <w:rsid w:val="00AE73F2"/>
    <w:rsid w:val="00AE75E6"/>
    <w:rsid w:val="00AF0119"/>
    <w:rsid w:val="00AF0C75"/>
    <w:rsid w:val="00AF0EBE"/>
    <w:rsid w:val="00AF1345"/>
    <w:rsid w:val="00AF2AF6"/>
    <w:rsid w:val="00AF4860"/>
    <w:rsid w:val="00AF57D6"/>
    <w:rsid w:val="00AF6188"/>
    <w:rsid w:val="00AF6569"/>
    <w:rsid w:val="00B01ABB"/>
    <w:rsid w:val="00B01DBF"/>
    <w:rsid w:val="00B0283F"/>
    <w:rsid w:val="00B02F2C"/>
    <w:rsid w:val="00B03D01"/>
    <w:rsid w:val="00B03D4A"/>
    <w:rsid w:val="00B042A0"/>
    <w:rsid w:val="00B0676C"/>
    <w:rsid w:val="00B104BA"/>
    <w:rsid w:val="00B10EF0"/>
    <w:rsid w:val="00B15C1C"/>
    <w:rsid w:val="00B1670A"/>
    <w:rsid w:val="00B229DC"/>
    <w:rsid w:val="00B25175"/>
    <w:rsid w:val="00B270DF"/>
    <w:rsid w:val="00B27B33"/>
    <w:rsid w:val="00B27FC5"/>
    <w:rsid w:val="00B3120A"/>
    <w:rsid w:val="00B31A36"/>
    <w:rsid w:val="00B31B47"/>
    <w:rsid w:val="00B3217D"/>
    <w:rsid w:val="00B33C6B"/>
    <w:rsid w:val="00B33D98"/>
    <w:rsid w:val="00B34301"/>
    <w:rsid w:val="00B36D43"/>
    <w:rsid w:val="00B37BE6"/>
    <w:rsid w:val="00B37FC9"/>
    <w:rsid w:val="00B40516"/>
    <w:rsid w:val="00B40852"/>
    <w:rsid w:val="00B425A2"/>
    <w:rsid w:val="00B425C3"/>
    <w:rsid w:val="00B42EDF"/>
    <w:rsid w:val="00B440AD"/>
    <w:rsid w:val="00B451BE"/>
    <w:rsid w:val="00B46DC1"/>
    <w:rsid w:val="00B479BB"/>
    <w:rsid w:val="00B50953"/>
    <w:rsid w:val="00B53E7E"/>
    <w:rsid w:val="00B55D54"/>
    <w:rsid w:val="00B57498"/>
    <w:rsid w:val="00B6160E"/>
    <w:rsid w:val="00B61C21"/>
    <w:rsid w:val="00B632E7"/>
    <w:rsid w:val="00B6342E"/>
    <w:rsid w:val="00B63E5F"/>
    <w:rsid w:val="00B64695"/>
    <w:rsid w:val="00B658BD"/>
    <w:rsid w:val="00B65B61"/>
    <w:rsid w:val="00B66F95"/>
    <w:rsid w:val="00B70CCD"/>
    <w:rsid w:val="00B7113F"/>
    <w:rsid w:val="00B72BD5"/>
    <w:rsid w:val="00B7435D"/>
    <w:rsid w:val="00B74E5C"/>
    <w:rsid w:val="00B7762F"/>
    <w:rsid w:val="00B776D3"/>
    <w:rsid w:val="00B77A40"/>
    <w:rsid w:val="00B802F4"/>
    <w:rsid w:val="00B80565"/>
    <w:rsid w:val="00B81273"/>
    <w:rsid w:val="00B81977"/>
    <w:rsid w:val="00B81A50"/>
    <w:rsid w:val="00B827D1"/>
    <w:rsid w:val="00B83560"/>
    <w:rsid w:val="00B84D8B"/>
    <w:rsid w:val="00B858BF"/>
    <w:rsid w:val="00B85D6B"/>
    <w:rsid w:val="00B85ED1"/>
    <w:rsid w:val="00B866E1"/>
    <w:rsid w:val="00B878AD"/>
    <w:rsid w:val="00B90699"/>
    <w:rsid w:val="00B90894"/>
    <w:rsid w:val="00B90FD0"/>
    <w:rsid w:val="00B93F05"/>
    <w:rsid w:val="00B94C1D"/>
    <w:rsid w:val="00B954DD"/>
    <w:rsid w:val="00B95A51"/>
    <w:rsid w:val="00B95F69"/>
    <w:rsid w:val="00B9731F"/>
    <w:rsid w:val="00BA0C18"/>
    <w:rsid w:val="00BA10E1"/>
    <w:rsid w:val="00BA1594"/>
    <w:rsid w:val="00BA15F4"/>
    <w:rsid w:val="00BA270A"/>
    <w:rsid w:val="00BA2BCF"/>
    <w:rsid w:val="00BA312B"/>
    <w:rsid w:val="00BA41E4"/>
    <w:rsid w:val="00BA5B14"/>
    <w:rsid w:val="00BA73B6"/>
    <w:rsid w:val="00BA7419"/>
    <w:rsid w:val="00BA7E27"/>
    <w:rsid w:val="00BB1AF8"/>
    <w:rsid w:val="00BB2603"/>
    <w:rsid w:val="00BB3877"/>
    <w:rsid w:val="00BB4FCD"/>
    <w:rsid w:val="00BB65A6"/>
    <w:rsid w:val="00BB66DB"/>
    <w:rsid w:val="00BB6FF3"/>
    <w:rsid w:val="00BB70B2"/>
    <w:rsid w:val="00BC04E9"/>
    <w:rsid w:val="00BC0842"/>
    <w:rsid w:val="00BC2B08"/>
    <w:rsid w:val="00BC2E33"/>
    <w:rsid w:val="00BC4259"/>
    <w:rsid w:val="00BC5109"/>
    <w:rsid w:val="00BC6561"/>
    <w:rsid w:val="00BC73D0"/>
    <w:rsid w:val="00BD0933"/>
    <w:rsid w:val="00BD13EA"/>
    <w:rsid w:val="00BD3A10"/>
    <w:rsid w:val="00BD3DAB"/>
    <w:rsid w:val="00BD41AF"/>
    <w:rsid w:val="00BD5607"/>
    <w:rsid w:val="00BD5C71"/>
    <w:rsid w:val="00BD5D96"/>
    <w:rsid w:val="00BD5F3E"/>
    <w:rsid w:val="00BD6A72"/>
    <w:rsid w:val="00BD761B"/>
    <w:rsid w:val="00BD789E"/>
    <w:rsid w:val="00BE21B2"/>
    <w:rsid w:val="00BE26B2"/>
    <w:rsid w:val="00BE3808"/>
    <w:rsid w:val="00BE6AEE"/>
    <w:rsid w:val="00BE72E5"/>
    <w:rsid w:val="00BF2AD5"/>
    <w:rsid w:val="00BF2EB2"/>
    <w:rsid w:val="00BF3E92"/>
    <w:rsid w:val="00BF5E14"/>
    <w:rsid w:val="00BF76FD"/>
    <w:rsid w:val="00C005B9"/>
    <w:rsid w:val="00C01131"/>
    <w:rsid w:val="00C022E6"/>
    <w:rsid w:val="00C028A4"/>
    <w:rsid w:val="00C03B88"/>
    <w:rsid w:val="00C045ED"/>
    <w:rsid w:val="00C04D03"/>
    <w:rsid w:val="00C058AB"/>
    <w:rsid w:val="00C05C71"/>
    <w:rsid w:val="00C062E9"/>
    <w:rsid w:val="00C06D02"/>
    <w:rsid w:val="00C0788B"/>
    <w:rsid w:val="00C0799C"/>
    <w:rsid w:val="00C07B64"/>
    <w:rsid w:val="00C07D96"/>
    <w:rsid w:val="00C10C24"/>
    <w:rsid w:val="00C11365"/>
    <w:rsid w:val="00C113DE"/>
    <w:rsid w:val="00C116FB"/>
    <w:rsid w:val="00C1209D"/>
    <w:rsid w:val="00C12122"/>
    <w:rsid w:val="00C12B0E"/>
    <w:rsid w:val="00C12E29"/>
    <w:rsid w:val="00C13721"/>
    <w:rsid w:val="00C13E48"/>
    <w:rsid w:val="00C14122"/>
    <w:rsid w:val="00C14136"/>
    <w:rsid w:val="00C14FE4"/>
    <w:rsid w:val="00C1610B"/>
    <w:rsid w:val="00C16CC1"/>
    <w:rsid w:val="00C17438"/>
    <w:rsid w:val="00C17A71"/>
    <w:rsid w:val="00C2046A"/>
    <w:rsid w:val="00C212E6"/>
    <w:rsid w:val="00C21539"/>
    <w:rsid w:val="00C22BE2"/>
    <w:rsid w:val="00C239DE"/>
    <w:rsid w:val="00C265B9"/>
    <w:rsid w:val="00C2723A"/>
    <w:rsid w:val="00C27828"/>
    <w:rsid w:val="00C3025D"/>
    <w:rsid w:val="00C3066D"/>
    <w:rsid w:val="00C30CEA"/>
    <w:rsid w:val="00C30E1B"/>
    <w:rsid w:val="00C31AAA"/>
    <w:rsid w:val="00C32948"/>
    <w:rsid w:val="00C335EF"/>
    <w:rsid w:val="00C33778"/>
    <w:rsid w:val="00C34C67"/>
    <w:rsid w:val="00C35D51"/>
    <w:rsid w:val="00C35FFA"/>
    <w:rsid w:val="00C362D4"/>
    <w:rsid w:val="00C36B19"/>
    <w:rsid w:val="00C41B24"/>
    <w:rsid w:val="00C4273C"/>
    <w:rsid w:val="00C42D2A"/>
    <w:rsid w:val="00C43A31"/>
    <w:rsid w:val="00C4599D"/>
    <w:rsid w:val="00C4775B"/>
    <w:rsid w:val="00C50F35"/>
    <w:rsid w:val="00C51B51"/>
    <w:rsid w:val="00C52315"/>
    <w:rsid w:val="00C52416"/>
    <w:rsid w:val="00C543CD"/>
    <w:rsid w:val="00C543F4"/>
    <w:rsid w:val="00C55E5E"/>
    <w:rsid w:val="00C55FE0"/>
    <w:rsid w:val="00C57749"/>
    <w:rsid w:val="00C60CFA"/>
    <w:rsid w:val="00C618D1"/>
    <w:rsid w:val="00C627F8"/>
    <w:rsid w:val="00C6291C"/>
    <w:rsid w:val="00C62EFB"/>
    <w:rsid w:val="00C633CB"/>
    <w:rsid w:val="00C63BD9"/>
    <w:rsid w:val="00C65019"/>
    <w:rsid w:val="00C654A4"/>
    <w:rsid w:val="00C6566D"/>
    <w:rsid w:val="00C65A1F"/>
    <w:rsid w:val="00C664CD"/>
    <w:rsid w:val="00C67CB7"/>
    <w:rsid w:val="00C715F0"/>
    <w:rsid w:val="00C730E9"/>
    <w:rsid w:val="00C736B7"/>
    <w:rsid w:val="00C80964"/>
    <w:rsid w:val="00C80C4E"/>
    <w:rsid w:val="00C81D4A"/>
    <w:rsid w:val="00C84441"/>
    <w:rsid w:val="00C84BA6"/>
    <w:rsid w:val="00C84F85"/>
    <w:rsid w:val="00C86AB0"/>
    <w:rsid w:val="00C8762C"/>
    <w:rsid w:val="00C87941"/>
    <w:rsid w:val="00C9107A"/>
    <w:rsid w:val="00C91794"/>
    <w:rsid w:val="00C9207F"/>
    <w:rsid w:val="00C92DEA"/>
    <w:rsid w:val="00C92F15"/>
    <w:rsid w:val="00C93FD8"/>
    <w:rsid w:val="00C9418E"/>
    <w:rsid w:val="00C95390"/>
    <w:rsid w:val="00C95827"/>
    <w:rsid w:val="00C95D2A"/>
    <w:rsid w:val="00C96403"/>
    <w:rsid w:val="00C972B4"/>
    <w:rsid w:val="00CA00F9"/>
    <w:rsid w:val="00CA2961"/>
    <w:rsid w:val="00CA5FF7"/>
    <w:rsid w:val="00CB08D6"/>
    <w:rsid w:val="00CB129F"/>
    <w:rsid w:val="00CB24B4"/>
    <w:rsid w:val="00CB50D7"/>
    <w:rsid w:val="00CB53E8"/>
    <w:rsid w:val="00CB650A"/>
    <w:rsid w:val="00CB7001"/>
    <w:rsid w:val="00CB7177"/>
    <w:rsid w:val="00CB7CED"/>
    <w:rsid w:val="00CC043D"/>
    <w:rsid w:val="00CC04B0"/>
    <w:rsid w:val="00CC070F"/>
    <w:rsid w:val="00CC0F2C"/>
    <w:rsid w:val="00CC13A8"/>
    <w:rsid w:val="00CC1924"/>
    <w:rsid w:val="00CC1998"/>
    <w:rsid w:val="00CC2B3F"/>
    <w:rsid w:val="00CC3C28"/>
    <w:rsid w:val="00CC3F75"/>
    <w:rsid w:val="00CC4946"/>
    <w:rsid w:val="00CC56ED"/>
    <w:rsid w:val="00CC5A6E"/>
    <w:rsid w:val="00CC64A1"/>
    <w:rsid w:val="00CC764B"/>
    <w:rsid w:val="00CC7A3D"/>
    <w:rsid w:val="00CC7BA0"/>
    <w:rsid w:val="00CC7E85"/>
    <w:rsid w:val="00CD2713"/>
    <w:rsid w:val="00CD3DF1"/>
    <w:rsid w:val="00CD69F2"/>
    <w:rsid w:val="00CD6A3D"/>
    <w:rsid w:val="00CD7F6A"/>
    <w:rsid w:val="00CE1191"/>
    <w:rsid w:val="00CE180E"/>
    <w:rsid w:val="00CE28E8"/>
    <w:rsid w:val="00CE3510"/>
    <w:rsid w:val="00CE4E0A"/>
    <w:rsid w:val="00CE52A3"/>
    <w:rsid w:val="00CE56FD"/>
    <w:rsid w:val="00CE76E7"/>
    <w:rsid w:val="00CF189E"/>
    <w:rsid w:val="00CF2E50"/>
    <w:rsid w:val="00CF3728"/>
    <w:rsid w:val="00CF3B11"/>
    <w:rsid w:val="00CF3C6D"/>
    <w:rsid w:val="00CF3CEC"/>
    <w:rsid w:val="00CF4016"/>
    <w:rsid w:val="00CF42DA"/>
    <w:rsid w:val="00CF580B"/>
    <w:rsid w:val="00CF7EDE"/>
    <w:rsid w:val="00CF7F5D"/>
    <w:rsid w:val="00D00204"/>
    <w:rsid w:val="00D008B5"/>
    <w:rsid w:val="00D015BF"/>
    <w:rsid w:val="00D01872"/>
    <w:rsid w:val="00D030D3"/>
    <w:rsid w:val="00D057C4"/>
    <w:rsid w:val="00D05922"/>
    <w:rsid w:val="00D05FDC"/>
    <w:rsid w:val="00D0603E"/>
    <w:rsid w:val="00D06DD4"/>
    <w:rsid w:val="00D106B9"/>
    <w:rsid w:val="00D11E81"/>
    <w:rsid w:val="00D12007"/>
    <w:rsid w:val="00D122A5"/>
    <w:rsid w:val="00D13091"/>
    <w:rsid w:val="00D14AB2"/>
    <w:rsid w:val="00D152E9"/>
    <w:rsid w:val="00D152ED"/>
    <w:rsid w:val="00D15DFA"/>
    <w:rsid w:val="00D15F48"/>
    <w:rsid w:val="00D170AB"/>
    <w:rsid w:val="00D20CA6"/>
    <w:rsid w:val="00D2172E"/>
    <w:rsid w:val="00D21E7D"/>
    <w:rsid w:val="00D222F1"/>
    <w:rsid w:val="00D229EB"/>
    <w:rsid w:val="00D23D4A"/>
    <w:rsid w:val="00D243D3"/>
    <w:rsid w:val="00D24A3C"/>
    <w:rsid w:val="00D2574F"/>
    <w:rsid w:val="00D25863"/>
    <w:rsid w:val="00D25B20"/>
    <w:rsid w:val="00D25EAF"/>
    <w:rsid w:val="00D270A4"/>
    <w:rsid w:val="00D27822"/>
    <w:rsid w:val="00D31FE9"/>
    <w:rsid w:val="00D32F96"/>
    <w:rsid w:val="00D340C7"/>
    <w:rsid w:val="00D34546"/>
    <w:rsid w:val="00D34862"/>
    <w:rsid w:val="00D34E1B"/>
    <w:rsid w:val="00D35272"/>
    <w:rsid w:val="00D3611F"/>
    <w:rsid w:val="00D36125"/>
    <w:rsid w:val="00D3627B"/>
    <w:rsid w:val="00D36522"/>
    <w:rsid w:val="00D368A5"/>
    <w:rsid w:val="00D376BA"/>
    <w:rsid w:val="00D40FB0"/>
    <w:rsid w:val="00D41651"/>
    <w:rsid w:val="00D41A2F"/>
    <w:rsid w:val="00D42332"/>
    <w:rsid w:val="00D42CFD"/>
    <w:rsid w:val="00D43272"/>
    <w:rsid w:val="00D434A0"/>
    <w:rsid w:val="00D43C8D"/>
    <w:rsid w:val="00D44420"/>
    <w:rsid w:val="00D45634"/>
    <w:rsid w:val="00D45B21"/>
    <w:rsid w:val="00D4673B"/>
    <w:rsid w:val="00D46E1A"/>
    <w:rsid w:val="00D47706"/>
    <w:rsid w:val="00D47EA9"/>
    <w:rsid w:val="00D502E5"/>
    <w:rsid w:val="00D51092"/>
    <w:rsid w:val="00D5419A"/>
    <w:rsid w:val="00D55428"/>
    <w:rsid w:val="00D5568A"/>
    <w:rsid w:val="00D600AD"/>
    <w:rsid w:val="00D61A40"/>
    <w:rsid w:val="00D62DEA"/>
    <w:rsid w:val="00D63D73"/>
    <w:rsid w:val="00D6417E"/>
    <w:rsid w:val="00D6423C"/>
    <w:rsid w:val="00D64452"/>
    <w:rsid w:val="00D647BD"/>
    <w:rsid w:val="00D64AD8"/>
    <w:rsid w:val="00D658A0"/>
    <w:rsid w:val="00D6627D"/>
    <w:rsid w:val="00D669ED"/>
    <w:rsid w:val="00D66E1E"/>
    <w:rsid w:val="00D66E3D"/>
    <w:rsid w:val="00D67340"/>
    <w:rsid w:val="00D67541"/>
    <w:rsid w:val="00D67E65"/>
    <w:rsid w:val="00D70696"/>
    <w:rsid w:val="00D71789"/>
    <w:rsid w:val="00D7343B"/>
    <w:rsid w:val="00D743EF"/>
    <w:rsid w:val="00D75722"/>
    <w:rsid w:val="00D80759"/>
    <w:rsid w:val="00D80B1C"/>
    <w:rsid w:val="00D80CF5"/>
    <w:rsid w:val="00D82185"/>
    <w:rsid w:val="00D82EA9"/>
    <w:rsid w:val="00D8331F"/>
    <w:rsid w:val="00D83892"/>
    <w:rsid w:val="00D83D9C"/>
    <w:rsid w:val="00D846D8"/>
    <w:rsid w:val="00D86858"/>
    <w:rsid w:val="00D868FD"/>
    <w:rsid w:val="00D869E4"/>
    <w:rsid w:val="00D875F4"/>
    <w:rsid w:val="00D877BD"/>
    <w:rsid w:val="00D903E8"/>
    <w:rsid w:val="00D90B46"/>
    <w:rsid w:val="00D9129F"/>
    <w:rsid w:val="00D939DC"/>
    <w:rsid w:val="00D95E5E"/>
    <w:rsid w:val="00D960EE"/>
    <w:rsid w:val="00D965EA"/>
    <w:rsid w:val="00DA1263"/>
    <w:rsid w:val="00DA16ED"/>
    <w:rsid w:val="00DA172E"/>
    <w:rsid w:val="00DA1F51"/>
    <w:rsid w:val="00DA25E5"/>
    <w:rsid w:val="00DA275C"/>
    <w:rsid w:val="00DA384F"/>
    <w:rsid w:val="00DA38CE"/>
    <w:rsid w:val="00DA5BBA"/>
    <w:rsid w:val="00DA67A9"/>
    <w:rsid w:val="00DA77F6"/>
    <w:rsid w:val="00DB1D82"/>
    <w:rsid w:val="00DB26D2"/>
    <w:rsid w:val="00DB3A30"/>
    <w:rsid w:val="00DB3AEB"/>
    <w:rsid w:val="00DB427B"/>
    <w:rsid w:val="00DB57FA"/>
    <w:rsid w:val="00DB5A5E"/>
    <w:rsid w:val="00DB6012"/>
    <w:rsid w:val="00DB609D"/>
    <w:rsid w:val="00DB6602"/>
    <w:rsid w:val="00DB66B2"/>
    <w:rsid w:val="00DB67C9"/>
    <w:rsid w:val="00DC05D8"/>
    <w:rsid w:val="00DC07ED"/>
    <w:rsid w:val="00DC0C95"/>
    <w:rsid w:val="00DC0E09"/>
    <w:rsid w:val="00DC19F8"/>
    <w:rsid w:val="00DC28B6"/>
    <w:rsid w:val="00DC2C60"/>
    <w:rsid w:val="00DC2F0F"/>
    <w:rsid w:val="00DC3402"/>
    <w:rsid w:val="00DC4F0B"/>
    <w:rsid w:val="00DC5F71"/>
    <w:rsid w:val="00DC6691"/>
    <w:rsid w:val="00DC71B5"/>
    <w:rsid w:val="00DC71D6"/>
    <w:rsid w:val="00DC75F8"/>
    <w:rsid w:val="00DC7CEB"/>
    <w:rsid w:val="00DD04FE"/>
    <w:rsid w:val="00DD0A8E"/>
    <w:rsid w:val="00DD0D68"/>
    <w:rsid w:val="00DD2C41"/>
    <w:rsid w:val="00DD5C45"/>
    <w:rsid w:val="00DD6580"/>
    <w:rsid w:val="00DD6642"/>
    <w:rsid w:val="00DD6806"/>
    <w:rsid w:val="00DD7542"/>
    <w:rsid w:val="00DD7DA9"/>
    <w:rsid w:val="00DE09D5"/>
    <w:rsid w:val="00DE2FEF"/>
    <w:rsid w:val="00DE3D05"/>
    <w:rsid w:val="00DE4A28"/>
    <w:rsid w:val="00DE4DD0"/>
    <w:rsid w:val="00DE57F7"/>
    <w:rsid w:val="00DE67EE"/>
    <w:rsid w:val="00DE6EF6"/>
    <w:rsid w:val="00DE72F1"/>
    <w:rsid w:val="00DF119C"/>
    <w:rsid w:val="00DF199E"/>
    <w:rsid w:val="00DF20C6"/>
    <w:rsid w:val="00DF26D3"/>
    <w:rsid w:val="00DF2722"/>
    <w:rsid w:val="00DF3130"/>
    <w:rsid w:val="00DF33BC"/>
    <w:rsid w:val="00DF478F"/>
    <w:rsid w:val="00DF4D53"/>
    <w:rsid w:val="00DF4D59"/>
    <w:rsid w:val="00DF5985"/>
    <w:rsid w:val="00DF59AD"/>
    <w:rsid w:val="00DF6055"/>
    <w:rsid w:val="00DF6F2F"/>
    <w:rsid w:val="00DF7D42"/>
    <w:rsid w:val="00E01D7F"/>
    <w:rsid w:val="00E03D23"/>
    <w:rsid w:val="00E04C4C"/>
    <w:rsid w:val="00E05C03"/>
    <w:rsid w:val="00E112DD"/>
    <w:rsid w:val="00E124F2"/>
    <w:rsid w:val="00E12899"/>
    <w:rsid w:val="00E12A63"/>
    <w:rsid w:val="00E139A4"/>
    <w:rsid w:val="00E1533C"/>
    <w:rsid w:val="00E1564D"/>
    <w:rsid w:val="00E16CB8"/>
    <w:rsid w:val="00E173AE"/>
    <w:rsid w:val="00E17C72"/>
    <w:rsid w:val="00E17FBF"/>
    <w:rsid w:val="00E21E10"/>
    <w:rsid w:val="00E21FC6"/>
    <w:rsid w:val="00E22E4C"/>
    <w:rsid w:val="00E230EC"/>
    <w:rsid w:val="00E262CD"/>
    <w:rsid w:val="00E26BCB"/>
    <w:rsid w:val="00E308D6"/>
    <w:rsid w:val="00E3296E"/>
    <w:rsid w:val="00E331FD"/>
    <w:rsid w:val="00E332B4"/>
    <w:rsid w:val="00E34176"/>
    <w:rsid w:val="00E3550C"/>
    <w:rsid w:val="00E35D4D"/>
    <w:rsid w:val="00E35EFA"/>
    <w:rsid w:val="00E37466"/>
    <w:rsid w:val="00E378AF"/>
    <w:rsid w:val="00E41164"/>
    <w:rsid w:val="00E411B5"/>
    <w:rsid w:val="00E41507"/>
    <w:rsid w:val="00E42C5F"/>
    <w:rsid w:val="00E431A9"/>
    <w:rsid w:val="00E43450"/>
    <w:rsid w:val="00E44A7C"/>
    <w:rsid w:val="00E45840"/>
    <w:rsid w:val="00E5099A"/>
    <w:rsid w:val="00E50B23"/>
    <w:rsid w:val="00E53499"/>
    <w:rsid w:val="00E53591"/>
    <w:rsid w:val="00E53833"/>
    <w:rsid w:val="00E53C74"/>
    <w:rsid w:val="00E53C82"/>
    <w:rsid w:val="00E551D7"/>
    <w:rsid w:val="00E60AA9"/>
    <w:rsid w:val="00E63123"/>
    <w:rsid w:val="00E6376C"/>
    <w:rsid w:val="00E63DDF"/>
    <w:rsid w:val="00E63FAB"/>
    <w:rsid w:val="00E649D2"/>
    <w:rsid w:val="00E6502F"/>
    <w:rsid w:val="00E6546A"/>
    <w:rsid w:val="00E65A70"/>
    <w:rsid w:val="00E65CA4"/>
    <w:rsid w:val="00E660AC"/>
    <w:rsid w:val="00E669E2"/>
    <w:rsid w:val="00E672B1"/>
    <w:rsid w:val="00E708E0"/>
    <w:rsid w:val="00E70A51"/>
    <w:rsid w:val="00E72BA1"/>
    <w:rsid w:val="00E73529"/>
    <w:rsid w:val="00E740BE"/>
    <w:rsid w:val="00E7454B"/>
    <w:rsid w:val="00E7488B"/>
    <w:rsid w:val="00E76135"/>
    <w:rsid w:val="00E77569"/>
    <w:rsid w:val="00E77B2A"/>
    <w:rsid w:val="00E8193A"/>
    <w:rsid w:val="00E82D0B"/>
    <w:rsid w:val="00E82F4F"/>
    <w:rsid w:val="00E83A45"/>
    <w:rsid w:val="00E83D6F"/>
    <w:rsid w:val="00E841DE"/>
    <w:rsid w:val="00E848BF"/>
    <w:rsid w:val="00E858DD"/>
    <w:rsid w:val="00E85E13"/>
    <w:rsid w:val="00E864DF"/>
    <w:rsid w:val="00E865B7"/>
    <w:rsid w:val="00E90D6C"/>
    <w:rsid w:val="00E91279"/>
    <w:rsid w:val="00E93177"/>
    <w:rsid w:val="00E957F0"/>
    <w:rsid w:val="00EA090C"/>
    <w:rsid w:val="00EA0BD3"/>
    <w:rsid w:val="00EA2D61"/>
    <w:rsid w:val="00EA2D62"/>
    <w:rsid w:val="00EA5C56"/>
    <w:rsid w:val="00EA606B"/>
    <w:rsid w:val="00EA7DAD"/>
    <w:rsid w:val="00EB040E"/>
    <w:rsid w:val="00EB2266"/>
    <w:rsid w:val="00EB29A7"/>
    <w:rsid w:val="00EB2CC3"/>
    <w:rsid w:val="00EB2F1B"/>
    <w:rsid w:val="00EB5DCB"/>
    <w:rsid w:val="00EB7B49"/>
    <w:rsid w:val="00EB7BBB"/>
    <w:rsid w:val="00EB7C00"/>
    <w:rsid w:val="00EC233F"/>
    <w:rsid w:val="00EC23F7"/>
    <w:rsid w:val="00EC2844"/>
    <w:rsid w:val="00EC36FD"/>
    <w:rsid w:val="00EC489B"/>
    <w:rsid w:val="00EC49ED"/>
    <w:rsid w:val="00EC4B61"/>
    <w:rsid w:val="00EC5500"/>
    <w:rsid w:val="00EC64FD"/>
    <w:rsid w:val="00EC77C6"/>
    <w:rsid w:val="00ED18F8"/>
    <w:rsid w:val="00ED2D5D"/>
    <w:rsid w:val="00ED4141"/>
    <w:rsid w:val="00ED4418"/>
    <w:rsid w:val="00ED558D"/>
    <w:rsid w:val="00ED5713"/>
    <w:rsid w:val="00ED5A67"/>
    <w:rsid w:val="00ED5ED2"/>
    <w:rsid w:val="00ED664C"/>
    <w:rsid w:val="00EE01AA"/>
    <w:rsid w:val="00EE03D6"/>
    <w:rsid w:val="00EE047B"/>
    <w:rsid w:val="00EE0A70"/>
    <w:rsid w:val="00EE44F9"/>
    <w:rsid w:val="00EE4F08"/>
    <w:rsid w:val="00EE530E"/>
    <w:rsid w:val="00EE5843"/>
    <w:rsid w:val="00EE5892"/>
    <w:rsid w:val="00EE6EDA"/>
    <w:rsid w:val="00EE75BC"/>
    <w:rsid w:val="00EE778E"/>
    <w:rsid w:val="00EF0111"/>
    <w:rsid w:val="00EF012D"/>
    <w:rsid w:val="00EF039D"/>
    <w:rsid w:val="00EF13E7"/>
    <w:rsid w:val="00EF1423"/>
    <w:rsid w:val="00EF2227"/>
    <w:rsid w:val="00EF2450"/>
    <w:rsid w:val="00EF2C75"/>
    <w:rsid w:val="00EF338C"/>
    <w:rsid w:val="00EF3E3A"/>
    <w:rsid w:val="00EF526A"/>
    <w:rsid w:val="00EF6719"/>
    <w:rsid w:val="00EF6C6C"/>
    <w:rsid w:val="00EF7803"/>
    <w:rsid w:val="00F00F06"/>
    <w:rsid w:val="00F00FCC"/>
    <w:rsid w:val="00F01381"/>
    <w:rsid w:val="00F01788"/>
    <w:rsid w:val="00F022A2"/>
    <w:rsid w:val="00F02353"/>
    <w:rsid w:val="00F049CD"/>
    <w:rsid w:val="00F05120"/>
    <w:rsid w:val="00F0526A"/>
    <w:rsid w:val="00F056FC"/>
    <w:rsid w:val="00F0632F"/>
    <w:rsid w:val="00F069AE"/>
    <w:rsid w:val="00F07270"/>
    <w:rsid w:val="00F07B66"/>
    <w:rsid w:val="00F1012A"/>
    <w:rsid w:val="00F10476"/>
    <w:rsid w:val="00F12BAA"/>
    <w:rsid w:val="00F134FE"/>
    <w:rsid w:val="00F135D8"/>
    <w:rsid w:val="00F13C54"/>
    <w:rsid w:val="00F146FA"/>
    <w:rsid w:val="00F15477"/>
    <w:rsid w:val="00F164E4"/>
    <w:rsid w:val="00F16633"/>
    <w:rsid w:val="00F168C3"/>
    <w:rsid w:val="00F16A5C"/>
    <w:rsid w:val="00F17AE1"/>
    <w:rsid w:val="00F20418"/>
    <w:rsid w:val="00F210AB"/>
    <w:rsid w:val="00F214B3"/>
    <w:rsid w:val="00F21DBC"/>
    <w:rsid w:val="00F229DB"/>
    <w:rsid w:val="00F2429B"/>
    <w:rsid w:val="00F24CD8"/>
    <w:rsid w:val="00F25863"/>
    <w:rsid w:val="00F27BE6"/>
    <w:rsid w:val="00F31299"/>
    <w:rsid w:val="00F31423"/>
    <w:rsid w:val="00F3176B"/>
    <w:rsid w:val="00F32AD3"/>
    <w:rsid w:val="00F33621"/>
    <w:rsid w:val="00F34B03"/>
    <w:rsid w:val="00F34DC0"/>
    <w:rsid w:val="00F34F73"/>
    <w:rsid w:val="00F35098"/>
    <w:rsid w:val="00F3534A"/>
    <w:rsid w:val="00F355FD"/>
    <w:rsid w:val="00F35B20"/>
    <w:rsid w:val="00F35BFB"/>
    <w:rsid w:val="00F36ACC"/>
    <w:rsid w:val="00F40E83"/>
    <w:rsid w:val="00F41A8F"/>
    <w:rsid w:val="00F43F04"/>
    <w:rsid w:val="00F44F07"/>
    <w:rsid w:val="00F455BE"/>
    <w:rsid w:val="00F46572"/>
    <w:rsid w:val="00F4722B"/>
    <w:rsid w:val="00F47854"/>
    <w:rsid w:val="00F51609"/>
    <w:rsid w:val="00F52D65"/>
    <w:rsid w:val="00F538A3"/>
    <w:rsid w:val="00F5598C"/>
    <w:rsid w:val="00F55C25"/>
    <w:rsid w:val="00F55C8A"/>
    <w:rsid w:val="00F60FA5"/>
    <w:rsid w:val="00F61802"/>
    <w:rsid w:val="00F63973"/>
    <w:rsid w:val="00F63DDC"/>
    <w:rsid w:val="00F63EDA"/>
    <w:rsid w:val="00F63EE8"/>
    <w:rsid w:val="00F651B7"/>
    <w:rsid w:val="00F6574C"/>
    <w:rsid w:val="00F66EF7"/>
    <w:rsid w:val="00F6766B"/>
    <w:rsid w:val="00F67B0D"/>
    <w:rsid w:val="00F73727"/>
    <w:rsid w:val="00F73C9F"/>
    <w:rsid w:val="00F75BFB"/>
    <w:rsid w:val="00F766A7"/>
    <w:rsid w:val="00F76F82"/>
    <w:rsid w:val="00F76FC7"/>
    <w:rsid w:val="00F8020F"/>
    <w:rsid w:val="00F80A0E"/>
    <w:rsid w:val="00F81005"/>
    <w:rsid w:val="00F81006"/>
    <w:rsid w:val="00F8237F"/>
    <w:rsid w:val="00F825E7"/>
    <w:rsid w:val="00F83E11"/>
    <w:rsid w:val="00F84265"/>
    <w:rsid w:val="00F85325"/>
    <w:rsid w:val="00F85F80"/>
    <w:rsid w:val="00F8602A"/>
    <w:rsid w:val="00F86525"/>
    <w:rsid w:val="00F906B3"/>
    <w:rsid w:val="00F90B2D"/>
    <w:rsid w:val="00F92EEE"/>
    <w:rsid w:val="00F93833"/>
    <w:rsid w:val="00F977E4"/>
    <w:rsid w:val="00FA0C39"/>
    <w:rsid w:val="00FA296C"/>
    <w:rsid w:val="00FA29A6"/>
    <w:rsid w:val="00FA2DC0"/>
    <w:rsid w:val="00FA3917"/>
    <w:rsid w:val="00FA3AF1"/>
    <w:rsid w:val="00FA4407"/>
    <w:rsid w:val="00FA4686"/>
    <w:rsid w:val="00FA59DF"/>
    <w:rsid w:val="00FA720D"/>
    <w:rsid w:val="00FA73EB"/>
    <w:rsid w:val="00FB28A4"/>
    <w:rsid w:val="00FB2EEE"/>
    <w:rsid w:val="00FB365A"/>
    <w:rsid w:val="00FB365F"/>
    <w:rsid w:val="00FB3BDA"/>
    <w:rsid w:val="00FB41BF"/>
    <w:rsid w:val="00FB6063"/>
    <w:rsid w:val="00FB6878"/>
    <w:rsid w:val="00FB7057"/>
    <w:rsid w:val="00FB75E2"/>
    <w:rsid w:val="00FC1E0A"/>
    <w:rsid w:val="00FC23E4"/>
    <w:rsid w:val="00FC4446"/>
    <w:rsid w:val="00FC4FE7"/>
    <w:rsid w:val="00FC5B8B"/>
    <w:rsid w:val="00FC66C4"/>
    <w:rsid w:val="00FC6BEA"/>
    <w:rsid w:val="00FD0A2C"/>
    <w:rsid w:val="00FD0D33"/>
    <w:rsid w:val="00FD22B1"/>
    <w:rsid w:val="00FD33F1"/>
    <w:rsid w:val="00FD3566"/>
    <w:rsid w:val="00FD39AF"/>
    <w:rsid w:val="00FD3BD6"/>
    <w:rsid w:val="00FD5780"/>
    <w:rsid w:val="00FD6465"/>
    <w:rsid w:val="00FD66E7"/>
    <w:rsid w:val="00FD73A4"/>
    <w:rsid w:val="00FE06A8"/>
    <w:rsid w:val="00FE0E99"/>
    <w:rsid w:val="00FE0FA3"/>
    <w:rsid w:val="00FE1163"/>
    <w:rsid w:val="00FE2E89"/>
    <w:rsid w:val="00FE356A"/>
    <w:rsid w:val="00FE4A06"/>
    <w:rsid w:val="00FE5397"/>
    <w:rsid w:val="00FE5456"/>
    <w:rsid w:val="00FF154A"/>
    <w:rsid w:val="00FF1B02"/>
    <w:rsid w:val="00FF1B64"/>
    <w:rsid w:val="00FF2A70"/>
    <w:rsid w:val="00FF3F43"/>
    <w:rsid w:val="00FF47C8"/>
    <w:rsid w:val="00FF583F"/>
    <w:rsid w:val="00FF7D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07FA57BF"/>
  <w15:docId w15:val="{085A46DA-8141-4E25-811C-322A65C3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2B08"/>
    <w:rPr>
      <w:sz w:val="24"/>
      <w:szCs w:val="24"/>
    </w:rPr>
  </w:style>
  <w:style w:type="paragraph" w:styleId="Heading1">
    <w:name w:val="heading 1"/>
    <w:basedOn w:val="BodyText"/>
    <w:next w:val="BodyText"/>
    <w:rsid w:val="00BC2B0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BC2B0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BC2B08"/>
    <w:pPr>
      <w:spacing w:before="560" w:line="320" w:lineRule="exact"/>
      <w:ind w:left="0" w:firstLine="0"/>
      <w:outlineLvl w:val="2"/>
    </w:pPr>
    <w:rPr>
      <w:sz w:val="26"/>
    </w:rPr>
  </w:style>
  <w:style w:type="paragraph" w:styleId="Heading4">
    <w:name w:val="heading 4"/>
    <w:basedOn w:val="Heading3"/>
    <w:next w:val="BodyText"/>
    <w:qFormat/>
    <w:rsid w:val="00BC2B08"/>
    <w:pPr>
      <w:spacing w:before="480"/>
      <w:outlineLvl w:val="3"/>
    </w:pPr>
    <w:rPr>
      <w:b w:val="0"/>
      <w:sz w:val="24"/>
    </w:rPr>
  </w:style>
  <w:style w:type="paragraph" w:styleId="Heading5">
    <w:name w:val="heading 5"/>
    <w:basedOn w:val="Heading4"/>
    <w:next w:val="BodyText"/>
    <w:link w:val="Heading5Char"/>
    <w:qFormat/>
    <w:rsid w:val="00BC2B08"/>
    <w:pPr>
      <w:outlineLvl w:val="4"/>
    </w:pPr>
    <w:rPr>
      <w:i/>
      <w:sz w:val="22"/>
    </w:rPr>
  </w:style>
  <w:style w:type="paragraph" w:styleId="Heading6">
    <w:name w:val="heading 6"/>
    <w:basedOn w:val="BodyText"/>
    <w:next w:val="BodyText"/>
    <w:semiHidden/>
    <w:rsid w:val="00BC2B08"/>
    <w:pPr>
      <w:spacing w:after="60"/>
      <w:jc w:val="left"/>
      <w:outlineLvl w:val="5"/>
    </w:pPr>
    <w:rPr>
      <w:i/>
      <w:sz w:val="22"/>
    </w:rPr>
  </w:style>
  <w:style w:type="paragraph" w:styleId="Heading7">
    <w:name w:val="heading 7"/>
    <w:basedOn w:val="BodyText"/>
    <w:next w:val="BodyText"/>
    <w:semiHidden/>
    <w:rsid w:val="00BC2B08"/>
    <w:pPr>
      <w:spacing w:after="60" w:line="240" w:lineRule="auto"/>
      <w:jc w:val="left"/>
      <w:outlineLvl w:val="6"/>
    </w:pPr>
    <w:rPr>
      <w:rFonts w:ascii="Arial" w:hAnsi="Arial"/>
      <w:sz w:val="20"/>
    </w:rPr>
  </w:style>
  <w:style w:type="paragraph" w:styleId="Heading8">
    <w:name w:val="heading 8"/>
    <w:basedOn w:val="BodyText"/>
    <w:next w:val="BodyText"/>
    <w:semiHidden/>
    <w:rsid w:val="00BC2B08"/>
    <w:pPr>
      <w:spacing w:after="60" w:line="240" w:lineRule="auto"/>
      <w:jc w:val="left"/>
      <w:outlineLvl w:val="7"/>
    </w:pPr>
    <w:rPr>
      <w:rFonts w:ascii="Arial" w:hAnsi="Arial"/>
      <w:i/>
      <w:sz w:val="20"/>
    </w:rPr>
  </w:style>
  <w:style w:type="paragraph" w:styleId="Heading9">
    <w:name w:val="heading 9"/>
    <w:basedOn w:val="BodyText"/>
    <w:next w:val="BodyText"/>
    <w:semiHidden/>
    <w:rsid w:val="00BC2B0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BC2B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2B08"/>
  </w:style>
  <w:style w:type="paragraph" w:styleId="BodyText">
    <w:name w:val="Body Text"/>
    <w:link w:val="BodyTextChar"/>
    <w:qFormat/>
    <w:rsid w:val="00BC2B08"/>
    <w:pPr>
      <w:spacing w:before="240" w:line="300" w:lineRule="atLeast"/>
      <w:jc w:val="both"/>
    </w:pPr>
    <w:rPr>
      <w:sz w:val="24"/>
    </w:rPr>
  </w:style>
  <w:style w:type="paragraph" w:styleId="Footer">
    <w:name w:val="footer"/>
    <w:basedOn w:val="BodyText"/>
    <w:link w:val="FooterChar"/>
    <w:rsid w:val="00BC2B08"/>
    <w:pPr>
      <w:spacing w:before="80" w:line="200" w:lineRule="exact"/>
      <w:ind w:right="6"/>
      <w:jc w:val="left"/>
    </w:pPr>
    <w:rPr>
      <w:rFonts w:ascii="Arial" w:hAnsi="Arial"/>
      <w:caps/>
      <w:spacing w:val="-4"/>
      <w:sz w:val="16"/>
    </w:rPr>
  </w:style>
  <w:style w:type="paragraph" w:customStyle="1" w:styleId="FooterEnd">
    <w:name w:val="Footer End"/>
    <w:basedOn w:val="Footer"/>
    <w:rsid w:val="00BC2B08"/>
    <w:pPr>
      <w:spacing w:before="0" w:line="20" w:lineRule="exact"/>
    </w:pPr>
  </w:style>
  <w:style w:type="paragraph" w:styleId="Header">
    <w:name w:val="header"/>
    <w:basedOn w:val="BodyText"/>
    <w:rsid w:val="00BC2B0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BC2B08"/>
    <w:pPr>
      <w:spacing w:line="20" w:lineRule="exact"/>
    </w:pPr>
    <w:rPr>
      <w:sz w:val="16"/>
    </w:rPr>
  </w:style>
  <w:style w:type="paragraph" w:customStyle="1" w:styleId="HeaderEven">
    <w:name w:val="Header Even"/>
    <w:basedOn w:val="Header"/>
    <w:semiHidden/>
    <w:rsid w:val="00BC2B08"/>
  </w:style>
  <w:style w:type="paragraph" w:customStyle="1" w:styleId="HeaderOdd">
    <w:name w:val="Header Odd"/>
    <w:basedOn w:val="Header"/>
    <w:rsid w:val="00BC2B08"/>
  </w:style>
  <w:style w:type="character" w:styleId="PageNumber">
    <w:name w:val="page number"/>
    <w:basedOn w:val="DefaultParagraphFont"/>
    <w:rsid w:val="00BC2B08"/>
    <w:rPr>
      <w:rFonts w:ascii="Arial" w:hAnsi="Arial"/>
      <w:b/>
      <w:sz w:val="16"/>
    </w:rPr>
  </w:style>
  <w:style w:type="paragraph" w:customStyle="1" w:styleId="Abbreviation">
    <w:name w:val="Abbreviation"/>
    <w:basedOn w:val="BodyText"/>
    <w:rsid w:val="00BC2B08"/>
    <w:pPr>
      <w:spacing w:before="120"/>
      <w:ind w:left="2381" w:hanging="2381"/>
      <w:jc w:val="left"/>
    </w:pPr>
  </w:style>
  <w:style w:type="paragraph" w:customStyle="1" w:styleId="Box">
    <w:name w:val="Box"/>
    <w:basedOn w:val="BodyText"/>
    <w:link w:val="BoxChar"/>
    <w:qFormat/>
    <w:rsid w:val="00BC2B08"/>
    <w:pPr>
      <w:keepNext/>
      <w:spacing w:before="120" w:line="260" w:lineRule="atLeast"/>
    </w:pPr>
    <w:rPr>
      <w:rFonts w:ascii="Arial" w:hAnsi="Arial"/>
      <w:sz w:val="20"/>
    </w:rPr>
  </w:style>
  <w:style w:type="paragraph" w:customStyle="1" w:styleId="BoxContinued">
    <w:name w:val="Box Continued"/>
    <w:basedOn w:val="BodyText"/>
    <w:next w:val="BodyText"/>
    <w:semiHidden/>
    <w:rsid w:val="00BC2B08"/>
    <w:pPr>
      <w:spacing w:before="180" w:line="220" w:lineRule="exact"/>
      <w:jc w:val="right"/>
    </w:pPr>
    <w:rPr>
      <w:rFonts w:ascii="Arial" w:hAnsi="Arial"/>
      <w:sz w:val="18"/>
    </w:rPr>
  </w:style>
  <w:style w:type="paragraph" w:customStyle="1" w:styleId="BoxHeading1">
    <w:name w:val="Box Heading 1"/>
    <w:basedOn w:val="BodyText"/>
    <w:next w:val="Box"/>
    <w:rsid w:val="00BC2B08"/>
    <w:pPr>
      <w:keepNext/>
      <w:spacing w:before="200" w:line="280" w:lineRule="atLeast"/>
    </w:pPr>
    <w:rPr>
      <w:rFonts w:ascii="Arial" w:hAnsi="Arial"/>
      <w:b/>
      <w:sz w:val="22"/>
    </w:rPr>
  </w:style>
  <w:style w:type="paragraph" w:customStyle="1" w:styleId="BoxHeading2">
    <w:name w:val="Box Heading 2"/>
    <w:basedOn w:val="BoxHeading1"/>
    <w:next w:val="Normal"/>
    <w:rsid w:val="00BC2B08"/>
    <w:rPr>
      <w:b w:val="0"/>
      <w:i/>
    </w:rPr>
  </w:style>
  <w:style w:type="paragraph" w:customStyle="1" w:styleId="BoxListBullet">
    <w:name w:val="Box List Bullet"/>
    <w:basedOn w:val="BodyText"/>
    <w:rsid w:val="00BC2B08"/>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BC2B08"/>
    <w:pPr>
      <w:numPr>
        <w:numId w:val="13"/>
      </w:numPr>
      <w:ind w:left="568" w:hanging="284"/>
    </w:pPr>
  </w:style>
  <w:style w:type="paragraph" w:customStyle="1" w:styleId="BoxListNumber">
    <w:name w:val="Box List Number"/>
    <w:basedOn w:val="BodyText"/>
    <w:rsid w:val="00BC2B08"/>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BC2B08"/>
    <w:pPr>
      <w:numPr>
        <w:ilvl w:val="1"/>
      </w:numPr>
      <w:ind w:left="681" w:hanging="397"/>
    </w:pPr>
  </w:style>
  <w:style w:type="paragraph" w:customStyle="1" w:styleId="BoxQuote">
    <w:name w:val="Box Quote"/>
    <w:basedOn w:val="BodyText"/>
    <w:next w:val="Box"/>
    <w:qFormat/>
    <w:rsid w:val="00BC2B08"/>
    <w:pPr>
      <w:keepNext/>
      <w:spacing w:before="60" w:line="240" w:lineRule="exact"/>
      <w:ind w:left="284"/>
    </w:pPr>
    <w:rPr>
      <w:rFonts w:ascii="Arial" w:hAnsi="Arial"/>
      <w:sz w:val="18"/>
    </w:rPr>
  </w:style>
  <w:style w:type="paragraph" w:customStyle="1" w:styleId="Note">
    <w:name w:val="Note"/>
    <w:basedOn w:val="BodyText"/>
    <w:next w:val="BodyText"/>
    <w:link w:val="NoteChar"/>
    <w:rsid w:val="00BC2B08"/>
    <w:pPr>
      <w:keepLines/>
      <w:spacing w:before="80" w:line="220" w:lineRule="exact"/>
    </w:pPr>
    <w:rPr>
      <w:rFonts w:ascii="Arial" w:hAnsi="Arial"/>
      <w:sz w:val="18"/>
    </w:rPr>
  </w:style>
  <w:style w:type="paragraph" w:customStyle="1" w:styleId="Source">
    <w:name w:val="Source"/>
    <w:basedOn w:val="Normal"/>
    <w:next w:val="BodyText"/>
    <w:link w:val="SourceChar"/>
    <w:rsid w:val="00BC2B08"/>
    <w:pPr>
      <w:keepLines/>
      <w:spacing w:before="80" w:line="220" w:lineRule="exact"/>
      <w:jc w:val="both"/>
    </w:pPr>
    <w:rPr>
      <w:rFonts w:ascii="Arial" w:hAnsi="Arial"/>
      <w:sz w:val="18"/>
      <w:szCs w:val="20"/>
    </w:rPr>
  </w:style>
  <w:style w:type="paragraph" w:customStyle="1" w:styleId="BoxSource">
    <w:name w:val="Box Source"/>
    <w:basedOn w:val="Source"/>
    <w:next w:val="BodyText"/>
    <w:rsid w:val="00BC2B08"/>
    <w:pPr>
      <w:spacing w:before="120"/>
    </w:pPr>
  </w:style>
  <w:style w:type="paragraph" w:customStyle="1" w:styleId="BoxSpaceAbove">
    <w:name w:val="Box Space Above"/>
    <w:basedOn w:val="BodyText"/>
    <w:rsid w:val="00BC2B08"/>
    <w:pPr>
      <w:keepNext/>
      <w:spacing w:before="360" w:line="80" w:lineRule="exact"/>
      <w:jc w:val="left"/>
    </w:pPr>
  </w:style>
  <w:style w:type="paragraph" w:styleId="Caption">
    <w:name w:val="caption"/>
    <w:basedOn w:val="Normal"/>
    <w:next w:val="BodyText"/>
    <w:rsid w:val="00BC2B0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BC2B08"/>
    <w:pPr>
      <w:spacing w:before="120" w:after="0"/>
    </w:pPr>
  </w:style>
  <w:style w:type="paragraph" w:customStyle="1" w:styleId="BoxSubtitle">
    <w:name w:val="Box Subtitle"/>
    <w:basedOn w:val="BoxTitle"/>
    <w:next w:val="Normal"/>
    <w:rsid w:val="00BC2B08"/>
    <w:pPr>
      <w:spacing w:after="80" w:line="200" w:lineRule="exact"/>
      <w:ind w:firstLine="0"/>
    </w:pPr>
    <w:rPr>
      <w:b w:val="0"/>
      <w:sz w:val="20"/>
    </w:rPr>
  </w:style>
  <w:style w:type="paragraph" w:customStyle="1" w:styleId="Chapter">
    <w:name w:val="Chapter"/>
    <w:basedOn w:val="Heading1"/>
    <w:next w:val="BodyText"/>
    <w:semiHidden/>
    <w:rsid w:val="00BC2B08"/>
    <w:pPr>
      <w:ind w:left="0" w:firstLine="0"/>
      <w:outlineLvl w:val="9"/>
    </w:pPr>
  </w:style>
  <w:style w:type="paragraph" w:customStyle="1" w:styleId="ChapterSummary">
    <w:name w:val="Chapter Summary"/>
    <w:basedOn w:val="BodyText"/>
    <w:rsid w:val="00BC2B08"/>
    <w:pPr>
      <w:spacing w:line="280" w:lineRule="atLeast"/>
      <w:ind w:left="907"/>
    </w:pPr>
    <w:rPr>
      <w:rFonts w:ascii="Arial" w:hAnsi="Arial"/>
      <w:b/>
      <w:sz w:val="20"/>
    </w:rPr>
  </w:style>
  <w:style w:type="character" w:styleId="CommentReference">
    <w:name w:val="annotation reference"/>
    <w:basedOn w:val="DefaultParagraphFont"/>
    <w:semiHidden/>
    <w:rsid w:val="00BC2B08"/>
    <w:rPr>
      <w:b/>
      <w:vanish/>
      <w:color w:val="FF00FF"/>
      <w:sz w:val="20"/>
    </w:rPr>
  </w:style>
  <w:style w:type="paragraph" w:styleId="CommentText">
    <w:name w:val="annotation text"/>
    <w:basedOn w:val="Normal"/>
    <w:link w:val="CommentTextChar"/>
    <w:semiHidden/>
    <w:rsid w:val="00BC2B08"/>
    <w:pPr>
      <w:spacing w:before="120" w:line="240" w:lineRule="atLeast"/>
      <w:ind w:left="567" w:hanging="567"/>
    </w:pPr>
    <w:rPr>
      <w:sz w:val="20"/>
    </w:rPr>
  </w:style>
  <w:style w:type="paragraph" w:customStyle="1" w:styleId="Continued">
    <w:name w:val="Continued"/>
    <w:basedOn w:val="BoxContinued"/>
    <w:next w:val="BodyText"/>
    <w:rsid w:val="00BC2B08"/>
  </w:style>
  <w:style w:type="character" w:customStyle="1" w:styleId="DocumentInfo">
    <w:name w:val="Document Info"/>
    <w:basedOn w:val="DefaultParagraphFont"/>
    <w:semiHidden/>
    <w:rsid w:val="00BC2B08"/>
    <w:rPr>
      <w:rFonts w:ascii="Arial" w:hAnsi="Arial"/>
      <w:sz w:val="14"/>
    </w:rPr>
  </w:style>
  <w:style w:type="character" w:customStyle="1" w:styleId="DraftingNote">
    <w:name w:val="Drafting Note"/>
    <w:basedOn w:val="DefaultParagraphFont"/>
    <w:rsid w:val="00BC2B08"/>
    <w:rPr>
      <w:b/>
      <w:color w:val="FF0000"/>
      <w:sz w:val="24"/>
      <w:u w:val="dotted"/>
    </w:rPr>
  </w:style>
  <w:style w:type="paragraph" w:customStyle="1" w:styleId="Figure">
    <w:name w:val="Figure"/>
    <w:basedOn w:val="BodyText"/>
    <w:rsid w:val="00BC2B08"/>
    <w:pPr>
      <w:keepNext/>
      <w:spacing w:before="120" w:after="120" w:line="240" w:lineRule="atLeast"/>
      <w:jc w:val="center"/>
    </w:pPr>
  </w:style>
  <w:style w:type="paragraph" w:customStyle="1" w:styleId="FigureTitle">
    <w:name w:val="Figure Title"/>
    <w:basedOn w:val="Caption"/>
    <w:next w:val="Subtitle"/>
    <w:rsid w:val="00BC2B08"/>
    <w:pPr>
      <w:spacing w:before="120"/>
    </w:pPr>
  </w:style>
  <w:style w:type="paragraph" w:styleId="Subtitle">
    <w:name w:val="Subtitle"/>
    <w:basedOn w:val="Caption"/>
    <w:link w:val="SubtitleChar"/>
    <w:qFormat/>
    <w:rsid w:val="00BC2B08"/>
    <w:pPr>
      <w:spacing w:before="0" w:line="200" w:lineRule="exact"/>
      <w:ind w:firstLine="0"/>
    </w:pPr>
    <w:rPr>
      <w:b w:val="0"/>
      <w:sz w:val="20"/>
    </w:rPr>
  </w:style>
  <w:style w:type="paragraph" w:customStyle="1" w:styleId="Finding">
    <w:name w:val="Finding"/>
    <w:basedOn w:val="BodyText"/>
    <w:rsid w:val="00BC2B08"/>
    <w:pPr>
      <w:keepLines/>
      <w:spacing w:before="120" w:line="280" w:lineRule="atLeast"/>
    </w:pPr>
    <w:rPr>
      <w:rFonts w:ascii="Arial" w:hAnsi="Arial"/>
      <w:sz w:val="22"/>
    </w:rPr>
  </w:style>
  <w:style w:type="paragraph" w:customStyle="1" w:styleId="FindingBullet">
    <w:name w:val="Finding Bullet"/>
    <w:basedOn w:val="Finding"/>
    <w:rsid w:val="00BC2B08"/>
    <w:pPr>
      <w:numPr>
        <w:numId w:val="15"/>
      </w:numPr>
      <w:spacing w:before="80"/>
    </w:pPr>
  </w:style>
  <w:style w:type="paragraph" w:customStyle="1" w:styleId="FindingNoTitle">
    <w:name w:val="Finding NoTitle"/>
    <w:basedOn w:val="Finding"/>
    <w:semiHidden/>
    <w:rsid w:val="00BC2B08"/>
    <w:pPr>
      <w:spacing w:before="240"/>
    </w:pPr>
  </w:style>
  <w:style w:type="paragraph" w:customStyle="1" w:styleId="RecTitle">
    <w:name w:val="Rec Title"/>
    <w:basedOn w:val="BodyText"/>
    <w:next w:val="Rec"/>
    <w:qFormat/>
    <w:rsid w:val="00BC2B08"/>
    <w:pPr>
      <w:keepNext/>
      <w:keepLines/>
      <w:spacing w:line="280" w:lineRule="atLeast"/>
    </w:pPr>
    <w:rPr>
      <w:rFonts w:ascii="Arial" w:hAnsi="Arial"/>
      <w:caps/>
      <w:sz w:val="18"/>
    </w:rPr>
  </w:style>
  <w:style w:type="paragraph" w:customStyle="1" w:styleId="FindingTitle">
    <w:name w:val="Finding Title"/>
    <w:basedOn w:val="RecTitle"/>
    <w:next w:val="Finding"/>
    <w:rsid w:val="00BC2B08"/>
  </w:style>
  <w:style w:type="character" w:styleId="FootnoteReference">
    <w:name w:val="footnote reference"/>
    <w:basedOn w:val="DefaultParagraphFont"/>
    <w:semiHidden/>
    <w:rsid w:val="00BC2B08"/>
    <w:rPr>
      <w:rFonts w:ascii="Times New Roman" w:hAnsi="Times New Roman"/>
      <w:position w:val="6"/>
      <w:sz w:val="20"/>
      <w:vertAlign w:val="baseline"/>
    </w:rPr>
  </w:style>
  <w:style w:type="paragraph" w:styleId="FootnoteText">
    <w:name w:val="footnote text"/>
    <w:basedOn w:val="BodyText"/>
    <w:rsid w:val="00BC2B0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BC2B08"/>
    <w:rPr>
      <w:i/>
    </w:rPr>
  </w:style>
  <w:style w:type="paragraph" w:customStyle="1" w:styleId="Jurisdictioncommentsbodytext">
    <w:name w:val="Jurisdiction comments body text"/>
    <w:rsid w:val="00BC2B08"/>
    <w:pPr>
      <w:spacing w:after="140"/>
      <w:jc w:val="both"/>
    </w:pPr>
    <w:rPr>
      <w:rFonts w:ascii="Arial" w:hAnsi="Arial"/>
      <w:sz w:val="24"/>
      <w:lang w:eastAsia="en-US"/>
    </w:rPr>
  </w:style>
  <w:style w:type="paragraph" w:customStyle="1" w:styleId="Jurisdictioncommentsheading">
    <w:name w:val="Jurisdiction comments heading"/>
    <w:rsid w:val="00BC2B0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BC2B08"/>
    <w:pPr>
      <w:numPr>
        <w:numId w:val="2"/>
      </w:numPr>
      <w:spacing w:after="140"/>
      <w:jc w:val="both"/>
    </w:pPr>
    <w:rPr>
      <w:rFonts w:ascii="Arial" w:hAnsi="Arial"/>
      <w:sz w:val="24"/>
      <w:lang w:eastAsia="en-US"/>
    </w:rPr>
  </w:style>
  <w:style w:type="paragraph" w:styleId="ListBullet">
    <w:name w:val="List Bullet"/>
    <w:basedOn w:val="BodyText"/>
    <w:rsid w:val="00BC2B08"/>
    <w:pPr>
      <w:numPr>
        <w:numId w:val="3"/>
      </w:numPr>
      <w:spacing w:before="120"/>
    </w:pPr>
  </w:style>
  <w:style w:type="paragraph" w:styleId="ListBullet2">
    <w:name w:val="List Bullet 2"/>
    <w:basedOn w:val="BodyText"/>
    <w:rsid w:val="00BC2B08"/>
    <w:pPr>
      <w:numPr>
        <w:numId w:val="4"/>
      </w:numPr>
      <w:spacing w:before="120"/>
    </w:pPr>
  </w:style>
  <w:style w:type="paragraph" w:styleId="ListBullet3">
    <w:name w:val="List Bullet 3"/>
    <w:basedOn w:val="BodyText"/>
    <w:rsid w:val="00BC2B08"/>
    <w:pPr>
      <w:numPr>
        <w:numId w:val="5"/>
      </w:numPr>
      <w:spacing w:before="120"/>
      <w:ind w:left="1020" w:hanging="340"/>
    </w:pPr>
  </w:style>
  <w:style w:type="paragraph" w:styleId="ListNumber">
    <w:name w:val="List Number"/>
    <w:basedOn w:val="BodyText"/>
    <w:rsid w:val="00BC2B08"/>
    <w:pPr>
      <w:numPr>
        <w:numId w:val="9"/>
      </w:numPr>
      <w:spacing w:before="120"/>
    </w:pPr>
  </w:style>
  <w:style w:type="paragraph" w:styleId="ListNumber2">
    <w:name w:val="List Number 2"/>
    <w:basedOn w:val="ListNumber"/>
    <w:rsid w:val="00BC2B08"/>
    <w:pPr>
      <w:numPr>
        <w:ilvl w:val="1"/>
      </w:numPr>
    </w:pPr>
  </w:style>
  <w:style w:type="paragraph" w:styleId="ListNumber3">
    <w:name w:val="List Number 3"/>
    <w:basedOn w:val="ListNumber2"/>
    <w:rsid w:val="00BC2B08"/>
    <w:pPr>
      <w:numPr>
        <w:ilvl w:val="2"/>
      </w:numPr>
    </w:pPr>
  </w:style>
  <w:style w:type="character" w:customStyle="1" w:styleId="NoteLabel">
    <w:name w:val="Note Label"/>
    <w:basedOn w:val="DefaultParagraphFont"/>
    <w:rsid w:val="00BC2B08"/>
    <w:rPr>
      <w:rFonts w:ascii="Arial" w:hAnsi="Arial"/>
      <w:b/>
      <w:position w:val="6"/>
      <w:sz w:val="18"/>
    </w:rPr>
  </w:style>
  <w:style w:type="paragraph" w:customStyle="1" w:styleId="PartDivider">
    <w:name w:val="Part Divider"/>
    <w:basedOn w:val="BodyText"/>
    <w:next w:val="BodyText"/>
    <w:semiHidden/>
    <w:rsid w:val="00BC2B08"/>
    <w:pPr>
      <w:spacing w:before="0" w:line="40" w:lineRule="exact"/>
      <w:jc w:val="right"/>
    </w:pPr>
    <w:rPr>
      <w:smallCaps/>
      <w:sz w:val="16"/>
    </w:rPr>
  </w:style>
  <w:style w:type="paragraph" w:customStyle="1" w:styleId="PartNumber">
    <w:name w:val="Part Number"/>
    <w:basedOn w:val="BodyText"/>
    <w:next w:val="BodyText"/>
    <w:semiHidden/>
    <w:rsid w:val="00BC2B08"/>
    <w:pPr>
      <w:spacing w:before="4000" w:line="320" w:lineRule="exact"/>
      <w:ind w:left="6634"/>
      <w:jc w:val="right"/>
    </w:pPr>
    <w:rPr>
      <w:smallCaps/>
      <w:spacing w:val="60"/>
      <w:sz w:val="32"/>
    </w:rPr>
  </w:style>
  <w:style w:type="paragraph" w:customStyle="1" w:styleId="PartTitle">
    <w:name w:val="Part Title"/>
    <w:basedOn w:val="BodyText"/>
    <w:semiHidden/>
    <w:rsid w:val="00BC2B08"/>
    <w:pPr>
      <w:spacing w:before="160" w:after="1360" w:line="520" w:lineRule="exact"/>
      <w:ind w:right="2381"/>
      <w:jc w:val="right"/>
    </w:pPr>
    <w:rPr>
      <w:smallCaps/>
      <w:sz w:val="52"/>
    </w:rPr>
  </w:style>
  <w:style w:type="paragraph" w:styleId="Quote">
    <w:name w:val="Quote"/>
    <w:basedOn w:val="BodyText"/>
    <w:next w:val="BodyText"/>
    <w:link w:val="QuoteChar"/>
    <w:qFormat/>
    <w:rsid w:val="00BC2B08"/>
    <w:pPr>
      <w:spacing w:before="120" w:line="280" w:lineRule="exact"/>
      <w:ind w:left="340"/>
    </w:pPr>
    <w:rPr>
      <w:sz w:val="22"/>
    </w:rPr>
  </w:style>
  <w:style w:type="paragraph" w:customStyle="1" w:styleId="QuoteBullet">
    <w:name w:val="Quote Bullet"/>
    <w:basedOn w:val="Quote"/>
    <w:rsid w:val="00BC2B08"/>
    <w:pPr>
      <w:numPr>
        <w:numId w:val="6"/>
      </w:numPr>
    </w:pPr>
  </w:style>
  <w:style w:type="paragraph" w:customStyle="1" w:styleId="Rec">
    <w:name w:val="Rec"/>
    <w:basedOn w:val="BodyText"/>
    <w:qFormat/>
    <w:rsid w:val="00BC2B08"/>
    <w:pPr>
      <w:keepLines/>
      <w:spacing w:before="120" w:line="280" w:lineRule="atLeast"/>
    </w:pPr>
    <w:rPr>
      <w:rFonts w:ascii="Arial" w:hAnsi="Arial"/>
      <w:sz w:val="22"/>
    </w:rPr>
  </w:style>
  <w:style w:type="paragraph" w:customStyle="1" w:styleId="RecBullet">
    <w:name w:val="Rec Bullet"/>
    <w:basedOn w:val="Rec"/>
    <w:rsid w:val="00BC2B08"/>
    <w:pPr>
      <w:numPr>
        <w:numId w:val="17"/>
      </w:numPr>
      <w:spacing w:before="80"/>
    </w:pPr>
  </w:style>
  <w:style w:type="paragraph" w:customStyle="1" w:styleId="RecB">
    <w:name w:val="RecB"/>
    <w:basedOn w:val="Normal"/>
    <w:semiHidden/>
    <w:rsid w:val="00BC2B0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BC2B08"/>
    <w:pPr>
      <w:numPr>
        <w:numId w:val="11"/>
      </w:numPr>
      <w:spacing w:before="80"/>
    </w:pPr>
  </w:style>
  <w:style w:type="paragraph" w:customStyle="1" w:styleId="RecBNoTitle">
    <w:name w:val="RecB NoTitle"/>
    <w:basedOn w:val="RecB"/>
    <w:semiHidden/>
    <w:rsid w:val="00BC2B08"/>
    <w:pPr>
      <w:spacing w:before="240"/>
    </w:pPr>
  </w:style>
  <w:style w:type="paragraph" w:customStyle="1" w:styleId="Reference">
    <w:name w:val="Reference"/>
    <w:basedOn w:val="BodyText"/>
    <w:rsid w:val="00BC2B08"/>
    <w:pPr>
      <w:spacing w:before="120"/>
      <w:ind w:left="340" w:hanging="340"/>
    </w:pPr>
  </w:style>
  <w:style w:type="paragraph" w:customStyle="1" w:styleId="SequenceInfo">
    <w:name w:val="Sequence Info"/>
    <w:basedOn w:val="BodyText"/>
    <w:semiHidden/>
    <w:rsid w:val="00BC2B08"/>
    <w:rPr>
      <w:vanish/>
      <w:sz w:val="16"/>
    </w:rPr>
  </w:style>
  <w:style w:type="paragraph" w:customStyle="1" w:styleId="SideNote">
    <w:name w:val="Side Note"/>
    <w:basedOn w:val="BodyText"/>
    <w:next w:val="BodyText"/>
    <w:semiHidden/>
    <w:rsid w:val="00BC2B0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BC2B08"/>
    <w:pPr>
      <w:framePr w:wrap="around"/>
      <w:numPr>
        <w:numId w:val="7"/>
      </w:numPr>
      <w:tabs>
        <w:tab w:val="left" w:pos="227"/>
      </w:tabs>
    </w:pPr>
  </w:style>
  <w:style w:type="paragraph" w:customStyle="1" w:styleId="SideNoteGraphic">
    <w:name w:val="Side Note Graphic"/>
    <w:basedOn w:val="SideNote"/>
    <w:next w:val="BodyText"/>
    <w:semiHidden/>
    <w:rsid w:val="00BC2B08"/>
    <w:pPr>
      <w:framePr w:wrap="around"/>
    </w:pPr>
  </w:style>
  <w:style w:type="paragraph" w:customStyle="1" w:styleId="TableBodyText">
    <w:name w:val="Table Body Text"/>
    <w:basedOn w:val="BodyText"/>
    <w:link w:val="TableBodyTextChar"/>
    <w:rsid w:val="00BC2B0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BC2B08"/>
    <w:pPr>
      <w:numPr>
        <w:numId w:val="8"/>
      </w:numPr>
      <w:jc w:val="left"/>
    </w:pPr>
  </w:style>
  <w:style w:type="paragraph" w:customStyle="1" w:styleId="TableColumnHeading">
    <w:name w:val="Table Column Heading"/>
    <w:basedOn w:val="TableBodyText"/>
    <w:rsid w:val="00BC2B08"/>
    <w:pPr>
      <w:spacing w:before="80" w:after="80"/>
    </w:pPr>
    <w:rPr>
      <w:i/>
    </w:rPr>
  </w:style>
  <w:style w:type="paragraph" w:styleId="TOC2">
    <w:name w:val="toc 2"/>
    <w:basedOn w:val="TOC1"/>
    <w:rsid w:val="00BC2B08"/>
    <w:pPr>
      <w:ind w:left="1134" w:hanging="624"/>
    </w:pPr>
    <w:rPr>
      <w:b w:val="0"/>
    </w:rPr>
  </w:style>
  <w:style w:type="paragraph" w:styleId="TOC3">
    <w:name w:val="toc 3"/>
    <w:basedOn w:val="TOC2"/>
    <w:rsid w:val="00BC2B08"/>
    <w:pPr>
      <w:spacing w:before="60"/>
      <w:ind w:left="1190" w:hanging="680"/>
    </w:pPr>
  </w:style>
  <w:style w:type="paragraph" w:styleId="TableofFigures">
    <w:name w:val="table of figures"/>
    <w:basedOn w:val="TOC3"/>
    <w:next w:val="BodyText"/>
    <w:semiHidden/>
    <w:rsid w:val="00BC2B08"/>
    <w:pPr>
      <w:ind w:left="737" w:hanging="737"/>
    </w:pPr>
  </w:style>
  <w:style w:type="paragraph" w:customStyle="1" w:styleId="TableTitle">
    <w:name w:val="Table Title"/>
    <w:basedOn w:val="Caption"/>
    <w:next w:val="Subtitle"/>
    <w:qFormat/>
    <w:rsid w:val="00BC2B08"/>
    <w:pPr>
      <w:spacing w:before="120"/>
    </w:pPr>
  </w:style>
  <w:style w:type="paragraph" w:customStyle="1" w:styleId="TableUnitsRow">
    <w:name w:val="Table Units Row"/>
    <w:basedOn w:val="TableBodyText"/>
    <w:rsid w:val="00BC2B08"/>
    <w:pPr>
      <w:spacing w:before="40"/>
    </w:pPr>
  </w:style>
  <w:style w:type="paragraph" w:styleId="TOC1">
    <w:name w:val="toc 1"/>
    <w:basedOn w:val="Normal"/>
    <w:next w:val="TOC2"/>
    <w:link w:val="TOC1Char"/>
    <w:rsid w:val="00BC2B08"/>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BC2B08"/>
    <w:pPr>
      <w:ind w:left="1191" w:firstLine="0"/>
    </w:pPr>
  </w:style>
  <w:style w:type="paragraph" w:customStyle="1" w:styleId="RecBBullet2">
    <w:name w:val="RecB Bullet 2"/>
    <w:basedOn w:val="ListBullet2"/>
    <w:semiHidden/>
    <w:rsid w:val="00BC2B08"/>
    <w:pPr>
      <w:pBdr>
        <w:left w:val="single" w:sz="24" w:space="29" w:color="C0C0C0"/>
      </w:pBdr>
    </w:pPr>
    <w:rPr>
      <w:b/>
      <w:i/>
    </w:rPr>
  </w:style>
  <w:style w:type="paragraph" w:styleId="BalloonText">
    <w:name w:val="Balloon Text"/>
    <w:basedOn w:val="Normal"/>
    <w:link w:val="BalloonTextChar"/>
    <w:rsid w:val="00BC2B08"/>
    <w:rPr>
      <w:rFonts w:ascii="Tahoma" w:hAnsi="Tahoma" w:cs="Tahoma"/>
      <w:sz w:val="16"/>
      <w:szCs w:val="16"/>
    </w:rPr>
  </w:style>
  <w:style w:type="character" w:customStyle="1" w:styleId="BalloonTextChar">
    <w:name w:val="Balloon Text Char"/>
    <w:basedOn w:val="DefaultParagraphFont"/>
    <w:link w:val="BalloonText"/>
    <w:rsid w:val="00BC2B08"/>
    <w:rPr>
      <w:rFonts w:ascii="Tahoma" w:hAnsi="Tahoma" w:cs="Tahoma"/>
      <w:sz w:val="16"/>
      <w:szCs w:val="16"/>
    </w:rPr>
  </w:style>
  <w:style w:type="character" w:customStyle="1" w:styleId="SubtitleChar">
    <w:name w:val="Subtitle Char"/>
    <w:basedOn w:val="DefaultParagraphFont"/>
    <w:link w:val="Subtitle"/>
    <w:rsid w:val="00BC2B08"/>
    <w:rPr>
      <w:rFonts w:ascii="Arial" w:hAnsi="Arial"/>
      <w:szCs w:val="24"/>
    </w:rPr>
  </w:style>
  <w:style w:type="paragraph" w:customStyle="1" w:styleId="BoxListBullet3">
    <w:name w:val="Box List Bullet 3"/>
    <w:basedOn w:val="ListBullet3"/>
    <w:rsid w:val="00BC2B08"/>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BC2B08"/>
    <w:rPr>
      <w:i/>
      <w:iCs/>
    </w:rPr>
  </w:style>
  <w:style w:type="paragraph" w:customStyle="1" w:styleId="BoxQuoteBullet">
    <w:name w:val="Box Quote Bullet"/>
    <w:basedOn w:val="BoxQuote"/>
    <w:next w:val="Box"/>
    <w:rsid w:val="00BC2B08"/>
    <w:pPr>
      <w:numPr>
        <w:numId w:val="12"/>
      </w:numPr>
      <w:ind w:left="568" w:hanging="284"/>
    </w:pPr>
  </w:style>
  <w:style w:type="paragraph" w:customStyle="1" w:styleId="InformationRequestBullet">
    <w:name w:val="Information Request Bullet"/>
    <w:basedOn w:val="ListBullet"/>
    <w:next w:val="BodyText"/>
    <w:rsid w:val="00BC2B08"/>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BC2B08"/>
    <w:pPr>
      <w:keepNext w:val="0"/>
      <w:spacing w:before="60" w:after="60" w:line="80" w:lineRule="exact"/>
    </w:pPr>
    <w:rPr>
      <w:sz w:val="14"/>
    </w:rPr>
  </w:style>
  <w:style w:type="paragraph" w:customStyle="1" w:styleId="KeyPointsListBullet">
    <w:name w:val="Key Points List Bullet"/>
    <w:basedOn w:val="Normal"/>
    <w:qFormat/>
    <w:rsid w:val="00BC2B08"/>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C2B08"/>
    <w:pPr>
      <w:numPr>
        <w:numId w:val="19"/>
      </w:numPr>
      <w:ind w:left="568" w:hanging="284"/>
    </w:pPr>
  </w:style>
  <w:style w:type="paragraph" w:customStyle="1" w:styleId="InformationRequestTitle">
    <w:name w:val="Information Request Title"/>
    <w:basedOn w:val="FindingTitle"/>
    <w:next w:val="InformationRequest"/>
    <w:rsid w:val="00BC2B08"/>
    <w:rPr>
      <w:i/>
    </w:rPr>
  </w:style>
  <w:style w:type="paragraph" w:customStyle="1" w:styleId="Space">
    <w:name w:val="Space"/>
    <w:basedOn w:val="Normal"/>
    <w:rsid w:val="00BC2B08"/>
    <w:pPr>
      <w:keepNext/>
      <w:spacing w:line="120" w:lineRule="exact"/>
      <w:jc w:val="both"/>
    </w:pPr>
    <w:rPr>
      <w:rFonts w:ascii="Arial" w:hAnsi="Arial"/>
      <w:sz w:val="20"/>
      <w:szCs w:val="20"/>
    </w:rPr>
  </w:style>
  <w:style w:type="paragraph" w:customStyle="1" w:styleId="Heading1nochapterno">
    <w:name w:val="Heading 1 (no chapter no.)"/>
    <w:basedOn w:val="Heading1"/>
    <w:rsid w:val="00BC2B08"/>
    <w:pPr>
      <w:spacing w:before="0"/>
      <w:ind w:left="0" w:firstLine="0"/>
    </w:pPr>
  </w:style>
  <w:style w:type="paragraph" w:customStyle="1" w:styleId="Heading2nosectionno">
    <w:name w:val="Heading 2 (no section no.)"/>
    <w:basedOn w:val="Heading2"/>
    <w:rsid w:val="00BC2B08"/>
    <w:pPr>
      <w:ind w:left="0" w:firstLine="0"/>
    </w:pPr>
  </w:style>
  <w:style w:type="character" w:customStyle="1" w:styleId="Heading5Char">
    <w:name w:val="Heading 5 Char"/>
    <w:basedOn w:val="DefaultParagraphFont"/>
    <w:link w:val="Heading5"/>
    <w:rsid w:val="00BC2B08"/>
    <w:rPr>
      <w:rFonts w:ascii="Arial" w:hAnsi="Arial"/>
      <w:i/>
      <w:sz w:val="22"/>
    </w:rPr>
  </w:style>
  <w:style w:type="paragraph" w:customStyle="1" w:styleId="Figurespace">
    <w:name w:val="Figure space"/>
    <w:basedOn w:val="Box"/>
    <w:rsid w:val="00BC2B08"/>
    <w:pPr>
      <w:spacing w:before="0" w:line="120" w:lineRule="exact"/>
    </w:pPr>
  </w:style>
  <w:style w:type="paragraph" w:customStyle="1" w:styleId="FooterDraftReport">
    <w:name w:val="FooterDraftReport"/>
    <w:basedOn w:val="Footer"/>
    <w:link w:val="FooterDraftReportChar"/>
    <w:rsid w:val="00BC2B0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C2B08"/>
    <w:rPr>
      <w:sz w:val="24"/>
    </w:rPr>
  </w:style>
  <w:style w:type="character" w:customStyle="1" w:styleId="FooterChar">
    <w:name w:val="Footer Char"/>
    <w:basedOn w:val="BodyTextChar"/>
    <w:link w:val="Footer"/>
    <w:rsid w:val="00BC2B08"/>
    <w:rPr>
      <w:rFonts w:ascii="Arial" w:hAnsi="Arial"/>
      <w:caps/>
      <w:spacing w:val="-4"/>
      <w:sz w:val="16"/>
    </w:rPr>
  </w:style>
  <w:style w:type="character" w:customStyle="1" w:styleId="FooterDraftReportChar">
    <w:name w:val="FooterDraftReport Char"/>
    <w:basedOn w:val="FooterChar"/>
    <w:link w:val="FooterDraftReport"/>
    <w:rsid w:val="00BC2B0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BC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BC2B08"/>
    <w:rPr>
      <w:rFonts w:ascii="Arial" w:hAnsi="Arial"/>
      <w:b/>
      <w:sz w:val="26"/>
      <w:szCs w:val="26"/>
      <w:lang w:eastAsia="en-US"/>
    </w:rPr>
  </w:style>
  <w:style w:type="character" w:styleId="Hyperlink">
    <w:name w:val="Hyperlink"/>
    <w:basedOn w:val="DefaultParagraphFont"/>
    <w:uiPriority w:val="99"/>
    <w:rsid w:val="009D4675"/>
    <w:rPr>
      <w:color w:val="78A22F" w:themeColor="hyperlink"/>
      <w:u w:val="single"/>
    </w:rPr>
  </w:style>
  <w:style w:type="character" w:customStyle="1" w:styleId="TableBodyTextChar">
    <w:name w:val="Table Body Text Char"/>
    <w:link w:val="TableBodyText"/>
    <w:rsid w:val="00110613"/>
    <w:rPr>
      <w:rFonts w:ascii="Arial" w:hAnsi="Arial"/>
      <w:sz w:val="18"/>
    </w:rPr>
  </w:style>
  <w:style w:type="character" w:customStyle="1" w:styleId="TableBulletChar">
    <w:name w:val="Table Bullet Char"/>
    <w:link w:val="TableBullet"/>
    <w:rsid w:val="00740F59"/>
    <w:rPr>
      <w:rFonts w:ascii="Arial" w:hAnsi="Arial"/>
      <w:sz w:val="18"/>
    </w:rPr>
  </w:style>
  <w:style w:type="paragraph" w:styleId="CommentSubject">
    <w:name w:val="annotation subject"/>
    <w:basedOn w:val="CommentText"/>
    <w:next w:val="CommentText"/>
    <w:link w:val="CommentSubjectChar"/>
    <w:rsid w:val="000A2452"/>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A2452"/>
    <w:rPr>
      <w:szCs w:val="24"/>
    </w:rPr>
  </w:style>
  <w:style w:type="character" w:customStyle="1" w:styleId="CommentSubjectChar">
    <w:name w:val="Comment Subject Char"/>
    <w:basedOn w:val="CommentTextChar"/>
    <w:link w:val="CommentSubject"/>
    <w:rsid w:val="000A2452"/>
    <w:rPr>
      <w:b/>
      <w:bCs/>
      <w:szCs w:val="24"/>
    </w:rPr>
  </w:style>
  <w:style w:type="paragraph" w:styleId="Revision">
    <w:name w:val="Revision"/>
    <w:hidden/>
    <w:uiPriority w:val="99"/>
    <w:semiHidden/>
    <w:rsid w:val="00B31B47"/>
    <w:rPr>
      <w:sz w:val="24"/>
      <w:szCs w:val="24"/>
    </w:rPr>
  </w:style>
  <w:style w:type="character" w:customStyle="1" w:styleId="QuoteChar">
    <w:name w:val="Quote Char"/>
    <w:basedOn w:val="DefaultParagraphFont"/>
    <w:link w:val="Quote"/>
    <w:rsid w:val="00F4722B"/>
    <w:rPr>
      <w:sz w:val="22"/>
    </w:rPr>
  </w:style>
  <w:style w:type="character" w:customStyle="1" w:styleId="Continuedintitle">
    <w:name w:val="Continued (in title)"/>
    <w:basedOn w:val="DefaultParagraphFont"/>
    <w:rsid w:val="00BC2B08"/>
    <w:rPr>
      <w:rFonts w:ascii="Arial" w:hAnsi="Arial"/>
      <w:b/>
      <w:sz w:val="18"/>
    </w:rPr>
  </w:style>
  <w:style w:type="character" w:customStyle="1" w:styleId="SourceChar">
    <w:name w:val="Source Char"/>
    <w:basedOn w:val="NoteChar"/>
    <w:link w:val="Source"/>
    <w:rsid w:val="00C335EF"/>
    <w:rPr>
      <w:rFonts w:ascii="Arial" w:hAnsi="Arial"/>
      <w:sz w:val="18"/>
    </w:rPr>
  </w:style>
  <w:style w:type="character" w:customStyle="1" w:styleId="NoteChar">
    <w:name w:val="Note Char"/>
    <w:link w:val="Note"/>
    <w:rsid w:val="00C335EF"/>
    <w:rPr>
      <w:rFonts w:ascii="Arial" w:hAnsi="Arial"/>
      <w:sz w:val="18"/>
    </w:rPr>
  </w:style>
  <w:style w:type="character" w:customStyle="1" w:styleId="BoxChar">
    <w:name w:val="Box Char"/>
    <w:link w:val="Box"/>
    <w:rsid w:val="00C335EF"/>
    <w:rPr>
      <w:rFonts w:ascii="Arial" w:hAnsi="Arial"/>
    </w:rPr>
  </w:style>
  <w:style w:type="paragraph" w:styleId="ListParagraph">
    <w:name w:val="List Paragraph"/>
    <w:basedOn w:val="Normal"/>
    <w:uiPriority w:val="34"/>
    <w:qFormat/>
    <w:rsid w:val="00AB1EC0"/>
    <w:pPr>
      <w:ind w:left="720"/>
      <w:contextualSpacing/>
    </w:pPr>
    <w:rPr>
      <w:szCs w:val="20"/>
    </w:rPr>
  </w:style>
  <w:style w:type="character" w:styleId="FollowedHyperlink">
    <w:name w:val="FollowedHyperlink"/>
    <w:basedOn w:val="DefaultParagraphFont"/>
    <w:semiHidden/>
    <w:unhideWhenUsed/>
    <w:rsid w:val="007E23D7"/>
    <w:rPr>
      <w:color w:val="387DD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462">
      <w:bodyDiv w:val="1"/>
      <w:marLeft w:val="0"/>
      <w:marRight w:val="0"/>
      <w:marTop w:val="0"/>
      <w:marBottom w:val="0"/>
      <w:divBdr>
        <w:top w:val="none" w:sz="0" w:space="0" w:color="auto"/>
        <w:left w:val="none" w:sz="0" w:space="0" w:color="auto"/>
        <w:bottom w:val="none" w:sz="0" w:space="0" w:color="auto"/>
        <w:right w:val="none" w:sz="0" w:space="0" w:color="auto"/>
      </w:divBdr>
    </w:div>
    <w:div w:id="158737542">
      <w:bodyDiv w:val="1"/>
      <w:marLeft w:val="0"/>
      <w:marRight w:val="0"/>
      <w:marTop w:val="0"/>
      <w:marBottom w:val="0"/>
      <w:divBdr>
        <w:top w:val="none" w:sz="0" w:space="0" w:color="auto"/>
        <w:left w:val="none" w:sz="0" w:space="0" w:color="auto"/>
        <w:bottom w:val="none" w:sz="0" w:space="0" w:color="auto"/>
        <w:right w:val="none" w:sz="0" w:space="0" w:color="auto"/>
      </w:divBdr>
    </w:div>
    <w:div w:id="239799291">
      <w:bodyDiv w:val="1"/>
      <w:marLeft w:val="0"/>
      <w:marRight w:val="0"/>
      <w:marTop w:val="0"/>
      <w:marBottom w:val="0"/>
      <w:divBdr>
        <w:top w:val="none" w:sz="0" w:space="0" w:color="auto"/>
        <w:left w:val="none" w:sz="0" w:space="0" w:color="auto"/>
        <w:bottom w:val="none" w:sz="0" w:space="0" w:color="auto"/>
        <w:right w:val="none" w:sz="0" w:space="0" w:color="auto"/>
      </w:divBdr>
    </w:div>
    <w:div w:id="368068865">
      <w:bodyDiv w:val="1"/>
      <w:marLeft w:val="0"/>
      <w:marRight w:val="0"/>
      <w:marTop w:val="0"/>
      <w:marBottom w:val="0"/>
      <w:divBdr>
        <w:top w:val="none" w:sz="0" w:space="0" w:color="auto"/>
        <w:left w:val="none" w:sz="0" w:space="0" w:color="auto"/>
        <w:bottom w:val="none" w:sz="0" w:space="0" w:color="auto"/>
        <w:right w:val="none" w:sz="0" w:space="0" w:color="auto"/>
      </w:divBdr>
    </w:div>
    <w:div w:id="555627952">
      <w:bodyDiv w:val="1"/>
      <w:marLeft w:val="0"/>
      <w:marRight w:val="0"/>
      <w:marTop w:val="0"/>
      <w:marBottom w:val="0"/>
      <w:divBdr>
        <w:top w:val="none" w:sz="0" w:space="0" w:color="auto"/>
        <w:left w:val="none" w:sz="0" w:space="0" w:color="auto"/>
        <w:bottom w:val="none" w:sz="0" w:space="0" w:color="auto"/>
        <w:right w:val="none" w:sz="0" w:space="0" w:color="auto"/>
      </w:divBdr>
    </w:div>
    <w:div w:id="711999910">
      <w:bodyDiv w:val="1"/>
      <w:marLeft w:val="0"/>
      <w:marRight w:val="0"/>
      <w:marTop w:val="0"/>
      <w:marBottom w:val="0"/>
      <w:divBdr>
        <w:top w:val="none" w:sz="0" w:space="0" w:color="auto"/>
        <w:left w:val="none" w:sz="0" w:space="0" w:color="auto"/>
        <w:bottom w:val="none" w:sz="0" w:space="0" w:color="auto"/>
        <w:right w:val="none" w:sz="0" w:space="0" w:color="auto"/>
      </w:divBdr>
    </w:div>
    <w:div w:id="789514967">
      <w:bodyDiv w:val="1"/>
      <w:marLeft w:val="0"/>
      <w:marRight w:val="0"/>
      <w:marTop w:val="0"/>
      <w:marBottom w:val="0"/>
      <w:divBdr>
        <w:top w:val="none" w:sz="0" w:space="0" w:color="auto"/>
        <w:left w:val="none" w:sz="0" w:space="0" w:color="auto"/>
        <w:bottom w:val="none" w:sz="0" w:space="0" w:color="auto"/>
        <w:right w:val="none" w:sz="0" w:space="0" w:color="auto"/>
      </w:divBdr>
    </w:div>
    <w:div w:id="935016483">
      <w:bodyDiv w:val="1"/>
      <w:marLeft w:val="0"/>
      <w:marRight w:val="0"/>
      <w:marTop w:val="0"/>
      <w:marBottom w:val="0"/>
      <w:divBdr>
        <w:top w:val="none" w:sz="0" w:space="0" w:color="auto"/>
        <w:left w:val="none" w:sz="0" w:space="0" w:color="auto"/>
        <w:bottom w:val="none" w:sz="0" w:space="0" w:color="auto"/>
        <w:right w:val="none" w:sz="0" w:space="0" w:color="auto"/>
      </w:divBdr>
    </w:div>
    <w:div w:id="1010792638">
      <w:bodyDiv w:val="1"/>
      <w:marLeft w:val="0"/>
      <w:marRight w:val="0"/>
      <w:marTop w:val="0"/>
      <w:marBottom w:val="0"/>
      <w:divBdr>
        <w:top w:val="none" w:sz="0" w:space="0" w:color="auto"/>
        <w:left w:val="none" w:sz="0" w:space="0" w:color="auto"/>
        <w:bottom w:val="none" w:sz="0" w:space="0" w:color="auto"/>
        <w:right w:val="none" w:sz="0" w:space="0" w:color="auto"/>
      </w:divBdr>
    </w:div>
    <w:div w:id="1749229756">
      <w:bodyDiv w:val="1"/>
      <w:marLeft w:val="0"/>
      <w:marRight w:val="0"/>
      <w:marTop w:val="0"/>
      <w:marBottom w:val="0"/>
      <w:divBdr>
        <w:top w:val="none" w:sz="0" w:space="0" w:color="auto"/>
        <w:left w:val="none" w:sz="0" w:space="0" w:color="auto"/>
        <w:bottom w:val="none" w:sz="0" w:space="0" w:color="auto"/>
        <w:right w:val="none" w:sz="0" w:space="0" w:color="auto"/>
      </w:divBdr>
    </w:div>
    <w:div w:id="185083128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753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oleObject" Target="file:///\\mel_1\groups\Monitor\04%20Working%20Groups\04%20Health\02%20Report\03%20Data\2018%20Report%20data\Mental%20health\Embargo%20Report%202018%20MH%20Charts%202018%20Report.xlsm"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2018%20SC%20Draft%20MH%20Charts%202018%20Report.xlsm"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2018%20SC%20Draft%20MH%20Charts%202018%20Report.xlsm"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MH%20Charts%202018%20Report.xlsm"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2018%20SC%20Draft%20MH%20Charts%202018%20Report.xlsm"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2018%20SC%20Draft%20MH%20Charts%202018%20Report.xlsm"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2018%20SC%20Draft%20MH%20Charts%202018%20Report.xlsm" TargetMode="External"/><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2018%20SC%20Draft%20MH%20Charts%202018%20Report.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MH%20Charts%202018%20Report.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8%20Report%20data\Mental%20health\Embargo%20Report%202018%20MH%20Charts%202018%20Report.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'Figure 13.1'!$C$3</c:f>
              <c:strCache>
                <c:ptCount val="1"/>
                <c:pt idx="0">
                  <c:v>State and Territory governments</c:v>
                </c:pt>
              </c:strCache>
            </c:strRef>
          </c:tx>
          <c:spPr>
            <a:solidFill>
              <a:srgbClr val="265A9A"/>
            </a:solidFill>
            <a:ln>
              <a:solidFill>
                <a:srgbClr val="265A9A"/>
              </a:solidFill>
            </a:ln>
          </c:spPr>
          <c:invertIfNegative val="0"/>
          <c:cat>
            <c:strRef>
              <c:f>'Figure 13.1'!$B$4:$B$13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'Figure 13.1'!$C$4:$C$13</c:f>
              <c:numCache>
                <c:formatCode>0.00</c:formatCode>
                <c:ptCount val="10"/>
                <c:pt idx="0">
                  <c:v>179.59692373417343</c:v>
                </c:pt>
                <c:pt idx="1">
                  <c:v>188.13810561249522</c:v>
                </c:pt>
                <c:pt idx="2">
                  <c:v>193.25760863309998</c:v>
                </c:pt>
                <c:pt idx="3">
                  <c:v>203.37049855071484</c:v>
                </c:pt>
                <c:pt idx="4">
                  <c:v>213.7343608504199</c:v>
                </c:pt>
                <c:pt idx="5">
                  <c:v>216.96546381748752</c:v>
                </c:pt>
                <c:pt idx="6">
                  <c:v>211.92323839552697</c:v>
                </c:pt>
                <c:pt idx="7">
                  <c:v>215.07486756335075</c:v>
                </c:pt>
                <c:pt idx="8">
                  <c:v>218.86965077813886</c:v>
                </c:pt>
                <c:pt idx="9">
                  <c:v>223.85974653260084</c:v>
                </c:pt>
              </c:numCache>
            </c:numRef>
          </c:val>
        </c:ser>
        <c:ser>
          <c:idx val="1"/>
          <c:order val="1"/>
          <c:tx>
            <c:strRef>
              <c:f>'Figure 13.1'!$D$3</c:f>
              <c:strCache>
                <c:ptCount val="1"/>
                <c:pt idx="0">
                  <c:v>Australian Government </c:v>
                </c:pt>
              </c:strCache>
            </c:strRef>
          </c:tx>
          <c:spPr>
            <a:solidFill>
              <a:srgbClr val="78A22F"/>
            </a:solidFill>
            <a:ln>
              <a:solidFill>
                <a:srgbClr val="78A22F"/>
              </a:solidFill>
            </a:ln>
          </c:spPr>
          <c:invertIfNegative val="0"/>
          <c:cat>
            <c:strRef>
              <c:f>'Figure 13.1'!$B$4:$B$13</c:f>
              <c:strCache>
                <c:ptCount val="10"/>
                <c:pt idx="0">
                  <c:v>2006-07</c:v>
                </c:pt>
                <c:pt idx="1">
                  <c:v>2007-08</c:v>
                </c:pt>
                <c:pt idx="2">
                  <c:v>2008-09</c:v>
                </c:pt>
                <c:pt idx="3">
                  <c:v>2009-10</c:v>
                </c:pt>
                <c:pt idx="4">
                  <c:v>2010-11</c:v>
                </c:pt>
                <c:pt idx="5">
                  <c:v>2011-12</c:v>
                </c:pt>
                <c:pt idx="6">
                  <c:v>2012-13</c:v>
                </c:pt>
                <c:pt idx="7">
                  <c:v>2013-14</c:v>
                </c:pt>
                <c:pt idx="8">
                  <c:v>2014-15</c:v>
                </c:pt>
                <c:pt idx="9">
                  <c:v>2015-16</c:v>
                </c:pt>
              </c:strCache>
            </c:strRef>
          </c:cat>
          <c:val>
            <c:numRef>
              <c:f>'Figure 13.1'!$D$4:$D$13</c:f>
              <c:numCache>
                <c:formatCode>0.00</c:formatCode>
                <c:ptCount val="10"/>
                <c:pt idx="0">
                  <c:v>95.567502644588984</c:v>
                </c:pt>
                <c:pt idx="1">
                  <c:v>112.46678121053637</c:v>
                </c:pt>
                <c:pt idx="2">
                  <c:v>119.62919576423099</c:v>
                </c:pt>
                <c:pt idx="3">
                  <c:v>117.63603316432754</c:v>
                </c:pt>
                <c:pt idx="4">
                  <c:v>124.59585539767096</c:v>
                </c:pt>
                <c:pt idx="5">
                  <c:v>127.19930782056467</c:v>
                </c:pt>
                <c:pt idx="6">
                  <c:v>130.16784986314678</c:v>
                </c:pt>
                <c:pt idx="7">
                  <c:v>132.45957671885802</c:v>
                </c:pt>
                <c:pt idx="8">
                  <c:v>131.2084308861659</c:v>
                </c:pt>
                <c:pt idx="9">
                  <c:v>130.92631378467158</c:v>
                </c:pt>
              </c:numCache>
            </c:numRef>
          </c:val>
        </c:ser>
        <c:dLbls>
          <c:showLegendKey val="0"/>
          <c:showVal val="0"/>
          <c:showCatName val="0"/>
          <c:showSerName val="0"/>
          <c:showPercent val="0"/>
          <c:showBubbleSize val="0"/>
        </c:dLbls>
        <c:gapWidth val="150"/>
        <c:overlap val="100"/>
        <c:axId val="254419000"/>
        <c:axId val="254420568"/>
      </c:barChart>
      <c:catAx>
        <c:axId val="254419000"/>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254420568"/>
        <c:crosses val="autoZero"/>
        <c:auto val="1"/>
        <c:lblAlgn val="ctr"/>
        <c:lblOffset val="100"/>
        <c:noMultiLvlLbl val="0"/>
      </c:catAx>
      <c:valAx>
        <c:axId val="254420568"/>
        <c:scaling>
          <c:orientation val="minMax"/>
          <c:max val="4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$/person </a:t>
                </a:r>
              </a:p>
            </c:rich>
          </c:tx>
          <c:layout>
            <c:manualLayout>
              <c:xMode val="edge"/>
              <c:yMode val="edge"/>
              <c:x val="1.9069069069069067E-2"/>
              <c:y val="0.31551000000000001"/>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254419000"/>
        <c:crosses val="autoZero"/>
        <c:crossBetween val="between"/>
        <c:majorUnit val="100"/>
        <c:minorUnit val="1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13.10'!$B$4</c:f>
              <c:strCache>
                <c:ptCount val="1"/>
                <c:pt idx="0">
                  <c:v>2011-12 to 2014-15</c:v>
                </c:pt>
              </c:strCache>
            </c:strRef>
          </c:tx>
          <c:spPr>
            <a:solidFill>
              <a:srgbClr val="78A22F"/>
            </a:solidFill>
            <a:ln>
              <a:solidFill>
                <a:srgbClr val="78A22F"/>
              </a:solidFill>
            </a:ln>
          </c:spPr>
          <c:invertIfNegative val="0"/>
          <c:cat>
            <c:strRef>
              <c:f>'Figure 13.10'!$C$3:$K$3</c:f>
              <c:strCache>
                <c:ptCount val="9"/>
                <c:pt idx="0">
                  <c:v>NSW</c:v>
                </c:pt>
                <c:pt idx="1">
                  <c:v>Vic</c:v>
                </c:pt>
                <c:pt idx="2">
                  <c:v>Qld</c:v>
                </c:pt>
                <c:pt idx="3">
                  <c:v>WA</c:v>
                </c:pt>
                <c:pt idx="4">
                  <c:v>SA</c:v>
                </c:pt>
                <c:pt idx="5">
                  <c:v>Tas</c:v>
                </c:pt>
                <c:pt idx="6">
                  <c:v>ACT</c:v>
                </c:pt>
                <c:pt idx="7">
                  <c:v>NT</c:v>
                </c:pt>
                <c:pt idx="8">
                  <c:v>Aust</c:v>
                </c:pt>
              </c:strCache>
            </c:strRef>
          </c:cat>
          <c:val>
            <c:numRef>
              <c:f>'Figure 13.10'!$C$4:$K$4</c:f>
              <c:numCache>
                <c:formatCode>0.0</c:formatCode>
                <c:ptCount val="9"/>
                <c:pt idx="0">
                  <c:v>52.351589010106906</c:v>
                </c:pt>
                <c:pt idx="1">
                  <c:v>0</c:v>
                </c:pt>
                <c:pt idx="2">
                  <c:v>64.779087377362217</c:v>
                </c:pt>
                <c:pt idx="3">
                  <c:v>51.179487179487182</c:v>
                </c:pt>
                <c:pt idx="4">
                  <c:v>51.177551361282781</c:v>
                </c:pt>
                <c:pt idx="5">
                  <c:v>32.084592145015108</c:v>
                </c:pt>
                <c:pt idx="6">
                  <c:v>77.718223583460954</c:v>
                </c:pt>
                <c:pt idx="7">
                  <c:v>40.076824583866838</c:v>
                </c:pt>
                <c:pt idx="8">
                  <c:v>55.055469620611085</c:v>
                </c:pt>
              </c:numCache>
            </c:numRef>
          </c:val>
        </c:ser>
        <c:ser>
          <c:idx val="1"/>
          <c:order val="1"/>
          <c:tx>
            <c:strRef>
              <c:f>'Figure 13.10'!$B$5</c:f>
              <c:strCache>
                <c:ptCount val="1"/>
                <c:pt idx="0">
                  <c:v>2012-13</c:v>
                </c:pt>
              </c:strCache>
            </c:strRef>
          </c:tx>
          <c:spPr>
            <a:solidFill>
              <a:srgbClr val="78A22F"/>
            </a:solidFill>
            <a:ln>
              <a:solidFill>
                <a:srgbClr val="78A22F"/>
              </a:solidFill>
            </a:ln>
          </c:spPr>
          <c:invertIfNegative val="0"/>
          <c:cat>
            <c:strRef>
              <c:f>'Figure 13.10'!$C$3:$K$3</c:f>
              <c:strCache>
                <c:ptCount val="9"/>
                <c:pt idx="0">
                  <c:v>NSW</c:v>
                </c:pt>
                <c:pt idx="1">
                  <c:v>Vic</c:v>
                </c:pt>
                <c:pt idx="2">
                  <c:v>Qld</c:v>
                </c:pt>
                <c:pt idx="3">
                  <c:v>WA</c:v>
                </c:pt>
                <c:pt idx="4">
                  <c:v>SA</c:v>
                </c:pt>
                <c:pt idx="5">
                  <c:v>Tas</c:v>
                </c:pt>
                <c:pt idx="6">
                  <c:v>ACT</c:v>
                </c:pt>
                <c:pt idx="7">
                  <c:v>NT</c:v>
                </c:pt>
                <c:pt idx="8">
                  <c:v>Aust</c:v>
                </c:pt>
              </c:strCache>
            </c:strRef>
          </c:cat>
          <c:val>
            <c:numRef>
              <c:f>'Figure 13.10'!$C$5:$K$5</c:f>
              <c:numCache>
                <c:formatCode>0.0</c:formatCode>
                <c:ptCount val="9"/>
                <c:pt idx="0">
                  <c:v>59.469201682157127</c:v>
                </c:pt>
                <c:pt idx="1">
                  <c:v>0</c:v>
                </c:pt>
                <c:pt idx="2">
                  <c:v>72.870067856245285</c:v>
                </c:pt>
                <c:pt idx="3">
                  <c:v>53.635841470419301</c:v>
                </c:pt>
                <c:pt idx="4">
                  <c:v>53.991905813097866</c:v>
                </c:pt>
                <c:pt idx="5">
                  <c:v>20.815836832633472</c:v>
                </c:pt>
                <c:pt idx="6">
                  <c:v>73.909716908951793</c:v>
                </c:pt>
                <c:pt idx="7">
                  <c:v>46.569178852643418</c:v>
                </c:pt>
                <c:pt idx="8">
                  <c:v>60.685986145265758</c:v>
                </c:pt>
              </c:numCache>
            </c:numRef>
          </c:val>
        </c:ser>
        <c:ser>
          <c:idx val="2"/>
          <c:order val="2"/>
          <c:tx>
            <c:strRef>
              <c:f>'Figure 13.10'!$B$6</c:f>
              <c:strCache>
                <c:ptCount val="1"/>
                <c:pt idx="0">
                  <c:v>2013-14</c:v>
                </c:pt>
              </c:strCache>
            </c:strRef>
          </c:tx>
          <c:spPr>
            <a:solidFill>
              <a:srgbClr val="78A22F"/>
            </a:solidFill>
            <a:ln>
              <a:solidFill>
                <a:srgbClr val="78A22F"/>
              </a:solidFill>
            </a:ln>
          </c:spPr>
          <c:invertIfNegative val="0"/>
          <c:cat>
            <c:strRef>
              <c:f>'Figure 13.10'!$C$3:$K$3</c:f>
              <c:strCache>
                <c:ptCount val="9"/>
                <c:pt idx="0">
                  <c:v>NSW</c:v>
                </c:pt>
                <c:pt idx="1">
                  <c:v>Vic</c:v>
                </c:pt>
                <c:pt idx="2">
                  <c:v>Qld</c:v>
                </c:pt>
                <c:pt idx="3">
                  <c:v>WA</c:v>
                </c:pt>
                <c:pt idx="4">
                  <c:v>SA</c:v>
                </c:pt>
                <c:pt idx="5">
                  <c:v>Tas</c:v>
                </c:pt>
                <c:pt idx="6">
                  <c:v>ACT</c:v>
                </c:pt>
                <c:pt idx="7">
                  <c:v>NT</c:v>
                </c:pt>
                <c:pt idx="8">
                  <c:v>Aust</c:v>
                </c:pt>
              </c:strCache>
            </c:strRef>
          </c:cat>
          <c:val>
            <c:numRef>
              <c:f>'Figure 13.10'!$C$6:$K$6</c:f>
              <c:numCache>
                <c:formatCode>0.0</c:formatCode>
                <c:ptCount val="9"/>
                <c:pt idx="0">
                  <c:v>63.708904109589035</c:v>
                </c:pt>
                <c:pt idx="1">
                  <c:v>72.246623476446686</c:v>
                </c:pt>
                <c:pt idx="2">
                  <c:v>73.660142674227174</c:v>
                </c:pt>
                <c:pt idx="3">
                  <c:v>57.031933508311461</c:v>
                </c:pt>
                <c:pt idx="4">
                  <c:v>57.771440211855776</c:v>
                </c:pt>
                <c:pt idx="5">
                  <c:v>59.460916442048514</c:v>
                </c:pt>
                <c:pt idx="6">
                  <c:v>72.53634894991923</c:v>
                </c:pt>
                <c:pt idx="7">
                  <c:v>47.899159663865547</c:v>
                </c:pt>
                <c:pt idx="8">
                  <c:v>66.352105282433797</c:v>
                </c:pt>
              </c:numCache>
            </c:numRef>
          </c:val>
        </c:ser>
        <c:ser>
          <c:idx val="3"/>
          <c:order val="3"/>
          <c:tx>
            <c:strRef>
              <c:f>'Figure 13.10'!$B$7</c:f>
              <c:strCache>
                <c:ptCount val="1"/>
                <c:pt idx="0">
                  <c:v>2014-15</c:v>
                </c:pt>
              </c:strCache>
            </c:strRef>
          </c:tx>
          <c:spPr>
            <a:solidFill>
              <a:srgbClr val="78A22F"/>
            </a:solidFill>
            <a:ln>
              <a:solidFill>
                <a:srgbClr val="78A22F"/>
              </a:solidFill>
            </a:ln>
          </c:spPr>
          <c:invertIfNegative val="0"/>
          <c:cat>
            <c:strRef>
              <c:f>'Figure 13.10'!$C$3:$K$3</c:f>
              <c:strCache>
                <c:ptCount val="9"/>
                <c:pt idx="0">
                  <c:v>NSW</c:v>
                </c:pt>
                <c:pt idx="1">
                  <c:v>Vic</c:v>
                </c:pt>
                <c:pt idx="2">
                  <c:v>Qld</c:v>
                </c:pt>
                <c:pt idx="3">
                  <c:v>WA</c:v>
                </c:pt>
                <c:pt idx="4">
                  <c:v>SA</c:v>
                </c:pt>
                <c:pt idx="5">
                  <c:v>Tas</c:v>
                </c:pt>
                <c:pt idx="6">
                  <c:v>ACT</c:v>
                </c:pt>
                <c:pt idx="7">
                  <c:v>NT</c:v>
                </c:pt>
                <c:pt idx="8">
                  <c:v>Aust</c:v>
                </c:pt>
              </c:strCache>
            </c:strRef>
          </c:cat>
          <c:val>
            <c:numRef>
              <c:f>'Figure 13.10'!$C$7:$K$7</c:f>
              <c:numCache>
                <c:formatCode>0.0</c:formatCode>
                <c:ptCount val="9"/>
                <c:pt idx="0">
                  <c:v>63.329140738779287</c:v>
                </c:pt>
                <c:pt idx="1">
                  <c:v>73.07507347047823</c:v>
                </c:pt>
                <c:pt idx="2">
                  <c:v>74.776680771039011</c:v>
                </c:pt>
                <c:pt idx="3">
                  <c:v>58.039570151652107</c:v>
                </c:pt>
                <c:pt idx="4">
                  <c:v>59.922702066879516</c:v>
                </c:pt>
                <c:pt idx="5">
                  <c:v>67.910447761194021</c:v>
                </c:pt>
                <c:pt idx="6">
                  <c:v>70.316509837467919</c:v>
                </c:pt>
                <c:pt idx="7">
                  <c:v>53.23974082073434</c:v>
                </c:pt>
                <c:pt idx="8">
                  <c:v>66.960686071170556</c:v>
                </c:pt>
              </c:numCache>
            </c:numRef>
          </c:val>
        </c:ser>
        <c:ser>
          <c:idx val="4"/>
          <c:order val="4"/>
          <c:tx>
            <c:strRef>
              <c:f>'Figure 13.10'!$B$8</c:f>
              <c:strCache>
                <c:ptCount val="1"/>
                <c:pt idx="0">
                  <c:v>2015-16</c:v>
                </c:pt>
              </c:strCache>
            </c:strRef>
          </c:tx>
          <c:spPr>
            <a:solidFill>
              <a:srgbClr val="265A9A"/>
            </a:solidFill>
            <a:ln>
              <a:solidFill>
                <a:srgbClr val="265A9A"/>
              </a:solidFill>
            </a:ln>
          </c:spPr>
          <c:invertIfNegative val="0"/>
          <c:cat>
            <c:strRef>
              <c:f>'Figure 13.10'!$C$3:$K$3</c:f>
              <c:strCache>
                <c:ptCount val="9"/>
                <c:pt idx="0">
                  <c:v>NSW</c:v>
                </c:pt>
                <c:pt idx="1">
                  <c:v>Vic</c:v>
                </c:pt>
                <c:pt idx="2">
                  <c:v>Qld</c:v>
                </c:pt>
                <c:pt idx="3">
                  <c:v>WA</c:v>
                </c:pt>
                <c:pt idx="4">
                  <c:v>SA</c:v>
                </c:pt>
                <c:pt idx="5">
                  <c:v>Tas</c:v>
                </c:pt>
                <c:pt idx="6">
                  <c:v>ACT</c:v>
                </c:pt>
                <c:pt idx="7">
                  <c:v>NT</c:v>
                </c:pt>
                <c:pt idx="8">
                  <c:v>Aust</c:v>
                </c:pt>
              </c:strCache>
            </c:strRef>
          </c:cat>
          <c:val>
            <c:numRef>
              <c:f>'Figure 13.10'!$C$8:$K$8</c:f>
              <c:numCache>
                <c:formatCode>0.0</c:formatCode>
                <c:ptCount val="9"/>
                <c:pt idx="0">
                  <c:v>65.955202999999997</c:v>
                </c:pt>
                <c:pt idx="1">
                  <c:v>70.742101000000005</c:v>
                </c:pt>
                <c:pt idx="2">
                  <c:v>75.417812999999995</c:v>
                </c:pt>
                <c:pt idx="3">
                  <c:v>61.905991999999998</c:v>
                </c:pt>
                <c:pt idx="4">
                  <c:v>59.825997999999998</c:v>
                </c:pt>
                <c:pt idx="5">
                  <c:v>79.153439000000006</c:v>
                </c:pt>
                <c:pt idx="6">
                  <c:v>73.728106999999994</c:v>
                </c:pt>
                <c:pt idx="7">
                  <c:v>65.142857000000006</c:v>
                </c:pt>
                <c:pt idx="8">
                  <c:v>68.244766999999996</c:v>
                </c:pt>
              </c:numCache>
            </c:numRef>
          </c:val>
        </c:ser>
        <c:dLbls>
          <c:showLegendKey val="0"/>
          <c:showVal val="0"/>
          <c:showCatName val="0"/>
          <c:showSerName val="0"/>
          <c:showPercent val="0"/>
          <c:showBubbleSize val="0"/>
        </c:dLbls>
        <c:gapWidth val="150"/>
        <c:axId val="332572400"/>
        <c:axId val="332565344"/>
      </c:barChart>
      <c:catAx>
        <c:axId val="33257240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2565344"/>
        <c:crosses val="autoZero"/>
        <c:auto val="1"/>
        <c:lblAlgn val="ctr"/>
        <c:lblOffset val="100"/>
        <c:noMultiLvlLbl val="0"/>
      </c:catAx>
      <c:valAx>
        <c:axId val="332565344"/>
        <c:scaling>
          <c:orientation val="minMax"/>
          <c:max val="100"/>
        </c:scaling>
        <c:delete val="0"/>
        <c:axPos val="l"/>
        <c:majorGridlines>
          <c:spPr>
            <a:ln>
              <a:noFill/>
            </a:ln>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2572400"/>
        <c:crosses val="autoZero"/>
        <c:crossBetween val="between"/>
        <c:majorUnit val="20"/>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'Figure 13.11'!$B$4</c:f>
              <c:strCache>
                <c:ptCount val="1"/>
                <c:pt idx="0">
                  <c:v>2011-12 to 2014-15</c:v>
                </c:pt>
              </c:strCache>
            </c:strRef>
          </c:tx>
          <c:spPr>
            <a:solidFill>
              <a:srgbClr val="78A22F"/>
            </a:solidFill>
            <a:ln>
              <a:solidFill>
                <a:srgbClr val="78A22F"/>
              </a:solidFill>
            </a:ln>
          </c:spPr>
          <c:invertIfNegative val="0"/>
          <c:cat>
            <c:strRef>
              <c:f>'Figure 13.11'!$C$3:$K$3</c:f>
              <c:strCache>
                <c:ptCount val="9"/>
                <c:pt idx="0">
                  <c:v>NSW</c:v>
                </c:pt>
                <c:pt idx="1">
                  <c:v>Vic</c:v>
                </c:pt>
                <c:pt idx="2">
                  <c:v>Qld</c:v>
                </c:pt>
                <c:pt idx="3">
                  <c:v>WA</c:v>
                </c:pt>
                <c:pt idx="4">
                  <c:v>SA</c:v>
                </c:pt>
                <c:pt idx="5">
                  <c:v>Tas</c:v>
                </c:pt>
                <c:pt idx="6">
                  <c:v>ACT</c:v>
                </c:pt>
                <c:pt idx="7">
                  <c:v>NT</c:v>
                </c:pt>
                <c:pt idx="8">
                  <c:v>Aust</c:v>
                </c:pt>
              </c:strCache>
            </c:strRef>
          </c:cat>
          <c:val>
            <c:numRef>
              <c:f>'Figure 13.11'!$C$4:$K$4</c:f>
              <c:numCache>
                <c:formatCode>0.0</c:formatCode>
                <c:ptCount val="9"/>
                <c:pt idx="0">
                  <c:v>15.650147471142992</c:v>
                </c:pt>
                <c:pt idx="1">
                  <c:v>14.260189838079285</c:v>
                </c:pt>
                <c:pt idx="2">
                  <c:v>15.100052659294366</c:v>
                </c:pt>
                <c:pt idx="3">
                  <c:v>13.969491914210344</c:v>
                </c:pt>
                <c:pt idx="4">
                  <c:v>9.2032737598129284</c:v>
                </c:pt>
                <c:pt idx="5">
                  <c:v>11.540785498489425</c:v>
                </c:pt>
                <c:pt idx="6">
                  <c:v>12.633996937212864</c:v>
                </c:pt>
                <c:pt idx="7">
                  <c:v>11.267605633802818</c:v>
                </c:pt>
                <c:pt idx="8">
                  <c:v>14.376115322794982</c:v>
                </c:pt>
              </c:numCache>
            </c:numRef>
          </c:val>
        </c:ser>
        <c:ser>
          <c:idx val="1"/>
          <c:order val="1"/>
          <c:tx>
            <c:strRef>
              <c:f>'Figure 13.11'!$B$5</c:f>
              <c:strCache>
                <c:ptCount val="1"/>
                <c:pt idx="0">
                  <c:v>2012-13</c:v>
                </c:pt>
              </c:strCache>
            </c:strRef>
          </c:tx>
          <c:spPr>
            <a:solidFill>
              <a:srgbClr val="78A22F"/>
            </a:solidFill>
            <a:ln>
              <a:solidFill>
                <a:srgbClr val="78A22F"/>
              </a:solidFill>
            </a:ln>
          </c:spPr>
          <c:invertIfNegative val="0"/>
          <c:cat>
            <c:strRef>
              <c:f>'Figure 13.11'!$C$3:$K$3</c:f>
              <c:strCache>
                <c:ptCount val="9"/>
                <c:pt idx="0">
                  <c:v>NSW</c:v>
                </c:pt>
                <c:pt idx="1">
                  <c:v>Vic</c:v>
                </c:pt>
                <c:pt idx="2">
                  <c:v>Qld</c:v>
                </c:pt>
                <c:pt idx="3">
                  <c:v>WA</c:v>
                </c:pt>
                <c:pt idx="4">
                  <c:v>SA</c:v>
                </c:pt>
                <c:pt idx="5">
                  <c:v>Tas</c:v>
                </c:pt>
                <c:pt idx="6">
                  <c:v>ACT</c:v>
                </c:pt>
                <c:pt idx="7">
                  <c:v>NT</c:v>
                </c:pt>
                <c:pt idx="8">
                  <c:v>Aust</c:v>
                </c:pt>
              </c:strCache>
            </c:strRef>
          </c:cat>
          <c:val>
            <c:numRef>
              <c:f>'Figure 13.11'!$C$5:$K$5</c:f>
              <c:numCache>
                <c:formatCode>0.0</c:formatCode>
                <c:ptCount val="9"/>
                <c:pt idx="0">
                  <c:v>14.706822459779096</c:v>
                </c:pt>
                <c:pt idx="1">
                  <c:v>14.652072758037225</c:v>
                </c:pt>
                <c:pt idx="2">
                  <c:v>14.212113596381002</c:v>
                </c:pt>
                <c:pt idx="3">
                  <c:v>13.664660717991284</c:v>
                </c:pt>
                <c:pt idx="4">
                  <c:v>7.7248482619091412</c:v>
                </c:pt>
                <c:pt idx="5">
                  <c:v>12.717456508698261</c:v>
                </c:pt>
                <c:pt idx="6">
                  <c:v>14.384085692425403</c:v>
                </c:pt>
                <c:pt idx="7">
                  <c:v>10.949720670391061</c:v>
                </c:pt>
                <c:pt idx="8">
                  <c:v>13.925472055072074</c:v>
                </c:pt>
              </c:numCache>
            </c:numRef>
          </c:val>
        </c:ser>
        <c:ser>
          <c:idx val="2"/>
          <c:order val="2"/>
          <c:tx>
            <c:strRef>
              <c:f>'Figure 13.11'!$B$6</c:f>
              <c:strCache>
                <c:ptCount val="1"/>
                <c:pt idx="0">
                  <c:v>2013-14</c:v>
                </c:pt>
              </c:strCache>
            </c:strRef>
          </c:tx>
          <c:spPr>
            <a:solidFill>
              <a:srgbClr val="78A22F"/>
            </a:solidFill>
            <a:ln>
              <a:solidFill>
                <a:srgbClr val="78A22F"/>
              </a:solidFill>
            </a:ln>
          </c:spPr>
          <c:invertIfNegative val="0"/>
          <c:cat>
            <c:strRef>
              <c:f>'Figure 13.11'!$C$3:$K$3</c:f>
              <c:strCache>
                <c:ptCount val="9"/>
                <c:pt idx="0">
                  <c:v>NSW</c:v>
                </c:pt>
                <c:pt idx="1">
                  <c:v>Vic</c:v>
                </c:pt>
                <c:pt idx="2">
                  <c:v>Qld</c:v>
                </c:pt>
                <c:pt idx="3">
                  <c:v>WA</c:v>
                </c:pt>
                <c:pt idx="4">
                  <c:v>SA</c:v>
                </c:pt>
                <c:pt idx="5">
                  <c:v>Tas</c:v>
                </c:pt>
                <c:pt idx="6">
                  <c:v>ACT</c:v>
                </c:pt>
                <c:pt idx="7">
                  <c:v>NT</c:v>
                </c:pt>
                <c:pt idx="8">
                  <c:v>Aust</c:v>
                </c:pt>
              </c:strCache>
            </c:strRef>
          </c:cat>
          <c:val>
            <c:numRef>
              <c:f>'Figure 13.11'!$C$6:$K$6</c:f>
              <c:numCache>
                <c:formatCode>0.0</c:formatCode>
                <c:ptCount val="9"/>
                <c:pt idx="0">
                  <c:v>14.27886590877962</c:v>
                </c:pt>
                <c:pt idx="1">
                  <c:v>14.739899382812094</c:v>
                </c:pt>
                <c:pt idx="2">
                  <c:v>13.316261203585148</c:v>
                </c:pt>
                <c:pt idx="3">
                  <c:v>14.304110946012877</c:v>
                </c:pt>
                <c:pt idx="4">
                  <c:v>6.9398157224073707</c:v>
                </c:pt>
                <c:pt idx="5">
                  <c:v>13.523706896551724</c:v>
                </c:pt>
                <c:pt idx="6">
                  <c:v>10.743134087237479</c:v>
                </c:pt>
                <c:pt idx="7">
                  <c:v>10.880829015544041</c:v>
                </c:pt>
                <c:pt idx="8">
                  <c:v>13.647330076894736</c:v>
                </c:pt>
              </c:numCache>
            </c:numRef>
          </c:val>
        </c:ser>
        <c:ser>
          <c:idx val="3"/>
          <c:order val="3"/>
          <c:tx>
            <c:strRef>
              <c:f>'Figure 13.11'!$B$7</c:f>
              <c:strCache>
                <c:ptCount val="1"/>
                <c:pt idx="0">
                  <c:v>2014-15</c:v>
                </c:pt>
              </c:strCache>
            </c:strRef>
          </c:tx>
          <c:spPr>
            <a:solidFill>
              <a:srgbClr val="78A22F"/>
            </a:solidFill>
            <a:ln>
              <a:solidFill>
                <a:srgbClr val="78A22F"/>
              </a:solidFill>
            </a:ln>
          </c:spPr>
          <c:invertIfNegative val="0"/>
          <c:cat>
            <c:strRef>
              <c:f>'Figure 13.11'!$C$3:$K$3</c:f>
              <c:strCache>
                <c:ptCount val="9"/>
                <c:pt idx="0">
                  <c:v>NSW</c:v>
                </c:pt>
                <c:pt idx="1">
                  <c:v>Vic</c:v>
                </c:pt>
                <c:pt idx="2">
                  <c:v>Qld</c:v>
                </c:pt>
                <c:pt idx="3">
                  <c:v>WA</c:v>
                </c:pt>
                <c:pt idx="4">
                  <c:v>SA</c:v>
                </c:pt>
                <c:pt idx="5">
                  <c:v>Tas</c:v>
                </c:pt>
                <c:pt idx="6">
                  <c:v>ACT</c:v>
                </c:pt>
                <c:pt idx="7">
                  <c:v>NT</c:v>
                </c:pt>
                <c:pt idx="8">
                  <c:v>Aust</c:v>
                </c:pt>
              </c:strCache>
            </c:strRef>
          </c:cat>
          <c:val>
            <c:numRef>
              <c:f>'Figure 13.11'!$C$7:$K$7</c:f>
              <c:numCache>
                <c:formatCode>0.0</c:formatCode>
                <c:ptCount val="9"/>
                <c:pt idx="0">
                  <c:v>15.031425736023818</c:v>
                </c:pt>
                <c:pt idx="1">
                  <c:v>14.708705977464504</c:v>
                </c:pt>
                <c:pt idx="2">
                  <c:v>13.546074283027739</c:v>
                </c:pt>
                <c:pt idx="3">
                  <c:v>16.291620929381629</c:v>
                </c:pt>
                <c:pt idx="4">
                  <c:v>9.1563113145846966</c:v>
                </c:pt>
                <c:pt idx="5">
                  <c:v>16.417910447761194</c:v>
                </c:pt>
                <c:pt idx="6">
                  <c:v>12.318220701454234</c:v>
                </c:pt>
                <c:pt idx="7">
                  <c:v>10.764262648008611</c:v>
                </c:pt>
                <c:pt idx="8">
                  <c:v>14.368775480075858</c:v>
                </c:pt>
              </c:numCache>
            </c:numRef>
          </c:val>
        </c:ser>
        <c:ser>
          <c:idx val="4"/>
          <c:order val="4"/>
          <c:tx>
            <c:strRef>
              <c:f>'Figure 13.11'!$B$8</c:f>
              <c:strCache>
                <c:ptCount val="1"/>
                <c:pt idx="0">
                  <c:v>2015-16</c:v>
                </c:pt>
              </c:strCache>
            </c:strRef>
          </c:tx>
          <c:spPr>
            <a:solidFill>
              <a:srgbClr val="265A9A"/>
            </a:solidFill>
            <a:ln>
              <a:solidFill>
                <a:srgbClr val="265A9A"/>
              </a:solidFill>
            </a:ln>
          </c:spPr>
          <c:invertIfNegative val="0"/>
          <c:cat>
            <c:strRef>
              <c:f>'Figure 13.11'!$C$3:$K$3</c:f>
              <c:strCache>
                <c:ptCount val="9"/>
                <c:pt idx="0">
                  <c:v>NSW</c:v>
                </c:pt>
                <c:pt idx="1">
                  <c:v>Vic</c:v>
                </c:pt>
                <c:pt idx="2">
                  <c:v>Qld</c:v>
                </c:pt>
                <c:pt idx="3">
                  <c:v>WA</c:v>
                </c:pt>
                <c:pt idx="4">
                  <c:v>SA</c:v>
                </c:pt>
                <c:pt idx="5">
                  <c:v>Tas</c:v>
                </c:pt>
                <c:pt idx="6">
                  <c:v>ACT</c:v>
                </c:pt>
                <c:pt idx="7">
                  <c:v>NT</c:v>
                </c:pt>
                <c:pt idx="8">
                  <c:v>Aust</c:v>
                </c:pt>
              </c:strCache>
            </c:strRef>
          </c:cat>
          <c:val>
            <c:numRef>
              <c:f>'Figure 13.11'!$C$8:$K$8</c:f>
              <c:numCache>
                <c:formatCode>0.0</c:formatCode>
                <c:ptCount val="9"/>
                <c:pt idx="0">
                  <c:v>14.794485575695685</c:v>
                </c:pt>
                <c:pt idx="1">
                  <c:v>15.171167832491777</c:v>
                </c:pt>
                <c:pt idx="2">
                  <c:v>13.602707848529723</c:v>
                </c:pt>
                <c:pt idx="3">
                  <c:v>17.771316172068762</c:v>
                </c:pt>
                <c:pt idx="4">
                  <c:v>10.138871820081111</c:v>
                </c:pt>
                <c:pt idx="5">
                  <c:v>14.459102902374671</c:v>
                </c:pt>
                <c:pt idx="6">
                  <c:v>13.594662218515429</c:v>
                </c:pt>
                <c:pt idx="7">
                  <c:v>11.303344867358708</c:v>
                </c:pt>
                <c:pt idx="8">
                  <c:v>14.558365229758843</c:v>
                </c:pt>
              </c:numCache>
            </c:numRef>
          </c:val>
        </c:ser>
        <c:dLbls>
          <c:showLegendKey val="0"/>
          <c:showVal val="0"/>
          <c:showCatName val="0"/>
          <c:showSerName val="0"/>
          <c:showPercent val="0"/>
          <c:showBubbleSize val="0"/>
        </c:dLbls>
        <c:gapWidth val="150"/>
        <c:axId val="332568872"/>
        <c:axId val="332566128"/>
      </c:barChart>
      <c:catAx>
        <c:axId val="33256887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2566128"/>
        <c:crosses val="autoZero"/>
        <c:auto val="1"/>
        <c:lblAlgn val="ctr"/>
        <c:lblOffset val="100"/>
        <c:noMultiLvlLbl val="0"/>
      </c:catAx>
      <c:valAx>
        <c:axId val="332566128"/>
        <c:scaling>
          <c:orientation val="minMax"/>
          <c:max val="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2568872"/>
        <c:crosses val="autoZero"/>
        <c:crossBetween val="between"/>
        <c:majorUnit val="4"/>
      </c:valAx>
      <c:spPr>
        <a:solidFill>
          <a:sysClr val="window" lastClr="FFFFFF"/>
        </a:solidFill>
        <a:ln>
          <a:noFill/>
          <a:round/>
        </a:ln>
        <a:effectLst/>
        <a:extLst>
          <a:ext uri="{91240B29-F687-4F45-9708-019B960494DF}">
            <a14:hiddenLine xmlns:a14="http://schemas.microsoft.com/office/drawing/2010/main">
              <a:no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noFill/>
              <a:round/>
            </a14:hiddenLine>
          </a:ext>
        </a:extLst>
      </c:spPr>
      <c:txPr>
        <a:bodyPr/>
        <a:lstStyle/>
        <a:p>
          <a:pPr>
            <a:defRPr sz="900" b="0" i="0">
              <a:latin typeface="Arial"/>
            </a:defRPr>
          </a:pPr>
          <a:endParaRPr lang="en-US"/>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59666666666666"/>
          <c:y val="5.174074074074074E-2"/>
          <c:w val="0.864532962962963"/>
          <c:h val="0.71955641025641026"/>
        </c:manualLayout>
      </c:layout>
      <c:barChart>
        <c:barDir val="col"/>
        <c:grouping val="clustered"/>
        <c:varyColors val="0"/>
        <c:ser>
          <c:idx val="0"/>
          <c:order val="0"/>
          <c:tx>
            <c:strRef>
              <c:f>'Figure 13.15a'!$B$4</c:f>
              <c:strCache>
                <c:ptCount val="1"/>
                <c:pt idx="0">
                  <c:v>2011-12 to 2014-15</c:v>
                </c:pt>
              </c:strCache>
            </c:strRef>
          </c:tx>
          <c:spPr>
            <a:solidFill>
              <a:srgbClr val="78A22F"/>
            </a:solidFill>
            <a:ln>
              <a:solidFill>
                <a:srgbClr val="78A22F"/>
              </a:solidFill>
            </a:ln>
          </c:spPr>
          <c:invertIfNegative val="0"/>
          <c:cat>
            <c:strRef>
              <c:f>'Figure 13.15a'!$C$3:$K$3</c:f>
              <c:strCache>
                <c:ptCount val="9"/>
                <c:pt idx="0">
                  <c:v>NSW</c:v>
                </c:pt>
                <c:pt idx="1">
                  <c:v>Vic</c:v>
                </c:pt>
                <c:pt idx="2">
                  <c:v>Qld</c:v>
                </c:pt>
                <c:pt idx="3">
                  <c:v>WA</c:v>
                </c:pt>
                <c:pt idx="4">
                  <c:v>SA</c:v>
                </c:pt>
                <c:pt idx="5">
                  <c:v>Tas</c:v>
                </c:pt>
                <c:pt idx="6">
                  <c:v>ACT</c:v>
                </c:pt>
                <c:pt idx="7">
                  <c:v>NT</c:v>
                </c:pt>
                <c:pt idx="8">
                  <c:v>Aust</c:v>
                </c:pt>
              </c:strCache>
            </c:strRef>
          </c:cat>
          <c:val>
            <c:numRef>
              <c:f>'Figure 13.15a'!$C$4:$K$4</c:f>
              <c:numCache>
                <c:formatCode>###\ ###\ ##0.00;\-###\ ###\ ##0.00;"–"</c:formatCode>
                <c:ptCount val="9"/>
                <c:pt idx="0">
                  <c:v>270.69974482360522</c:v>
                </c:pt>
                <c:pt idx="1">
                  <c:v>0</c:v>
                </c:pt>
                <c:pt idx="2">
                  <c:v>468.53796432493965</c:v>
                </c:pt>
                <c:pt idx="3">
                  <c:v>486.74655462781465</c:v>
                </c:pt>
                <c:pt idx="4">
                  <c:v>360.47751238442697</c:v>
                </c:pt>
                <c:pt idx="5">
                  <c:v>518.55270875737551</c:v>
                </c:pt>
                <c:pt idx="6">
                  <c:v>273.00619515226708</c:v>
                </c:pt>
                <c:pt idx="7">
                  <c:v>598.21470270760176</c:v>
                </c:pt>
                <c:pt idx="8">
                  <c:v>360.60376723026917</c:v>
                </c:pt>
              </c:numCache>
            </c:numRef>
          </c:val>
        </c:ser>
        <c:ser>
          <c:idx val="1"/>
          <c:order val="1"/>
          <c:tx>
            <c:strRef>
              <c:f>'Figure 13.15a'!$B$5</c:f>
              <c:strCache>
                <c:ptCount val="1"/>
                <c:pt idx="0">
                  <c:v>2012-13</c:v>
                </c:pt>
              </c:strCache>
            </c:strRef>
          </c:tx>
          <c:spPr>
            <a:solidFill>
              <a:srgbClr val="78A22F"/>
            </a:solidFill>
            <a:ln>
              <a:solidFill>
                <a:srgbClr val="78A22F"/>
              </a:solidFill>
            </a:ln>
          </c:spPr>
          <c:invertIfNegative val="0"/>
          <c:cat>
            <c:strRef>
              <c:f>'Figure 13.15a'!$C$3:$K$3</c:f>
              <c:strCache>
                <c:ptCount val="9"/>
                <c:pt idx="0">
                  <c:v>NSW</c:v>
                </c:pt>
                <c:pt idx="1">
                  <c:v>Vic</c:v>
                </c:pt>
                <c:pt idx="2">
                  <c:v>Qld</c:v>
                </c:pt>
                <c:pt idx="3">
                  <c:v>WA</c:v>
                </c:pt>
                <c:pt idx="4">
                  <c:v>SA</c:v>
                </c:pt>
                <c:pt idx="5">
                  <c:v>Tas</c:v>
                </c:pt>
                <c:pt idx="6">
                  <c:v>ACT</c:v>
                </c:pt>
                <c:pt idx="7">
                  <c:v>NT</c:v>
                </c:pt>
                <c:pt idx="8">
                  <c:v>Aust</c:v>
                </c:pt>
              </c:strCache>
            </c:strRef>
          </c:cat>
          <c:val>
            <c:numRef>
              <c:f>'Figure 13.15a'!$C$5:$K$5</c:f>
              <c:numCache>
                <c:formatCode>###\ ###\ ##0.00;\-###\ ###\ ##0.00;"–"</c:formatCode>
                <c:ptCount val="9"/>
                <c:pt idx="0">
                  <c:v>242.27486737034118</c:v>
                </c:pt>
                <c:pt idx="1">
                  <c:v>0</c:v>
                </c:pt>
                <c:pt idx="2">
                  <c:v>389.25404268838338</c:v>
                </c:pt>
                <c:pt idx="3">
                  <c:v>472.73179795434447</c:v>
                </c:pt>
                <c:pt idx="4">
                  <c:v>360.07752412587934</c:v>
                </c:pt>
                <c:pt idx="5">
                  <c:v>719.11155758702103</c:v>
                </c:pt>
                <c:pt idx="6">
                  <c:v>248.04506963688564</c:v>
                </c:pt>
                <c:pt idx="7">
                  <c:v>471.31971983476728</c:v>
                </c:pt>
                <c:pt idx="8">
                  <c:v>327.17334529238343</c:v>
                </c:pt>
              </c:numCache>
            </c:numRef>
          </c:val>
        </c:ser>
        <c:ser>
          <c:idx val="2"/>
          <c:order val="2"/>
          <c:tx>
            <c:strRef>
              <c:f>'Figure 13.15a'!$B$6</c:f>
              <c:strCache>
                <c:ptCount val="1"/>
                <c:pt idx="0">
                  <c:v>2013-14</c:v>
                </c:pt>
              </c:strCache>
            </c:strRef>
          </c:tx>
          <c:spPr>
            <a:solidFill>
              <a:srgbClr val="78A22F"/>
            </a:solidFill>
            <a:ln>
              <a:solidFill>
                <a:srgbClr val="78A22F"/>
              </a:solidFill>
            </a:ln>
          </c:spPr>
          <c:invertIfNegative val="0"/>
          <c:cat>
            <c:strRef>
              <c:f>'Figure 13.15a'!$C$3:$K$3</c:f>
              <c:strCache>
                <c:ptCount val="9"/>
                <c:pt idx="0">
                  <c:v>NSW</c:v>
                </c:pt>
                <c:pt idx="1">
                  <c:v>Vic</c:v>
                </c:pt>
                <c:pt idx="2">
                  <c:v>Qld</c:v>
                </c:pt>
                <c:pt idx="3">
                  <c:v>WA</c:v>
                </c:pt>
                <c:pt idx="4">
                  <c:v>SA</c:v>
                </c:pt>
                <c:pt idx="5">
                  <c:v>Tas</c:v>
                </c:pt>
                <c:pt idx="6">
                  <c:v>ACT</c:v>
                </c:pt>
                <c:pt idx="7">
                  <c:v>NT</c:v>
                </c:pt>
                <c:pt idx="8">
                  <c:v>Aust</c:v>
                </c:pt>
              </c:strCache>
            </c:strRef>
          </c:cat>
          <c:val>
            <c:numRef>
              <c:f>'Figure 13.15a'!$C$6:$K$6</c:f>
              <c:numCache>
                <c:formatCode>###\ ###\ ##0.00;\-###\ ###\ ##0.00;"–"</c:formatCode>
                <c:ptCount val="9"/>
                <c:pt idx="0">
                  <c:v>227.25636777508194</c:v>
                </c:pt>
                <c:pt idx="1">
                  <c:v>382.03617372508273</c:v>
                </c:pt>
                <c:pt idx="2">
                  <c:v>358.73813837975723</c:v>
                </c:pt>
                <c:pt idx="3">
                  <c:v>447.87474589339672</c:v>
                </c:pt>
                <c:pt idx="4">
                  <c:v>362.74873470292829</c:v>
                </c:pt>
                <c:pt idx="5">
                  <c:v>334.78498173869178</c:v>
                </c:pt>
                <c:pt idx="6">
                  <c:v>225.97210167398501</c:v>
                </c:pt>
                <c:pt idx="7">
                  <c:v>449.65082091342742</c:v>
                </c:pt>
                <c:pt idx="8">
                  <c:v>317.58089358167393</c:v>
                </c:pt>
              </c:numCache>
            </c:numRef>
          </c:val>
        </c:ser>
        <c:ser>
          <c:idx val="3"/>
          <c:order val="3"/>
          <c:tx>
            <c:strRef>
              <c:f>'Figure 13.15a'!$B$7</c:f>
              <c:strCache>
                <c:ptCount val="1"/>
                <c:pt idx="0">
                  <c:v>2014-15</c:v>
                </c:pt>
              </c:strCache>
            </c:strRef>
          </c:tx>
          <c:spPr>
            <a:solidFill>
              <a:srgbClr val="78A22F"/>
            </a:solidFill>
            <a:ln>
              <a:solidFill>
                <a:srgbClr val="78A22F"/>
              </a:solidFill>
            </a:ln>
          </c:spPr>
          <c:invertIfNegative val="0"/>
          <c:cat>
            <c:strRef>
              <c:f>'Figure 13.15a'!$C$3:$K$3</c:f>
              <c:strCache>
                <c:ptCount val="9"/>
                <c:pt idx="0">
                  <c:v>NSW</c:v>
                </c:pt>
                <c:pt idx="1">
                  <c:v>Vic</c:v>
                </c:pt>
                <c:pt idx="2">
                  <c:v>Qld</c:v>
                </c:pt>
                <c:pt idx="3">
                  <c:v>WA</c:v>
                </c:pt>
                <c:pt idx="4">
                  <c:v>SA</c:v>
                </c:pt>
                <c:pt idx="5">
                  <c:v>Tas</c:v>
                </c:pt>
                <c:pt idx="6">
                  <c:v>ACT</c:v>
                </c:pt>
                <c:pt idx="7">
                  <c:v>NT</c:v>
                </c:pt>
                <c:pt idx="8">
                  <c:v>Aust</c:v>
                </c:pt>
              </c:strCache>
            </c:strRef>
          </c:cat>
          <c:val>
            <c:numRef>
              <c:f>'Figure 13.15a'!$C$7:$K$7</c:f>
              <c:numCache>
                <c:formatCode>###\ ###\ ##0.00;\-###\ ###\ ##0.00;"–"</c:formatCode>
                <c:ptCount val="9"/>
                <c:pt idx="0">
                  <c:v>226.30594369427595</c:v>
                </c:pt>
                <c:pt idx="1">
                  <c:v>360.18916502416454</c:v>
                </c:pt>
                <c:pt idx="2">
                  <c:v>345.25398948897703</c:v>
                </c:pt>
                <c:pt idx="3">
                  <c:v>474.56667903917509</c:v>
                </c:pt>
                <c:pt idx="4">
                  <c:v>371.88729577912352</c:v>
                </c:pt>
                <c:pt idx="5">
                  <c:v>330.89621442584036</c:v>
                </c:pt>
                <c:pt idx="6">
                  <c:v>236.53386914968954</c:v>
                </c:pt>
                <c:pt idx="7">
                  <c:v>462.50288833123204</c:v>
                </c:pt>
                <c:pt idx="8">
                  <c:v>315.16907608879569</c:v>
                </c:pt>
              </c:numCache>
            </c:numRef>
          </c:val>
        </c:ser>
        <c:ser>
          <c:idx val="4"/>
          <c:order val="4"/>
          <c:tx>
            <c:strRef>
              <c:f>'Figure 13.15a'!$B$8</c:f>
              <c:strCache>
                <c:ptCount val="1"/>
                <c:pt idx="0">
                  <c:v>2015-16</c:v>
                </c:pt>
              </c:strCache>
            </c:strRef>
          </c:tx>
          <c:spPr>
            <a:solidFill>
              <a:srgbClr val="265A9A"/>
            </a:solidFill>
            <a:ln>
              <a:solidFill>
                <a:srgbClr val="265A9A"/>
              </a:solidFill>
            </a:ln>
          </c:spPr>
          <c:invertIfNegative val="0"/>
          <c:cat>
            <c:strRef>
              <c:f>'Figure 13.15a'!$C$3:$K$3</c:f>
              <c:strCache>
                <c:ptCount val="9"/>
                <c:pt idx="0">
                  <c:v>NSW</c:v>
                </c:pt>
                <c:pt idx="1">
                  <c:v>Vic</c:v>
                </c:pt>
                <c:pt idx="2">
                  <c:v>Qld</c:v>
                </c:pt>
                <c:pt idx="3">
                  <c:v>WA</c:v>
                </c:pt>
                <c:pt idx="4">
                  <c:v>SA</c:v>
                </c:pt>
                <c:pt idx="5">
                  <c:v>Tas</c:v>
                </c:pt>
                <c:pt idx="6">
                  <c:v>ACT</c:v>
                </c:pt>
                <c:pt idx="7">
                  <c:v>NT</c:v>
                </c:pt>
                <c:pt idx="8">
                  <c:v>Aust</c:v>
                </c:pt>
              </c:strCache>
            </c:strRef>
          </c:cat>
          <c:val>
            <c:numRef>
              <c:f>'Figure 13.15a'!$C$8:$K$8</c:f>
              <c:numCache>
                <c:formatCode>###\ ###\ ##0.00;\-###\ ###\ ##0.00;"–"</c:formatCode>
                <c:ptCount val="9"/>
                <c:pt idx="0">
                  <c:v>216.34210670910269</c:v>
                </c:pt>
                <c:pt idx="1">
                  <c:v>384.60816294392509</c:v>
                </c:pt>
                <c:pt idx="2">
                  <c:v>333.02392473431087</c:v>
                </c:pt>
                <c:pt idx="3">
                  <c:v>460.72204312561956</c:v>
                </c:pt>
                <c:pt idx="4">
                  <c:v>333.72584120527523</c:v>
                </c:pt>
                <c:pt idx="5">
                  <c:v>303.52581379694413</c:v>
                </c:pt>
                <c:pt idx="6">
                  <c:v>223.81246692819016</c:v>
                </c:pt>
                <c:pt idx="7">
                  <c:v>466.42671375425829</c:v>
                </c:pt>
                <c:pt idx="8">
                  <c:v>305.45007541365948</c:v>
                </c:pt>
              </c:numCache>
            </c:numRef>
          </c:val>
        </c:ser>
        <c:dLbls>
          <c:showLegendKey val="0"/>
          <c:showVal val="0"/>
          <c:showCatName val="0"/>
          <c:showSerName val="0"/>
          <c:showPercent val="0"/>
          <c:showBubbleSize val="0"/>
        </c:dLbls>
        <c:gapWidth val="150"/>
        <c:axId val="332569264"/>
        <c:axId val="332565736"/>
      </c:barChart>
      <c:catAx>
        <c:axId val="33256926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2565736"/>
        <c:crosses val="autoZero"/>
        <c:auto val="1"/>
        <c:lblAlgn val="ctr"/>
        <c:lblOffset val="100"/>
        <c:noMultiLvlLbl val="0"/>
      </c:catAx>
      <c:valAx>
        <c:axId val="332565736"/>
        <c:scaling>
          <c:orientation val="minMax"/>
          <c:max val="8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$/treatment day</a:t>
                </a:r>
              </a:p>
            </c:rich>
          </c:tx>
          <c:layout>
            <c:manualLayout>
              <c:xMode val="edge"/>
              <c:yMode val="edge"/>
              <c:x val="1.8814814814814815E-2"/>
              <c:y val="0.2708248148148148"/>
            </c:manualLayout>
          </c:layout>
          <c:overlay val="0"/>
        </c:title>
        <c:numFmt formatCode="###\ ###\ ##0;\-###\ ###\ ##0;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2569264"/>
        <c:crosses val="autoZero"/>
        <c:crossBetween val="between"/>
        <c:majorUnit val="20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no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13.15b'!$B$4</c:f>
              <c:strCache>
                <c:ptCount val="1"/>
                <c:pt idx="0">
                  <c:v>2011-12 to 2014-15</c:v>
                </c:pt>
              </c:strCache>
            </c:strRef>
          </c:tx>
          <c:spPr>
            <a:solidFill>
              <a:srgbClr val="78A22F"/>
            </a:solidFill>
            <a:ln>
              <a:solidFill>
                <a:srgbClr val="78A22F"/>
              </a:solidFill>
            </a:ln>
          </c:spPr>
          <c:invertIfNegative val="0"/>
          <c:cat>
            <c:strRef>
              <c:f>'Figure 13.15b'!$C$3:$K$3</c:f>
              <c:strCache>
                <c:ptCount val="9"/>
                <c:pt idx="0">
                  <c:v>NSW</c:v>
                </c:pt>
                <c:pt idx="1">
                  <c:v>Vic</c:v>
                </c:pt>
                <c:pt idx="2">
                  <c:v>Qld</c:v>
                </c:pt>
                <c:pt idx="3">
                  <c:v>WA</c:v>
                </c:pt>
                <c:pt idx="4">
                  <c:v>SA</c:v>
                </c:pt>
                <c:pt idx="5">
                  <c:v>Tas</c:v>
                </c:pt>
                <c:pt idx="6">
                  <c:v>ACT</c:v>
                </c:pt>
                <c:pt idx="7">
                  <c:v>NT</c:v>
                </c:pt>
                <c:pt idx="8">
                  <c:v>Aust</c:v>
                </c:pt>
              </c:strCache>
            </c:strRef>
          </c:cat>
          <c:val>
            <c:numRef>
              <c:f>'Figure 13.15b'!$C$4:$K$4</c:f>
              <c:numCache>
                <c:formatCode>0.0</c:formatCode>
                <c:ptCount val="9"/>
                <c:pt idx="0">
                  <c:v>8.0225700915227556</c:v>
                </c:pt>
                <c:pt idx="1">
                  <c:v>0</c:v>
                </c:pt>
                <c:pt idx="2">
                  <c:v>5.7628958120531157</c:v>
                </c:pt>
                <c:pt idx="3">
                  <c:v>4.9606970339939505</c:v>
                </c:pt>
                <c:pt idx="4">
                  <c:v>5.3880253898517223</c:v>
                </c:pt>
                <c:pt idx="5">
                  <c:v>4.5007101355713361</c:v>
                </c:pt>
                <c:pt idx="6">
                  <c:v>8.5571893455465826</c:v>
                </c:pt>
                <c:pt idx="7">
                  <c:v>3.6165838038257352</c:v>
                </c:pt>
                <c:pt idx="8">
                  <c:v>6.4339859174548124</c:v>
                </c:pt>
              </c:numCache>
            </c:numRef>
          </c:val>
        </c:ser>
        <c:ser>
          <c:idx val="1"/>
          <c:order val="1"/>
          <c:tx>
            <c:strRef>
              <c:f>'Figure 13.15b'!$B$5</c:f>
              <c:strCache>
                <c:ptCount val="1"/>
                <c:pt idx="0">
                  <c:v>2012-13</c:v>
                </c:pt>
              </c:strCache>
            </c:strRef>
          </c:tx>
          <c:spPr>
            <a:solidFill>
              <a:srgbClr val="78A22F"/>
            </a:solidFill>
            <a:ln>
              <a:solidFill>
                <a:srgbClr val="78A22F"/>
              </a:solidFill>
            </a:ln>
          </c:spPr>
          <c:invertIfNegative val="0"/>
          <c:cat>
            <c:strRef>
              <c:f>'Figure 13.15b'!$C$3:$K$3</c:f>
              <c:strCache>
                <c:ptCount val="9"/>
                <c:pt idx="0">
                  <c:v>NSW</c:v>
                </c:pt>
                <c:pt idx="1">
                  <c:v>Vic</c:v>
                </c:pt>
                <c:pt idx="2">
                  <c:v>Qld</c:v>
                </c:pt>
                <c:pt idx="3">
                  <c:v>WA</c:v>
                </c:pt>
                <c:pt idx="4">
                  <c:v>SA</c:v>
                </c:pt>
                <c:pt idx="5">
                  <c:v>Tas</c:v>
                </c:pt>
                <c:pt idx="6">
                  <c:v>ACT</c:v>
                </c:pt>
                <c:pt idx="7">
                  <c:v>NT</c:v>
                </c:pt>
                <c:pt idx="8">
                  <c:v>Aust</c:v>
                </c:pt>
              </c:strCache>
            </c:strRef>
          </c:cat>
          <c:val>
            <c:numRef>
              <c:f>'Figure 13.15b'!$C$5:$K$5</c:f>
              <c:numCache>
                <c:formatCode>0.0</c:formatCode>
                <c:ptCount val="9"/>
                <c:pt idx="0">
                  <c:v>7.8406033382828069</c:v>
                </c:pt>
                <c:pt idx="1">
                  <c:v>0</c:v>
                </c:pt>
                <c:pt idx="2">
                  <c:v>6.3524012635513589</c:v>
                </c:pt>
                <c:pt idx="3">
                  <c:v>4.8016817185594531</c:v>
                </c:pt>
                <c:pt idx="4">
                  <c:v>5.3835782839823922</c:v>
                </c:pt>
                <c:pt idx="5">
                  <c:v>3.8878842676311032</c:v>
                </c:pt>
                <c:pt idx="6">
                  <c:v>8.3787234042553198</c:v>
                </c:pt>
                <c:pt idx="7">
                  <c:v>4.0098149396868212</c:v>
                </c:pt>
                <c:pt idx="8">
                  <c:v>6.5091063656642136</c:v>
                </c:pt>
              </c:numCache>
            </c:numRef>
          </c:val>
        </c:ser>
        <c:ser>
          <c:idx val="2"/>
          <c:order val="2"/>
          <c:tx>
            <c:strRef>
              <c:f>'Figure 13.15b'!$B$6</c:f>
              <c:strCache>
                <c:ptCount val="1"/>
                <c:pt idx="0">
                  <c:v>2013-14</c:v>
                </c:pt>
              </c:strCache>
            </c:strRef>
          </c:tx>
          <c:spPr>
            <a:solidFill>
              <a:srgbClr val="78A22F"/>
            </a:solidFill>
            <a:ln>
              <a:solidFill>
                <a:srgbClr val="78A22F"/>
              </a:solidFill>
            </a:ln>
          </c:spPr>
          <c:invertIfNegative val="0"/>
          <c:cat>
            <c:strRef>
              <c:f>'Figure 13.15b'!$C$3:$K$3</c:f>
              <c:strCache>
                <c:ptCount val="9"/>
                <c:pt idx="0">
                  <c:v>NSW</c:v>
                </c:pt>
                <c:pt idx="1">
                  <c:v>Vic</c:v>
                </c:pt>
                <c:pt idx="2">
                  <c:v>Qld</c:v>
                </c:pt>
                <c:pt idx="3">
                  <c:v>WA</c:v>
                </c:pt>
                <c:pt idx="4">
                  <c:v>SA</c:v>
                </c:pt>
                <c:pt idx="5">
                  <c:v>Tas</c:v>
                </c:pt>
                <c:pt idx="6">
                  <c:v>ACT</c:v>
                </c:pt>
                <c:pt idx="7">
                  <c:v>NT</c:v>
                </c:pt>
                <c:pt idx="8">
                  <c:v>Aust</c:v>
                </c:pt>
              </c:strCache>
            </c:strRef>
          </c:cat>
          <c:val>
            <c:numRef>
              <c:f>'Figure 13.15b'!$C$6:$K$6</c:f>
              <c:numCache>
                <c:formatCode>0.0</c:formatCode>
                <c:ptCount val="9"/>
                <c:pt idx="0">
                  <c:v>8.2063719810748861</c:v>
                </c:pt>
                <c:pt idx="1">
                  <c:v>7.1393020973276995</c:v>
                </c:pt>
                <c:pt idx="2">
                  <c:v>6.533955559026829</c:v>
                </c:pt>
                <c:pt idx="3">
                  <c:v>4.9270380991396969</c:v>
                </c:pt>
                <c:pt idx="4">
                  <c:v>5.4020303044301752</c:v>
                </c:pt>
                <c:pt idx="5">
                  <c:v>6.0315324568611342</c:v>
                </c:pt>
                <c:pt idx="6">
                  <c:v>8.3983522038010516</c:v>
                </c:pt>
                <c:pt idx="7">
                  <c:v>4.3599584292183211</c:v>
                </c:pt>
                <c:pt idx="8">
                  <c:v>6.831601889101055</c:v>
                </c:pt>
              </c:numCache>
            </c:numRef>
          </c:val>
        </c:ser>
        <c:ser>
          <c:idx val="3"/>
          <c:order val="3"/>
          <c:tx>
            <c:strRef>
              <c:f>'Figure 13.15b'!$B$7</c:f>
              <c:strCache>
                <c:ptCount val="1"/>
                <c:pt idx="0">
                  <c:v>2014-15</c:v>
                </c:pt>
              </c:strCache>
            </c:strRef>
          </c:tx>
          <c:spPr>
            <a:solidFill>
              <a:srgbClr val="78A22F"/>
            </a:solidFill>
            <a:ln>
              <a:solidFill>
                <a:srgbClr val="78A22F"/>
              </a:solidFill>
            </a:ln>
          </c:spPr>
          <c:invertIfNegative val="0"/>
          <c:cat>
            <c:strRef>
              <c:f>'Figure 13.15b'!$C$3:$K$3</c:f>
              <c:strCache>
                <c:ptCount val="9"/>
                <c:pt idx="0">
                  <c:v>NSW</c:v>
                </c:pt>
                <c:pt idx="1">
                  <c:v>Vic</c:v>
                </c:pt>
                <c:pt idx="2">
                  <c:v>Qld</c:v>
                </c:pt>
                <c:pt idx="3">
                  <c:v>WA</c:v>
                </c:pt>
                <c:pt idx="4">
                  <c:v>SA</c:v>
                </c:pt>
                <c:pt idx="5">
                  <c:v>Tas</c:v>
                </c:pt>
                <c:pt idx="6">
                  <c:v>ACT</c:v>
                </c:pt>
                <c:pt idx="7">
                  <c:v>NT</c:v>
                </c:pt>
                <c:pt idx="8">
                  <c:v>Aust</c:v>
                </c:pt>
              </c:strCache>
            </c:strRef>
          </c:cat>
          <c:val>
            <c:numRef>
              <c:f>'Figure 13.15b'!$C$7:$K$7</c:f>
              <c:numCache>
                <c:formatCode>0.0</c:formatCode>
                <c:ptCount val="9"/>
                <c:pt idx="0">
                  <c:v>8.6195571345947286</c:v>
                </c:pt>
                <c:pt idx="1">
                  <c:v>6.9721063694905077</c:v>
                </c:pt>
                <c:pt idx="2">
                  <c:v>6.7682355096674067</c:v>
                </c:pt>
                <c:pt idx="3">
                  <c:v>4.8530136232831396</c:v>
                </c:pt>
                <c:pt idx="4">
                  <c:v>5.211705138409835</c:v>
                </c:pt>
                <c:pt idx="5">
                  <c:v>5.4946551981305625</c:v>
                </c:pt>
                <c:pt idx="6">
                  <c:v>8.5567336683417086</c:v>
                </c:pt>
                <c:pt idx="7">
                  <c:v>4.3949524506217994</c:v>
                </c:pt>
                <c:pt idx="8">
                  <c:v>6.9059313951099472</c:v>
                </c:pt>
              </c:numCache>
            </c:numRef>
          </c:val>
        </c:ser>
        <c:ser>
          <c:idx val="4"/>
          <c:order val="4"/>
          <c:tx>
            <c:strRef>
              <c:f>'Figure 13.15b'!$B$8</c:f>
              <c:strCache>
                <c:ptCount val="1"/>
                <c:pt idx="0">
                  <c:v>2015-16</c:v>
                </c:pt>
              </c:strCache>
            </c:strRef>
          </c:tx>
          <c:spPr>
            <a:solidFill>
              <a:srgbClr val="265A9A"/>
            </a:solidFill>
            <a:ln>
              <a:solidFill>
                <a:srgbClr val="265A9A"/>
              </a:solidFill>
            </a:ln>
          </c:spPr>
          <c:invertIfNegative val="0"/>
          <c:cat>
            <c:strRef>
              <c:f>'Figure 13.15b'!$C$3:$K$3</c:f>
              <c:strCache>
                <c:ptCount val="9"/>
                <c:pt idx="0">
                  <c:v>NSW</c:v>
                </c:pt>
                <c:pt idx="1">
                  <c:v>Vic</c:v>
                </c:pt>
                <c:pt idx="2">
                  <c:v>Qld</c:v>
                </c:pt>
                <c:pt idx="3">
                  <c:v>WA</c:v>
                </c:pt>
                <c:pt idx="4">
                  <c:v>SA</c:v>
                </c:pt>
                <c:pt idx="5">
                  <c:v>Tas</c:v>
                </c:pt>
                <c:pt idx="6">
                  <c:v>ACT</c:v>
                </c:pt>
                <c:pt idx="7">
                  <c:v>NT</c:v>
                </c:pt>
                <c:pt idx="8">
                  <c:v>Aust</c:v>
                </c:pt>
              </c:strCache>
            </c:strRef>
          </c:cat>
          <c:val>
            <c:numRef>
              <c:f>'Figure 13.15b'!$C$8:$K$8</c:f>
              <c:numCache>
                <c:formatCode>0.0</c:formatCode>
                <c:ptCount val="9"/>
                <c:pt idx="0">
                  <c:v>8.939545433668151</c:v>
                </c:pt>
                <c:pt idx="1">
                  <c:v>6.648966594727713</c:v>
                </c:pt>
                <c:pt idx="2">
                  <c:v>6.9629011920849182</c:v>
                </c:pt>
                <c:pt idx="3">
                  <c:v>4.8850041960841679</c:v>
                </c:pt>
                <c:pt idx="4">
                  <c:v>5.4342520400851324</c:v>
                </c:pt>
                <c:pt idx="5">
                  <c:v>5.377528307364754</c:v>
                </c:pt>
                <c:pt idx="6">
                  <c:v>8.4333535645921849</c:v>
                </c:pt>
                <c:pt idx="7">
                  <c:v>4.3937909673701654</c:v>
                </c:pt>
                <c:pt idx="8">
                  <c:v>7.0311723294480704</c:v>
                </c:pt>
              </c:numCache>
            </c:numRef>
          </c:val>
        </c:ser>
        <c:dLbls>
          <c:showLegendKey val="0"/>
          <c:showVal val="0"/>
          <c:showCatName val="0"/>
          <c:showSerName val="0"/>
          <c:showPercent val="0"/>
          <c:showBubbleSize val="0"/>
        </c:dLbls>
        <c:gapWidth val="150"/>
        <c:axId val="332570832"/>
        <c:axId val="332571616"/>
      </c:barChart>
      <c:catAx>
        <c:axId val="33257083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2571616"/>
        <c:crosses val="autoZero"/>
        <c:auto val="1"/>
        <c:lblAlgn val="ctr"/>
        <c:lblOffset val="100"/>
        <c:noMultiLvlLbl val="0"/>
      </c:catAx>
      <c:valAx>
        <c:axId val="332571616"/>
        <c:scaling>
          <c:orientation val="minMax"/>
          <c:max val="1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Treatment days/episode of care</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2570832"/>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93666666666667"/>
          <c:y val="5.174074074074074E-2"/>
          <c:w val="0.86219296296296299"/>
          <c:h val="0.84487185185185187"/>
        </c:manualLayout>
      </c:layout>
      <c:barChart>
        <c:barDir val="col"/>
        <c:grouping val="clustered"/>
        <c:varyColors val="0"/>
        <c:ser>
          <c:idx val="0"/>
          <c:order val="0"/>
          <c:spPr>
            <a:solidFill>
              <a:srgbClr val="78A22F"/>
            </a:solidFill>
            <a:ln>
              <a:solidFill>
                <a:srgbClr val="78A22F"/>
              </a:solidFill>
            </a:ln>
          </c:spPr>
          <c:invertIfNegative val="0"/>
          <c:cat>
            <c:strRef>
              <c:f>'Figure 13.16'!$C$3:$K$3</c:f>
              <c:strCache>
                <c:ptCount val="9"/>
                <c:pt idx="0">
                  <c:v>NSW</c:v>
                </c:pt>
                <c:pt idx="1">
                  <c:v>Vic</c:v>
                </c:pt>
                <c:pt idx="2">
                  <c:v>Qld</c:v>
                </c:pt>
                <c:pt idx="3">
                  <c:v>WA</c:v>
                </c:pt>
                <c:pt idx="4">
                  <c:v>SA</c:v>
                </c:pt>
                <c:pt idx="5">
                  <c:v>Tas</c:v>
                </c:pt>
                <c:pt idx="6">
                  <c:v>ACT</c:v>
                </c:pt>
                <c:pt idx="7">
                  <c:v>NT</c:v>
                </c:pt>
                <c:pt idx="8">
                  <c:v>Aust</c:v>
                </c:pt>
              </c:strCache>
            </c:strRef>
          </c:cat>
          <c:val>
            <c:numRef>
              <c:f>'Figure 13.16'!$C$4:$K$4</c:f>
              <c:numCache>
                <c:formatCode>General</c:formatCode>
                <c:ptCount val="9"/>
                <c:pt idx="0">
                  <c:v>10.1</c:v>
                </c:pt>
                <c:pt idx="1">
                  <c:v>9.9</c:v>
                </c:pt>
                <c:pt idx="2">
                  <c:v>14.4</c:v>
                </c:pt>
                <c:pt idx="3">
                  <c:v>14.4</c:v>
                </c:pt>
                <c:pt idx="4">
                  <c:v>12.9</c:v>
                </c:pt>
                <c:pt idx="5">
                  <c:v>14.8</c:v>
                </c:pt>
                <c:pt idx="6">
                  <c:v>8.9</c:v>
                </c:pt>
                <c:pt idx="7">
                  <c:v>19</c:v>
                </c:pt>
                <c:pt idx="8">
                  <c:v>11.8</c:v>
                </c:pt>
              </c:numCache>
            </c:numRef>
          </c:val>
        </c:ser>
        <c:dLbls>
          <c:showLegendKey val="0"/>
          <c:showVal val="0"/>
          <c:showCatName val="0"/>
          <c:showSerName val="0"/>
          <c:showPercent val="0"/>
          <c:showBubbleSize val="0"/>
        </c:dLbls>
        <c:gapWidth val="150"/>
        <c:axId val="331757400"/>
        <c:axId val="331755832"/>
      </c:barChart>
      <c:catAx>
        <c:axId val="33175740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1755832"/>
        <c:crosses val="autoZero"/>
        <c:auto val="1"/>
        <c:lblAlgn val="ctr"/>
        <c:lblOffset val="100"/>
        <c:noMultiLvlLbl val="0"/>
      </c:catAx>
      <c:valAx>
        <c:axId val="331755832"/>
        <c:scaling>
          <c:orientation val="minMax"/>
          <c:max val="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Deaths/100 000 people</a:t>
                </a:r>
              </a:p>
            </c:rich>
          </c:tx>
          <c:layout>
            <c:manualLayout>
              <c:xMode val="edge"/>
              <c:yMode val="edge"/>
              <c:x val="2.3518518518518518E-2"/>
              <c:y val="0.22829037037037037"/>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1757400"/>
        <c:crosses val="autoZero"/>
        <c:crossBetween val="between"/>
        <c:majorUnit val="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89296296296297"/>
          <c:y val="7.7611111111111117E-2"/>
          <c:w val="0.86923666666666666"/>
          <c:h val="0.66888611111111107"/>
        </c:manualLayout>
      </c:layout>
      <c:barChart>
        <c:barDir val="col"/>
        <c:grouping val="stacked"/>
        <c:varyColors val="0"/>
        <c:ser>
          <c:idx val="0"/>
          <c:order val="0"/>
          <c:tx>
            <c:strRef>
              <c:f>'Figure 13.19a+b+c'!$B$17</c:f>
              <c:strCache>
                <c:ptCount val="1"/>
                <c:pt idx="0">
                  <c:v>Significant improvement</c:v>
                </c:pt>
              </c:strCache>
            </c:strRef>
          </c:tx>
          <c:spPr>
            <a:solidFill>
              <a:srgbClr val="B2D673"/>
            </a:solidFill>
            <a:ln>
              <a:solidFill>
                <a:srgbClr val="B2D673"/>
              </a:solidFill>
            </a:ln>
          </c:spPr>
          <c:invertIfNegative val="0"/>
          <c:cat>
            <c:strRef>
              <c:f>'Figure 13.19a+b+c'!$C$16:$K$16</c:f>
              <c:strCache>
                <c:ptCount val="9"/>
                <c:pt idx="0">
                  <c:v>NSW</c:v>
                </c:pt>
                <c:pt idx="1">
                  <c:v>Vic</c:v>
                </c:pt>
                <c:pt idx="2">
                  <c:v>Qld</c:v>
                </c:pt>
                <c:pt idx="3">
                  <c:v>WA</c:v>
                </c:pt>
                <c:pt idx="4">
                  <c:v>SA</c:v>
                </c:pt>
                <c:pt idx="5">
                  <c:v>Tas</c:v>
                </c:pt>
                <c:pt idx="6">
                  <c:v>ACT</c:v>
                </c:pt>
                <c:pt idx="7">
                  <c:v>NT</c:v>
                </c:pt>
                <c:pt idx="8">
                  <c:v>Aust</c:v>
                </c:pt>
              </c:strCache>
            </c:strRef>
          </c:cat>
          <c:val>
            <c:numRef>
              <c:f>'Figure 13.19a+b+c'!$C$17:$K$17</c:f>
              <c:numCache>
                <c:formatCode>0.0</c:formatCode>
                <c:ptCount val="9"/>
                <c:pt idx="0">
                  <c:v>20.9</c:v>
                </c:pt>
                <c:pt idx="1">
                  <c:v>27.3</c:v>
                </c:pt>
                <c:pt idx="2">
                  <c:v>30.3</c:v>
                </c:pt>
                <c:pt idx="3">
                  <c:v>26.3</c:v>
                </c:pt>
                <c:pt idx="4">
                  <c:v>24.6</c:v>
                </c:pt>
                <c:pt idx="5">
                  <c:v>25.1</c:v>
                </c:pt>
                <c:pt idx="6">
                  <c:v>29.5</c:v>
                </c:pt>
                <c:pt idx="7">
                  <c:v>27.9</c:v>
                </c:pt>
                <c:pt idx="8">
                  <c:v>26.6</c:v>
                </c:pt>
              </c:numCache>
            </c:numRef>
          </c:val>
        </c:ser>
        <c:ser>
          <c:idx val="1"/>
          <c:order val="1"/>
          <c:tx>
            <c:strRef>
              <c:f>'Figure 13.19a+b+c'!$B$18</c:f>
              <c:strCache>
                <c:ptCount val="1"/>
                <c:pt idx="0">
                  <c:v>No significant change</c:v>
                </c:pt>
              </c:strCache>
            </c:strRef>
          </c:tx>
          <c:spPr>
            <a:solidFill>
              <a:srgbClr val="265A9A"/>
            </a:solidFill>
            <a:ln>
              <a:solidFill>
                <a:srgbClr val="265A9A"/>
              </a:solidFill>
            </a:ln>
          </c:spPr>
          <c:invertIfNegative val="0"/>
          <c:cat>
            <c:strRef>
              <c:f>'Figure 13.19a+b+c'!$C$16:$K$16</c:f>
              <c:strCache>
                <c:ptCount val="9"/>
                <c:pt idx="0">
                  <c:v>NSW</c:v>
                </c:pt>
                <c:pt idx="1">
                  <c:v>Vic</c:v>
                </c:pt>
                <c:pt idx="2">
                  <c:v>Qld</c:v>
                </c:pt>
                <c:pt idx="3">
                  <c:v>WA</c:v>
                </c:pt>
                <c:pt idx="4">
                  <c:v>SA</c:v>
                </c:pt>
                <c:pt idx="5">
                  <c:v>Tas</c:v>
                </c:pt>
                <c:pt idx="6">
                  <c:v>ACT</c:v>
                </c:pt>
                <c:pt idx="7">
                  <c:v>NT</c:v>
                </c:pt>
                <c:pt idx="8">
                  <c:v>Aust</c:v>
                </c:pt>
              </c:strCache>
            </c:strRef>
          </c:cat>
          <c:val>
            <c:numRef>
              <c:f>'Figure 13.19a+b+c'!$C$18:$K$18</c:f>
              <c:numCache>
                <c:formatCode>0.0</c:formatCode>
                <c:ptCount val="9"/>
                <c:pt idx="0">
                  <c:v>62.8</c:v>
                </c:pt>
                <c:pt idx="1">
                  <c:v>56.3</c:v>
                </c:pt>
                <c:pt idx="2">
                  <c:v>53.5</c:v>
                </c:pt>
                <c:pt idx="3">
                  <c:v>58.5</c:v>
                </c:pt>
                <c:pt idx="4">
                  <c:v>61.9</c:v>
                </c:pt>
                <c:pt idx="5">
                  <c:v>61.9</c:v>
                </c:pt>
                <c:pt idx="6">
                  <c:v>53.4</c:v>
                </c:pt>
                <c:pt idx="7">
                  <c:v>52.8</c:v>
                </c:pt>
                <c:pt idx="8">
                  <c:v>57.5</c:v>
                </c:pt>
              </c:numCache>
            </c:numRef>
          </c:val>
        </c:ser>
        <c:ser>
          <c:idx val="2"/>
          <c:order val="2"/>
          <c:tx>
            <c:strRef>
              <c:f>'Figure 13.19a+b+c'!$B$19</c:f>
              <c:strCache>
                <c:ptCount val="1"/>
                <c:pt idx="0">
                  <c:v>Significant deterioration</c:v>
                </c:pt>
              </c:strCache>
            </c:strRef>
          </c:tx>
          <c:spPr>
            <a:solidFill>
              <a:srgbClr val="78A22F"/>
            </a:solidFill>
            <a:ln>
              <a:solidFill>
                <a:srgbClr val="78A22F"/>
              </a:solidFill>
            </a:ln>
          </c:spPr>
          <c:invertIfNegative val="0"/>
          <c:cat>
            <c:strRef>
              <c:f>'Figure 13.19a+b+c'!$C$16:$K$16</c:f>
              <c:strCache>
                <c:ptCount val="9"/>
                <c:pt idx="0">
                  <c:v>NSW</c:v>
                </c:pt>
                <c:pt idx="1">
                  <c:v>Vic</c:v>
                </c:pt>
                <c:pt idx="2">
                  <c:v>Qld</c:v>
                </c:pt>
                <c:pt idx="3">
                  <c:v>WA</c:v>
                </c:pt>
                <c:pt idx="4">
                  <c:v>SA</c:v>
                </c:pt>
                <c:pt idx="5">
                  <c:v>Tas</c:v>
                </c:pt>
                <c:pt idx="6">
                  <c:v>ACT</c:v>
                </c:pt>
                <c:pt idx="7">
                  <c:v>NT</c:v>
                </c:pt>
                <c:pt idx="8">
                  <c:v>Aust</c:v>
                </c:pt>
              </c:strCache>
            </c:strRef>
          </c:cat>
          <c:val>
            <c:numRef>
              <c:f>'Figure 13.19a+b+c'!$C$19:$K$19</c:f>
              <c:numCache>
                <c:formatCode>0.0</c:formatCode>
                <c:ptCount val="9"/>
                <c:pt idx="0">
                  <c:v>16.2</c:v>
                </c:pt>
                <c:pt idx="1">
                  <c:v>16.399999999999999</c:v>
                </c:pt>
                <c:pt idx="2">
                  <c:v>16.2</c:v>
                </c:pt>
                <c:pt idx="3">
                  <c:v>15.3</c:v>
                </c:pt>
                <c:pt idx="4">
                  <c:v>13.4</c:v>
                </c:pt>
                <c:pt idx="5">
                  <c:v>13</c:v>
                </c:pt>
                <c:pt idx="6">
                  <c:v>17.100000000000001</c:v>
                </c:pt>
                <c:pt idx="7">
                  <c:v>19.399999999999999</c:v>
                </c:pt>
                <c:pt idx="8">
                  <c:v>15.8</c:v>
                </c:pt>
              </c:numCache>
            </c:numRef>
          </c:val>
        </c:ser>
        <c:dLbls>
          <c:showLegendKey val="0"/>
          <c:showVal val="0"/>
          <c:showCatName val="0"/>
          <c:showSerName val="0"/>
          <c:showPercent val="0"/>
          <c:showBubbleSize val="0"/>
        </c:dLbls>
        <c:gapWidth val="150"/>
        <c:overlap val="100"/>
        <c:axId val="331685328"/>
        <c:axId val="331686504"/>
      </c:barChart>
      <c:catAx>
        <c:axId val="33168532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1686504"/>
        <c:crosses val="autoZero"/>
        <c:auto val="1"/>
        <c:lblAlgn val="ctr"/>
        <c:lblOffset val="100"/>
        <c:noMultiLvlLbl val="0"/>
      </c:catAx>
      <c:valAx>
        <c:axId val="331686504"/>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1685328"/>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48555555555556E-2"/>
          <c:y val="7.7611111111111117E-2"/>
          <c:w val="0.87864407407407408"/>
          <c:h val="0.654775"/>
        </c:manualLayout>
      </c:layout>
      <c:barChart>
        <c:barDir val="col"/>
        <c:grouping val="stacked"/>
        <c:varyColors val="0"/>
        <c:ser>
          <c:idx val="0"/>
          <c:order val="0"/>
          <c:tx>
            <c:strRef>
              <c:f>'Figure 13.19a+b+c'!$B$11</c:f>
              <c:strCache>
                <c:ptCount val="1"/>
                <c:pt idx="0">
                  <c:v>Significant improvement</c:v>
                </c:pt>
              </c:strCache>
            </c:strRef>
          </c:tx>
          <c:spPr>
            <a:solidFill>
              <a:srgbClr val="B2D673"/>
            </a:solidFill>
            <a:ln>
              <a:solidFill>
                <a:srgbClr val="B2D673"/>
              </a:solidFill>
            </a:ln>
          </c:spPr>
          <c:invertIfNegative val="0"/>
          <c:cat>
            <c:strRef>
              <c:f>'Figure 13.19a+b+c'!$C$10:$K$10</c:f>
              <c:strCache>
                <c:ptCount val="9"/>
                <c:pt idx="0">
                  <c:v>NSW</c:v>
                </c:pt>
                <c:pt idx="1">
                  <c:v>Vic</c:v>
                </c:pt>
                <c:pt idx="2">
                  <c:v>Qld</c:v>
                </c:pt>
                <c:pt idx="3">
                  <c:v>WA</c:v>
                </c:pt>
                <c:pt idx="4">
                  <c:v>SA</c:v>
                </c:pt>
                <c:pt idx="5">
                  <c:v>Tas</c:v>
                </c:pt>
                <c:pt idx="6">
                  <c:v>ACT</c:v>
                </c:pt>
                <c:pt idx="7">
                  <c:v>NT</c:v>
                </c:pt>
                <c:pt idx="8">
                  <c:v>Aust</c:v>
                </c:pt>
              </c:strCache>
            </c:strRef>
          </c:cat>
          <c:val>
            <c:numRef>
              <c:f>'Figure 13.19a+b+c'!$C$11:$K$11</c:f>
              <c:numCache>
                <c:formatCode>0.0</c:formatCode>
                <c:ptCount val="9"/>
                <c:pt idx="0">
                  <c:v>48.8</c:v>
                </c:pt>
                <c:pt idx="1">
                  <c:v>47.3</c:v>
                </c:pt>
                <c:pt idx="2">
                  <c:v>54</c:v>
                </c:pt>
                <c:pt idx="3">
                  <c:v>49.4</c:v>
                </c:pt>
                <c:pt idx="4">
                  <c:v>44.7</c:v>
                </c:pt>
                <c:pt idx="5">
                  <c:v>49.8</c:v>
                </c:pt>
                <c:pt idx="6">
                  <c:v>0</c:v>
                </c:pt>
                <c:pt idx="7">
                  <c:v>0</c:v>
                </c:pt>
                <c:pt idx="8">
                  <c:v>50.2</c:v>
                </c:pt>
              </c:numCache>
            </c:numRef>
          </c:val>
        </c:ser>
        <c:ser>
          <c:idx val="1"/>
          <c:order val="1"/>
          <c:tx>
            <c:strRef>
              <c:f>'Figure 13.19a+b+c'!$B$12</c:f>
              <c:strCache>
                <c:ptCount val="1"/>
                <c:pt idx="0">
                  <c:v>No significant change</c:v>
                </c:pt>
              </c:strCache>
            </c:strRef>
          </c:tx>
          <c:spPr>
            <a:solidFill>
              <a:srgbClr val="265A9A"/>
            </a:solidFill>
            <a:ln>
              <a:solidFill>
                <a:srgbClr val="265A9A"/>
              </a:solidFill>
            </a:ln>
          </c:spPr>
          <c:invertIfNegative val="0"/>
          <c:cat>
            <c:strRef>
              <c:f>'Figure 13.19a+b+c'!$C$10:$K$10</c:f>
              <c:strCache>
                <c:ptCount val="9"/>
                <c:pt idx="0">
                  <c:v>NSW</c:v>
                </c:pt>
                <c:pt idx="1">
                  <c:v>Vic</c:v>
                </c:pt>
                <c:pt idx="2">
                  <c:v>Qld</c:v>
                </c:pt>
                <c:pt idx="3">
                  <c:v>WA</c:v>
                </c:pt>
                <c:pt idx="4">
                  <c:v>SA</c:v>
                </c:pt>
                <c:pt idx="5">
                  <c:v>Tas</c:v>
                </c:pt>
                <c:pt idx="6">
                  <c:v>ACT</c:v>
                </c:pt>
                <c:pt idx="7">
                  <c:v>NT</c:v>
                </c:pt>
                <c:pt idx="8">
                  <c:v>Aust</c:v>
                </c:pt>
              </c:strCache>
            </c:strRef>
          </c:cat>
          <c:val>
            <c:numRef>
              <c:f>'Figure 13.19a+b+c'!$C$12:$K$12</c:f>
              <c:numCache>
                <c:formatCode>0.0</c:formatCode>
                <c:ptCount val="9"/>
                <c:pt idx="0">
                  <c:v>45.7</c:v>
                </c:pt>
                <c:pt idx="1">
                  <c:v>45.8</c:v>
                </c:pt>
                <c:pt idx="2">
                  <c:v>38.1</c:v>
                </c:pt>
                <c:pt idx="3">
                  <c:v>45.4</c:v>
                </c:pt>
                <c:pt idx="4">
                  <c:v>51.1</c:v>
                </c:pt>
                <c:pt idx="5">
                  <c:v>46.7</c:v>
                </c:pt>
                <c:pt idx="6">
                  <c:v>0</c:v>
                </c:pt>
                <c:pt idx="7">
                  <c:v>0</c:v>
                </c:pt>
                <c:pt idx="8">
                  <c:v>43.1</c:v>
                </c:pt>
              </c:numCache>
            </c:numRef>
          </c:val>
        </c:ser>
        <c:ser>
          <c:idx val="2"/>
          <c:order val="2"/>
          <c:tx>
            <c:strRef>
              <c:f>'Figure 13.19a+b+c'!$B$13</c:f>
              <c:strCache>
                <c:ptCount val="1"/>
                <c:pt idx="0">
                  <c:v>Significant deterioration</c:v>
                </c:pt>
              </c:strCache>
            </c:strRef>
          </c:tx>
          <c:spPr>
            <a:solidFill>
              <a:srgbClr val="78A22F"/>
            </a:solidFill>
            <a:ln>
              <a:solidFill>
                <a:srgbClr val="78A22F"/>
              </a:solidFill>
            </a:ln>
          </c:spPr>
          <c:invertIfNegative val="0"/>
          <c:cat>
            <c:strRef>
              <c:f>'Figure 13.19a+b+c'!$C$10:$K$10</c:f>
              <c:strCache>
                <c:ptCount val="9"/>
                <c:pt idx="0">
                  <c:v>NSW</c:v>
                </c:pt>
                <c:pt idx="1">
                  <c:v>Vic</c:v>
                </c:pt>
                <c:pt idx="2">
                  <c:v>Qld</c:v>
                </c:pt>
                <c:pt idx="3">
                  <c:v>WA</c:v>
                </c:pt>
                <c:pt idx="4">
                  <c:v>SA</c:v>
                </c:pt>
                <c:pt idx="5">
                  <c:v>Tas</c:v>
                </c:pt>
                <c:pt idx="6">
                  <c:v>ACT</c:v>
                </c:pt>
                <c:pt idx="7">
                  <c:v>NT</c:v>
                </c:pt>
                <c:pt idx="8">
                  <c:v>Aust</c:v>
                </c:pt>
              </c:strCache>
            </c:strRef>
          </c:cat>
          <c:val>
            <c:numRef>
              <c:f>'Figure 13.19a+b+c'!$C$13:$K$13</c:f>
              <c:numCache>
                <c:formatCode>0.0</c:formatCode>
                <c:ptCount val="9"/>
                <c:pt idx="0">
                  <c:v>5.5</c:v>
                </c:pt>
                <c:pt idx="1">
                  <c:v>6.8</c:v>
                </c:pt>
                <c:pt idx="2">
                  <c:v>7.8</c:v>
                </c:pt>
                <c:pt idx="3">
                  <c:v>5.0999999999999996</c:v>
                </c:pt>
                <c:pt idx="4">
                  <c:v>4.2</c:v>
                </c:pt>
                <c:pt idx="5">
                  <c:v>3.4</c:v>
                </c:pt>
                <c:pt idx="6">
                  <c:v>0</c:v>
                </c:pt>
                <c:pt idx="7">
                  <c:v>0</c:v>
                </c:pt>
                <c:pt idx="8">
                  <c:v>6.7</c:v>
                </c:pt>
              </c:numCache>
            </c:numRef>
          </c:val>
        </c:ser>
        <c:dLbls>
          <c:showLegendKey val="0"/>
          <c:showVal val="0"/>
          <c:showCatName val="0"/>
          <c:showSerName val="0"/>
          <c:showPercent val="0"/>
          <c:showBubbleSize val="0"/>
        </c:dLbls>
        <c:gapWidth val="150"/>
        <c:overlap val="100"/>
        <c:axId val="331682584"/>
        <c:axId val="331687288"/>
      </c:barChart>
      <c:catAx>
        <c:axId val="3316825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1687288"/>
        <c:crosses val="autoZero"/>
        <c:auto val="1"/>
        <c:lblAlgn val="ctr"/>
        <c:lblOffset val="100"/>
        <c:noMultiLvlLbl val="0"/>
      </c:catAx>
      <c:valAx>
        <c:axId val="331687288"/>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168258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no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837407407407401E-2"/>
          <c:y val="7.6089324618736381E-2"/>
          <c:w val="0.87629222222222225"/>
          <c:h val="0.66846132897603483"/>
        </c:manualLayout>
      </c:layout>
      <c:barChart>
        <c:barDir val="col"/>
        <c:grouping val="stacked"/>
        <c:varyColors val="0"/>
        <c:ser>
          <c:idx val="0"/>
          <c:order val="0"/>
          <c:tx>
            <c:strRef>
              <c:f>'Figure 13.19a+b+c'!$B$5</c:f>
              <c:strCache>
                <c:ptCount val="1"/>
                <c:pt idx="0">
                  <c:v>Significant improvement</c:v>
                </c:pt>
              </c:strCache>
            </c:strRef>
          </c:tx>
          <c:spPr>
            <a:solidFill>
              <a:srgbClr val="B2D673"/>
            </a:solidFill>
            <a:ln>
              <a:solidFill>
                <a:srgbClr val="B2D673"/>
              </a:solidFill>
            </a:ln>
          </c:spPr>
          <c:invertIfNegative val="0"/>
          <c:cat>
            <c:strRef>
              <c:f>'Figure 13.19a+b+c'!$C$4:$K$4</c:f>
              <c:strCache>
                <c:ptCount val="9"/>
                <c:pt idx="0">
                  <c:v>NSW</c:v>
                </c:pt>
                <c:pt idx="1">
                  <c:v>Vic</c:v>
                </c:pt>
                <c:pt idx="2">
                  <c:v>Qld</c:v>
                </c:pt>
                <c:pt idx="3">
                  <c:v>WA</c:v>
                </c:pt>
                <c:pt idx="4">
                  <c:v>SA</c:v>
                </c:pt>
                <c:pt idx="5">
                  <c:v>Tas</c:v>
                </c:pt>
                <c:pt idx="6">
                  <c:v>ACT</c:v>
                </c:pt>
                <c:pt idx="7">
                  <c:v>NT</c:v>
                </c:pt>
                <c:pt idx="8">
                  <c:v>Aust</c:v>
                </c:pt>
              </c:strCache>
            </c:strRef>
          </c:cat>
          <c:val>
            <c:numRef>
              <c:f>'Figure 13.19a+b+c'!$C$5:$K$5</c:f>
              <c:numCache>
                <c:formatCode>0.0</c:formatCode>
                <c:ptCount val="9"/>
                <c:pt idx="0">
                  <c:v>68.7</c:v>
                </c:pt>
                <c:pt idx="1">
                  <c:v>75.2</c:v>
                </c:pt>
                <c:pt idx="2">
                  <c:v>74.7</c:v>
                </c:pt>
                <c:pt idx="3">
                  <c:v>72.5</c:v>
                </c:pt>
                <c:pt idx="4">
                  <c:v>65.099999999999994</c:v>
                </c:pt>
                <c:pt idx="5">
                  <c:v>74.8</c:v>
                </c:pt>
                <c:pt idx="6">
                  <c:v>0</c:v>
                </c:pt>
                <c:pt idx="7">
                  <c:v>78.7</c:v>
                </c:pt>
                <c:pt idx="8">
                  <c:v>72.5</c:v>
                </c:pt>
              </c:numCache>
            </c:numRef>
          </c:val>
        </c:ser>
        <c:ser>
          <c:idx val="1"/>
          <c:order val="1"/>
          <c:tx>
            <c:strRef>
              <c:f>'Figure 13.19a+b+c'!$B$6</c:f>
              <c:strCache>
                <c:ptCount val="1"/>
                <c:pt idx="0">
                  <c:v>No significant change</c:v>
                </c:pt>
              </c:strCache>
            </c:strRef>
          </c:tx>
          <c:spPr>
            <a:solidFill>
              <a:srgbClr val="265A9A"/>
            </a:solidFill>
            <a:ln>
              <a:solidFill>
                <a:srgbClr val="265A9A"/>
              </a:solidFill>
            </a:ln>
          </c:spPr>
          <c:invertIfNegative val="0"/>
          <c:cat>
            <c:strRef>
              <c:f>'Figure 13.19a+b+c'!$C$4:$K$4</c:f>
              <c:strCache>
                <c:ptCount val="9"/>
                <c:pt idx="0">
                  <c:v>NSW</c:v>
                </c:pt>
                <c:pt idx="1">
                  <c:v>Vic</c:v>
                </c:pt>
                <c:pt idx="2">
                  <c:v>Qld</c:v>
                </c:pt>
                <c:pt idx="3">
                  <c:v>WA</c:v>
                </c:pt>
                <c:pt idx="4">
                  <c:v>SA</c:v>
                </c:pt>
                <c:pt idx="5">
                  <c:v>Tas</c:v>
                </c:pt>
                <c:pt idx="6">
                  <c:v>ACT</c:v>
                </c:pt>
                <c:pt idx="7">
                  <c:v>NT</c:v>
                </c:pt>
                <c:pt idx="8">
                  <c:v>Aust</c:v>
                </c:pt>
              </c:strCache>
            </c:strRef>
          </c:cat>
          <c:val>
            <c:numRef>
              <c:f>'Figure 13.19a+b+c'!$C$6:$K$6</c:f>
              <c:numCache>
                <c:formatCode>0.0</c:formatCode>
                <c:ptCount val="9"/>
                <c:pt idx="0">
                  <c:v>26.4</c:v>
                </c:pt>
                <c:pt idx="1">
                  <c:v>20.2</c:v>
                </c:pt>
                <c:pt idx="2">
                  <c:v>19.8</c:v>
                </c:pt>
                <c:pt idx="3">
                  <c:v>24.1</c:v>
                </c:pt>
                <c:pt idx="4">
                  <c:v>29.9</c:v>
                </c:pt>
                <c:pt idx="5">
                  <c:v>20.5</c:v>
                </c:pt>
                <c:pt idx="6">
                  <c:v>0</c:v>
                </c:pt>
                <c:pt idx="7">
                  <c:v>16</c:v>
                </c:pt>
                <c:pt idx="8">
                  <c:v>22.8</c:v>
                </c:pt>
              </c:numCache>
            </c:numRef>
          </c:val>
        </c:ser>
        <c:ser>
          <c:idx val="2"/>
          <c:order val="2"/>
          <c:tx>
            <c:strRef>
              <c:f>'Figure 13.19a+b+c'!$B$7</c:f>
              <c:strCache>
                <c:ptCount val="1"/>
                <c:pt idx="0">
                  <c:v>Significant deterioration</c:v>
                </c:pt>
              </c:strCache>
            </c:strRef>
          </c:tx>
          <c:spPr>
            <a:solidFill>
              <a:srgbClr val="78A22F"/>
            </a:solidFill>
            <a:ln>
              <a:solidFill>
                <a:srgbClr val="78A22F"/>
              </a:solidFill>
            </a:ln>
          </c:spPr>
          <c:invertIfNegative val="0"/>
          <c:cat>
            <c:strRef>
              <c:f>'Figure 13.19a+b+c'!$C$4:$K$4</c:f>
              <c:strCache>
                <c:ptCount val="9"/>
                <c:pt idx="0">
                  <c:v>NSW</c:v>
                </c:pt>
                <c:pt idx="1">
                  <c:v>Vic</c:v>
                </c:pt>
                <c:pt idx="2">
                  <c:v>Qld</c:v>
                </c:pt>
                <c:pt idx="3">
                  <c:v>WA</c:v>
                </c:pt>
                <c:pt idx="4">
                  <c:v>SA</c:v>
                </c:pt>
                <c:pt idx="5">
                  <c:v>Tas</c:v>
                </c:pt>
                <c:pt idx="6">
                  <c:v>ACT</c:v>
                </c:pt>
                <c:pt idx="7">
                  <c:v>NT</c:v>
                </c:pt>
                <c:pt idx="8">
                  <c:v>Aust</c:v>
                </c:pt>
              </c:strCache>
            </c:strRef>
          </c:cat>
          <c:val>
            <c:numRef>
              <c:f>'Figure 13.19a+b+c'!$C$7:$K$7</c:f>
              <c:numCache>
                <c:formatCode>0.0</c:formatCode>
                <c:ptCount val="9"/>
                <c:pt idx="0">
                  <c:v>4.9000000000000004</c:v>
                </c:pt>
                <c:pt idx="1">
                  <c:v>4.5999999999999996</c:v>
                </c:pt>
                <c:pt idx="2">
                  <c:v>5.5</c:v>
                </c:pt>
                <c:pt idx="3">
                  <c:v>3.4</c:v>
                </c:pt>
                <c:pt idx="4">
                  <c:v>5.0999999999999996</c:v>
                </c:pt>
                <c:pt idx="5">
                  <c:v>4.8</c:v>
                </c:pt>
                <c:pt idx="6">
                  <c:v>0</c:v>
                </c:pt>
                <c:pt idx="7">
                  <c:v>5.3</c:v>
                </c:pt>
                <c:pt idx="8">
                  <c:v>4.7</c:v>
                </c:pt>
              </c:numCache>
            </c:numRef>
          </c:val>
        </c:ser>
        <c:dLbls>
          <c:showLegendKey val="0"/>
          <c:showVal val="0"/>
          <c:showCatName val="0"/>
          <c:showSerName val="0"/>
          <c:showPercent val="0"/>
          <c:showBubbleSize val="0"/>
        </c:dLbls>
        <c:gapWidth val="150"/>
        <c:overlap val="100"/>
        <c:axId val="331688072"/>
        <c:axId val="331683760"/>
      </c:barChart>
      <c:catAx>
        <c:axId val="331688072"/>
        <c:scaling>
          <c:orientation val="minMax"/>
        </c:scaling>
        <c:delete val="0"/>
        <c:axPos val="b"/>
        <c:numFmt formatCode="General" sourceLinked="0"/>
        <c:majorTickMark val="none"/>
        <c:minorTickMark val="none"/>
        <c:tickLblPos val="nextTo"/>
        <c:spPr>
          <a:ln>
            <a:solidFill>
              <a:srgbClr val="BFBFBF"/>
            </a:solidFill>
          </a:ln>
        </c:spPr>
        <c:crossAx val="331683760"/>
        <c:crosses val="autoZero"/>
        <c:auto val="1"/>
        <c:lblAlgn val="ctr"/>
        <c:lblOffset val="100"/>
        <c:noMultiLvlLbl val="0"/>
      </c:catAx>
      <c:valAx>
        <c:axId val="331683760"/>
        <c:scaling>
          <c:orientation val="minMax"/>
          <c:max val="10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a:pPr>
                <a:r>
                  <a:rPr lang="en-US"/>
                  <a:t>Per cent</a:t>
                </a:r>
              </a:p>
            </c:rich>
          </c:tx>
          <c:layout/>
          <c:overlay val="0"/>
        </c:title>
        <c:numFmt formatCode="0" sourceLinked="0"/>
        <c:majorTickMark val="out"/>
        <c:minorTickMark val="none"/>
        <c:tickLblPos val="nextTo"/>
        <c:spPr>
          <a:ln>
            <a:solidFill>
              <a:srgbClr val="BFBFBF"/>
            </a:solidFill>
          </a:ln>
        </c:spPr>
        <c:crossAx val="331688072"/>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813703703703708E-2"/>
          <c:y val="5.174074074074074E-2"/>
          <c:w val="0.87631592592592589"/>
          <c:h val="0.72281296296296293"/>
        </c:manualLayout>
      </c:layout>
      <c:barChart>
        <c:barDir val="col"/>
        <c:grouping val="clustered"/>
        <c:varyColors val="0"/>
        <c:ser>
          <c:idx val="0"/>
          <c:order val="0"/>
          <c:tx>
            <c:strRef>
              <c:f>'Figure 13.2'!$B$4</c:f>
              <c:strCache>
                <c:ptCount val="1"/>
                <c:pt idx="0">
                  <c:v>State and Territory governments' specialised</c:v>
                </c:pt>
              </c:strCache>
            </c:strRef>
          </c:tx>
          <c:spPr>
            <a:solidFill>
              <a:srgbClr val="265A9A"/>
            </a:solidFill>
            <a:ln>
              <a:solidFill>
                <a:srgbClr val="265A9A"/>
              </a:solidFill>
            </a:ln>
          </c:spPr>
          <c:invertIfNegative val="0"/>
          <c:cat>
            <c:strRef>
              <c:f>'Figure 13.2'!$C$3:$K$3</c:f>
              <c:strCache>
                <c:ptCount val="9"/>
                <c:pt idx="0">
                  <c:v>NSW</c:v>
                </c:pt>
                <c:pt idx="1">
                  <c:v>Vic</c:v>
                </c:pt>
                <c:pt idx="2">
                  <c:v>Qld</c:v>
                </c:pt>
                <c:pt idx="3">
                  <c:v>WA</c:v>
                </c:pt>
                <c:pt idx="4">
                  <c:v>SA</c:v>
                </c:pt>
                <c:pt idx="5">
                  <c:v>Tas</c:v>
                </c:pt>
                <c:pt idx="6">
                  <c:v>ACT</c:v>
                </c:pt>
                <c:pt idx="7">
                  <c:v>NT</c:v>
                </c:pt>
                <c:pt idx="8">
                  <c:v>Aust</c:v>
                </c:pt>
              </c:strCache>
            </c:strRef>
          </c:cat>
          <c:val>
            <c:numRef>
              <c:f>'Figure 13.2'!$C$4:$K$4</c:f>
              <c:numCache>
                <c:formatCode>0.0</c:formatCode>
                <c:ptCount val="9"/>
                <c:pt idx="0">
                  <c:v>1.8534325</c:v>
                </c:pt>
                <c:pt idx="1">
                  <c:v>1.1450034</c:v>
                </c:pt>
                <c:pt idx="2">
                  <c:v>2.0708134999999999</c:v>
                </c:pt>
                <c:pt idx="3">
                  <c:v>2.1731780000000001</c:v>
                </c:pt>
                <c:pt idx="4">
                  <c:v>2.5617432</c:v>
                </c:pt>
                <c:pt idx="5">
                  <c:v>2.1599512000000001</c:v>
                </c:pt>
                <c:pt idx="6">
                  <c:v>2.7349298000000002</c:v>
                </c:pt>
                <c:pt idx="7">
                  <c:v>2.8813651</c:v>
                </c:pt>
                <c:pt idx="8">
                  <c:v>1.8357975</c:v>
                </c:pt>
              </c:numCache>
            </c:numRef>
          </c:val>
        </c:ser>
        <c:ser>
          <c:idx val="1"/>
          <c:order val="1"/>
          <c:tx>
            <c:strRef>
              <c:f>'Figure 13.2'!$B$5</c:f>
              <c:strCache>
                <c:ptCount val="1"/>
                <c:pt idx="0">
                  <c:v>MBS/DVA subsidised </c:v>
                </c:pt>
              </c:strCache>
            </c:strRef>
          </c:tx>
          <c:spPr>
            <a:solidFill>
              <a:srgbClr val="78A22F"/>
            </a:solidFill>
            <a:ln>
              <a:solidFill>
                <a:srgbClr val="78A22F"/>
              </a:solidFill>
            </a:ln>
          </c:spPr>
          <c:invertIfNegative val="0"/>
          <c:cat>
            <c:strRef>
              <c:f>'Figure 13.2'!$C$3:$K$3</c:f>
              <c:strCache>
                <c:ptCount val="9"/>
                <c:pt idx="0">
                  <c:v>NSW</c:v>
                </c:pt>
                <c:pt idx="1">
                  <c:v>Vic</c:v>
                </c:pt>
                <c:pt idx="2">
                  <c:v>Qld</c:v>
                </c:pt>
                <c:pt idx="3">
                  <c:v>WA</c:v>
                </c:pt>
                <c:pt idx="4">
                  <c:v>SA</c:v>
                </c:pt>
                <c:pt idx="5">
                  <c:v>Tas</c:v>
                </c:pt>
                <c:pt idx="6">
                  <c:v>ACT</c:v>
                </c:pt>
                <c:pt idx="7">
                  <c:v>NT</c:v>
                </c:pt>
                <c:pt idx="8">
                  <c:v>Aust</c:v>
                </c:pt>
              </c:strCache>
            </c:strRef>
          </c:cat>
          <c:val>
            <c:numRef>
              <c:f>'Figure 13.2'!$C$5:$K$5</c:f>
              <c:numCache>
                <c:formatCode>0.0</c:formatCode>
                <c:ptCount val="9"/>
                <c:pt idx="0">
                  <c:v>9.7287397999999996</c:v>
                </c:pt>
                <c:pt idx="1">
                  <c:v>10.767899999999999</c:v>
                </c:pt>
                <c:pt idx="2">
                  <c:v>10.073326</c:v>
                </c:pt>
                <c:pt idx="3">
                  <c:v>7.7874911999999998</c:v>
                </c:pt>
                <c:pt idx="4">
                  <c:v>9.5288740000000001</c:v>
                </c:pt>
                <c:pt idx="5">
                  <c:v>9.3839062999999996</c:v>
                </c:pt>
                <c:pt idx="6">
                  <c:v>8.2496869999999998</c:v>
                </c:pt>
                <c:pt idx="7">
                  <c:v>4.3847255000000001</c:v>
                </c:pt>
                <c:pt idx="8">
                  <c:v>9.6432479999999998</c:v>
                </c:pt>
              </c:numCache>
            </c:numRef>
          </c:val>
        </c:ser>
        <c:dLbls>
          <c:showLegendKey val="0"/>
          <c:showVal val="0"/>
          <c:showCatName val="0"/>
          <c:showSerName val="0"/>
          <c:showPercent val="0"/>
          <c:showBubbleSize val="0"/>
        </c:dLbls>
        <c:gapWidth val="150"/>
        <c:axId val="331753480"/>
        <c:axId val="331758576"/>
      </c:barChart>
      <c:catAx>
        <c:axId val="33175348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1758576"/>
        <c:crosses val="autoZero"/>
        <c:auto val="1"/>
        <c:lblAlgn val="ctr"/>
        <c:lblOffset val="100"/>
        <c:noMultiLvlLbl val="0"/>
      </c:catAx>
      <c:valAx>
        <c:axId val="331758576"/>
        <c:scaling>
          <c:orientation val="minMax"/>
          <c:max val="12"/>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manualLayout>
              <c:xMode val="edge"/>
              <c:yMode val="edge"/>
              <c:x val="2.587037037037037E-2"/>
              <c:y val="0.32962111111111109"/>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1753480"/>
        <c:crosses val="autoZero"/>
        <c:crossBetween val="between"/>
        <c:majorUnit val="3"/>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7.533648148148149E-2"/>
          <c:y val="0.85230814814814815"/>
          <c:w val="0.71527129629629627"/>
          <c:h val="0.12887703703703704"/>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388700916290219E-2"/>
          <c:y val="0.14370580181038292"/>
          <c:w val="0.91387851851851853"/>
          <c:h val="0.66902025968363832"/>
        </c:manualLayout>
      </c:layout>
      <c:barChart>
        <c:barDir val="col"/>
        <c:grouping val="clustered"/>
        <c:varyColors val="0"/>
        <c:ser>
          <c:idx val="0"/>
          <c:order val="0"/>
          <c:tx>
            <c:strRef>
              <c:f>'Figure 13.4a'!$B$4</c:f>
              <c:strCache>
                <c:ptCount val="1"/>
                <c:pt idx="0">
                  <c:v>Aboriginal and Torres Strait Islander Australians</c:v>
                </c:pt>
              </c:strCache>
            </c:strRef>
          </c:tx>
          <c:spPr>
            <a:solidFill>
              <a:srgbClr val="265A9A"/>
            </a:solidFill>
            <a:ln>
              <a:solidFill>
                <a:srgbClr val="265A9A"/>
              </a:solidFill>
            </a:ln>
          </c:spPr>
          <c:invertIfNegative val="0"/>
          <c:cat>
            <c:strRef>
              <c:f>'Figure 13.4a'!$C$3:$K$3</c:f>
              <c:strCache>
                <c:ptCount val="9"/>
                <c:pt idx="0">
                  <c:v>NSW</c:v>
                </c:pt>
                <c:pt idx="1">
                  <c:v>Vic</c:v>
                </c:pt>
                <c:pt idx="2">
                  <c:v>Qld</c:v>
                </c:pt>
                <c:pt idx="3">
                  <c:v>WA</c:v>
                </c:pt>
                <c:pt idx="4">
                  <c:v>SA</c:v>
                </c:pt>
                <c:pt idx="5">
                  <c:v>Tas</c:v>
                </c:pt>
                <c:pt idx="6">
                  <c:v>ACT</c:v>
                </c:pt>
                <c:pt idx="7">
                  <c:v>NT</c:v>
                </c:pt>
                <c:pt idx="8">
                  <c:v>Aust</c:v>
                </c:pt>
              </c:strCache>
            </c:strRef>
          </c:cat>
          <c:val>
            <c:numRef>
              <c:f>'Figure 13.4a'!$C$4:$K$4</c:f>
              <c:numCache>
                <c:formatCode>0.0</c:formatCode>
                <c:ptCount val="9"/>
                <c:pt idx="0">
                  <c:v>6.0776000000000003</c:v>
                </c:pt>
                <c:pt idx="1">
                  <c:v>3.3269000000000002</c:v>
                </c:pt>
                <c:pt idx="2">
                  <c:v>4.9481999999999999</c:v>
                </c:pt>
                <c:pt idx="3">
                  <c:v>6.1284000000000001</c:v>
                </c:pt>
                <c:pt idx="4">
                  <c:v>7.1012000000000004</c:v>
                </c:pt>
                <c:pt idx="5">
                  <c:v>2.7389000000000001</c:v>
                </c:pt>
                <c:pt idx="6">
                  <c:v>8.8463999999999992</c:v>
                </c:pt>
                <c:pt idx="7">
                  <c:v>4.3075999999999999</c:v>
                </c:pt>
                <c:pt idx="8">
                  <c:v>5.3446999999999996</c:v>
                </c:pt>
              </c:numCache>
            </c:numRef>
          </c:val>
        </c:ser>
        <c:ser>
          <c:idx val="1"/>
          <c:order val="1"/>
          <c:tx>
            <c:strRef>
              <c:f>'Figure 13.4a'!$B$5</c:f>
              <c:strCache>
                <c:ptCount val="1"/>
                <c:pt idx="0">
                  <c:v>Non-Indigenous Australians</c:v>
                </c:pt>
              </c:strCache>
            </c:strRef>
          </c:tx>
          <c:spPr>
            <a:solidFill>
              <a:srgbClr val="78A22F"/>
            </a:solidFill>
            <a:ln>
              <a:solidFill>
                <a:srgbClr val="78A22F"/>
              </a:solidFill>
            </a:ln>
          </c:spPr>
          <c:invertIfNegative val="0"/>
          <c:cat>
            <c:strRef>
              <c:f>'Figure 13.4a'!$C$3:$K$3</c:f>
              <c:strCache>
                <c:ptCount val="9"/>
                <c:pt idx="0">
                  <c:v>NSW</c:v>
                </c:pt>
                <c:pt idx="1">
                  <c:v>Vic</c:v>
                </c:pt>
                <c:pt idx="2">
                  <c:v>Qld</c:v>
                </c:pt>
                <c:pt idx="3">
                  <c:v>WA</c:v>
                </c:pt>
                <c:pt idx="4">
                  <c:v>SA</c:v>
                </c:pt>
                <c:pt idx="5">
                  <c:v>Tas</c:v>
                </c:pt>
                <c:pt idx="6">
                  <c:v>ACT</c:v>
                </c:pt>
                <c:pt idx="7">
                  <c:v>NT</c:v>
                </c:pt>
                <c:pt idx="8">
                  <c:v>Aust</c:v>
                </c:pt>
              </c:strCache>
            </c:strRef>
          </c:cat>
          <c:val>
            <c:numRef>
              <c:f>'Figure 13.4a'!$C$5:$K$5</c:f>
              <c:numCache>
                <c:formatCode>0.0</c:formatCode>
                <c:ptCount val="9"/>
                <c:pt idx="0">
                  <c:v>1.5802</c:v>
                </c:pt>
                <c:pt idx="1">
                  <c:v>1.0823</c:v>
                </c:pt>
                <c:pt idx="2">
                  <c:v>1.911</c:v>
                </c:pt>
                <c:pt idx="3">
                  <c:v>1.9704999999999999</c:v>
                </c:pt>
                <c:pt idx="4">
                  <c:v>2.0249999999999999</c:v>
                </c:pt>
                <c:pt idx="5">
                  <c:v>2.0529999999999999</c:v>
                </c:pt>
                <c:pt idx="6">
                  <c:v>2.5482999999999998</c:v>
                </c:pt>
                <c:pt idx="7">
                  <c:v>2.2921</c:v>
                </c:pt>
                <c:pt idx="8">
                  <c:v>1.6223000000000001</c:v>
                </c:pt>
              </c:numCache>
            </c:numRef>
          </c:val>
        </c:ser>
        <c:dLbls>
          <c:showLegendKey val="0"/>
          <c:showVal val="0"/>
          <c:showCatName val="0"/>
          <c:showSerName val="0"/>
          <c:showPercent val="0"/>
          <c:showBubbleSize val="0"/>
        </c:dLbls>
        <c:gapWidth val="150"/>
        <c:axId val="331754264"/>
        <c:axId val="331758968"/>
      </c:barChart>
      <c:catAx>
        <c:axId val="331754264"/>
        <c:scaling>
          <c:orientation val="minMax"/>
        </c:scaling>
        <c:delete val="0"/>
        <c:axPos val="b"/>
        <c:numFmt formatCode="General" sourceLinked="0"/>
        <c:majorTickMark val="none"/>
        <c:minorTickMark val="none"/>
        <c:tickLblPos val="nextTo"/>
        <c:spPr>
          <a:ln>
            <a:solidFill>
              <a:srgbClr val="BFBFBF"/>
            </a:solidFill>
          </a:ln>
        </c:spPr>
        <c:crossAx val="331758968"/>
        <c:crosses val="autoZero"/>
        <c:auto val="1"/>
        <c:lblAlgn val="ctr"/>
        <c:lblOffset val="100"/>
        <c:noMultiLvlLbl val="0"/>
      </c:catAx>
      <c:valAx>
        <c:axId val="331758968"/>
        <c:scaling>
          <c:orientation val="minMax"/>
          <c:max val="1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a:pPr>
                <a:r>
                  <a:rPr lang="en-US"/>
                  <a:t>Per cent</a:t>
                </a:r>
              </a:p>
            </c:rich>
          </c:tx>
          <c:layout>
            <c:manualLayout>
              <c:xMode val="edge"/>
              <c:yMode val="edge"/>
              <c:x val="1.3307960906756336E-2"/>
              <c:y val="0.27655680749894412"/>
            </c:manualLayout>
          </c:layout>
          <c:overlay val="0"/>
        </c:title>
        <c:numFmt formatCode="0" sourceLinked="0"/>
        <c:majorTickMark val="out"/>
        <c:minorTickMark val="none"/>
        <c:tickLblPos val="nextTo"/>
        <c:spPr>
          <a:ln>
            <a:solidFill>
              <a:srgbClr val="BFBFBF"/>
            </a:solidFill>
          </a:ln>
        </c:spPr>
        <c:crossAx val="331754264"/>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714444444444439E-2"/>
          <c:y val="5.6088333333333323E-2"/>
          <c:w val="0.89041518518518514"/>
          <c:h val="0.718275"/>
        </c:manualLayout>
      </c:layout>
      <c:barChart>
        <c:barDir val="col"/>
        <c:grouping val="clustered"/>
        <c:varyColors val="0"/>
        <c:ser>
          <c:idx val="0"/>
          <c:order val="0"/>
          <c:tx>
            <c:strRef>
              <c:f>'Figure 13.5'!$B$5</c:f>
              <c:strCache>
                <c:ptCount val="1"/>
                <c:pt idx="0">
                  <c:v>Aboriginal and Torres Strait Islander Australians</c:v>
                </c:pt>
              </c:strCache>
            </c:strRef>
          </c:tx>
          <c:spPr>
            <a:solidFill>
              <a:srgbClr val="265A9A"/>
            </a:solidFill>
            <a:ln>
              <a:solidFill>
                <a:srgbClr val="265A9A"/>
              </a:solidFill>
            </a:ln>
          </c:spPr>
          <c:invertIfNegative val="0"/>
          <c:cat>
            <c:strRef>
              <c:f>'Figure 13.5'!$C$4:$K$4</c:f>
              <c:strCache>
                <c:ptCount val="9"/>
                <c:pt idx="0">
                  <c:v>NSW</c:v>
                </c:pt>
                <c:pt idx="1">
                  <c:v>Vic</c:v>
                </c:pt>
                <c:pt idx="2">
                  <c:v>Qld</c:v>
                </c:pt>
                <c:pt idx="3">
                  <c:v>WA</c:v>
                </c:pt>
                <c:pt idx="4">
                  <c:v>SA</c:v>
                </c:pt>
                <c:pt idx="5">
                  <c:v>Tas</c:v>
                </c:pt>
                <c:pt idx="6">
                  <c:v>ACT</c:v>
                </c:pt>
                <c:pt idx="7">
                  <c:v>NT</c:v>
                </c:pt>
                <c:pt idx="8">
                  <c:v>Aust</c:v>
                </c:pt>
              </c:strCache>
            </c:strRef>
          </c:cat>
          <c:val>
            <c:numRef>
              <c:f>'Figure 13.5'!$C$5:$K$5</c:f>
              <c:numCache>
                <c:formatCode>0.0</c:formatCode>
                <c:ptCount val="9"/>
                <c:pt idx="0">
                  <c:v>13.804600000000001</c:v>
                </c:pt>
                <c:pt idx="1">
                  <c:v>16.183399999999999</c:v>
                </c:pt>
                <c:pt idx="2">
                  <c:v>9.8462999999999994</c:v>
                </c:pt>
                <c:pt idx="3">
                  <c:v>6.1337999999999999</c:v>
                </c:pt>
                <c:pt idx="4">
                  <c:v>11.3033</c:v>
                </c:pt>
                <c:pt idx="5">
                  <c:v>11.4489</c:v>
                </c:pt>
                <c:pt idx="6">
                  <c:v>14.7012</c:v>
                </c:pt>
                <c:pt idx="7">
                  <c:v>2.1928999999999998</c:v>
                </c:pt>
                <c:pt idx="8">
                  <c:v>10.3772</c:v>
                </c:pt>
              </c:numCache>
            </c:numRef>
          </c:val>
        </c:ser>
        <c:ser>
          <c:idx val="1"/>
          <c:order val="1"/>
          <c:tx>
            <c:strRef>
              <c:f>'Figure 13.5'!$B$6</c:f>
              <c:strCache>
                <c:ptCount val="1"/>
                <c:pt idx="0">
                  <c:v>Non-Indigenous Australians</c:v>
                </c:pt>
              </c:strCache>
            </c:strRef>
          </c:tx>
          <c:spPr>
            <a:solidFill>
              <a:srgbClr val="78A22F"/>
            </a:solidFill>
            <a:ln>
              <a:solidFill>
                <a:srgbClr val="78A22F"/>
              </a:solidFill>
            </a:ln>
          </c:spPr>
          <c:invertIfNegative val="0"/>
          <c:cat>
            <c:strRef>
              <c:f>'Figure 13.5'!$C$4:$K$4</c:f>
              <c:strCache>
                <c:ptCount val="9"/>
                <c:pt idx="0">
                  <c:v>NSW</c:v>
                </c:pt>
                <c:pt idx="1">
                  <c:v>Vic</c:v>
                </c:pt>
                <c:pt idx="2">
                  <c:v>Qld</c:v>
                </c:pt>
                <c:pt idx="3">
                  <c:v>WA</c:v>
                </c:pt>
                <c:pt idx="4">
                  <c:v>SA</c:v>
                </c:pt>
                <c:pt idx="5">
                  <c:v>Tas</c:v>
                </c:pt>
                <c:pt idx="6">
                  <c:v>ACT</c:v>
                </c:pt>
                <c:pt idx="7">
                  <c:v>NT</c:v>
                </c:pt>
                <c:pt idx="8">
                  <c:v>Aust</c:v>
                </c:pt>
              </c:strCache>
            </c:strRef>
          </c:cat>
          <c:val>
            <c:numRef>
              <c:f>'Figure 13.5'!$C$6:$K$6</c:f>
              <c:numCache>
                <c:formatCode>0.0</c:formatCode>
                <c:ptCount val="9"/>
                <c:pt idx="0">
                  <c:v>9.5225000000000009</c:v>
                </c:pt>
                <c:pt idx="1">
                  <c:v>10.667999999999999</c:v>
                </c:pt>
                <c:pt idx="2">
                  <c:v>9.9046000000000003</c:v>
                </c:pt>
                <c:pt idx="3">
                  <c:v>7.7927999999999997</c:v>
                </c:pt>
                <c:pt idx="4">
                  <c:v>9.3841999999999999</c:v>
                </c:pt>
                <c:pt idx="5">
                  <c:v>9.1933000000000007</c:v>
                </c:pt>
                <c:pt idx="6">
                  <c:v>8.0223999999999993</c:v>
                </c:pt>
                <c:pt idx="7">
                  <c:v>5.2385999999999999</c:v>
                </c:pt>
                <c:pt idx="8">
                  <c:v>9.6224000000000007</c:v>
                </c:pt>
              </c:numCache>
            </c:numRef>
          </c:val>
        </c:ser>
        <c:dLbls>
          <c:showLegendKey val="0"/>
          <c:showVal val="0"/>
          <c:showCatName val="0"/>
          <c:showSerName val="0"/>
          <c:showPercent val="0"/>
          <c:showBubbleSize val="0"/>
        </c:dLbls>
        <c:gapWidth val="150"/>
        <c:axId val="331752304"/>
        <c:axId val="331754656"/>
      </c:barChart>
      <c:catAx>
        <c:axId val="331752304"/>
        <c:scaling>
          <c:orientation val="minMax"/>
        </c:scaling>
        <c:delete val="0"/>
        <c:axPos val="b"/>
        <c:numFmt formatCode="General" sourceLinked="0"/>
        <c:majorTickMark val="none"/>
        <c:minorTickMark val="none"/>
        <c:tickLblPos val="nextTo"/>
        <c:spPr>
          <a:ln>
            <a:solidFill>
              <a:srgbClr val="BFBFBF"/>
            </a:solidFill>
          </a:ln>
        </c:spPr>
        <c:crossAx val="331754656"/>
        <c:crosses val="autoZero"/>
        <c:auto val="1"/>
        <c:lblAlgn val="ctr"/>
        <c:lblOffset val="100"/>
        <c:noMultiLvlLbl val="0"/>
      </c:catAx>
      <c:valAx>
        <c:axId val="331754656"/>
        <c:scaling>
          <c:orientation val="minMax"/>
          <c:max val="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a:pPr>
                <a:r>
                  <a:rPr lang="en-US"/>
                  <a:t>Per cent</a:t>
                </a:r>
              </a:p>
            </c:rich>
          </c:tx>
          <c:layout/>
          <c:overlay val="0"/>
        </c:title>
        <c:numFmt formatCode="0" sourceLinked="0"/>
        <c:majorTickMark val="out"/>
        <c:minorTickMark val="none"/>
        <c:tickLblPos val="nextTo"/>
        <c:spPr>
          <a:ln>
            <a:solidFill>
              <a:srgbClr val="BFBFBF"/>
            </a:solidFill>
          </a:ln>
        </c:spPr>
        <c:crossAx val="331752304"/>
        <c:crosses val="autoZero"/>
        <c:crossBetween val="between"/>
        <c:majorUnit val="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8.0394814814814822E-2"/>
          <c:y val="0.88746722222222219"/>
          <c:w val="0.89565481481481479"/>
          <c:h val="9.8421666666666671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173333333333325E-2"/>
          <c:y val="4.9304814814814815E-2"/>
          <c:w val="0.87049333333333334"/>
          <c:h val="0.70031814814814819"/>
        </c:manualLayout>
      </c:layout>
      <c:barChart>
        <c:barDir val="col"/>
        <c:grouping val="clustered"/>
        <c:varyColors val="0"/>
        <c:ser>
          <c:idx val="0"/>
          <c:order val="0"/>
          <c:tx>
            <c:strRef>
              <c:f>'Figure 13.5'!$B$4</c:f>
              <c:strCache>
                <c:ptCount val="1"/>
                <c:pt idx="0">
                  <c:v>Pre-school (0–4 years)</c:v>
                </c:pt>
              </c:strCache>
            </c:strRef>
          </c:tx>
          <c:spPr>
            <a:solidFill>
              <a:srgbClr val="387DD2"/>
            </a:solidFill>
            <a:ln>
              <a:solidFill>
                <a:srgbClr val="387DD2"/>
              </a:solidFill>
            </a:ln>
          </c:spPr>
          <c:invertIfNegative val="0"/>
          <c:cat>
            <c:strRef>
              <c:f>'Figure 13.5'!$C$3:$K$3</c:f>
              <c:strCache>
                <c:ptCount val="9"/>
                <c:pt idx="0">
                  <c:v>NSW</c:v>
                </c:pt>
                <c:pt idx="1">
                  <c:v>Vic</c:v>
                </c:pt>
                <c:pt idx="2">
                  <c:v>Qld</c:v>
                </c:pt>
                <c:pt idx="3">
                  <c:v>WA</c:v>
                </c:pt>
                <c:pt idx="4">
                  <c:v>SA</c:v>
                </c:pt>
                <c:pt idx="5">
                  <c:v>Tas</c:v>
                </c:pt>
                <c:pt idx="6">
                  <c:v>ACT</c:v>
                </c:pt>
                <c:pt idx="7">
                  <c:v>NT</c:v>
                </c:pt>
                <c:pt idx="8">
                  <c:v>Aust</c:v>
                </c:pt>
              </c:strCache>
            </c:strRef>
          </c:cat>
          <c:val>
            <c:numRef>
              <c:f>'Figure 13.5'!$C$4:$K$4</c:f>
              <c:numCache>
                <c:formatCode>0.0</c:formatCode>
                <c:ptCount val="9"/>
                <c:pt idx="0">
                  <c:v>0.99846299999999999</c:v>
                </c:pt>
                <c:pt idx="1">
                  <c:v>1.0709147999999999</c:v>
                </c:pt>
                <c:pt idx="2">
                  <c:v>0.93766729999999998</c:v>
                </c:pt>
                <c:pt idx="3">
                  <c:v>0.64383270000000004</c:v>
                </c:pt>
                <c:pt idx="4">
                  <c:v>1.0497211</c:v>
                </c:pt>
                <c:pt idx="5">
                  <c:v>0.63074730000000001</c:v>
                </c:pt>
                <c:pt idx="6">
                  <c:v>0.4447449</c:v>
                </c:pt>
                <c:pt idx="7">
                  <c:v>0.27353430000000001</c:v>
                </c:pt>
                <c:pt idx="8">
                  <c:v>0.94301330000000005</c:v>
                </c:pt>
              </c:numCache>
            </c:numRef>
          </c:val>
        </c:ser>
        <c:ser>
          <c:idx val="1"/>
          <c:order val="1"/>
          <c:tx>
            <c:strRef>
              <c:f>'Figure 13.5'!$B$5</c:f>
              <c:strCache>
                <c:ptCount val="1"/>
                <c:pt idx="0">
                  <c:v>Primary school (5–11 years)</c:v>
                </c:pt>
              </c:strCache>
            </c:strRef>
          </c:tx>
          <c:spPr>
            <a:solidFill>
              <a:srgbClr val="000000"/>
            </a:solidFill>
            <a:ln>
              <a:solidFill>
                <a:srgbClr val="000000"/>
              </a:solidFill>
            </a:ln>
          </c:spPr>
          <c:invertIfNegative val="0"/>
          <c:cat>
            <c:strRef>
              <c:f>'Figure 13.5'!$C$3:$K$3</c:f>
              <c:strCache>
                <c:ptCount val="9"/>
                <c:pt idx="0">
                  <c:v>NSW</c:v>
                </c:pt>
                <c:pt idx="1">
                  <c:v>Vic</c:v>
                </c:pt>
                <c:pt idx="2">
                  <c:v>Qld</c:v>
                </c:pt>
                <c:pt idx="3">
                  <c:v>WA</c:v>
                </c:pt>
                <c:pt idx="4">
                  <c:v>SA</c:v>
                </c:pt>
                <c:pt idx="5">
                  <c:v>Tas</c:v>
                </c:pt>
                <c:pt idx="6">
                  <c:v>ACT</c:v>
                </c:pt>
                <c:pt idx="7">
                  <c:v>NT</c:v>
                </c:pt>
                <c:pt idx="8">
                  <c:v>Aust</c:v>
                </c:pt>
              </c:strCache>
            </c:strRef>
          </c:cat>
          <c:val>
            <c:numRef>
              <c:f>'Figure 13.5'!$C$5:$K$5</c:f>
              <c:numCache>
                <c:formatCode>0.0</c:formatCode>
                <c:ptCount val="9"/>
                <c:pt idx="0">
                  <c:v>5.9987338000000001</c:v>
                </c:pt>
                <c:pt idx="1">
                  <c:v>7.8339634</c:v>
                </c:pt>
                <c:pt idx="2">
                  <c:v>7.0130046999999998</c:v>
                </c:pt>
                <c:pt idx="3">
                  <c:v>4.8898634999999997</c:v>
                </c:pt>
                <c:pt idx="4">
                  <c:v>6.3944970999999997</c:v>
                </c:pt>
                <c:pt idx="5">
                  <c:v>5.7480418999999996</c:v>
                </c:pt>
                <c:pt idx="6">
                  <c:v>4.7567721000000001</c:v>
                </c:pt>
                <c:pt idx="7">
                  <c:v>2.0126648999999999</c:v>
                </c:pt>
                <c:pt idx="8">
                  <c:v>6.4996165000000001</c:v>
                </c:pt>
              </c:numCache>
            </c:numRef>
          </c:val>
        </c:ser>
        <c:ser>
          <c:idx val="2"/>
          <c:order val="2"/>
          <c:tx>
            <c:strRef>
              <c:f>'Figure 13.5'!$B$6</c:f>
              <c:strCache>
                <c:ptCount val="1"/>
                <c:pt idx="0">
                  <c:v>Secondary school (12–17 years)</c:v>
                </c:pt>
              </c:strCache>
            </c:strRef>
          </c:tx>
          <c:spPr>
            <a:solidFill>
              <a:srgbClr val="B2D673"/>
            </a:solidFill>
            <a:ln>
              <a:solidFill>
                <a:srgbClr val="B2D673"/>
              </a:solidFill>
            </a:ln>
          </c:spPr>
          <c:invertIfNegative val="0"/>
          <c:cat>
            <c:strRef>
              <c:f>'Figure 13.5'!$C$3:$K$3</c:f>
              <c:strCache>
                <c:ptCount val="9"/>
                <c:pt idx="0">
                  <c:v>NSW</c:v>
                </c:pt>
                <c:pt idx="1">
                  <c:v>Vic</c:v>
                </c:pt>
                <c:pt idx="2">
                  <c:v>Qld</c:v>
                </c:pt>
                <c:pt idx="3">
                  <c:v>WA</c:v>
                </c:pt>
                <c:pt idx="4">
                  <c:v>SA</c:v>
                </c:pt>
                <c:pt idx="5">
                  <c:v>Tas</c:v>
                </c:pt>
                <c:pt idx="6">
                  <c:v>ACT</c:v>
                </c:pt>
                <c:pt idx="7">
                  <c:v>NT</c:v>
                </c:pt>
                <c:pt idx="8">
                  <c:v>Aust</c:v>
                </c:pt>
              </c:strCache>
            </c:strRef>
          </c:cat>
          <c:val>
            <c:numRef>
              <c:f>'Figure 13.5'!$C$6:$K$6</c:f>
              <c:numCache>
                <c:formatCode>0.0</c:formatCode>
                <c:ptCount val="9"/>
                <c:pt idx="0">
                  <c:v>9.8606231999999991</c:v>
                </c:pt>
                <c:pt idx="1">
                  <c:v>10.930903000000001</c:v>
                </c:pt>
                <c:pt idx="2">
                  <c:v>10.388509000000001</c:v>
                </c:pt>
                <c:pt idx="3">
                  <c:v>8.3676945000000007</c:v>
                </c:pt>
                <c:pt idx="4">
                  <c:v>9.3894976999999997</c:v>
                </c:pt>
                <c:pt idx="5">
                  <c:v>10.686047</c:v>
                </c:pt>
                <c:pt idx="6">
                  <c:v>10.855064</c:v>
                </c:pt>
                <c:pt idx="7">
                  <c:v>4.3504107000000003</c:v>
                </c:pt>
                <c:pt idx="8">
                  <c:v>10.016590000000001</c:v>
                </c:pt>
              </c:numCache>
            </c:numRef>
          </c:val>
        </c:ser>
        <c:ser>
          <c:idx val="3"/>
          <c:order val="3"/>
          <c:tx>
            <c:strRef>
              <c:f>'Figure 13.5'!$B$7</c:f>
              <c:strCache>
                <c:ptCount val="1"/>
                <c:pt idx="0">
                  <c:v>Youth/young adult (18–24 years)</c:v>
                </c:pt>
              </c:strCache>
            </c:strRef>
          </c:tx>
          <c:spPr>
            <a:solidFill>
              <a:srgbClr val="265A9A"/>
            </a:solidFill>
            <a:ln>
              <a:solidFill>
                <a:srgbClr val="265A9A"/>
              </a:solidFill>
            </a:ln>
          </c:spPr>
          <c:invertIfNegative val="0"/>
          <c:cat>
            <c:strRef>
              <c:f>'Figure 13.5'!$C$3:$K$3</c:f>
              <c:strCache>
                <c:ptCount val="9"/>
                <c:pt idx="0">
                  <c:v>NSW</c:v>
                </c:pt>
                <c:pt idx="1">
                  <c:v>Vic</c:v>
                </c:pt>
                <c:pt idx="2">
                  <c:v>Qld</c:v>
                </c:pt>
                <c:pt idx="3">
                  <c:v>WA</c:v>
                </c:pt>
                <c:pt idx="4">
                  <c:v>SA</c:v>
                </c:pt>
                <c:pt idx="5">
                  <c:v>Tas</c:v>
                </c:pt>
                <c:pt idx="6">
                  <c:v>ACT</c:v>
                </c:pt>
                <c:pt idx="7">
                  <c:v>NT</c:v>
                </c:pt>
                <c:pt idx="8">
                  <c:v>Aust</c:v>
                </c:pt>
              </c:strCache>
            </c:strRef>
          </c:cat>
          <c:val>
            <c:numRef>
              <c:f>'Figure 13.5'!$C$7:$K$7</c:f>
              <c:numCache>
                <c:formatCode>0.0</c:formatCode>
                <c:ptCount val="9"/>
                <c:pt idx="0">
                  <c:v>12.096484999999999</c:v>
                </c:pt>
                <c:pt idx="1">
                  <c:v>12.249807000000001</c:v>
                </c:pt>
                <c:pt idx="2">
                  <c:v>12.729521</c:v>
                </c:pt>
                <c:pt idx="3">
                  <c:v>11.239833000000001</c:v>
                </c:pt>
                <c:pt idx="4">
                  <c:v>12.266135</c:v>
                </c:pt>
                <c:pt idx="5">
                  <c:v>14.367815999999999</c:v>
                </c:pt>
                <c:pt idx="6">
                  <c:v>11.240977000000001</c:v>
                </c:pt>
                <c:pt idx="7">
                  <c:v>6.2055645000000004</c:v>
                </c:pt>
                <c:pt idx="8">
                  <c:v>12.152061</c:v>
                </c:pt>
              </c:numCache>
            </c:numRef>
          </c:val>
        </c:ser>
        <c:ser>
          <c:idx val="4"/>
          <c:order val="4"/>
          <c:tx>
            <c:strRef>
              <c:f>'Figure 13.5'!$B$8</c:f>
              <c:strCache>
                <c:ptCount val="1"/>
                <c:pt idx="0">
                  <c:v>All children and young people aged &lt;25 years</c:v>
                </c:pt>
              </c:strCache>
            </c:strRef>
          </c:tx>
          <c:spPr>
            <a:solidFill>
              <a:srgbClr val="78A22F"/>
            </a:solidFill>
            <a:ln>
              <a:solidFill>
                <a:srgbClr val="78A22F"/>
              </a:solidFill>
            </a:ln>
          </c:spPr>
          <c:invertIfNegative val="0"/>
          <c:cat>
            <c:strRef>
              <c:f>'Figure 13.5'!$C$3:$K$3</c:f>
              <c:strCache>
                <c:ptCount val="9"/>
                <c:pt idx="0">
                  <c:v>NSW</c:v>
                </c:pt>
                <c:pt idx="1">
                  <c:v>Vic</c:v>
                </c:pt>
                <c:pt idx="2">
                  <c:v>Qld</c:v>
                </c:pt>
                <c:pt idx="3">
                  <c:v>WA</c:v>
                </c:pt>
                <c:pt idx="4">
                  <c:v>SA</c:v>
                </c:pt>
                <c:pt idx="5">
                  <c:v>Tas</c:v>
                </c:pt>
                <c:pt idx="6">
                  <c:v>ACT</c:v>
                </c:pt>
                <c:pt idx="7">
                  <c:v>NT</c:v>
                </c:pt>
                <c:pt idx="8">
                  <c:v>Aust</c:v>
                </c:pt>
              </c:strCache>
            </c:strRef>
          </c:cat>
          <c:val>
            <c:numRef>
              <c:f>'Figure 13.5'!$C$8:$K$8</c:f>
              <c:numCache>
                <c:formatCode>0.0</c:formatCode>
                <c:ptCount val="9"/>
                <c:pt idx="0">
                  <c:v>7.6279602999999998</c:v>
                </c:pt>
                <c:pt idx="1">
                  <c:v>8.4842575999999994</c:v>
                </c:pt>
                <c:pt idx="2">
                  <c:v>8.2369401</c:v>
                </c:pt>
                <c:pt idx="3">
                  <c:v>6.5890477000000001</c:v>
                </c:pt>
                <c:pt idx="4">
                  <c:v>7.8025304999999996</c:v>
                </c:pt>
                <c:pt idx="5">
                  <c:v>8.3794371000000005</c:v>
                </c:pt>
                <c:pt idx="6">
                  <c:v>7.2086072000000003</c:v>
                </c:pt>
                <c:pt idx="7">
                  <c:v>3.2940257000000002</c:v>
                </c:pt>
                <c:pt idx="8">
                  <c:v>7.8302446000000003</c:v>
                </c:pt>
              </c:numCache>
            </c:numRef>
          </c:val>
        </c:ser>
        <c:dLbls>
          <c:showLegendKey val="0"/>
          <c:showVal val="0"/>
          <c:showCatName val="0"/>
          <c:showSerName val="0"/>
          <c:showPercent val="0"/>
          <c:showBubbleSize val="0"/>
        </c:dLbls>
        <c:gapWidth val="150"/>
        <c:axId val="331755048"/>
        <c:axId val="331757008"/>
      </c:barChart>
      <c:catAx>
        <c:axId val="33175504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1757008"/>
        <c:crosses val="autoZero"/>
        <c:auto val="1"/>
        <c:lblAlgn val="ctr"/>
        <c:lblOffset val="100"/>
        <c:noMultiLvlLbl val="0"/>
      </c:catAx>
      <c:valAx>
        <c:axId val="331757008"/>
        <c:scaling>
          <c:orientation val="minMax"/>
          <c:max val="15"/>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manualLayout>
              <c:xMode val="edge"/>
              <c:yMode val="edge"/>
              <c:x val="1.702065148668808E-2"/>
              <c:y val="0.30544582751174904"/>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1755048"/>
        <c:crosses val="autoZero"/>
        <c:crossBetween val="between"/>
        <c:majorUnit val="3"/>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5.5598518518518519E-2"/>
          <c:y val="0.82950185185185188"/>
          <c:w val="0.94054351851851847"/>
          <c:h val="0.14227592592592594"/>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08796296296296"/>
          <c:y val="6.4675925925925928E-2"/>
          <c:w val="0.8590416666666667"/>
          <c:h val="0.71231250000000002"/>
        </c:manualLayout>
      </c:layout>
      <c:barChart>
        <c:barDir val="col"/>
        <c:grouping val="clustered"/>
        <c:varyColors val="0"/>
        <c:ser>
          <c:idx val="1"/>
          <c:order val="0"/>
          <c:tx>
            <c:strRef>
              <c:f>'Figure 13.6-7'!$A$5</c:f>
              <c:strCache>
                <c:ptCount val="1"/>
                <c:pt idx="0">
                  <c:v>2011-12 to 2014-15</c:v>
                </c:pt>
              </c:strCache>
            </c:strRef>
          </c:tx>
          <c:spPr>
            <a:solidFill>
              <a:srgbClr val="78A22F"/>
            </a:solidFill>
            <a:ln>
              <a:solidFill>
                <a:srgbClr val="78A22F"/>
              </a:solidFill>
            </a:ln>
          </c:spPr>
          <c:invertIfNegative val="0"/>
          <c:cat>
            <c:strRef>
              <c:f>'Figure 13.6-7'!$B$4:$J$4</c:f>
              <c:strCache>
                <c:ptCount val="9"/>
                <c:pt idx="0">
                  <c:v>NSW</c:v>
                </c:pt>
                <c:pt idx="1">
                  <c:v>Vic</c:v>
                </c:pt>
                <c:pt idx="2">
                  <c:v>Qld</c:v>
                </c:pt>
                <c:pt idx="3">
                  <c:v>WA</c:v>
                </c:pt>
                <c:pt idx="4">
                  <c:v>SA</c:v>
                </c:pt>
                <c:pt idx="5">
                  <c:v>Tas</c:v>
                </c:pt>
                <c:pt idx="6">
                  <c:v>ACT</c:v>
                </c:pt>
                <c:pt idx="7">
                  <c:v>NT</c:v>
                </c:pt>
                <c:pt idx="8">
                  <c:v>Aust</c:v>
                </c:pt>
              </c:strCache>
            </c:strRef>
          </c:cat>
          <c:val>
            <c:numRef>
              <c:f>'Figure 13.6-7'!$B$5:$J$5</c:f>
              <c:numCache>
                <c:formatCode>[&gt;0.05]###\ ###\ ##0.0;[&lt;-0.05]\-###\ ###\ ##0.0;"–"</c:formatCode>
                <c:ptCount val="9"/>
                <c:pt idx="0">
                  <c:v>3.1324295432331546</c:v>
                </c:pt>
                <c:pt idx="1">
                  <c:v>3.1573013834269781</c:v>
                </c:pt>
                <c:pt idx="2">
                  <c:v>3.902321761253229</c:v>
                </c:pt>
                <c:pt idx="3">
                  <c:v>0.66283328085903181</c:v>
                </c:pt>
                <c:pt idx="4">
                  <c:v>3.9890886692282881</c:v>
                </c:pt>
                <c:pt idx="5">
                  <c:v>2.3346423822629019</c:v>
                </c:pt>
                <c:pt idx="6">
                  <c:v>0</c:v>
                </c:pt>
                <c:pt idx="7">
                  <c:v>0</c:v>
                </c:pt>
                <c:pt idx="8">
                  <c:v>2.9729691823433124</c:v>
                </c:pt>
              </c:numCache>
            </c:numRef>
          </c:val>
        </c:ser>
        <c:ser>
          <c:idx val="2"/>
          <c:order val="1"/>
          <c:tx>
            <c:strRef>
              <c:f>'Figure 13.6-7'!$A$6</c:f>
              <c:strCache>
                <c:ptCount val="1"/>
                <c:pt idx="0">
                  <c:v>2012-13</c:v>
                </c:pt>
              </c:strCache>
            </c:strRef>
          </c:tx>
          <c:spPr>
            <a:solidFill>
              <a:srgbClr val="78A22F"/>
            </a:solidFill>
            <a:ln>
              <a:solidFill>
                <a:srgbClr val="78A22F"/>
              </a:solidFill>
            </a:ln>
          </c:spPr>
          <c:invertIfNegative val="0"/>
          <c:cat>
            <c:strRef>
              <c:f>'Figure 13.6-7'!$B$4:$J$4</c:f>
              <c:strCache>
                <c:ptCount val="9"/>
                <c:pt idx="0">
                  <c:v>NSW</c:v>
                </c:pt>
                <c:pt idx="1">
                  <c:v>Vic</c:v>
                </c:pt>
                <c:pt idx="2">
                  <c:v>Qld</c:v>
                </c:pt>
                <c:pt idx="3">
                  <c:v>WA</c:v>
                </c:pt>
                <c:pt idx="4">
                  <c:v>SA</c:v>
                </c:pt>
                <c:pt idx="5">
                  <c:v>Tas</c:v>
                </c:pt>
                <c:pt idx="6">
                  <c:v>ACT</c:v>
                </c:pt>
                <c:pt idx="7">
                  <c:v>NT</c:v>
                </c:pt>
                <c:pt idx="8">
                  <c:v>Aust</c:v>
                </c:pt>
              </c:strCache>
            </c:strRef>
          </c:cat>
          <c:val>
            <c:numRef>
              <c:f>'Figure 13.6-7'!$B$6:$J$6</c:f>
              <c:numCache>
                <c:formatCode>[&gt;0.05]###\ ###\ ##0.0;[&lt;-0.05]\-###\ ###\ ##0.0;"–"</c:formatCode>
                <c:ptCount val="9"/>
                <c:pt idx="0">
                  <c:v>2.1761403884435495</c:v>
                </c:pt>
                <c:pt idx="1">
                  <c:v>3.2345202128350961</c:v>
                </c:pt>
                <c:pt idx="2">
                  <c:v>2.8096349440727315</c:v>
                </c:pt>
                <c:pt idx="3">
                  <c:v>1.3221711575989881</c:v>
                </c:pt>
                <c:pt idx="4">
                  <c:v>6.1465232805715777</c:v>
                </c:pt>
                <c:pt idx="5">
                  <c:v>0</c:v>
                </c:pt>
                <c:pt idx="6">
                  <c:v>0</c:v>
                </c:pt>
                <c:pt idx="7">
                  <c:v>0.72164535140119468</c:v>
                </c:pt>
                <c:pt idx="8">
                  <c:v>2.6618860726849083</c:v>
                </c:pt>
              </c:numCache>
            </c:numRef>
          </c:val>
        </c:ser>
        <c:ser>
          <c:idx val="3"/>
          <c:order val="2"/>
          <c:tx>
            <c:strRef>
              <c:f>'Figure 13.6-7'!$A$7</c:f>
              <c:strCache>
                <c:ptCount val="1"/>
                <c:pt idx="0">
                  <c:v>2013-14</c:v>
                </c:pt>
              </c:strCache>
            </c:strRef>
          </c:tx>
          <c:spPr>
            <a:solidFill>
              <a:srgbClr val="78A22F"/>
            </a:solidFill>
            <a:ln>
              <a:solidFill>
                <a:srgbClr val="78A22F"/>
              </a:solidFill>
            </a:ln>
          </c:spPr>
          <c:invertIfNegative val="0"/>
          <c:cat>
            <c:strRef>
              <c:f>'Figure 13.6-7'!$B$4:$J$4</c:f>
              <c:strCache>
                <c:ptCount val="9"/>
                <c:pt idx="0">
                  <c:v>NSW</c:v>
                </c:pt>
                <c:pt idx="1">
                  <c:v>Vic</c:v>
                </c:pt>
                <c:pt idx="2">
                  <c:v>Qld</c:v>
                </c:pt>
                <c:pt idx="3">
                  <c:v>WA</c:v>
                </c:pt>
                <c:pt idx="4">
                  <c:v>SA</c:v>
                </c:pt>
                <c:pt idx="5">
                  <c:v>Tas</c:v>
                </c:pt>
                <c:pt idx="6">
                  <c:v>ACT</c:v>
                </c:pt>
                <c:pt idx="7">
                  <c:v>NT</c:v>
                </c:pt>
                <c:pt idx="8">
                  <c:v>Aust</c:v>
                </c:pt>
              </c:strCache>
            </c:strRef>
          </c:cat>
          <c:val>
            <c:numRef>
              <c:f>'Figure 13.6-7'!$B$7:$J$7</c:f>
              <c:numCache>
                <c:formatCode>[&gt;0.05]###\ ###\ ##0.0;[&lt;-0.05]\-###\ ###\ ##0.0;"–"</c:formatCode>
                <c:ptCount val="9"/>
                <c:pt idx="0">
                  <c:v>3.2381541909446678</c:v>
                </c:pt>
                <c:pt idx="1">
                  <c:v>2.5803731960540728</c:v>
                </c:pt>
                <c:pt idx="2">
                  <c:v>1.7832089081926361</c:v>
                </c:pt>
                <c:pt idx="3">
                  <c:v>1.4609799224990911</c:v>
                </c:pt>
                <c:pt idx="4">
                  <c:v>6.1212550713195188</c:v>
                </c:pt>
                <c:pt idx="5">
                  <c:v>0.76912427510037085</c:v>
                </c:pt>
                <c:pt idx="6">
                  <c:v>0</c:v>
                </c:pt>
                <c:pt idx="7">
                  <c:v>0.59001401283280475</c:v>
                </c:pt>
                <c:pt idx="8">
                  <c:v>2.6834471302957517</c:v>
                </c:pt>
              </c:numCache>
            </c:numRef>
          </c:val>
        </c:ser>
        <c:ser>
          <c:idx val="4"/>
          <c:order val="3"/>
          <c:tx>
            <c:strRef>
              <c:f>'Figure 13.6-7'!$A$8</c:f>
              <c:strCache>
                <c:ptCount val="1"/>
                <c:pt idx="0">
                  <c:v>2014-15</c:v>
                </c:pt>
              </c:strCache>
            </c:strRef>
          </c:tx>
          <c:spPr>
            <a:solidFill>
              <a:srgbClr val="78A22F"/>
            </a:solidFill>
            <a:ln>
              <a:solidFill>
                <a:srgbClr val="78A22F"/>
              </a:solidFill>
            </a:ln>
          </c:spPr>
          <c:invertIfNegative val="0"/>
          <c:cat>
            <c:strRef>
              <c:f>'Figure 13.6-7'!$B$4:$J$4</c:f>
              <c:strCache>
                <c:ptCount val="9"/>
                <c:pt idx="0">
                  <c:v>NSW</c:v>
                </c:pt>
                <c:pt idx="1">
                  <c:v>Vic</c:v>
                </c:pt>
                <c:pt idx="2">
                  <c:v>Qld</c:v>
                </c:pt>
                <c:pt idx="3">
                  <c:v>WA</c:v>
                </c:pt>
                <c:pt idx="4">
                  <c:v>SA</c:v>
                </c:pt>
                <c:pt idx="5">
                  <c:v>Tas</c:v>
                </c:pt>
                <c:pt idx="6">
                  <c:v>ACT</c:v>
                </c:pt>
                <c:pt idx="7">
                  <c:v>NT</c:v>
                </c:pt>
                <c:pt idx="8">
                  <c:v>Aust</c:v>
                </c:pt>
              </c:strCache>
            </c:strRef>
          </c:cat>
          <c:val>
            <c:numRef>
              <c:f>'Figure 13.6-7'!$B$8:$J$8</c:f>
              <c:numCache>
                <c:formatCode>[&gt;0.05]###\ ###\ ##0.0;[&lt;-0.05]\-###\ ###\ ##0.0;"–"</c:formatCode>
                <c:ptCount val="9"/>
                <c:pt idx="0">
                  <c:v>3.9988518633913701</c:v>
                </c:pt>
                <c:pt idx="1">
                  <c:v>2.8905718716065603</c:v>
                </c:pt>
                <c:pt idx="2">
                  <c:v>5.1823224333687099</c:v>
                </c:pt>
                <c:pt idx="3">
                  <c:v>1.3678114699857202</c:v>
                </c:pt>
                <c:pt idx="4">
                  <c:v>6.6659185276624378</c:v>
                </c:pt>
                <c:pt idx="5">
                  <c:v>0.76519457804984714</c:v>
                </c:pt>
                <c:pt idx="6">
                  <c:v>0</c:v>
                </c:pt>
                <c:pt idx="7">
                  <c:v>0.41717476413580634</c:v>
                </c:pt>
                <c:pt idx="8">
                  <c:v>3.6775516073211088</c:v>
                </c:pt>
              </c:numCache>
            </c:numRef>
          </c:val>
        </c:ser>
        <c:ser>
          <c:idx val="0"/>
          <c:order val="4"/>
          <c:tx>
            <c:strRef>
              <c:f>'Figure 13.6-7'!$A$9</c:f>
              <c:strCache>
                <c:ptCount val="1"/>
                <c:pt idx="0">
                  <c:v>2015-16</c:v>
                </c:pt>
              </c:strCache>
            </c:strRef>
          </c:tx>
          <c:spPr>
            <a:solidFill>
              <a:srgbClr val="265A9A"/>
            </a:solidFill>
            <a:ln>
              <a:solidFill>
                <a:srgbClr val="265A9A"/>
              </a:solidFill>
            </a:ln>
          </c:spPr>
          <c:invertIfNegative val="0"/>
          <c:cat>
            <c:strRef>
              <c:f>'Figure 13.6-7'!$B$4:$J$4</c:f>
              <c:strCache>
                <c:ptCount val="9"/>
                <c:pt idx="0">
                  <c:v>NSW</c:v>
                </c:pt>
                <c:pt idx="1">
                  <c:v>Vic</c:v>
                </c:pt>
                <c:pt idx="2">
                  <c:v>Qld</c:v>
                </c:pt>
                <c:pt idx="3">
                  <c:v>WA</c:v>
                </c:pt>
                <c:pt idx="4">
                  <c:v>SA</c:v>
                </c:pt>
                <c:pt idx="5">
                  <c:v>Tas</c:v>
                </c:pt>
                <c:pt idx="6">
                  <c:v>ACT</c:v>
                </c:pt>
                <c:pt idx="7">
                  <c:v>NT</c:v>
                </c:pt>
                <c:pt idx="8">
                  <c:v>Aust</c:v>
                </c:pt>
              </c:strCache>
            </c:strRef>
          </c:cat>
          <c:val>
            <c:numRef>
              <c:f>'Figure 13.6-7'!$B$9:$J$9</c:f>
              <c:numCache>
                <c:formatCode>[&gt;0.05]###\ ###\ ##0.0;[&lt;-0.05]\-###\ ###\ ##0.0;"–"</c:formatCode>
                <c:ptCount val="9"/>
                <c:pt idx="0">
                  <c:v>3.1202536799285316</c:v>
                </c:pt>
                <c:pt idx="1">
                  <c:v>2.769668965219616</c:v>
                </c:pt>
                <c:pt idx="2">
                  <c:v>9.1375419439882037</c:v>
                </c:pt>
                <c:pt idx="3">
                  <c:v>1.7186395412771978</c:v>
                </c:pt>
                <c:pt idx="4">
                  <c:v>8.3415971533570552</c:v>
                </c:pt>
                <c:pt idx="5">
                  <c:v>3.6523471469002482</c:v>
                </c:pt>
                <c:pt idx="6">
                  <c:v>0</c:v>
                </c:pt>
                <c:pt idx="7">
                  <c:v>3.0532486565705907</c:v>
                </c:pt>
                <c:pt idx="8">
                  <c:v>4.4319606278364017</c:v>
                </c:pt>
              </c:numCache>
            </c:numRef>
          </c:val>
        </c:ser>
        <c:dLbls>
          <c:showLegendKey val="0"/>
          <c:showVal val="0"/>
          <c:showCatName val="0"/>
          <c:showSerName val="0"/>
          <c:showPercent val="0"/>
          <c:showBubbleSize val="0"/>
        </c:dLbls>
        <c:gapWidth val="150"/>
        <c:axId val="331757792"/>
        <c:axId val="331759360"/>
      </c:barChart>
      <c:catAx>
        <c:axId val="33175779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1759360"/>
        <c:crosses val="autoZero"/>
        <c:auto val="1"/>
        <c:lblAlgn val="ctr"/>
        <c:lblOffset val="100"/>
        <c:noMultiLvlLbl val="0"/>
      </c:catAx>
      <c:valAx>
        <c:axId val="331759360"/>
        <c:scaling>
          <c:orientation val="minMax"/>
          <c:max val="1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 FTE consumer staff/1000  FTE direct care staff</a:t>
                </a:r>
              </a:p>
            </c:rich>
          </c:tx>
          <c:layout>
            <c:manualLayout>
              <c:xMode val="edge"/>
              <c:yMode val="edge"/>
              <c:x val="2.3518550762826339E-2"/>
              <c:y val="6.0860912425054772E-2"/>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1757792"/>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08796296296296"/>
          <c:y val="6.2589605734767031E-2"/>
          <c:w val="0.8590416666666667"/>
          <c:h val="0.73297267025089607"/>
        </c:manualLayout>
      </c:layout>
      <c:barChart>
        <c:barDir val="col"/>
        <c:grouping val="clustered"/>
        <c:varyColors val="0"/>
        <c:ser>
          <c:idx val="1"/>
          <c:order val="0"/>
          <c:tx>
            <c:strRef>
              <c:f>'Figure 13.6-7'!$A$21</c:f>
              <c:strCache>
                <c:ptCount val="1"/>
                <c:pt idx="0">
                  <c:v>2011-12 to 2014-15</c:v>
                </c:pt>
              </c:strCache>
            </c:strRef>
          </c:tx>
          <c:spPr>
            <a:solidFill>
              <a:srgbClr val="78A22F"/>
            </a:solidFill>
            <a:ln>
              <a:solidFill>
                <a:srgbClr val="78A22F"/>
              </a:solidFill>
            </a:ln>
          </c:spPr>
          <c:invertIfNegative val="0"/>
          <c:cat>
            <c:strRef>
              <c:f>'Figure 13.6-7'!$B$11:$J$11</c:f>
              <c:strCache>
                <c:ptCount val="9"/>
                <c:pt idx="0">
                  <c:v>NSW</c:v>
                </c:pt>
                <c:pt idx="1">
                  <c:v>Vic</c:v>
                </c:pt>
                <c:pt idx="2">
                  <c:v>Qld</c:v>
                </c:pt>
                <c:pt idx="3">
                  <c:v>WA</c:v>
                </c:pt>
                <c:pt idx="4">
                  <c:v>SA</c:v>
                </c:pt>
                <c:pt idx="5">
                  <c:v>Tas</c:v>
                </c:pt>
                <c:pt idx="6">
                  <c:v>ACT</c:v>
                </c:pt>
                <c:pt idx="7">
                  <c:v>NT</c:v>
                </c:pt>
                <c:pt idx="8">
                  <c:v>Aust</c:v>
                </c:pt>
              </c:strCache>
            </c:strRef>
          </c:cat>
          <c:val>
            <c:numRef>
              <c:f>'Figure 13.6-7'!$B$12:$J$12</c:f>
              <c:numCache>
                <c:formatCode>[&gt;0.05]###\ ###\ ##0.0;[&lt;-0.05]\-###\ ###\ ##0.0;"–"</c:formatCode>
                <c:ptCount val="9"/>
                <c:pt idx="0">
                  <c:v>2.085669461952234</c:v>
                </c:pt>
                <c:pt idx="1">
                  <c:v>3.0581191410156592</c:v>
                </c:pt>
                <c:pt idx="2">
                  <c:v>1.2840802099401025</c:v>
                </c:pt>
                <c:pt idx="3">
                  <c:v>6.959749449019835E-2</c:v>
                </c:pt>
                <c:pt idx="4">
                  <c:v>2.053207403279266</c:v>
                </c:pt>
                <c:pt idx="5">
                  <c:v>0.86582763845511601</c:v>
                </c:pt>
                <c:pt idx="6">
                  <c:v>0</c:v>
                </c:pt>
                <c:pt idx="7">
                  <c:v>0</c:v>
                </c:pt>
                <c:pt idx="8">
                  <c:v>1.8361160255421292</c:v>
                </c:pt>
              </c:numCache>
            </c:numRef>
          </c:val>
        </c:ser>
        <c:ser>
          <c:idx val="2"/>
          <c:order val="1"/>
          <c:tx>
            <c:strRef>
              <c:f>'Figure 13.6-7'!$A$13</c:f>
              <c:strCache>
                <c:ptCount val="1"/>
                <c:pt idx="0">
                  <c:v>2012-13</c:v>
                </c:pt>
              </c:strCache>
            </c:strRef>
          </c:tx>
          <c:spPr>
            <a:solidFill>
              <a:srgbClr val="78A22F"/>
            </a:solidFill>
            <a:ln>
              <a:solidFill>
                <a:srgbClr val="78A22F"/>
              </a:solidFill>
            </a:ln>
          </c:spPr>
          <c:invertIfNegative val="0"/>
          <c:cat>
            <c:strRef>
              <c:f>'Figure 13.6-7'!$B$11:$J$11</c:f>
              <c:strCache>
                <c:ptCount val="9"/>
                <c:pt idx="0">
                  <c:v>NSW</c:v>
                </c:pt>
                <c:pt idx="1">
                  <c:v>Vic</c:v>
                </c:pt>
                <c:pt idx="2">
                  <c:v>Qld</c:v>
                </c:pt>
                <c:pt idx="3">
                  <c:v>WA</c:v>
                </c:pt>
                <c:pt idx="4">
                  <c:v>SA</c:v>
                </c:pt>
                <c:pt idx="5">
                  <c:v>Tas</c:v>
                </c:pt>
                <c:pt idx="6">
                  <c:v>ACT</c:v>
                </c:pt>
                <c:pt idx="7">
                  <c:v>NT</c:v>
                </c:pt>
                <c:pt idx="8">
                  <c:v>Aust</c:v>
                </c:pt>
              </c:strCache>
            </c:strRef>
          </c:cat>
          <c:val>
            <c:numRef>
              <c:f>'Figure 13.6-7'!$B$13:$J$13</c:f>
              <c:numCache>
                <c:formatCode>[&gt;0.05]###\ ###\ ##0.0;[&lt;-0.05]\-###\ ###\ ##0.0;"–"</c:formatCode>
                <c:ptCount val="9"/>
                <c:pt idx="0">
                  <c:v>1.2636055459211686</c:v>
                </c:pt>
                <c:pt idx="1">
                  <c:v>3.1045394933084922</c:v>
                </c:pt>
                <c:pt idx="2">
                  <c:v>0.59574484818337137</c:v>
                </c:pt>
                <c:pt idx="3">
                  <c:v>7.3100809194174832E-2</c:v>
                </c:pt>
                <c:pt idx="4">
                  <c:v>1.7701987048046144</c:v>
                </c:pt>
                <c:pt idx="5">
                  <c:v>1.5901790541614986</c:v>
                </c:pt>
                <c:pt idx="6">
                  <c:v>0</c:v>
                </c:pt>
                <c:pt idx="7">
                  <c:v>0</c:v>
                </c:pt>
                <c:pt idx="8">
                  <c:v>1.4338651235397681</c:v>
                </c:pt>
              </c:numCache>
            </c:numRef>
          </c:val>
        </c:ser>
        <c:ser>
          <c:idx val="3"/>
          <c:order val="2"/>
          <c:tx>
            <c:strRef>
              <c:f>'Figure 13.6-7'!$A$14</c:f>
              <c:strCache>
                <c:ptCount val="1"/>
                <c:pt idx="0">
                  <c:v>2013-14</c:v>
                </c:pt>
              </c:strCache>
            </c:strRef>
          </c:tx>
          <c:spPr>
            <a:solidFill>
              <a:srgbClr val="78A22F"/>
            </a:solidFill>
            <a:ln>
              <a:solidFill>
                <a:srgbClr val="78A22F"/>
              </a:solidFill>
            </a:ln>
          </c:spPr>
          <c:invertIfNegative val="0"/>
          <c:cat>
            <c:strRef>
              <c:f>'Figure 13.6-7'!$B$11:$J$11</c:f>
              <c:strCache>
                <c:ptCount val="9"/>
                <c:pt idx="0">
                  <c:v>NSW</c:v>
                </c:pt>
                <c:pt idx="1">
                  <c:v>Vic</c:v>
                </c:pt>
                <c:pt idx="2">
                  <c:v>Qld</c:v>
                </c:pt>
                <c:pt idx="3">
                  <c:v>WA</c:v>
                </c:pt>
                <c:pt idx="4">
                  <c:v>SA</c:v>
                </c:pt>
                <c:pt idx="5">
                  <c:v>Tas</c:v>
                </c:pt>
                <c:pt idx="6">
                  <c:v>ACT</c:v>
                </c:pt>
                <c:pt idx="7">
                  <c:v>NT</c:v>
                </c:pt>
                <c:pt idx="8">
                  <c:v>Aust</c:v>
                </c:pt>
              </c:strCache>
            </c:strRef>
          </c:cat>
          <c:val>
            <c:numRef>
              <c:f>'Figure 13.6-7'!$B$14:$J$14</c:f>
              <c:numCache>
                <c:formatCode>[&gt;0.05]###\ ###\ ##0.0;[&lt;-0.05]\-###\ ###\ ##0.0;"–"</c:formatCode>
                <c:ptCount val="9"/>
                <c:pt idx="0">
                  <c:v>0.94441066694721698</c:v>
                </c:pt>
                <c:pt idx="1">
                  <c:v>2.8805651272781847</c:v>
                </c:pt>
                <c:pt idx="2">
                  <c:v>1.0806700567610066</c:v>
                </c:pt>
                <c:pt idx="3">
                  <c:v>0</c:v>
                </c:pt>
                <c:pt idx="4">
                  <c:v>2.2782293544382672</c:v>
                </c:pt>
                <c:pt idx="5">
                  <c:v>1.5382485502007417</c:v>
                </c:pt>
                <c:pt idx="6">
                  <c:v>0</c:v>
                </c:pt>
                <c:pt idx="7">
                  <c:v>0</c:v>
                </c:pt>
                <c:pt idx="8">
                  <c:v>1.4211257804503634</c:v>
                </c:pt>
              </c:numCache>
            </c:numRef>
          </c:val>
        </c:ser>
        <c:ser>
          <c:idx val="4"/>
          <c:order val="3"/>
          <c:tx>
            <c:strRef>
              <c:f>'Figure 13.6-7'!$A$15</c:f>
              <c:strCache>
                <c:ptCount val="1"/>
                <c:pt idx="0">
                  <c:v>2014-15</c:v>
                </c:pt>
              </c:strCache>
            </c:strRef>
          </c:tx>
          <c:spPr>
            <a:solidFill>
              <a:srgbClr val="78A22F"/>
            </a:solidFill>
            <a:ln>
              <a:solidFill>
                <a:srgbClr val="78A22F"/>
              </a:solidFill>
            </a:ln>
          </c:spPr>
          <c:invertIfNegative val="0"/>
          <c:cat>
            <c:strRef>
              <c:f>'Figure 13.6-7'!$B$11:$J$11</c:f>
              <c:strCache>
                <c:ptCount val="9"/>
                <c:pt idx="0">
                  <c:v>NSW</c:v>
                </c:pt>
                <c:pt idx="1">
                  <c:v>Vic</c:v>
                </c:pt>
                <c:pt idx="2">
                  <c:v>Qld</c:v>
                </c:pt>
                <c:pt idx="3">
                  <c:v>WA</c:v>
                </c:pt>
                <c:pt idx="4">
                  <c:v>SA</c:v>
                </c:pt>
                <c:pt idx="5">
                  <c:v>Tas</c:v>
                </c:pt>
                <c:pt idx="6">
                  <c:v>ACT</c:v>
                </c:pt>
                <c:pt idx="7">
                  <c:v>NT</c:v>
                </c:pt>
                <c:pt idx="8">
                  <c:v>Aust</c:v>
                </c:pt>
              </c:strCache>
            </c:strRef>
          </c:cat>
          <c:val>
            <c:numRef>
              <c:f>'Figure 13.6-7'!$B$15:$J$15</c:f>
              <c:numCache>
                <c:formatCode>[&gt;0.05]###\ ###\ ##0.0;[&lt;-0.05]\-###\ ###\ ##0.0;"–"</c:formatCode>
                <c:ptCount val="9"/>
                <c:pt idx="0">
                  <c:v>0.76787768910521403</c:v>
                </c:pt>
                <c:pt idx="1">
                  <c:v>2.9076116843545083</c:v>
                </c:pt>
                <c:pt idx="2">
                  <c:v>0.39448126714591797</c:v>
                </c:pt>
                <c:pt idx="3">
                  <c:v>0.18997381527579446</c:v>
                </c:pt>
                <c:pt idx="4">
                  <c:v>3.2140051621591286</c:v>
                </c:pt>
                <c:pt idx="5">
                  <c:v>0.79642700980698378</c:v>
                </c:pt>
                <c:pt idx="6">
                  <c:v>0</c:v>
                </c:pt>
                <c:pt idx="7">
                  <c:v>0.93062062768756804</c:v>
                </c:pt>
                <c:pt idx="8">
                  <c:v>1.3491564547233945</c:v>
                </c:pt>
              </c:numCache>
            </c:numRef>
          </c:val>
        </c:ser>
        <c:ser>
          <c:idx val="0"/>
          <c:order val="4"/>
          <c:tx>
            <c:strRef>
              <c:f>'Figure 13.6-7'!$A$16</c:f>
              <c:strCache>
                <c:ptCount val="1"/>
                <c:pt idx="0">
                  <c:v>2015-16</c:v>
                </c:pt>
              </c:strCache>
            </c:strRef>
          </c:tx>
          <c:spPr>
            <a:solidFill>
              <a:srgbClr val="265A9A"/>
            </a:solidFill>
            <a:ln>
              <a:solidFill>
                <a:srgbClr val="265A9A"/>
              </a:solidFill>
            </a:ln>
          </c:spPr>
          <c:invertIfNegative val="0"/>
          <c:cat>
            <c:strRef>
              <c:f>'Figure 13.6-7'!$B$11:$J$11</c:f>
              <c:strCache>
                <c:ptCount val="9"/>
                <c:pt idx="0">
                  <c:v>NSW</c:v>
                </c:pt>
                <c:pt idx="1">
                  <c:v>Vic</c:v>
                </c:pt>
                <c:pt idx="2">
                  <c:v>Qld</c:v>
                </c:pt>
                <c:pt idx="3">
                  <c:v>WA</c:v>
                </c:pt>
                <c:pt idx="4">
                  <c:v>SA</c:v>
                </c:pt>
                <c:pt idx="5">
                  <c:v>Tas</c:v>
                </c:pt>
                <c:pt idx="6">
                  <c:v>ACT</c:v>
                </c:pt>
                <c:pt idx="7">
                  <c:v>NT</c:v>
                </c:pt>
                <c:pt idx="8">
                  <c:v>Aust</c:v>
                </c:pt>
              </c:strCache>
            </c:strRef>
          </c:cat>
          <c:val>
            <c:numRef>
              <c:f>'Figure 13.6-7'!$B$16:$J$16</c:f>
              <c:numCache>
                <c:formatCode>[&gt;0.05]###\ ###\ ##0.0;[&lt;-0.05]\-###\ ###\ ##0.0;"–"</c:formatCode>
                <c:ptCount val="9"/>
                <c:pt idx="0">
                  <c:v>0.76944228415786775</c:v>
                </c:pt>
                <c:pt idx="1">
                  <c:v>2.5569731849189443</c:v>
                </c:pt>
                <c:pt idx="2">
                  <c:v>3.6645549215869186</c:v>
                </c:pt>
                <c:pt idx="3">
                  <c:v>0.23564527531223003</c:v>
                </c:pt>
                <c:pt idx="4">
                  <c:v>1.4583211806568277</c:v>
                </c:pt>
                <c:pt idx="5">
                  <c:v>0.77474030388793147</c:v>
                </c:pt>
                <c:pt idx="6">
                  <c:v>0</c:v>
                </c:pt>
                <c:pt idx="7">
                  <c:v>1.282364435759648</c:v>
                </c:pt>
                <c:pt idx="8">
                  <c:v>1.7490098634083657</c:v>
                </c:pt>
              </c:numCache>
            </c:numRef>
          </c:val>
        </c:ser>
        <c:dLbls>
          <c:showLegendKey val="0"/>
          <c:showVal val="0"/>
          <c:showCatName val="0"/>
          <c:showSerName val="0"/>
          <c:showPercent val="0"/>
          <c:showBubbleSize val="0"/>
        </c:dLbls>
        <c:gapWidth val="150"/>
        <c:axId val="331753088"/>
        <c:axId val="331758184"/>
      </c:barChart>
      <c:catAx>
        <c:axId val="33175308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1758184"/>
        <c:crosses val="autoZero"/>
        <c:auto val="1"/>
        <c:lblAlgn val="ctr"/>
        <c:lblOffset val="100"/>
        <c:noMultiLvlLbl val="0"/>
      </c:catAx>
      <c:valAx>
        <c:axId val="331758184"/>
        <c:scaling>
          <c:orientation val="minMax"/>
          <c:max val="4"/>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FTE carer staff/1000  FTE direct care staff</a:t>
                </a:r>
              </a:p>
            </c:rich>
          </c:tx>
          <c:layout>
            <c:manualLayout>
              <c:xMode val="edge"/>
              <c:yMode val="edge"/>
              <c:x val="2.3518518518518518E-2"/>
              <c:y val="6.6377020328812153E-2"/>
            </c:manualLayout>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1753088"/>
        <c:crosses val="autoZero"/>
        <c:crossBetween val="between"/>
        <c:majorUnit val="1"/>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manualLayout>
          <c:xMode val="edge"/>
          <c:yMode val="edge"/>
          <c:x val="0.30322240740740741"/>
          <c:y val="0.89547236125902763"/>
          <c:w val="0.38649962962962958"/>
          <c:h val="8.797931502970012E-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sz="90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69345031202308"/>
          <c:y val="7.0555555555555552E-2"/>
          <c:w val="0.85934721089482047"/>
          <c:h val="0.72317261904761909"/>
        </c:manualLayout>
      </c:layout>
      <c:barChart>
        <c:barDir val="col"/>
        <c:grouping val="stacked"/>
        <c:varyColors val="0"/>
        <c:ser>
          <c:idx val="0"/>
          <c:order val="0"/>
          <c:tx>
            <c:strRef>
              <c:f>'Figure 13.8'!$A$3</c:f>
              <c:strCache>
                <c:ptCount val="1"/>
                <c:pt idx="0">
                  <c:v>Level 1</c:v>
                </c:pt>
              </c:strCache>
            </c:strRef>
          </c:tx>
          <c:spPr>
            <a:solidFill>
              <a:srgbClr val="000000"/>
            </a:solidFill>
            <a:ln>
              <a:solidFill>
                <a:srgbClr val="000000"/>
              </a:solidFill>
            </a:ln>
          </c:spPr>
          <c:invertIfNegative val="0"/>
          <c:cat>
            <c:strRef>
              <c:f>'Figure 13.8'!$B$2:$J$2</c:f>
              <c:strCache>
                <c:ptCount val="9"/>
                <c:pt idx="0">
                  <c:v>NSW</c:v>
                </c:pt>
                <c:pt idx="1">
                  <c:v>Vic</c:v>
                </c:pt>
                <c:pt idx="2">
                  <c:v>Qld</c:v>
                </c:pt>
                <c:pt idx="3">
                  <c:v>WA</c:v>
                </c:pt>
                <c:pt idx="4">
                  <c:v>SA</c:v>
                </c:pt>
                <c:pt idx="5">
                  <c:v>Tas</c:v>
                </c:pt>
                <c:pt idx="6">
                  <c:v>ACT</c:v>
                </c:pt>
                <c:pt idx="7">
                  <c:v>NT</c:v>
                </c:pt>
                <c:pt idx="8">
                  <c:v>Aust</c:v>
                </c:pt>
              </c:strCache>
            </c:strRef>
          </c:cat>
          <c:val>
            <c:numRef>
              <c:f>'Figure 13.8'!$B$3:$J$3</c:f>
              <c:numCache>
                <c:formatCode>###\ ###\ ##0.0;\-###\ ###\ ##0.0;"–"</c:formatCode>
                <c:ptCount val="9"/>
                <c:pt idx="0">
                  <c:v>89.722899843903491</c:v>
                </c:pt>
                <c:pt idx="1">
                  <c:v>81.702621050126652</c:v>
                </c:pt>
                <c:pt idx="2">
                  <c:v>99.532470788275333</c:v>
                </c:pt>
                <c:pt idx="3">
                  <c:v>90.212246964592609</c:v>
                </c:pt>
                <c:pt idx="4">
                  <c:v>20.994212708918994</c:v>
                </c:pt>
                <c:pt idx="5">
                  <c:v>13.687672509755449</c:v>
                </c:pt>
                <c:pt idx="6">
                  <c:v>100</c:v>
                </c:pt>
                <c:pt idx="7">
                  <c:v>98.102007514366747</c:v>
                </c:pt>
                <c:pt idx="8">
                  <c:v>82.934295978282378</c:v>
                </c:pt>
              </c:numCache>
            </c:numRef>
          </c:val>
        </c:ser>
        <c:ser>
          <c:idx val="1"/>
          <c:order val="1"/>
          <c:tx>
            <c:strRef>
              <c:f>'Figure 13.8'!$A$4</c:f>
              <c:strCache>
                <c:ptCount val="1"/>
                <c:pt idx="0">
                  <c:v>Level 2</c:v>
                </c:pt>
              </c:strCache>
            </c:strRef>
          </c:tx>
          <c:spPr>
            <a:solidFill>
              <a:srgbClr val="B2D673"/>
            </a:solidFill>
            <a:ln>
              <a:solidFill>
                <a:srgbClr val="B2D673"/>
              </a:solidFill>
            </a:ln>
          </c:spPr>
          <c:invertIfNegative val="0"/>
          <c:cat>
            <c:strRef>
              <c:f>'Figure 13.8'!$B$2:$J$2</c:f>
              <c:strCache>
                <c:ptCount val="9"/>
                <c:pt idx="0">
                  <c:v>NSW</c:v>
                </c:pt>
                <c:pt idx="1">
                  <c:v>Vic</c:v>
                </c:pt>
                <c:pt idx="2">
                  <c:v>Qld</c:v>
                </c:pt>
                <c:pt idx="3">
                  <c:v>WA</c:v>
                </c:pt>
                <c:pt idx="4">
                  <c:v>SA</c:v>
                </c:pt>
                <c:pt idx="5">
                  <c:v>Tas</c:v>
                </c:pt>
                <c:pt idx="6">
                  <c:v>ACT</c:v>
                </c:pt>
                <c:pt idx="7">
                  <c:v>NT</c:v>
                </c:pt>
                <c:pt idx="8">
                  <c:v>Aust</c:v>
                </c:pt>
              </c:strCache>
            </c:strRef>
          </c:cat>
          <c:val>
            <c:numRef>
              <c:f>'Figure 13.8'!$B$4:$J$4</c:f>
              <c:numCache>
                <c:formatCode>###\ ###\ ##0.0;\-###\ ###\ ##0.0;"–"</c:formatCode>
                <c:ptCount val="9"/>
                <c:pt idx="0">
                  <c:v>0</c:v>
                </c:pt>
                <c:pt idx="1">
                  <c:v>0</c:v>
                </c:pt>
                <c:pt idx="2">
                  <c:v>0</c:v>
                </c:pt>
                <c:pt idx="3">
                  <c:v>3.5290310784346866</c:v>
                </c:pt>
                <c:pt idx="4">
                  <c:v>50.127398308245304</c:v>
                </c:pt>
                <c:pt idx="5">
                  <c:v>0</c:v>
                </c:pt>
                <c:pt idx="6">
                  <c:v>0</c:v>
                </c:pt>
                <c:pt idx="7">
                  <c:v>0</c:v>
                </c:pt>
                <c:pt idx="8">
                  <c:v>4.739624098819105</c:v>
                </c:pt>
              </c:numCache>
            </c:numRef>
          </c:val>
        </c:ser>
        <c:ser>
          <c:idx val="2"/>
          <c:order val="2"/>
          <c:tx>
            <c:strRef>
              <c:f>'Figure 13.8'!$A$5</c:f>
              <c:strCache>
                <c:ptCount val="1"/>
                <c:pt idx="0">
                  <c:v>Level 3</c:v>
                </c:pt>
              </c:strCache>
            </c:strRef>
          </c:tx>
          <c:spPr>
            <a:solidFill>
              <a:srgbClr val="265A9A"/>
            </a:solidFill>
            <a:ln>
              <a:solidFill>
                <a:srgbClr val="265A9A"/>
              </a:solidFill>
            </a:ln>
          </c:spPr>
          <c:invertIfNegative val="0"/>
          <c:cat>
            <c:strRef>
              <c:f>'Figure 13.8'!$B$2:$J$2</c:f>
              <c:strCache>
                <c:ptCount val="9"/>
                <c:pt idx="0">
                  <c:v>NSW</c:v>
                </c:pt>
                <c:pt idx="1">
                  <c:v>Vic</c:v>
                </c:pt>
                <c:pt idx="2">
                  <c:v>Qld</c:v>
                </c:pt>
                <c:pt idx="3">
                  <c:v>WA</c:v>
                </c:pt>
                <c:pt idx="4">
                  <c:v>SA</c:v>
                </c:pt>
                <c:pt idx="5">
                  <c:v>Tas</c:v>
                </c:pt>
                <c:pt idx="6">
                  <c:v>ACT</c:v>
                </c:pt>
                <c:pt idx="7">
                  <c:v>NT</c:v>
                </c:pt>
                <c:pt idx="8">
                  <c:v>Aust</c:v>
                </c:pt>
              </c:strCache>
            </c:strRef>
          </c:cat>
          <c:val>
            <c:numRef>
              <c:f>'Figure 13.8'!$B$5:$J$5</c:f>
              <c:numCache>
                <c:formatCode>###\ ###\ ##0.0;\-###\ ###\ ##0.0;"–"</c:formatCode>
                <c:ptCount val="9"/>
                <c:pt idx="0">
                  <c:v>8.9050183388805682</c:v>
                </c:pt>
                <c:pt idx="1">
                  <c:v>0.20798687840742772</c:v>
                </c:pt>
                <c:pt idx="2">
                  <c:v>0</c:v>
                </c:pt>
                <c:pt idx="3">
                  <c:v>0.89818283365485896</c:v>
                </c:pt>
                <c:pt idx="4">
                  <c:v>28.878388982835702</c:v>
                </c:pt>
                <c:pt idx="5">
                  <c:v>68.989359083930594</c:v>
                </c:pt>
                <c:pt idx="6">
                  <c:v>0</c:v>
                </c:pt>
                <c:pt idx="7">
                  <c:v>0</c:v>
                </c:pt>
                <c:pt idx="8">
                  <c:v>6.9467106373046317</c:v>
                </c:pt>
              </c:numCache>
            </c:numRef>
          </c:val>
        </c:ser>
        <c:ser>
          <c:idx val="3"/>
          <c:order val="3"/>
          <c:tx>
            <c:strRef>
              <c:f>'Figure 13.8'!$A$6</c:f>
              <c:strCache>
                <c:ptCount val="1"/>
                <c:pt idx="0">
                  <c:v>Level 4</c:v>
                </c:pt>
              </c:strCache>
            </c:strRef>
          </c:tx>
          <c:spPr>
            <a:solidFill>
              <a:srgbClr val="78A22F"/>
            </a:solidFill>
            <a:ln>
              <a:solidFill>
                <a:srgbClr val="78A22F"/>
              </a:solidFill>
            </a:ln>
          </c:spPr>
          <c:invertIfNegative val="0"/>
          <c:cat>
            <c:strRef>
              <c:f>'Figure 13.8'!$B$2:$J$2</c:f>
              <c:strCache>
                <c:ptCount val="9"/>
                <c:pt idx="0">
                  <c:v>NSW</c:v>
                </c:pt>
                <c:pt idx="1">
                  <c:v>Vic</c:v>
                </c:pt>
                <c:pt idx="2">
                  <c:v>Qld</c:v>
                </c:pt>
                <c:pt idx="3">
                  <c:v>WA</c:v>
                </c:pt>
                <c:pt idx="4">
                  <c:v>SA</c:v>
                </c:pt>
                <c:pt idx="5">
                  <c:v>Tas</c:v>
                </c:pt>
                <c:pt idx="6">
                  <c:v>ACT</c:v>
                </c:pt>
                <c:pt idx="7">
                  <c:v>NT</c:v>
                </c:pt>
                <c:pt idx="8">
                  <c:v>Aust</c:v>
                </c:pt>
              </c:strCache>
            </c:strRef>
          </c:cat>
          <c:val>
            <c:numRef>
              <c:f>'Figure 13.8'!$B$6:$J$6</c:f>
              <c:numCache>
                <c:formatCode>###\ ###\ ##0.0;\-###\ ###\ ##0.0;"–"</c:formatCode>
                <c:ptCount val="9"/>
                <c:pt idx="0">
                  <c:v>1.3720818172094003</c:v>
                </c:pt>
                <c:pt idx="1">
                  <c:v>18.089392071465941</c:v>
                </c:pt>
                <c:pt idx="2">
                  <c:v>0.46752921172466355</c:v>
                </c:pt>
                <c:pt idx="3">
                  <c:v>5.3605391233010353</c:v>
                </c:pt>
                <c:pt idx="4">
                  <c:v>0</c:v>
                </c:pt>
                <c:pt idx="5">
                  <c:v>17.322968406313958</c:v>
                </c:pt>
                <c:pt idx="6">
                  <c:v>0</c:v>
                </c:pt>
                <c:pt idx="7">
                  <c:v>1.8979924856332697</c:v>
                </c:pt>
                <c:pt idx="8">
                  <c:v>5.3793692855895534</c:v>
                </c:pt>
              </c:numCache>
            </c:numRef>
          </c:val>
        </c:ser>
        <c:dLbls>
          <c:showLegendKey val="0"/>
          <c:showVal val="0"/>
          <c:showCatName val="0"/>
          <c:showSerName val="0"/>
          <c:showPercent val="0"/>
          <c:showBubbleSize val="0"/>
        </c:dLbls>
        <c:gapWidth val="150"/>
        <c:overlap val="100"/>
        <c:axId val="332570048"/>
        <c:axId val="332570440"/>
      </c:barChart>
      <c:catAx>
        <c:axId val="33257004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2570440"/>
        <c:crosses val="autoZero"/>
        <c:auto val="1"/>
        <c:lblAlgn val="ctr"/>
        <c:lblOffset val="100"/>
        <c:noMultiLvlLbl val="0"/>
      </c:catAx>
      <c:valAx>
        <c:axId val="332570440"/>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2570048"/>
        <c:crosses val="autoZero"/>
        <c:crossBetween val="between"/>
        <c:majorUnit val="20"/>
        <c:minorUnit val="4"/>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52925925925926"/>
          <c:y val="5.174074074074074E-2"/>
          <c:w val="0.87160037037037041"/>
          <c:h val="0.76514629629629627"/>
        </c:manualLayout>
      </c:layout>
      <c:barChart>
        <c:barDir val="col"/>
        <c:grouping val="clustered"/>
        <c:varyColors val="0"/>
        <c:ser>
          <c:idx val="3"/>
          <c:order val="0"/>
          <c:tx>
            <c:strRef>
              <c:f>'Figure 13.9'!$B$4</c:f>
              <c:strCache>
                <c:ptCount val="1"/>
                <c:pt idx="0">
                  <c:v>2012-13 to 2015-16</c:v>
                </c:pt>
              </c:strCache>
            </c:strRef>
          </c:tx>
          <c:spPr>
            <a:solidFill>
              <a:srgbClr val="78A22F"/>
            </a:solidFill>
            <a:ln>
              <a:solidFill>
                <a:srgbClr val="78A22F"/>
              </a:solidFill>
            </a:ln>
          </c:spPr>
          <c:invertIfNegative val="0"/>
          <c:cat>
            <c:strRef>
              <c:f>'Figure 13.9'!$C$3:$K$3</c:f>
              <c:strCache>
                <c:ptCount val="9"/>
                <c:pt idx="0">
                  <c:v>NSW</c:v>
                </c:pt>
                <c:pt idx="1">
                  <c:v>Vic</c:v>
                </c:pt>
                <c:pt idx="2">
                  <c:v>Qld</c:v>
                </c:pt>
                <c:pt idx="3">
                  <c:v>WA</c:v>
                </c:pt>
                <c:pt idx="4">
                  <c:v>SA</c:v>
                </c:pt>
                <c:pt idx="5">
                  <c:v>Tas</c:v>
                </c:pt>
                <c:pt idx="6">
                  <c:v>ACT</c:v>
                </c:pt>
                <c:pt idx="7">
                  <c:v>NT</c:v>
                </c:pt>
                <c:pt idx="8">
                  <c:v>Aust</c:v>
                </c:pt>
              </c:strCache>
            </c:strRef>
          </c:cat>
          <c:val>
            <c:numRef>
              <c:f>'Figure 13.9'!$C$4:$K$4</c:f>
              <c:numCache>
                <c:formatCode>###\ ###\ ##0.0;\-###\ ###\ ##0.0;"–"</c:formatCode>
                <c:ptCount val="9"/>
                <c:pt idx="0">
                  <c:v>9.0539293999999995</c:v>
                </c:pt>
                <c:pt idx="1">
                  <c:v>10.8884021</c:v>
                </c:pt>
                <c:pt idx="2">
                  <c:v>12.735266599999999</c:v>
                </c:pt>
                <c:pt idx="3">
                  <c:v>5.9585438999999996</c:v>
                </c:pt>
                <c:pt idx="4">
                  <c:v>9.1293860999999996</c:v>
                </c:pt>
                <c:pt idx="5">
                  <c:v>19.736614700000001</c:v>
                </c:pt>
                <c:pt idx="6">
                  <c:v>0.88961380000000001</c:v>
                </c:pt>
                <c:pt idx="7">
                  <c:v>16.563794000000001</c:v>
                </c:pt>
                <c:pt idx="8">
                  <c:v>9.7966461999999996</c:v>
                </c:pt>
              </c:numCache>
            </c:numRef>
          </c:val>
        </c:ser>
        <c:ser>
          <c:idx val="0"/>
          <c:order val="1"/>
          <c:tx>
            <c:strRef>
              <c:f>'Figure 13.9'!$B$5</c:f>
              <c:strCache>
                <c:ptCount val="1"/>
                <c:pt idx="0">
                  <c:v>2013-14</c:v>
                </c:pt>
              </c:strCache>
            </c:strRef>
          </c:tx>
          <c:spPr>
            <a:solidFill>
              <a:srgbClr val="78A22F"/>
            </a:solidFill>
            <a:ln>
              <a:solidFill>
                <a:srgbClr val="78A22F"/>
              </a:solidFill>
            </a:ln>
          </c:spPr>
          <c:invertIfNegative val="0"/>
          <c:cat>
            <c:strRef>
              <c:f>'Figure 13.9'!$C$3:$K$3</c:f>
              <c:strCache>
                <c:ptCount val="9"/>
                <c:pt idx="0">
                  <c:v>NSW</c:v>
                </c:pt>
                <c:pt idx="1">
                  <c:v>Vic</c:v>
                </c:pt>
                <c:pt idx="2">
                  <c:v>Qld</c:v>
                </c:pt>
                <c:pt idx="3">
                  <c:v>WA</c:v>
                </c:pt>
                <c:pt idx="4">
                  <c:v>SA</c:v>
                </c:pt>
                <c:pt idx="5">
                  <c:v>Tas</c:v>
                </c:pt>
                <c:pt idx="6">
                  <c:v>ACT</c:v>
                </c:pt>
                <c:pt idx="7">
                  <c:v>NT</c:v>
                </c:pt>
                <c:pt idx="8">
                  <c:v>Aust</c:v>
                </c:pt>
              </c:strCache>
            </c:strRef>
          </c:cat>
          <c:val>
            <c:numRef>
              <c:f>'Figure 13.9'!$C$5:$K$5</c:f>
              <c:numCache>
                <c:formatCode>###\ ###\ ##0.0;\-###\ ###\ ##0.0;"–"</c:formatCode>
                <c:ptCount val="9"/>
                <c:pt idx="0">
                  <c:v>7.8736528000000003</c:v>
                </c:pt>
                <c:pt idx="1">
                  <c:v>9.1593630000000008</c:v>
                </c:pt>
                <c:pt idx="2">
                  <c:v>11.0660609</c:v>
                </c:pt>
                <c:pt idx="3">
                  <c:v>5.1778513000000004</c:v>
                </c:pt>
                <c:pt idx="4">
                  <c:v>4.6296710000000001</c:v>
                </c:pt>
                <c:pt idx="5">
                  <c:v>15.1979515</c:v>
                </c:pt>
                <c:pt idx="6">
                  <c:v>1.0952458</c:v>
                </c:pt>
                <c:pt idx="7">
                  <c:v>22.268797500000002</c:v>
                </c:pt>
                <c:pt idx="8">
                  <c:v>8.2391761999999993</c:v>
                </c:pt>
              </c:numCache>
            </c:numRef>
          </c:val>
        </c:ser>
        <c:ser>
          <c:idx val="1"/>
          <c:order val="2"/>
          <c:tx>
            <c:strRef>
              <c:f>'Figure 13.9'!$B$6</c:f>
              <c:strCache>
                <c:ptCount val="1"/>
                <c:pt idx="0">
                  <c:v>2014-15</c:v>
                </c:pt>
              </c:strCache>
            </c:strRef>
          </c:tx>
          <c:spPr>
            <a:solidFill>
              <a:srgbClr val="78A22F"/>
            </a:solidFill>
            <a:ln>
              <a:solidFill>
                <a:srgbClr val="78A22F"/>
              </a:solidFill>
            </a:ln>
          </c:spPr>
          <c:invertIfNegative val="0"/>
          <c:cat>
            <c:strRef>
              <c:f>'Figure 13.9'!$C$3:$K$3</c:f>
              <c:strCache>
                <c:ptCount val="9"/>
                <c:pt idx="0">
                  <c:v>NSW</c:v>
                </c:pt>
                <c:pt idx="1">
                  <c:v>Vic</c:v>
                </c:pt>
                <c:pt idx="2">
                  <c:v>Qld</c:v>
                </c:pt>
                <c:pt idx="3">
                  <c:v>WA</c:v>
                </c:pt>
                <c:pt idx="4">
                  <c:v>SA</c:v>
                </c:pt>
                <c:pt idx="5">
                  <c:v>Tas</c:v>
                </c:pt>
                <c:pt idx="6">
                  <c:v>ACT</c:v>
                </c:pt>
                <c:pt idx="7">
                  <c:v>NT</c:v>
                </c:pt>
                <c:pt idx="8">
                  <c:v>Aust</c:v>
                </c:pt>
              </c:strCache>
            </c:strRef>
          </c:cat>
          <c:val>
            <c:numRef>
              <c:f>'Figure 13.9'!$C$6:$K$6</c:f>
              <c:numCache>
                <c:formatCode>###\ ###\ ##0.0;\-###\ ###\ ##0.0;"–"</c:formatCode>
                <c:ptCount val="9"/>
                <c:pt idx="0">
                  <c:v>8.2377075000000008</c:v>
                </c:pt>
                <c:pt idx="1">
                  <c:v>7.4666645000000003</c:v>
                </c:pt>
                <c:pt idx="2">
                  <c:v>11.3766295</c:v>
                </c:pt>
                <c:pt idx="3">
                  <c:v>4.3431898999999996</c:v>
                </c:pt>
                <c:pt idx="4">
                  <c:v>5.0152066</c:v>
                </c:pt>
                <c:pt idx="5">
                  <c:v>10.061929900000001</c:v>
                </c:pt>
                <c:pt idx="6">
                  <c:v>2.6615818999999998</c:v>
                </c:pt>
                <c:pt idx="7">
                  <c:v>30.898117299999999</c:v>
                </c:pt>
                <c:pt idx="8">
                  <c:v>7.9295175000000002</c:v>
                </c:pt>
              </c:numCache>
            </c:numRef>
          </c:val>
        </c:ser>
        <c:ser>
          <c:idx val="2"/>
          <c:order val="3"/>
          <c:tx>
            <c:strRef>
              <c:f>'Figure 13.9'!$B$7</c:f>
              <c:strCache>
                <c:ptCount val="1"/>
                <c:pt idx="0">
                  <c:v>2015-16</c:v>
                </c:pt>
              </c:strCache>
            </c:strRef>
          </c:tx>
          <c:spPr>
            <a:solidFill>
              <a:srgbClr val="78A22F"/>
            </a:solidFill>
            <a:ln>
              <a:solidFill>
                <a:srgbClr val="78A22F"/>
              </a:solidFill>
            </a:ln>
          </c:spPr>
          <c:invertIfNegative val="0"/>
          <c:cat>
            <c:strRef>
              <c:f>'Figure 13.9'!$C$3:$K$3</c:f>
              <c:strCache>
                <c:ptCount val="9"/>
                <c:pt idx="0">
                  <c:v>NSW</c:v>
                </c:pt>
                <c:pt idx="1">
                  <c:v>Vic</c:v>
                </c:pt>
                <c:pt idx="2">
                  <c:v>Qld</c:v>
                </c:pt>
                <c:pt idx="3">
                  <c:v>WA</c:v>
                </c:pt>
                <c:pt idx="4">
                  <c:v>SA</c:v>
                </c:pt>
                <c:pt idx="5">
                  <c:v>Tas</c:v>
                </c:pt>
                <c:pt idx="6">
                  <c:v>ACT</c:v>
                </c:pt>
                <c:pt idx="7">
                  <c:v>NT</c:v>
                </c:pt>
                <c:pt idx="8">
                  <c:v>Aust</c:v>
                </c:pt>
              </c:strCache>
            </c:strRef>
          </c:cat>
          <c:val>
            <c:numRef>
              <c:f>'Figure 13.9'!$C$7:$K$7</c:f>
              <c:numCache>
                <c:formatCode>###\ ###\ ##0.0;\-###\ ###\ ##0.0;"–"</c:formatCode>
                <c:ptCount val="9"/>
                <c:pt idx="0">
                  <c:v>8.6936517000000002</c:v>
                </c:pt>
                <c:pt idx="1">
                  <c:v>8.5857904999999999</c:v>
                </c:pt>
                <c:pt idx="2">
                  <c:v>9.4348609999999997</c:v>
                </c:pt>
                <c:pt idx="3">
                  <c:v>4.8464726000000002</c:v>
                </c:pt>
                <c:pt idx="4">
                  <c:v>4.9963081000000003</c:v>
                </c:pt>
                <c:pt idx="5">
                  <c:v>13.0808062</c:v>
                </c:pt>
                <c:pt idx="6">
                  <c:v>1.5663203000000001</c:v>
                </c:pt>
                <c:pt idx="7">
                  <c:v>23.915406699999998</c:v>
                </c:pt>
                <c:pt idx="8">
                  <c:v>8.0609742999999998</c:v>
                </c:pt>
              </c:numCache>
            </c:numRef>
          </c:val>
        </c:ser>
        <c:ser>
          <c:idx val="4"/>
          <c:order val="4"/>
          <c:tx>
            <c:strRef>
              <c:f>'Figure 13.9'!$B$8</c:f>
              <c:strCache>
                <c:ptCount val="1"/>
                <c:pt idx="0">
                  <c:v>2016-17</c:v>
                </c:pt>
              </c:strCache>
            </c:strRef>
          </c:tx>
          <c:spPr>
            <a:solidFill>
              <a:srgbClr val="265A9A"/>
            </a:solidFill>
            <a:ln>
              <a:solidFill>
                <a:srgbClr val="265A9A"/>
              </a:solidFill>
            </a:ln>
          </c:spPr>
          <c:invertIfNegative val="0"/>
          <c:cat>
            <c:strRef>
              <c:f>'Figure 13.9'!$C$3:$K$3</c:f>
              <c:strCache>
                <c:ptCount val="9"/>
                <c:pt idx="0">
                  <c:v>NSW</c:v>
                </c:pt>
                <c:pt idx="1">
                  <c:v>Vic</c:v>
                </c:pt>
                <c:pt idx="2">
                  <c:v>Qld</c:v>
                </c:pt>
                <c:pt idx="3">
                  <c:v>WA</c:v>
                </c:pt>
                <c:pt idx="4">
                  <c:v>SA</c:v>
                </c:pt>
                <c:pt idx="5">
                  <c:v>Tas</c:v>
                </c:pt>
                <c:pt idx="6">
                  <c:v>ACT</c:v>
                </c:pt>
                <c:pt idx="7">
                  <c:v>NT</c:v>
                </c:pt>
                <c:pt idx="8">
                  <c:v>Aust</c:v>
                </c:pt>
              </c:strCache>
            </c:strRef>
          </c:cat>
          <c:val>
            <c:numRef>
              <c:f>'Figure 13.9'!$C$8:$K$8</c:f>
              <c:numCache>
                <c:formatCode>###\ ###\ ##0.0;\-###\ ###\ ##0.0;"–"</c:formatCode>
                <c:ptCount val="9"/>
                <c:pt idx="0">
                  <c:v>6.9126324646256894</c:v>
                </c:pt>
                <c:pt idx="1">
                  <c:v>9.281413552659064</c:v>
                </c:pt>
                <c:pt idx="2">
                  <c:v>7.9354568899421478</c:v>
                </c:pt>
                <c:pt idx="3">
                  <c:v>4.7729080646994202</c:v>
                </c:pt>
                <c:pt idx="4">
                  <c:v>6.6355449128832769</c:v>
                </c:pt>
                <c:pt idx="5">
                  <c:v>10.201865523504408</c:v>
                </c:pt>
                <c:pt idx="6">
                  <c:v>2.7709129034673854</c:v>
                </c:pt>
                <c:pt idx="7">
                  <c:v>16.976370727231014</c:v>
                </c:pt>
                <c:pt idx="8">
                  <c:v>7.4146287258377717</c:v>
                </c:pt>
              </c:numCache>
            </c:numRef>
          </c:val>
        </c:ser>
        <c:dLbls>
          <c:showLegendKey val="0"/>
          <c:showVal val="0"/>
          <c:showCatName val="0"/>
          <c:showSerName val="0"/>
          <c:showPercent val="0"/>
          <c:showBubbleSize val="0"/>
        </c:dLbls>
        <c:gapWidth val="150"/>
        <c:axId val="332564952"/>
        <c:axId val="332567304"/>
      </c:barChart>
      <c:catAx>
        <c:axId val="33256495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332567304"/>
        <c:crosses val="autoZero"/>
        <c:auto val="1"/>
        <c:lblAlgn val="ctr"/>
        <c:lblOffset val="100"/>
        <c:noMultiLvlLbl val="0"/>
      </c:catAx>
      <c:valAx>
        <c:axId val="332567304"/>
        <c:scaling>
          <c:orientation val="minMax"/>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US"/>
                  <a:t>Seclusion events/1000 bed days</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332564952"/>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9453-947A-4040-A343-8E3D47F4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88</TotalTime>
  <Pages>39</Pages>
  <Words>11750</Words>
  <Characters>68773</Characters>
  <Application>Microsoft Office Word</Application>
  <DocSecurity>0</DocSecurity>
  <Lines>573</Lines>
  <Paragraphs>160</Paragraphs>
  <ScaleCrop>false</ScaleCrop>
  <HeadingPairs>
    <vt:vector size="2" baseType="variant">
      <vt:variant>
        <vt:lpstr>Title</vt:lpstr>
      </vt:variant>
      <vt:variant>
        <vt:i4>1</vt:i4>
      </vt:variant>
    </vt:vector>
  </HeadingPairs>
  <TitlesOfParts>
    <vt:vector size="1" baseType="lpstr">
      <vt:lpstr>Chapter 13 - Mental health management - Report on Government Services 2018</vt:lpstr>
    </vt:vector>
  </TitlesOfParts>
  <Company>Productivity Commission</Company>
  <LinksUpToDate>false</LinksUpToDate>
  <CharactersWithSpaces>80363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 Mental health management - Report on Government Services 2018</dc:title>
  <dc:subject/>
  <dc:creator>Steering Committee for the Review of Government Service Provision</dc:creator>
  <cp:keywords/>
  <dc:description/>
  <cp:lastModifiedBy>Frech, Tanya</cp:lastModifiedBy>
  <cp:revision>10</cp:revision>
  <cp:lastPrinted>2017-12-18T22:17:00Z</cp:lastPrinted>
  <dcterms:created xsi:type="dcterms:W3CDTF">2017-12-20T23:02:00Z</dcterms:created>
  <dcterms:modified xsi:type="dcterms:W3CDTF">2018-01-04T03:02:00Z</dcterms:modified>
</cp:coreProperties>
</file>