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8F72" w14:textId="342A1E1F" w:rsidR="00A33DFF" w:rsidRPr="007162F2" w:rsidRDefault="007B1252" w:rsidP="007B1252">
      <w:pPr>
        <w:pStyle w:val="Heading1"/>
        <w:spacing w:before="0"/>
      </w:pPr>
      <w:bookmarkStart w:id="0" w:name="ChapterNumber"/>
      <w:r>
        <w:t>15</w:t>
      </w:r>
      <w:bookmarkEnd w:id="0"/>
      <w:r>
        <w:tab/>
      </w:r>
      <w:bookmarkStart w:id="1" w:name="ChapterTitle"/>
      <w:r>
        <w:t>Services for people with disability</w:t>
      </w:r>
      <w:bookmarkEnd w:id="1"/>
    </w:p>
    <w:sdt>
      <w:sdtPr>
        <w:rPr>
          <w:b w:val="0"/>
          <w:kern w:val="28"/>
          <w:sz w:val="52"/>
          <w:szCs w:val="20"/>
          <w:lang w:eastAsia="en-AU"/>
        </w:rPr>
        <w:id w:val="-27879109"/>
        <w:docPartObj>
          <w:docPartGallery w:val="Table of Contents"/>
          <w:docPartUnique/>
        </w:docPartObj>
      </w:sdtPr>
      <w:sdtEndPr>
        <w:rPr>
          <w:kern w:val="0"/>
          <w:sz w:val="14"/>
        </w:rPr>
      </w:sdtEndPr>
      <w:sdtContent>
        <w:p w14:paraId="278065E5" w14:textId="00B778B0" w:rsidR="00EB6D85" w:rsidRDefault="00EB6D85">
          <w:pPr>
            <w:pStyle w:val="TOC1"/>
            <w:rPr>
              <w:rFonts w:asciiTheme="minorHAnsi" w:eastAsiaTheme="minorEastAsia" w:hAnsiTheme="minorHAnsi" w:cstheme="minorBidi"/>
              <w:b w:val="0"/>
              <w:noProof/>
              <w:sz w:val="22"/>
              <w:szCs w:val="22"/>
              <w:lang w:eastAsia="en-AU"/>
            </w:rPr>
          </w:pPr>
          <w:r w:rsidRPr="00EB6D85">
            <w:rPr>
              <w:b w:val="0"/>
              <w:noProof/>
            </w:rPr>
            <w:t>CONTENTS</w:t>
          </w:r>
          <w:r>
            <w:rPr>
              <w:noProof/>
            </w:rPr>
            <w:tab/>
          </w:r>
        </w:p>
        <w:p w14:paraId="03D1CF13" w14:textId="5A0D5B1F" w:rsidR="00EB6D85" w:rsidRDefault="00EB6D85">
          <w:pPr>
            <w:pStyle w:val="TOC2"/>
            <w:tabs>
              <w:tab w:val="left" w:pos="1320"/>
            </w:tabs>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Profile of disability services</w:t>
          </w:r>
          <w:r>
            <w:rPr>
              <w:noProof/>
            </w:rPr>
            <w:tab/>
            <w:t>15.</w:t>
          </w:r>
          <w:r w:rsidR="00C37B05">
            <w:rPr>
              <w:noProof/>
            </w:rPr>
            <w:t>1</w:t>
          </w:r>
        </w:p>
        <w:p w14:paraId="2301BDF5" w14:textId="1A198557" w:rsidR="00EB6D85" w:rsidRDefault="00EB6D85">
          <w:pPr>
            <w:pStyle w:val="TOC2"/>
            <w:tabs>
              <w:tab w:val="left" w:pos="1320"/>
            </w:tabs>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Framework of performance indicators</w:t>
          </w:r>
          <w:r>
            <w:rPr>
              <w:noProof/>
            </w:rPr>
            <w:tab/>
            <w:t>15.</w:t>
          </w:r>
          <w:r w:rsidR="00C37B05">
            <w:rPr>
              <w:noProof/>
            </w:rPr>
            <w:t>7</w:t>
          </w:r>
        </w:p>
        <w:p w14:paraId="14E1205F" w14:textId="41AF6EEA" w:rsidR="00EB6D85" w:rsidRDefault="00EB6D85">
          <w:pPr>
            <w:pStyle w:val="TOC2"/>
            <w:tabs>
              <w:tab w:val="left" w:pos="1320"/>
            </w:tabs>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Key performance indicator results</w:t>
          </w:r>
          <w:r>
            <w:rPr>
              <w:noProof/>
            </w:rPr>
            <w:tab/>
            <w:t>15.</w:t>
          </w:r>
          <w:r w:rsidR="00705E92">
            <w:rPr>
              <w:noProof/>
            </w:rPr>
            <w:t>9</w:t>
          </w:r>
        </w:p>
        <w:p w14:paraId="1BA3911D" w14:textId="6244D9BE" w:rsidR="00EB6D85" w:rsidRDefault="00EB6D85">
          <w:pPr>
            <w:pStyle w:val="TOC2"/>
            <w:tabs>
              <w:tab w:val="left" w:pos="1320"/>
            </w:tabs>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Definitions of key terms</w:t>
          </w:r>
          <w:r>
            <w:rPr>
              <w:noProof/>
            </w:rPr>
            <w:tab/>
            <w:t>15.</w:t>
          </w:r>
          <w:r w:rsidR="00734F1A">
            <w:rPr>
              <w:noProof/>
            </w:rPr>
            <w:t>34</w:t>
          </w:r>
        </w:p>
        <w:p w14:paraId="6D02CCA4" w14:textId="2E2E0CF4" w:rsidR="00EB6D85" w:rsidRDefault="00EB6D85">
          <w:pPr>
            <w:pStyle w:val="TOC2"/>
            <w:tabs>
              <w:tab w:val="left" w:pos="1320"/>
            </w:tabs>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References</w:t>
          </w:r>
          <w:r>
            <w:rPr>
              <w:noProof/>
            </w:rPr>
            <w:tab/>
            <w:t>15.</w:t>
          </w:r>
          <w:r w:rsidR="0052187D">
            <w:rPr>
              <w:noProof/>
            </w:rPr>
            <w:t>39</w:t>
          </w:r>
        </w:p>
        <w:p w14:paraId="688C23DF" w14:textId="4D6D99F0" w:rsidR="00825EA8" w:rsidRPr="007162F2" w:rsidRDefault="001B2EF0" w:rsidP="00137A5B">
          <w:pPr>
            <w:pStyle w:val="BoxSpaceBelow"/>
          </w:pPr>
        </w:p>
      </w:sdtContent>
    </w:sdt>
    <w:p w14:paraId="63490E35" w14:textId="2DFED126" w:rsidR="00825EA8" w:rsidRPr="007162F2" w:rsidRDefault="00825EA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25EA8" w:rsidRPr="007162F2" w14:paraId="5F1B9440" w14:textId="77777777" w:rsidTr="00925FEC">
        <w:tc>
          <w:tcPr>
            <w:tcW w:w="8789" w:type="dxa"/>
            <w:tcBorders>
              <w:top w:val="single" w:sz="6" w:space="0" w:color="78A22F"/>
              <w:left w:val="nil"/>
              <w:bottom w:val="nil"/>
              <w:right w:val="nil"/>
            </w:tcBorders>
            <w:shd w:val="clear" w:color="auto" w:fill="F2F2F2"/>
          </w:tcPr>
          <w:p w14:paraId="04B2EC30" w14:textId="77777777" w:rsidR="00825EA8" w:rsidRPr="007162F2" w:rsidRDefault="00825EA8" w:rsidP="00825EA8">
            <w:pPr>
              <w:pStyle w:val="BoxTitle"/>
            </w:pPr>
            <w:r w:rsidRPr="007162F2">
              <w:t>Attachment tables</w:t>
            </w:r>
          </w:p>
        </w:tc>
      </w:tr>
      <w:tr w:rsidR="00825EA8" w:rsidRPr="007162F2" w14:paraId="3C6CBF14" w14:textId="77777777" w:rsidTr="00925FEC">
        <w:tc>
          <w:tcPr>
            <w:tcW w:w="8789" w:type="dxa"/>
            <w:tcBorders>
              <w:top w:val="nil"/>
              <w:left w:val="nil"/>
              <w:bottom w:val="nil"/>
              <w:right w:val="nil"/>
            </w:tcBorders>
            <w:shd w:val="clear" w:color="auto" w:fill="F2F2F2"/>
          </w:tcPr>
          <w:p w14:paraId="40133889" w14:textId="57B415B6" w:rsidR="00825EA8" w:rsidRPr="007162F2" w:rsidRDefault="00825EA8" w:rsidP="008D73D2">
            <w:pPr>
              <w:pStyle w:val="Box"/>
            </w:pPr>
            <w:r w:rsidRPr="007162F2">
              <w:t>Attachment tables are identified in references throughout this chapter by a ‘15A’ prefix (for example, table 15A.1)</w:t>
            </w:r>
            <w:r w:rsidR="008D73D2" w:rsidRPr="007162F2">
              <w:t xml:space="preserve"> and</w:t>
            </w:r>
            <w:r w:rsidRPr="007162F2">
              <w:t xml:space="preserve"> are available from the website at www.pc.gov.au/rogs/201</w:t>
            </w:r>
            <w:r w:rsidR="006F4198">
              <w:t>8</w:t>
            </w:r>
            <w:r w:rsidRPr="007162F2">
              <w:t>.</w:t>
            </w:r>
            <w:r w:rsidR="002358A7">
              <w:t xml:space="preserve"> </w:t>
            </w:r>
          </w:p>
        </w:tc>
      </w:tr>
      <w:tr w:rsidR="00825EA8" w:rsidRPr="007162F2" w14:paraId="05B2A661" w14:textId="77777777" w:rsidTr="00925FEC">
        <w:tc>
          <w:tcPr>
            <w:tcW w:w="8789" w:type="dxa"/>
            <w:tcBorders>
              <w:top w:val="nil"/>
              <w:left w:val="nil"/>
              <w:bottom w:val="single" w:sz="6" w:space="0" w:color="78A22F"/>
              <w:right w:val="nil"/>
            </w:tcBorders>
            <w:shd w:val="clear" w:color="auto" w:fill="F2F2F2"/>
          </w:tcPr>
          <w:p w14:paraId="32EB3DE7" w14:textId="77777777" w:rsidR="00825EA8" w:rsidRPr="007162F2" w:rsidRDefault="00825EA8">
            <w:pPr>
              <w:pStyle w:val="Box"/>
              <w:spacing w:before="0" w:line="120" w:lineRule="exact"/>
            </w:pPr>
          </w:p>
        </w:tc>
      </w:tr>
      <w:tr w:rsidR="00825EA8" w:rsidRPr="007162F2" w14:paraId="392304FF" w14:textId="77777777" w:rsidTr="00925FEC">
        <w:tc>
          <w:tcPr>
            <w:tcW w:w="8789" w:type="dxa"/>
            <w:tcBorders>
              <w:top w:val="single" w:sz="6" w:space="0" w:color="78A22F"/>
              <w:left w:val="nil"/>
              <w:bottom w:val="nil"/>
              <w:right w:val="nil"/>
            </w:tcBorders>
          </w:tcPr>
          <w:p w14:paraId="31A59A73" w14:textId="23AA774C" w:rsidR="00825EA8" w:rsidRPr="007162F2" w:rsidRDefault="00825EA8" w:rsidP="00F979BC">
            <w:pPr>
              <w:pStyle w:val="BoxSpaceBelow"/>
            </w:pPr>
          </w:p>
        </w:tc>
      </w:tr>
    </w:tbl>
    <w:p w14:paraId="0F836E9A" w14:textId="01CACA98" w:rsidR="00BB37F8" w:rsidRDefault="00BB37F8" w:rsidP="00BB37F8">
      <w:pPr>
        <w:pStyle w:val="BodyText"/>
      </w:pPr>
      <w:r w:rsidRPr="007162F2">
        <w:t xml:space="preserve">This chapter reports on the Australian, State and Territory governments’ assistance provided to people with disability and their </w:t>
      </w:r>
      <w:proofErr w:type="spellStart"/>
      <w:r w:rsidRPr="007162F2">
        <w:t>carers</w:t>
      </w:r>
      <w:proofErr w:type="spellEnd"/>
      <w:r w:rsidRPr="007162F2">
        <w:t>. Performance reporting currently focuses on assistance provided by governments through specialist disability services under the National Disability Agreement (NDA) (COAG 2012) as well as the broad social and economic outcomes of people with disability. Performance information on the National Disability Insurance Scheme (NDIS) will be de</w:t>
      </w:r>
      <w:r w:rsidR="00736BC1">
        <w:t>veloped for future reports.</w:t>
      </w:r>
    </w:p>
    <w:p w14:paraId="0557F9D9" w14:textId="01229BB7" w:rsidR="006F4198" w:rsidRPr="007162F2" w:rsidRDefault="006F4198" w:rsidP="00BB37F8">
      <w:pPr>
        <w:pStyle w:val="BodyText"/>
      </w:pPr>
      <w:r w:rsidRPr="006F4198">
        <w:t xml:space="preserve">Further information on the Report on Government Services including other reported service areas, the glossary and list of abbreviations is available at </w:t>
      </w:r>
      <w:r w:rsidRPr="007E287D">
        <w:t>www.pc.gov.au/rogs/2018</w:t>
      </w:r>
      <w:r w:rsidRPr="006F4198">
        <w:t>.</w:t>
      </w:r>
    </w:p>
    <w:p w14:paraId="0D9ADA98" w14:textId="740C80B1" w:rsidR="00666E02" w:rsidRPr="007162F2" w:rsidRDefault="00BB37F8" w:rsidP="00BB37F8">
      <w:pPr>
        <w:pStyle w:val="Heading2"/>
      </w:pPr>
      <w:bookmarkStart w:id="2" w:name="_Toc470167919"/>
      <w:r w:rsidRPr="007162F2">
        <w:t>15.</w:t>
      </w:r>
      <w:r w:rsidR="00C37B05">
        <w:rPr>
          <w:noProof/>
        </w:rPr>
        <w:t>1</w:t>
      </w:r>
      <w:r w:rsidRPr="007162F2">
        <w:tab/>
        <w:t>Profile of disability services</w:t>
      </w:r>
      <w:bookmarkEnd w:id="2"/>
    </w:p>
    <w:p w14:paraId="08C0A6C7" w14:textId="151A077B" w:rsidR="00BB37F8" w:rsidRPr="007162F2" w:rsidRDefault="00BB37F8" w:rsidP="00BB37F8">
      <w:pPr>
        <w:pStyle w:val="BodyText"/>
      </w:pPr>
      <w:r w:rsidRPr="007162F2">
        <w:t xml:space="preserve">The disability service delivery environment is in a state of transition. The NDIS is being introduced progressively across Australia with full implementation expected by </w:t>
      </w:r>
      <w:r w:rsidR="005703EB">
        <w:t>1</w:t>
      </w:r>
      <w:r w:rsidR="00665EFA">
        <w:t> </w:t>
      </w:r>
      <w:r w:rsidRPr="007162F2">
        <w:t>July 2019</w:t>
      </w:r>
      <w:r w:rsidR="005703EB">
        <w:t xml:space="preserve"> </w:t>
      </w:r>
      <w:r w:rsidR="005703EB" w:rsidRPr="007162F2">
        <w:t>(except WA</w:t>
      </w:r>
      <w:r w:rsidR="005703EB" w:rsidRPr="007162F2">
        <w:rPr>
          <w:rStyle w:val="FootnoteReference"/>
        </w:rPr>
        <w:footnoteReference w:id="1"/>
      </w:r>
      <w:r w:rsidR="005703EB">
        <w:t>)</w:t>
      </w:r>
      <w:r w:rsidRPr="007162F2">
        <w:t xml:space="preserve"> (table 15A.1). The NDIS will largely replace the existing system of disability </w:t>
      </w:r>
      <w:r w:rsidRPr="007162F2">
        <w:lastRenderedPageBreak/>
        <w:t>care and support provided under the NDA. However, not all existing NDA service users will be eligible for the NDIS and not all specialist disabi</w:t>
      </w:r>
      <w:r w:rsidR="000F2383">
        <w:t>lity services will be rolled in</w:t>
      </w:r>
      <w:r w:rsidRPr="007162F2">
        <w:t>to the NDIS (in particular, open employment services). Governments have agreed that existing service users will not be disadvantaged during the transition under ‘continuity of support’ arrangemen</w:t>
      </w:r>
      <w:r w:rsidR="00EB6D85">
        <w:t>ts (NDIA</w:t>
      </w:r>
      <w:r w:rsidR="00154396">
        <w:t> </w:t>
      </w:r>
      <w:r w:rsidRPr="007162F2">
        <w:t>2016).</w:t>
      </w:r>
    </w:p>
    <w:p w14:paraId="61CAE48D" w14:textId="59651690" w:rsidR="00BB37F8" w:rsidRPr="004514F4" w:rsidRDefault="00BB37F8" w:rsidP="00BB37F8">
      <w:pPr>
        <w:pStyle w:val="BodyText"/>
      </w:pPr>
      <w:r w:rsidRPr="007162F2">
        <w:t>Nationally, most users of disability services are still receiving s</w:t>
      </w:r>
      <w:r w:rsidR="005703EB">
        <w:t>upport under the NDA. In 2015</w:t>
      </w:r>
      <w:r w:rsidR="004514F4">
        <w:noBreakHyphen/>
      </w:r>
      <w:r w:rsidRPr="007162F2">
        <w:t>1</w:t>
      </w:r>
      <w:r w:rsidR="005703EB">
        <w:t>6</w:t>
      </w:r>
      <w:r w:rsidR="00B61C6F" w:rsidRPr="007162F2">
        <w:rPr>
          <w:rStyle w:val="FootnoteReference"/>
        </w:rPr>
        <w:footnoteReference w:id="2"/>
      </w:r>
      <w:r w:rsidRPr="007162F2">
        <w:t xml:space="preserve">, </w:t>
      </w:r>
      <w:r w:rsidR="00E909A4" w:rsidRPr="00E909A4">
        <w:t>3519</w:t>
      </w:r>
      <w:r w:rsidRPr="00E909A4">
        <w:t xml:space="preserve"> people who used disability support services under the NDA </w:t>
      </w:r>
      <w:r w:rsidR="00E909A4" w:rsidRPr="00E909A4">
        <w:t xml:space="preserve">were identified as transitioning </w:t>
      </w:r>
      <w:r w:rsidRPr="00E909A4">
        <w:t>to the NDIS. As at 30</w:t>
      </w:r>
      <w:r w:rsidR="004514F4" w:rsidRPr="00E909A4">
        <w:t> </w:t>
      </w:r>
      <w:r w:rsidR="005703EB" w:rsidRPr="00E909A4">
        <w:t>June 2016</w:t>
      </w:r>
      <w:r w:rsidRPr="00E909A4">
        <w:t xml:space="preserve">, there were </w:t>
      </w:r>
      <w:r w:rsidR="00E909A4" w:rsidRPr="00E909A4">
        <w:t>15 041</w:t>
      </w:r>
      <w:r w:rsidRPr="00E909A4">
        <w:t xml:space="preserve"> NDIS participants who were </w:t>
      </w:r>
      <w:r w:rsidR="00E82289" w:rsidRPr="00342AFB">
        <w:t>previously</w:t>
      </w:r>
      <w:r w:rsidR="00E82289" w:rsidRPr="00E909A4">
        <w:t xml:space="preserve"> </w:t>
      </w:r>
      <w:r w:rsidRPr="00E909A4">
        <w:t xml:space="preserve">State/Territory </w:t>
      </w:r>
      <w:r w:rsidRPr="007162F2">
        <w:t>service users (that is, had transferred at some time from NDA services)</w:t>
      </w:r>
      <w:r w:rsidR="00137A5B" w:rsidRPr="007162F2">
        <w:t xml:space="preserve"> (figure</w:t>
      </w:r>
      <w:r w:rsidR="004514F4">
        <w:t> </w:t>
      </w:r>
      <w:r w:rsidR="003C2134" w:rsidRPr="007162F2">
        <w:t>15.1</w:t>
      </w:r>
      <w:r w:rsidR="00137A5B" w:rsidRPr="007162F2">
        <w:t>).</w:t>
      </w:r>
      <w:r w:rsidRPr="007162F2">
        <w:t xml:space="preserve"> A number of factors affect the comparability of these data (see table</w:t>
      </w:r>
      <w:r w:rsidR="004514F4">
        <w:t> </w:t>
      </w:r>
      <w:r w:rsidRPr="007162F2">
        <w:t>15A.2).</w:t>
      </w:r>
    </w:p>
    <w:p w14:paraId="3FAEE145" w14:textId="5DAF65F1" w:rsidR="00BB37F8" w:rsidRPr="007162F2" w:rsidRDefault="00BB37F8" w:rsidP="00353465">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37F8" w:rsidRPr="007162F2" w14:paraId="5EBA73DE" w14:textId="77777777" w:rsidTr="00925FEC">
        <w:trPr>
          <w:tblHeader/>
        </w:trPr>
        <w:tc>
          <w:tcPr>
            <w:tcW w:w="8789" w:type="dxa"/>
            <w:tcBorders>
              <w:top w:val="single" w:sz="6" w:space="0" w:color="78A22F"/>
              <w:left w:val="nil"/>
              <w:bottom w:val="nil"/>
              <w:right w:val="nil"/>
            </w:tcBorders>
            <w:shd w:val="clear" w:color="auto" w:fill="auto"/>
          </w:tcPr>
          <w:p w14:paraId="3304EB0F" w14:textId="161F74D9" w:rsidR="00BB37F8" w:rsidRPr="007162F2" w:rsidRDefault="00BB37F8" w:rsidP="00353465">
            <w:pPr>
              <w:pStyle w:val="FigureTitle"/>
              <w:spacing w:after="0"/>
            </w:pPr>
            <w:r w:rsidRPr="007162F2">
              <w:rPr>
                <w:b w:val="0"/>
              </w:rPr>
              <w:t xml:space="preserve">Figure </w:t>
            </w:r>
            <w:bookmarkStart w:id="3" w:name="OLE_LINK1"/>
            <w:r w:rsidRPr="007162F2">
              <w:rPr>
                <w:b w:val="0"/>
              </w:rPr>
              <w:t>15.</w:t>
            </w:r>
            <w:r w:rsidR="00C37B05">
              <w:rPr>
                <w:b w:val="0"/>
                <w:noProof/>
              </w:rPr>
              <w:t>1</w:t>
            </w:r>
            <w:bookmarkEnd w:id="3"/>
            <w:r w:rsidR="005F5C8C">
              <w:tab/>
            </w:r>
            <w:r w:rsidR="00A2198A">
              <w:t>NDA and NDIS transitions</w:t>
            </w:r>
            <w:r w:rsidR="00AE1A17" w:rsidRPr="00342AFB">
              <w:t>, as at 3</w:t>
            </w:r>
            <w:r w:rsidR="00E34C55" w:rsidRPr="00342AFB">
              <w:t xml:space="preserve">0 </w:t>
            </w:r>
            <w:r w:rsidR="00AE1A17" w:rsidRPr="00342AFB">
              <w:t>June 2016</w:t>
            </w:r>
            <w:r w:rsidR="00F07AEA" w:rsidRPr="007F6F12">
              <w:rPr>
                <w:rStyle w:val="NoteLabel"/>
                <w:b/>
              </w:rPr>
              <w:t>a</w:t>
            </w:r>
            <w:r w:rsidR="000F4202">
              <w:rPr>
                <w:rStyle w:val="NoteLabel"/>
                <w:b/>
              </w:rPr>
              <w:t>, b</w:t>
            </w:r>
            <w:r w:rsidR="00897619">
              <w:rPr>
                <w:rStyle w:val="NoteLabel"/>
                <w:b/>
              </w:rPr>
              <w:t>, c</w:t>
            </w:r>
            <w:r w:rsidR="00E82289">
              <w:rPr>
                <w:rStyle w:val="NoteLabel"/>
                <w:b/>
              </w:rPr>
              <w:t>, d</w:t>
            </w:r>
          </w:p>
        </w:tc>
      </w:tr>
      <w:tr w:rsidR="00BB37F8" w:rsidRPr="007162F2" w14:paraId="1424A658"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B37F8" w:rsidRPr="007162F2" w14:paraId="2807396E" w14:textId="77777777" w:rsidTr="00F979BC">
              <w:trPr>
                <w:tblHeader/>
                <w:jc w:val="center"/>
              </w:trPr>
              <w:tc>
                <w:tcPr>
                  <w:tcW w:w="5000" w:type="pct"/>
                  <w:tcBorders>
                    <w:top w:val="nil"/>
                    <w:bottom w:val="nil"/>
                  </w:tcBorders>
                </w:tcPr>
                <w:p w14:paraId="31FBE830" w14:textId="51D564E8" w:rsidR="00BB37F8" w:rsidRPr="00EF2700" w:rsidRDefault="00FB60B0" w:rsidP="00EF2700">
                  <w:pPr>
                    <w:pStyle w:val="Figure"/>
                  </w:pPr>
                  <w:r>
                    <w:rPr>
                      <w:noProof/>
                    </w:rPr>
                    <w:drawing>
                      <wp:inline distT="0" distB="0" distL="0" distR="0" wp14:anchorId="07AC874F" wp14:editId="26CB8960">
                        <wp:extent cx="5298059" cy="3776445"/>
                        <wp:effectExtent l="0" t="0" r="0" b="0"/>
                        <wp:docPr id="5" name="Picture 5" descr="More details can be found within the text surrounding this image. " title="Figure 15.1 NDA and NDIS transitions, as at 30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2898" cy="3801278"/>
                                </a:xfrm>
                                <a:prstGeom prst="rect">
                                  <a:avLst/>
                                </a:prstGeom>
                                <a:noFill/>
                              </pic:spPr>
                            </pic:pic>
                          </a:graphicData>
                        </a:graphic>
                      </wp:inline>
                    </w:drawing>
                  </w:r>
                </w:p>
              </w:tc>
            </w:tr>
          </w:tbl>
          <w:p w14:paraId="3832E915" w14:textId="77777777" w:rsidR="00BB37F8" w:rsidRPr="007162F2" w:rsidRDefault="00BB37F8" w:rsidP="00F979BC">
            <w:pPr>
              <w:pStyle w:val="Figure"/>
            </w:pPr>
          </w:p>
        </w:tc>
      </w:tr>
      <w:tr w:rsidR="00BB37F8" w:rsidRPr="007162F2" w14:paraId="066E9E5D" w14:textId="77777777" w:rsidTr="00925FEC">
        <w:tc>
          <w:tcPr>
            <w:tcW w:w="8789" w:type="dxa"/>
            <w:tcBorders>
              <w:top w:val="nil"/>
              <w:left w:val="nil"/>
              <w:bottom w:val="nil"/>
              <w:right w:val="nil"/>
            </w:tcBorders>
            <w:shd w:val="clear" w:color="auto" w:fill="auto"/>
          </w:tcPr>
          <w:p w14:paraId="5D0E3E08" w14:textId="7E801867" w:rsidR="00BB37F8" w:rsidRPr="007162F2" w:rsidRDefault="00BB37F8" w:rsidP="00E20A31">
            <w:pPr>
              <w:pStyle w:val="Note"/>
            </w:pPr>
            <w:r w:rsidRPr="007162F2">
              <w:rPr>
                <w:rStyle w:val="NoteLabel"/>
              </w:rPr>
              <w:t>a</w:t>
            </w:r>
            <w:r w:rsidRPr="007162F2">
              <w:t xml:space="preserve"> </w:t>
            </w:r>
            <w:r w:rsidR="002A752A">
              <w:rPr>
                <w:rStyle w:val="FootnoteTextChar"/>
              </w:rPr>
              <w:t>D</w:t>
            </w:r>
            <w:r w:rsidR="00F07AEA" w:rsidRPr="007162F2">
              <w:rPr>
                <w:rStyle w:val="FootnoteTextChar"/>
              </w:rPr>
              <w:t>ata are captured at a point in time (30</w:t>
            </w:r>
            <w:r w:rsidR="004514F4">
              <w:rPr>
                <w:rStyle w:val="FootnoteTextChar"/>
              </w:rPr>
              <w:t> </w:t>
            </w:r>
            <w:r w:rsidR="005703EB">
              <w:rPr>
                <w:rStyle w:val="FootnoteTextChar"/>
              </w:rPr>
              <w:t>June 2016</w:t>
            </w:r>
            <w:r w:rsidR="00F07AEA" w:rsidRPr="007162F2">
              <w:rPr>
                <w:rStyle w:val="FootnoteTextChar"/>
              </w:rPr>
              <w:t xml:space="preserve">) </w:t>
            </w:r>
            <w:r w:rsidR="00C81B0A">
              <w:rPr>
                <w:rStyle w:val="FootnoteTextChar"/>
              </w:rPr>
              <w:t>unless otherwise stated</w:t>
            </w:r>
            <w:r w:rsidR="00F07AEA" w:rsidRPr="007162F2">
              <w:rPr>
                <w:rStyle w:val="FootnoteTextChar"/>
              </w:rPr>
              <w:t xml:space="preserve">. </w:t>
            </w:r>
            <w:r w:rsidR="000F4202">
              <w:rPr>
                <w:rStyle w:val="NoteLabel"/>
              </w:rPr>
              <w:t>b</w:t>
            </w:r>
            <w:r w:rsidR="000F4202" w:rsidRPr="007162F2">
              <w:t xml:space="preserve"> </w:t>
            </w:r>
            <w:r w:rsidR="00F41D36" w:rsidRPr="007162F2">
              <w:t>See table</w:t>
            </w:r>
            <w:r w:rsidR="004514F4">
              <w:t> </w:t>
            </w:r>
            <w:r w:rsidR="00F41D36" w:rsidRPr="007162F2">
              <w:t>15A.2 for detailed definitions, footnotes and caveats.</w:t>
            </w:r>
            <w:r w:rsidR="00897619">
              <w:t xml:space="preserve"> </w:t>
            </w:r>
            <w:r w:rsidR="00897619" w:rsidRPr="00897619">
              <w:rPr>
                <w:rStyle w:val="NoteLabel"/>
              </w:rPr>
              <w:t>c</w:t>
            </w:r>
            <w:r w:rsidR="00897619">
              <w:t xml:space="preserve"> Does not show numbers for those who leave NDA services but do not transition to the NDIS.</w:t>
            </w:r>
            <w:r w:rsidR="00AE1A17" w:rsidRPr="00897619">
              <w:rPr>
                <w:rStyle w:val="NoteLabel"/>
              </w:rPr>
              <w:t xml:space="preserve"> </w:t>
            </w:r>
            <w:r w:rsidR="00AE1A17" w:rsidRPr="00342AFB">
              <w:rPr>
                <w:rStyle w:val="NoteLabel"/>
              </w:rPr>
              <w:t>d</w:t>
            </w:r>
            <w:r w:rsidR="00AE1A17" w:rsidRPr="00342AFB">
              <w:t xml:space="preserve"> </w:t>
            </w:r>
            <w:r w:rsidR="009E4376" w:rsidRPr="00342AFB">
              <w:t>Data from the D</w:t>
            </w:r>
            <w:r w:rsidR="00E82289" w:rsidRPr="00342AFB">
              <w:t xml:space="preserve">isability </w:t>
            </w:r>
            <w:r w:rsidR="009E4376" w:rsidRPr="00342AFB">
              <w:t>S</w:t>
            </w:r>
            <w:r w:rsidR="00E82289" w:rsidRPr="00342AFB">
              <w:t>ervices</w:t>
            </w:r>
            <w:r w:rsidR="009E4376" w:rsidRPr="00342AFB">
              <w:t xml:space="preserve"> N</w:t>
            </w:r>
            <w:r w:rsidR="00E82289" w:rsidRPr="00342AFB">
              <w:t xml:space="preserve">ational </w:t>
            </w:r>
            <w:r w:rsidR="009E4376" w:rsidRPr="00342AFB">
              <w:t>M</w:t>
            </w:r>
            <w:r w:rsidR="00E82289" w:rsidRPr="00342AFB">
              <w:t xml:space="preserve">inimum </w:t>
            </w:r>
            <w:r w:rsidR="009E4376" w:rsidRPr="00342AFB">
              <w:t>D</w:t>
            </w:r>
            <w:r w:rsidR="00E82289" w:rsidRPr="00342AFB">
              <w:t xml:space="preserve">ata </w:t>
            </w:r>
            <w:r w:rsidR="009E4376" w:rsidRPr="00342AFB">
              <w:t>S</w:t>
            </w:r>
            <w:r w:rsidR="00E82289" w:rsidRPr="00342AFB">
              <w:t>et (DS NMDS)</w:t>
            </w:r>
            <w:r w:rsidR="009E4376" w:rsidRPr="00342AFB">
              <w:t xml:space="preserve"> lag the NDIS data by one year and </w:t>
            </w:r>
            <w:r w:rsidR="00E82289" w:rsidRPr="00342AFB">
              <w:t>30 June 2017</w:t>
            </w:r>
            <w:r w:rsidR="009E4376" w:rsidRPr="00342AFB">
              <w:t xml:space="preserve"> data were not available for the Report. Accordingly, NDIS data for </w:t>
            </w:r>
            <w:r w:rsidR="00E82289" w:rsidRPr="00342AFB">
              <w:t>30 June 2016</w:t>
            </w:r>
            <w:r w:rsidR="009E4376" w:rsidRPr="00342AFB">
              <w:t xml:space="preserve"> are used for comparison purposes</w:t>
            </w:r>
            <w:r w:rsidR="00E20A31" w:rsidRPr="00342AFB">
              <w:t xml:space="preserve"> in this figure</w:t>
            </w:r>
            <w:r w:rsidR="009E4376" w:rsidRPr="00342AFB">
              <w:t>.</w:t>
            </w:r>
          </w:p>
        </w:tc>
      </w:tr>
      <w:tr w:rsidR="00BB37F8" w:rsidRPr="007162F2" w14:paraId="011FE4E5" w14:textId="77777777" w:rsidTr="00925FEC">
        <w:tc>
          <w:tcPr>
            <w:tcW w:w="8789" w:type="dxa"/>
            <w:tcBorders>
              <w:top w:val="nil"/>
              <w:left w:val="nil"/>
              <w:bottom w:val="nil"/>
              <w:right w:val="nil"/>
            </w:tcBorders>
            <w:shd w:val="clear" w:color="auto" w:fill="auto"/>
          </w:tcPr>
          <w:p w14:paraId="5CBE0703" w14:textId="666E59F8" w:rsidR="00BB37F8" w:rsidRPr="007162F2" w:rsidRDefault="008156B7" w:rsidP="00E82289">
            <w:pPr>
              <w:pStyle w:val="Source"/>
            </w:pPr>
            <w:r w:rsidRPr="007162F2">
              <w:rPr>
                <w:i/>
              </w:rPr>
              <w:t>S</w:t>
            </w:r>
            <w:r w:rsidR="00BB37F8" w:rsidRPr="007162F2">
              <w:rPr>
                <w:i/>
              </w:rPr>
              <w:t>ource</w:t>
            </w:r>
            <w:r w:rsidR="00BB37F8" w:rsidRPr="007162F2">
              <w:t xml:space="preserve">: </w:t>
            </w:r>
            <w:r w:rsidR="004E03DF" w:rsidRPr="007162F2">
              <w:t xml:space="preserve">Australian Institute of Health and Welfare (AIHW) (unpublished) DS NMDS; NDIA (published and unpublished), </w:t>
            </w:r>
            <w:r w:rsidR="004E03DF" w:rsidRPr="007162F2">
              <w:rPr>
                <w:i/>
              </w:rPr>
              <w:t>Quarterly Report to COAG Disability Reform Council, 30</w:t>
            </w:r>
            <w:r w:rsidR="004514F4">
              <w:rPr>
                <w:i/>
              </w:rPr>
              <w:t> </w:t>
            </w:r>
            <w:r w:rsidR="004E03DF" w:rsidRPr="007162F2">
              <w:rPr>
                <w:i/>
              </w:rPr>
              <w:t>June 201</w:t>
            </w:r>
            <w:r w:rsidR="005703EB">
              <w:rPr>
                <w:i/>
              </w:rPr>
              <w:t>6</w:t>
            </w:r>
            <w:r w:rsidR="004E03DF" w:rsidRPr="007162F2">
              <w:t>; t</w:t>
            </w:r>
            <w:r w:rsidR="00137A5B" w:rsidRPr="007162F2">
              <w:t>able</w:t>
            </w:r>
            <w:r w:rsidR="004514F4">
              <w:t> </w:t>
            </w:r>
            <w:r w:rsidR="00137A5B" w:rsidRPr="007162F2">
              <w:t>15A.2</w:t>
            </w:r>
            <w:r w:rsidR="008D73D2" w:rsidRPr="007162F2">
              <w:t>.</w:t>
            </w:r>
          </w:p>
        </w:tc>
      </w:tr>
      <w:tr w:rsidR="00BB37F8" w:rsidRPr="007162F2" w14:paraId="00675BD5" w14:textId="77777777" w:rsidTr="00925FEC">
        <w:tc>
          <w:tcPr>
            <w:tcW w:w="8789" w:type="dxa"/>
            <w:tcBorders>
              <w:top w:val="nil"/>
              <w:left w:val="nil"/>
              <w:bottom w:val="single" w:sz="6" w:space="0" w:color="78A22F"/>
              <w:right w:val="nil"/>
            </w:tcBorders>
            <w:shd w:val="clear" w:color="auto" w:fill="auto"/>
          </w:tcPr>
          <w:p w14:paraId="3F9CE0C2" w14:textId="77777777" w:rsidR="00BB37F8" w:rsidRPr="007162F2" w:rsidRDefault="00BB37F8" w:rsidP="00353465">
            <w:pPr>
              <w:pStyle w:val="Figurespace"/>
              <w:spacing w:line="80" w:lineRule="exact"/>
            </w:pPr>
          </w:p>
        </w:tc>
      </w:tr>
      <w:tr w:rsidR="00BB37F8" w:rsidRPr="007162F2" w14:paraId="1C5DB10E" w14:textId="77777777" w:rsidTr="00925FEC">
        <w:tc>
          <w:tcPr>
            <w:tcW w:w="8789" w:type="dxa"/>
            <w:tcBorders>
              <w:top w:val="single" w:sz="6" w:space="0" w:color="78A22F"/>
              <w:left w:val="nil"/>
              <w:bottom w:val="nil"/>
              <w:right w:val="nil"/>
            </w:tcBorders>
          </w:tcPr>
          <w:p w14:paraId="183AA1CB" w14:textId="2CE6A565" w:rsidR="00BB37F8" w:rsidRPr="007162F2" w:rsidRDefault="00BB37F8" w:rsidP="00353465">
            <w:pPr>
              <w:pStyle w:val="BoxSpaceBelow"/>
              <w:spacing w:before="0" w:after="0"/>
            </w:pPr>
          </w:p>
        </w:tc>
      </w:tr>
    </w:tbl>
    <w:p w14:paraId="515E32CB" w14:textId="77777777" w:rsidR="00F41D36" w:rsidRPr="007162F2" w:rsidRDefault="00F41D36" w:rsidP="00F41D36">
      <w:pPr>
        <w:pStyle w:val="Heading3"/>
      </w:pPr>
      <w:r w:rsidRPr="007162F2">
        <w:lastRenderedPageBreak/>
        <w:t>Service overview</w:t>
      </w:r>
    </w:p>
    <w:p w14:paraId="25CF7774" w14:textId="57E5A1FB" w:rsidR="00F41D36" w:rsidRPr="007162F2" w:rsidRDefault="00F41D36" w:rsidP="00F41D36">
      <w:pPr>
        <w:pStyle w:val="BodyText"/>
      </w:pPr>
      <w:r w:rsidRPr="007162F2">
        <w:t>Currently assistance is provided by governments to people with disability and their carers through both specialist disability services provided und</w:t>
      </w:r>
      <w:r w:rsidR="00DA7AB6">
        <w:t>er the NDA as well as the NDIS.</w:t>
      </w:r>
    </w:p>
    <w:p w14:paraId="23267196" w14:textId="215E88FB" w:rsidR="00F41D36" w:rsidRPr="007162F2" w:rsidRDefault="00F41D36" w:rsidP="00F41D36">
      <w:pPr>
        <w:pStyle w:val="BodyText"/>
      </w:pPr>
      <w:r w:rsidRPr="007162F2">
        <w:t>The NDA, effective from 1</w:t>
      </w:r>
      <w:r w:rsidR="004514F4">
        <w:t> </w:t>
      </w:r>
      <w:r w:rsidRPr="007162F2">
        <w:t>January 2009 and revised in 2012, provides the national framework and key areas of reform for the provision of government support and services for people with disability. Specialist disability services funded and provided under the NDA include:</w:t>
      </w:r>
    </w:p>
    <w:p w14:paraId="14E0562B" w14:textId="5AF9A375" w:rsidR="00F41D36" w:rsidRPr="007162F2" w:rsidRDefault="00F41D36" w:rsidP="00F41D36">
      <w:pPr>
        <w:pStyle w:val="ListBullet"/>
      </w:pPr>
      <w:r w:rsidRPr="007162F2">
        <w:t>accommodation support services, community support services, community access services, respite care services, employment services, advocacy, information and alternative forms of communication, and other support services. These services tend to be targeted at those who have profound or severe core activity limitations (see section</w:t>
      </w:r>
      <w:r w:rsidR="004514F4">
        <w:t> </w:t>
      </w:r>
      <w:r w:rsidRPr="007162F2">
        <w:t>15.4 for definitions)</w:t>
      </w:r>
    </w:p>
    <w:p w14:paraId="7D567ED1" w14:textId="4E640B38" w:rsidR="00F41D36" w:rsidRPr="007162F2" w:rsidRDefault="00F41D36" w:rsidP="00F41D36">
      <w:pPr>
        <w:pStyle w:val="ListBullet"/>
      </w:pPr>
      <w:r w:rsidRPr="007162F2">
        <w:t>Basic Community Care (BCC) services funded under the NDA</w:t>
      </w:r>
      <w:r w:rsidR="00913CC3">
        <w:rPr>
          <w:rStyle w:val="FootnoteReference"/>
        </w:rPr>
        <w:footnoteReference w:id="3"/>
      </w:r>
      <w:r w:rsidRPr="007162F2">
        <w:t xml:space="preserve"> assist people with disability to live independently and to actively participate and engage in their community. BCC services include basic maintenance and support services such as allied health care, assessment, case management and client care coordination, centre based day care, counselling, support, information and advocacy, domestic assistance, home maintenance, nursing, personal and respite care, social support, meals, home modification, linen service, goods and equipment and transport.</w:t>
      </w:r>
    </w:p>
    <w:p w14:paraId="7A4C17E6" w14:textId="3A6BBB45" w:rsidR="00F41D36" w:rsidRPr="007162F2" w:rsidRDefault="00832698" w:rsidP="00F41D36">
      <w:pPr>
        <w:pStyle w:val="BodyText"/>
      </w:pPr>
      <w:r w:rsidRPr="00342AFB">
        <w:t>The NDIS provides reasonable and necessary supports to people with a permanent and significant disability and who need assistance with everyday activities</w:t>
      </w:r>
      <w:r w:rsidR="00F41D36" w:rsidRPr="007162F2">
        <w:t xml:space="preserve">. The scheme is underpinned by an insurance model and each individual seeking access is assessed according to a common set of criteria. Individuals who are deemed eligible receive a package of funding to purchase the supports identified in their individualised plan. The NDIS was established under the </w:t>
      </w:r>
      <w:r w:rsidR="00F41D36" w:rsidRPr="007162F2">
        <w:rPr>
          <w:i/>
        </w:rPr>
        <w:t>National Disability Insurance Scheme Act 2013.</w:t>
      </w:r>
    </w:p>
    <w:p w14:paraId="543DDC0C" w14:textId="0F15EB47" w:rsidR="00D434A0" w:rsidRPr="007162F2" w:rsidRDefault="00F41D36" w:rsidP="00F41D36">
      <w:pPr>
        <w:pStyle w:val="BodyText"/>
      </w:pPr>
      <w:r w:rsidRPr="007162F2">
        <w:t xml:space="preserve">People with disability can also access mainstream services provided to the community as a whole. The </w:t>
      </w:r>
      <w:r w:rsidRPr="007162F2">
        <w:rPr>
          <w:i/>
        </w:rPr>
        <w:t>National Disability Strategy 2010–2020</w:t>
      </w:r>
      <w:r w:rsidRPr="007162F2">
        <w:t xml:space="preserve"> guides public policy across governments and aims to bring about changes to all mainstream services and programs, as well as community infrastructure, to ensure they are accessible and responsive to the needs of people with disability. Some mainstream services give priority to people with disability (for example, social housing) or have programs to meet the special needs of people with disability (for example, school education).</w:t>
      </w:r>
      <w:r w:rsidR="00892B64" w:rsidRPr="007162F2">
        <w:t xml:space="preserve"> Data on the participation of people with disability in various government services can be found in other chapters of this Report (</w:t>
      </w:r>
      <w:r w:rsidR="00892B64" w:rsidRPr="00342AFB">
        <w:t>chapters 3, 4, 5, 14, 1</w:t>
      </w:r>
      <w:r w:rsidR="001252D2" w:rsidRPr="00342AFB">
        <w:t>8</w:t>
      </w:r>
      <w:r w:rsidR="00892B64" w:rsidRPr="00342AFB">
        <w:t>, 1</w:t>
      </w:r>
      <w:r w:rsidR="001252D2" w:rsidRPr="00342AFB">
        <w:t>9</w:t>
      </w:r>
      <w:r w:rsidR="00892B64" w:rsidRPr="00342AFB">
        <w:t xml:space="preserve"> and sector overview G).</w:t>
      </w:r>
    </w:p>
    <w:p w14:paraId="52B01073" w14:textId="77777777" w:rsidR="00A96A18" w:rsidRDefault="00A96A18">
      <w:pPr>
        <w:rPr>
          <w:rFonts w:ascii="Arial" w:hAnsi="Arial"/>
          <w:b/>
          <w:sz w:val="26"/>
          <w:szCs w:val="20"/>
        </w:rPr>
      </w:pPr>
      <w:r>
        <w:br w:type="page"/>
      </w:r>
    </w:p>
    <w:p w14:paraId="642F9E2F" w14:textId="1A8746B3" w:rsidR="00F41D36" w:rsidRPr="007162F2" w:rsidRDefault="00F41D36" w:rsidP="00F41D36">
      <w:pPr>
        <w:pStyle w:val="Heading3"/>
      </w:pPr>
      <w:r w:rsidRPr="007162F2">
        <w:lastRenderedPageBreak/>
        <w:t>Roles and responsibilities</w:t>
      </w:r>
    </w:p>
    <w:p w14:paraId="11D46B83" w14:textId="77777777" w:rsidR="00F41D36" w:rsidRPr="007162F2" w:rsidRDefault="00F41D36" w:rsidP="00F41D36">
      <w:pPr>
        <w:pStyle w:val="BodyText"/>
      </w:pPr>
      <w:r w:rsidRPr="007162F2">
        <w:t>The Australian, State and Territory governments have different but complementary roles and responsibilities:</w:t>
      </w:r>
    </w:p>
    <w:p w14:paraId="1D2D2C6D" w14:textId="098B520A" w:rsidR="00F41D36" w:rsidRPr="007162F2" w:rsidRDefault="00F41D36" w:rsidP="00F41D36">
      <w:pPr>
        <w:pStyle w:val="ListBullet"/>
      </w:pPr>
      <w:r w:rsidRPr="007162F2">
        <w:t>State and Territory governments are responsible for the provision of specialist disability services provided under the NDA, except disability e</w:t>
      </w:r>
      <w:r w:rsidR="00D6279A">
        <w:t>mployment services. States and t</w:t>
      </w:r>
      <w:r w:rsidRPr="007162F2">
        <w:t>erritories have full financial and operational responsibility for BCC services for people with disability aged under 65 years (and Aboriginal and Torres Strait Islander people aged under 50 years)</w:t>
      </w:r>
      <w:r w:rsidR="001252D2">
        <w:rPr>
          <w:rStyle w:val="FootnoteReference"/>
        </w:rPr>
        <w:footnoteReference w:id="4"/>
      </w:r>
      <w:r w:rsidRPr="007162F2">
        <w:t xml:space="preserve">. </w:t>
      </w:r>
    </w:p>
    <w:p w14:paraId="690E0F09" w14:textId="01F817F5" w:rsidR="00F41D36" w:rsidRPr="007162F2" w:rsidRDefault="00780B9E" w:rsidP="00F41D36">
      <w:pPr>
        <w:pStyle w:val="ListBullet"/>
      </w:pPr>
      <w:r w:rsidRPr="007162F2">
        <w:t>T</w:t>
      </w:r>
      <w:r w:rsidR="00D6279A">
        <w:t>he Australian G</w:t>
      </w:r>
      <w:r w:rsidR="00F41D36" w:rsidRPr="007162F2">
        <w:t>overnment is responsible for the oversight and funding of employment services for people with disability and the provision of income support. The Australian Government also funds State and Territory governments to contribute to the achievement of the NDA objectives and outcomes.</w:t>
      </w:r>
    </w:p>
    <w:p w14:paraId="5B63CA5F" w14:textId="272C08D8" w:rsidR="00F41D36" w:rsidRPr="007162F2" w:rsidRDefault="00780B9E" w:rsidP="00F41D36">
      <w:pPr>
        <w:pStyle w:val="ListBullet"/>
      </w:pPr>
      <w:r w:rsidRPr="007162F2">
        <w:t>A</w:t>
      </w:r>
      <w:r w:rsidR="00F41D36" w:rsidRPr="007162F2">
        <w:t>ll governments share responsibility for NDIS policy, f</w:t>
      </w:r>
      <w:r w:rsidR="00154396">
        <w:t>u</w:t>
      </w:r>
      <w:r w:rsidR="005A3424">
        <w:t>nding and governance (NDIA 2016</w:t>
      </w:r>
      <w:r w:rsidR="00F41D36" w:rsidRPr="007162F2">
        <w:t>).</w:t>
      </w:r>
    </w:p>
    <w:p w14:paraId="1E579341" w14:textId="77777777" w:rsidR="00F41D36" w:rsidRDefault="00F41D36" w:rsidP="00F41D36">
      <w:pPr>
        <w:pStyle w:val="Heading3"/>
      </w:pPr>
      <w:r w:rsidRPr="007162F2">
        <w:t>Funding</w:t>
      </w:r>
    </w:p>
    <w:p w14:paraId="20B8D7F1" w14:textId="095E2343" w:rsidR="00F41D36" w:rsidRPr="007162F2" w:rsidRDefault="005A3424" w:rsidP="009E4376">
      <w:pPr>
        <w:pStyle w:val="BodyText"/>
      </w:pPr>
      <w:r>
        <w:t>In 2016</w:t>
      </w:r>
      <w:r>
        <w:noBreakHyphen/>
        <w:t>17</w:t>
      </w:r>
      <w:r w:rsidR="00F41D36" w:rsidRPr="007162F2">
        <w:t xml:space="preserve">, total government expenditure on specialist disability services provided under the NDA was </w:t>
      </w:r>
      <w:r w:rsidR="00F41D36" w:rsidRPr="00E909A4">
        <w:t>$</w:t>
      </w:r>
      <w:r w:rsidR="00E909A4" w:rsidRPr="00E909A4">
        <w:t>7.8</w:t>
      </w:r>
      <w:r w:rsidR="00F41D36" w:rsidRPr="00E909A4">
        <w:t xml:space="preserve"> billion </w:t>
      </w:r>
      <w:r w:rsidR="00F41D36" w:rsidRPr="007162F2">
        <w:t xml:space="preserve">— a real </w:t>
      </w:r>
      <w:r w:rsidR="00E909A4">
        <w:t>decrease</w:t>
      </w:r>
      <w:r w:rsidR="00F41D36" w:rsidRPr="007162F2">
        <w:t xml:space="preserve"> of </w:t>
      </w:r>
      <w:r w:rsidR="00E909A4">
        <w:t>9.</w:t>
      </w:r>
      <w:r w:rsidR="00ED0AC7">
        <w:t>7</w:t>
      </w:r>
      <w:r w:rsidR="00E87B10" w:rsidRPr="007162F2">
        <w:t> </w:t>
      </w:r>
      <w:r>
        <w:t>per cent from 2015</w:t>
      </w:r>
      <w:r>
        <w:noBreakHyphen/>
        <w:t>16</w:t>
      </w:r>
      <w:r w:rsidR="00F41D36" w:rsidRPr="007162F2">
        <w:t xml:space="preserve"> (table 15A.</w:t>
      </w:r>
      <w:r w:rsidR="00EA53FA" w:rsidRPr="007162F2">
        <w:t>3</w:t>
      </w:r>
      <w:r w:rsidR="00F41D36" w:rsidRPr="007162F2">
        <w:t xml:space="preserve">). </w:t>
      </w:r>
      <w:r w:rsidR="00A71C1A">
        <w:t>Data are available by source of funding in table 15A.4</w:t>
      </w:r>
      <w:r w:rsidR="00C2627E">
        <w:t xml:space="preserve"> (proportions in table 15</w:t>
      </w:r>
      <w:r w:rsidR="00AB0527">
        <w:t>A.5)</w:t>
      </w:r>
      <w:r w:rsidR="00A71C1A">
        <w:t>, but due to differences in funding information provided across jurisdictions for 2015</w:t>
      </w:r>
      <w:r w:rsidR="00665EFA">
        <w:noBreakHyphen/>
      </w:r>
      <w:r w:rsidR="00A71C1A">
        <w:t xml:space="preserve">16 (impacted in large part by the NDIS transition) meaningful comparisons cannot be made. </w:t>
      </w:r>
      <w:r w:rsidR="00F41D36" w:rsidRPr="007162F2">
        <w:t>Table 15A.</w:t>
      </w:r>
      <w:r w:rsidR="00EA53FA" w:rsidRPr="007162F2">
        <w:t>6</w:t>
      </w:r>
      <w:r w:rsidR="00F41D36" w:rsidRPr="007162F2">
        <w:t xml:space="preserve"> provides data on total government expenditure including and excluding payroll tax.</w:t>
      </w:r>
    </w:p>
    <w:p w14:paraId="6E40FC49" w14:textId="1F69DF59" w:rsidR="00F41D36" w:rsidRPr="00154396" w:rsidRDefault="00F41D36" w:rsidP="00F41D36">
      <w:pPr>
        <w:pStyle w:val="BodyText"/>
      </w:pPr>
      <w:r w:rsidRPr="007162F2">
        <w:t xml:space="preserve">Direct government expenditure on specialist disability services under the NDA (excluding </w:t>
      </w:r>
      <w:r w:rsidRPr="00A560D2">
        <w:t>expenditure on administration) was $</w:t>
      </w:r>
      <w:r w:rsidR="00A560D2" w:rsidRPr="00A560D2">
        <w:t>7.3</w:t>
      </w:r>
      <w:r w:rsidR="002C0D05" w:rsidRPr="00A560D2">
        <w:t xml:space="preserve"> </w:t>
      </w:r>
      <w:r w:rsidR="005A3424" w:rsidRPr="00A560D2">
        <w:t>billion in 2016</w:t>
      </w:r>
      <w:r w:rsidR="005A3424" w:rsidRPr="00A560D2">
        <w:noBreakHyphen/>
        <w:t>17</w:t>
      </w:r>
      <w:r w:rsidR="00EA53FA" w:rsidRPr="00A560D2">
        <w:t xml:space="preserve"> (table 15A.7</w:t>
      </w:r>
      <w:r w:rsidRPr="00A560D2">
        <w:t>). The main areas of government expenditure were accommodation support services (</w:t>
      </w:r>
      <w:r w:rsidR="00A560D2" w:rsidRPr="00A560D2">
        <w:t>51.1</w:t>
      </w:r>
      <w:r w:rsidRPr="00A560D2">
        <w:t xml:space="preserve"> per cent of total direct service expenditure) and community support (</w:t>
      </w:r>
      <w:r w:rsidR="00A560D2" w:rsidRPr="00A560D2">
        <w:t>16.8</w:t>
      </w:r>
      <w:r w:rsidR="005A3424" w:rsidRPr="00A560D2">
        <w:t xml:space="preserve"> </w:t>
      </w:r>
      <w:r w:rsidRPr="00A560D2">
        <w:t>per cent of total direct service expenditure). Employment services were the main area of Australian Government expenditure (</w:t>
      </w:r>
      <w:r w:rsidR="00A560D2" w:rsidRPr="00A560D2">
        <w:t>81.7</w:t>
      </w:r>
      <w:r w:rsidRPr="00A560D2">
        <w:t xml:space="preserve"> per cent)</w:t>
      </w:r>
      <w:r w:rsidR="008B6791" w:rsidRPr="00A560D2">
        <w:t xml:space="preserve"> </w:t>
      </w:r>
      <w:r w:rsidR="008B6791" w:rsidRPr="00154396">
        <w:t>(table 15A.</w:t>
      </w:r>
      <w:r w:rsidR="00EA53FA" w:rsidRPr="00154396">
        <w:t>8</w:t>
      </w:r>
      <w:r w:rsidR="008B6791" w:rsidRPr="00154396">
        <w:t>).</w:t>
      </w:r>
    </w:p>
    <w:p w14:paraId="4E1B5E27" w14:textId="76721F4D" w:rsidR="00F41D36" w:rsidRPr="00154396" w:rsidRDefault="00F41D36" w:rsidP="00F41D36">
      <w:pPr>
        <w:pStyle w:val="BodyText"/>
      </w:pPr>
      <w:r w:rsidRPr="00154396">
        <w:t xml:space="preserve">Total </w:t>
      </w:r>
      <w:r w:rsidR="005A3424">
        <w:t>committed</w:t>
      </w:r>
      <w:r w:rsidR="004C4016">
        <w:t xml:space="preserve"> support</w:t>
      </w:r>
      <w:r w:rsidR="004C4016">
        <w:rPr>
          <w:rStyle w:val="FootnoteReference"/>
        </w:rPr>
        <w:footnoteReference w:id="5"/>
      </w:r>
      <w:r w:rsidR="005A3424">
        <w:t xml:space="preserve"> to the NDIS for 2016</w:t>
      </w:r>
      <w:r w:rsidR="005A3424">
        <w:noBreakHyphen/>
        <w:t>17</w:t>
      </w:r>
      <w:r w:rsidRPr="00154396">
        <w:t xml:space="preserve"> was $</w:t>
      </w:r>
      <w:r w:rsidR="005A3424">
        <w:t>3.2</w:t>
      </w:r>
      <w:r w:rsidRPr="00154396">
        <w:t xml:space="preserve"> </w:t>
      </w:r>
      <w:r w:rsidR="005A3424">
        <w:t>billion</w:t>
      </w:r>
      <w:r w:rsidR="001252A6" w:rsidRPr="00154396">
        <w:t xml:space="preserve"> (NDIA</w:t>
      </w:r>
      <w:r w:rsidR="00373E9F" w:rsidRPr="00154396">
        <w:t> </w:t>
      </w:r>
      <w:r w:rsidR="00964B9A">
        <w:t>2017</w:t>
      </w:r>
      <w:r w:rsidR="001252A6" w:rsidRPr="00154396">
        <w:t>)</w:t>
      </w:r>
      <w:r w:rsidRPr="00154396">
        <w:t>.</w:t>
      </w:r>
    </w:p>
    <w:p w14:paraId="202CC740" w14:textId="77777777" w:rsidR="008F7A7C" w:rsidRDefault="008F7A7C">
      <w:pPr>
        <w:rPr>
          <w:szCs w:val="20"/>
        </w:rPr>
      </w:pPr>
      <w:r>
        <w:br w:type="page"/>
      </w:r>
    </w:p>
    <w:p w14:paraId="0AF7CBB9" w14:textId="7D5CAC5A" w:rsidR="00F41D36" w:rsidRPr="007162F2" w:rsidRDefault="00F41D36" w:rsidP="00F41D36">
      <w:pPr>
        <w:pStyle w:val="BodyText"/>
      </w:pPr>
      <w:r w:rsidRPr="00154396">
        <w:lastRenderedPageBreak/>
        <w:t xml:space="preserve">Outlays on income support payments and allowances </w:t>
      </w:r>
      <w:r w:rsidRPr="009E032F">
        <w:t>to people with dis</w:t>
      </w:r>
      <w:r w:rsidR="00784B53" w:rsidRPr="009E032F">
        <w:t xml:space="preserve">ability and their </w:t>
      </w:r>
      <w:proofErr w:type="spellStart"/>
      <w:r w:rsidR="00784B53" w:rsidRPr="009E032F">
        <w:t>carers</w:t>
      </w:r>
      <w:proofErr w:type="spellEnd"/>
      <w:r w:rsidR="00784B53" w:rsidRPr="009E032F">
        <w:t xml:space="preserve"> in 2016</w:t>
      </w:r>
      <w:r w:rsidR="004514F4" w:rsidRPr="009E032F">
        <w:noBreakHyphen/>
      </w:r>
      <w:r w:rsidR="00784B53" w:rsidRPr="009E032F">
        <w:t>17</w:t>
      </w:r>
      <w:r w:rsidRPr="009E032F">
        <w:t xml:space="preserve"> (on an accrual basis) amounted to $</w:t>
      </w:r>
      <w:r w:rsidR="009E032F" w:rsidRPr="009E032F">
        <w:t>24.</w:t>
      </w:r>
      <w:r w:rsidR="00DC20A2">
        <w:t>5</w:t>
      </w:r>
      <w:r w:rsidR="00BC48C5">
        <w:t> </w:t>
      </w:r>
      <w:r w:rsidRPr="009E032F">
        <w:t>billion</w:t>
      </w:r>
      <w:r w:rsidRPr="007162F2">
        <w:t xml:space="preserve">, comprising </w:t>
      </w:r>
      <w:r w:rsidRPr="00CC228D">
        <w:t>$</w:t>
      </w:r>
      <w:r w:rsidR="0002537D" w:rsidRPr="00CC228D">
        <w:t>16.3</w:t>
      </w:r>
      <w:r w:rsidR="00BC48C5" w:rsidRPr="00CC228D">
        <w:t> </w:t>
      </w:r>
      <w:r w:rsidRPr="00CC228D">
        <w:t>billion for the Disability Support Pension, $</w:t>
      </w:r>
      <w:r w:rsidR="0002537D" w:rsidRPr="00CC228D">
        <w:t>5.1</w:t>
      </w:r>
      <w:r w:rsidR="00BC48C5" w:rsidRPr="00CC228D">
        <w:t> </w:t>
      </w:r>
      <w:r w:rsidRPr="00CC228D">
        <w:t>billion for the Carer Payment, $</w:t>
      </w:r>
      <w:r w:rsidR="0002537D" w:rsidRPr="00CC228D">
        <w:t>2.2</w:t>
      </w:r>
      <w:r w:rsidR="00BC48C5" w:rsidRPr="00CC228D">
        <w:t> </w:t>
      </w:r>
      <w:r w:rsidRPr="00CC228D">
        <w:t>billion for the Carer Allowance, $</w:t>
      </w:r>
      <w:r w:rsidR="0002537D" w:rsidRPr="00CC228D">
        <w:t>95.8</w:t>
      </w:r>
      <w:r w:rsidR="00BC48C5" w:rsidRPr="00CC228D">
        <w:t> </w:t>
      </w:r>
      <w:r w:rsidRPr="00CC228D">
        <w:t>million for the Sickness Allowance, $</w:t>
      </w:r>
      <w:r w:rsidR="0002537D" w:rsidRPr="00CC228D">
        <w:t>135.5</w:t>
      </w:r>
      <w:r w:rsidR="00BC48C5" w:rsidRPr="00CC228D">
        <w:t> </w:t>
      </w:r>
      <w:r w:rsidRPr="00CC228D">
        <w:t>million for the Mobility Allowance, $</w:t>
      </w:r>
      <w:r w:rsidR="0002537D" w:rsidRPr="00CC228D">
        <w:t>180.5</w:t>
      </w:r>
      <w:r w:rsidR="00BC48C5" w:rsidRPr="00CC228D">
        <w:t> </w:t>
      </w:r>
      <w:r w:rsidRPr="00CC228D">
        <w:t>million for the Child Disability Assistance Payment and $</w:t>
      </w:r>
      <w:r w:rsidR="0002537D" w:rsidRPr="00CC228D">
        <w:t>578.9</w:t>
      </w:r>
      <w:r w:rsidR="00BC48C5" w:rsidRPr="00CC228D">
        <w:t> </w:t>
      </w:r>
      <w:r w:rsidRPr="00CC228D">
        <w:t>million for the Carer Supplement (Australian Government </w:t>
      </w:r>
      <w:r w:rsidR="0058239C" w:rsidRPr="00342AFB">
        <w:t>2017</w:t>
      </w:r>
      <w:r w:rsidRPr="00CC228D">
        <w:t>).</w:t>
      </w:r>
      <w:r w:rsidR="00E128FA">
        <w:t xml:space="preserve"> </w:t>
      </w:r>
    </w:p>
    <w:p w14:paraId="5F4F2B9B" w14:textId="6126478C" w:rsidR="00F41D36" w:rsidRPr="007162F2" w:rsidRDefault="00F41D36" w:rsidP="00832698">
      <w:pPr>
        <w:pStyle w:val="Heading3"/>
        <w:tabs>
          <w:tab w:val="center" w:pos="4394"/>
        </w:tabs>
      </w:pPr>
      <w:r w:rsidRPr="007162F2">
        <w:t>Size and scope of sector</w:t>
      </w:r>
      <w:r w:rsidR="00832698">
        <w:tab/>
      </w:r>
    </w:p>
    <w:p w14:paraId="710ADE78" w14:textId="2C91C317" w:rsidR="00A5319D" w:rsidRDefault="009B613B" w:rsidP="00780B9E">
      <w:pPr>
        <w:pStyle w:val="BodyText"/>
      </w:pPr>
      <w:r w:rsidRPr="007162F2">
        <w:t xml:space="preserve">The ABS estimates that 4.3 million </w:t>
      </w:r>
      <w:r w:rsidR="00C2117E" w:rsidRPr="007162F2">
        <w:t>Australians</w:t>
      </w:r>
      <w:r w:rsidRPr="007162F2">
        <w:t xml:space="preserve"> or 18.3 per cent of the population had a disability in 2015</w:t>
      </w:r>
      <w:r w:rsidR="00A5319D">
        <w:t xml:space="preserve"> (for those aged under 65 years, this was 2.5 million Australians or </w:t>
      </w:r>
      <w:r w:rsidR="00925FEC">
        <w:br/>
      </w:r>
      <w:r w:rsidR="00A5319D">
        <w:t>12.5 per cent of this age group)</w:t>
      </w:r>
      <w:r w:rsidRPr="007162F2">
        <w:t>,</w:t>
      </w:r>
      <w:r w:rsidR="004310B8">
        <w:t xml:space="preserve"> and </w:t>
      </w:r>
      <w:r w:rsidRPr="007162F2">
        <w:t>an estimated 5.8</w:t>
      </w:r>
      <w:r w:rsidR="000859ED" w:rsidRPr="007162F2">
        <w:t> </w:t>
      </w:r>
      <w:r w:rsidRPr="007162F2">
        <w:t>per</w:t>
      </w:r>
      <w:r w:rsidR="000859ED" w:rsidRPr="007162F2">
        <w:t> </w:t>
      </w:r>
      <w:r w:rsidRPr="007162F2">
        <w:t>cent had a profound or severe core activity limitation</w:t>
      </w:r>
      <w:r w:rsidR="00A5319D">
        <w:t xml:space="preserve"> (for those aged under 65 years this was 3.6 per cent)</w:t>
      </w:r>
      <w:r w:rsidR="004310B8">
        <w:t xml:space="preserve"> — these results are similar to 2012 and 2009</w:t>
      </w:r>
      <w:r w:rsidR="00FB087E">
        <w:t xml:space="preserve"> (ABS</w:t>
      </w:r>
      <w:r w:rsidR="001252D2">
        <w:t xml:space="preserve"> 2016,</w:t>
      </w:r>
      <w:r w:rsidR="00FB087E">
        <w:t> 2013</w:t>
      </w:r>
      <w:r w:rsidR="00D97043">
        <w:t>,</w:t>
      </w:r>
      <w:r w:rsidR="00FB087E">
        <w:t xml:space="preserve"> 2011a)</w:t>
      </w:r>
      <w:r w:rsidRPr="007162F2">
        <w:t>. Males and females are similarly affected by disability (</w:t>
      </w:r>
      <w:r w:rsidR="00A5319D">
        <w:t xml:space="preserve">for all ages, </w:t>
      </w:r>
      <w:r w:rsidRPr="007162F2">
        <w:t>18</w:t>
      </w:r>
      <w:r w:rsidR="00D3512C" w:rsidRPr="007162F2">
        <w:t>.0</w:t>
      </w:r>
      <w:r w:rsidRPr="007162F2">
        <w:t> per cent and 18.6 per cent respectively</w:t>
      </w:r>
      <w:r w:rsidR="00A5319D">
        <w:t>; for those aged under 65 years, 12.8 per cent and 12.4 per cent respectively</w:t>
      </w:r>
      <w:r w:rsidRPr="007162F2">
        <w:t xml:space="preserve">), but this changes with age and severity of disability (ABS 2016). </w:t>
      </w:r>
    </w:p>
    <w:p w14:paraId="7B48CA5F" w14:textId="3E6F44BC" w:rsidR="009B613B" w:rsidRPr="007162F2" w:rsidRDefault="000A3CA7" w:rsidP="00780B9E">
      <w:pPr>
        <w:pStyle w:val="BodyText"/>
      </w:pPr>
      <w:r w:rsidRPr="007162F2">
        <w:t>Aboriginal and Torres Strait Islander people experience higher rates of disability than non</w:t>
      </w:r>
      <w:r w:rsidR="004514F4">
        <w:noBreakHyphen/>
      </w:r>
      <w:r w:rsidRPr="007162F2">
        <w:t xml:space="preserve">Indigenous people. </w:t>
      </w:r>
      <w:r w:rsidR="00BB2808" w:rsidRPr="00342AFB">
        <w:t xml:space="preserve">In </w:t>
      </w:r>
      <w:r w:rsidR="00C02B2F" w:rsidRPr="00342AFB">
        <w:t>2015</w:t>
      </w:r>
      <w:r w:rsidR="00BB2808" w:rsidRPr="00342AFB">
        <w:t xml:space="preserve">, </w:t>
      </w:r>
      <w:r w:rsidR="00C02B2F" w:rsidRPr="00342AFB">
        <w:t>7.3</w:t>
      </w:r>
      <w:r w:rsidR="0007410E" w:rsidRPr="00342AFB">
        <w:t xml:space="preserve"> per cent of </w:t>
      </w:r>
      <w:r w:rsidR="00A5319D" w:rsidRPr="00342AFB">
        <w:t xml:space="preserve">all </w:t>
      </w:r>
      <w:r w:rsidR="0007410E" w:rsidRPr="00342AFB">
        <w:t>Aboriginal and Torres Strait Islander Australians had a profound or severe core activity limitation</w:t>
      </w:r>
      <w:r w:rsidR="00363E6D" w:rsidRPr="00342AFB">
        <w:t xml:space="preserve"> — around</w:t>
      </w:r>
      <w:r w:rsidR="0007410E" w:rsidRPr="00342AFB">
        <w:t xml:space="preserve"> </w:t>
      </w:r>
      <w:r w:rsidR="00C02B2F" w:rsidRPr="00342AFB">
        <w:t>1.5</w:t>
      </w:r>
      <w:r w:rsidR="0007410E" w:rsidRPr="00342AFB">
        <w:t xml:space="preserve"> times the proportion </w:t>
      </w:r>
      <w:r w:rsidR="00363E6D" w:rsidRPr="00342AFB">
        <w:t xml:space="preserve">for </w:t>
      </w:r>
      <w:r w:rsidR="0007410E" w:rsidRPr="00342AFB">
        <w:t>non</w:t>
      </w:r>
      <w:r w:rsidR="004514F4" w:rsidRPr="00342AFB">
        <w:noBreakHyphen/>
      </w:r>
      <w:r w:rsidR="0007410E" w:rsidRPr="00342AFB">
        <w:t>Indigenous Australians (</w:t>
      </w:r>
      <w:r w:rsidR="00C02B2F" w:rsidRPr="00342AFB">
        <w:t>ABS 201</w:t>
      </w:r>
      <w:r w:rsidR="0079719C" w:rsidRPr="00342AFB">
        <w:t>6</w:t>
      </w:r>
      <w:r w:rsidR="0007410E" w:rsidRPr="00342AFB">
        <w:t xml:space="preserve">). </w:t>
      </w:r>
      <w:r w:rsidR="009B613B" w:rsidRPr="007162F2">
        <w:t>Table 15A.</w:t>
      </w:r>
      <w:r w:rsidR="00EA53FA" w:rsidRPr="007162F2">
        <w:t>9</w:t>
      </w:r>
      <w:r w:rsidR="00323B3E" w:rsidRPr="007162F2">
        <w:t xml:space="preserve"> </w:t>
      </w:r>
      <w:r w:rsidR="009B613B" w:rsidRPr="007162F2">
        <w:t>contain</w:t>
      </w:r>
      <w:r w:rsidR="00323B3E" w:rsidRPr="007162F2">
        <w:t>s</w:t>
      </w:r>
      <w:r w:rsidR="009B613B" w:rsidRPr="007162F2">
        <w:t xml:space="preserve"> additional information on disability prevalence.</w:t>
      </w:r>
    </w:p>
    <w:p w14:paraId="3288A263" w14:textId="77777777" w:rsidR="009B613B" w:rsidRPr="007162F2" w:rsidRDefault="009B613B" w:rsidP="00780B9E">
      <w:pPr>
        <w:pStyle w:val="Heading4"/>
      </w:pPr>
      <w:r w:rsidRPr="007162F2">
        <w:t>Use of NDA specialist disability services</w:t>
      </w:r>
    </w:p>
    <w:p w14:paraId="30697FCB" w14:textId="77777777" w:rsidR="00FB41B7" w:rsidRDefault="008A0926" w:rsidP="009B613B">
      <w:pPr>
        <w:pStyle w:val="BodyText"/>
      </w:pPr>
      <w:r>
        <w:t>In 2015</w:t>
      </w:r>
      <w:r w:rsidR="009B613B" w:rsidRPr="007162F2">
        <w:noBreakHyphen/>
        <w:t>1</w:t>
      </w:r>
      <w:r>
        <w:t>6</w:t>
      </w:r>
      <w:r w:rsidR="009B613B" w:rsidRPr="007162F2">
        <w:rPr>
          <w:rStyle w:val="FootnoteReference"/>
        </w:rPr>
        <w:footnoteReference w:id="6"/>
      </w:r>
      <w:r w:rsidR="009B613B" w:rsidRPr="007162F2">
        <w:t xml:space="preserve">, </w:t>
      </w:r>
      <w:r w:rsidR="00FB41B7">
        <w:t xml:space="preserve">322 579 people were reported as using NDA disability services. </w:t>
      </w:r>
    </w:p>
    <w:p w14:paraId="0C099546" w14:textId="3E43AD40" w:rsidR="00FB41B7" w:rsidRDefault="00FB41B7" w:rsidP="00FB41B7">
      <w:pPr>
        <w:pStyle w:val="ListBullet"/>
      </w:pPr>
      <w:r w:rsidRPr="00FB41B7">
        <w:t>192 517</w:t>
      </w:r>
      <w:r w:rsidR="009B613B" w:rsidRPr="00FB41B7">
        <w:t xml:space="preserve"> people reported as using specialist disability services administered by State and Territory governments under the NDA (excluding </w:t>
      </w:r>
      <w:r w:rsidR="00431868">
        <w:t xml:space="preserve">BCC </w:t>
      </w:r>
      <w:r w:rsidR="009B613B" w:rsidRPr="00FB41B7">
        <w:t>service users</w:t>
      </w:r>
      <w:r w:rsidR="007B43E9">
        <w:t xml:space="preserve"> [</w:t>
      </w:r>
      <w:r w:rsidR="00431868">
        <w:t xml:space="preserve">except in the </w:t>
      </w:r>
      <w:r w:rsidR="007B43E9">
        <w:t>NT]</w:t>
      </w:r>
      <w:r w:rsidR="00431868">
        <w:t xml:space="preserve"> and those</w:t>
      </w:r>
      <w:r w:rsidR="009B613B" w:rsidRPr="00FB41B7">
        <w:t xml:space="preserve"> who received specialist psychiatric disability services only). Service use varied across service types with the largest number of users reported for community support (</w:t>
      </w:r>
      <w:r w:rsidRPr="00FB41B7">
        <w:t>142 383</w:t>
      </w:r>
      <w:r w:rsidR="009B613B" w:rsidRPr="00FB41B7">
        <w:t xml:space="preserve"> users</w:t>
      </w:r>
      <w:r>
        <w:t>)</w:t>
      </w:r>
    </w:p>
    <w:p w14:paraId="3ECA7DD1" w14:textId="77413D70" w:rsidR="009B613B" w:rsidRPr="00FB41B7" w:rsidRDefault="00FB41B7" w:rsidP="00FB41B7">
      <w:pPr>
        <w:pStyle w:val="ListBullet"/>
      </w:pPr>
      <w:r>
        <w:t>145 493</w:t>
      </w:r>
      <w:r w:rsidR="00323B3E" w:rsidRPr="00FB41B7">
        <w:t xml:space="preserve"> people reported</w:t>
      </w:r>
      <w:r w:rsidR="00431868">
        <w:t xml:space="preserve"> as</w:t>
      </w:r>
      <w:r w:rsidR="00323B3E" w:rsidRPr="00FB41B7">
        <w:t xml:space="preserve"> using employment services</w:t>
      </w:r>
      <w:r w:rsidR="00431868">
        <w:t xml:space="preserve"> administered by the Australian Government</w:t>
      </w:r>
      <w:r w:rsidR="00F138C3" w:rsidRPr="00342AFB">
        <w:t xml:space="preserve">, of which nearly all were </w:t>
      </w:r>
      <w:r w:rsidR="002E5C75" w:rsidRPr="00342AFB">
        <w:t>provided by</w:t>
      </w:r>
      <w:r w:rsidR="00F138C3" w:rsidRPr="00342AFB">
        <w:t xml:space="preserve"> non</w:t>
      </w:r>
      <w:r w:rsidR="00F138C3" w:rsidRPr="00342AFB">
        <w:noBreakHyphen/>
        <w:t xml:space="preserve">government </w:t>
      </w:r>
      <w:r w:rsidR="002E5C75" w:rsidRPr="00342AFB">
        <w:t>organisations</w:t>
      </w:r>
      <w:r w:rsidR="00323B3E" w:rsidRPr="00FB41B7">
        <w:t xml:space="preserve"> </w:t>
      </w:r>
      <w:r w:rsidR="009B613B" w:rsidRPr="00FB41B7">
        <w:t>(table 15</w:t>
      </w:r>
      <w:r w:rsidR="00EA53FA" w:rsidRPr="00FB41B7">
        <w:t>A.10</w:t>
      </w:r>
      <w:r w:rsidR="009B613B" w:rsidRPr="00FB41B7">
        <w:t>).</w:t>
      </w:r>
    </w:p>
    <w:p w14:paraId="79498A32" w14:textId="7E0C90A3" w:rsidR="009B613B" w:rsidRPr="007162F2" w:rsidRDefault="008A0926" w:rsidP="009B613B">
      <w:pPr>
        <w:pStyle w:val="BodyText"/>
      </w:pPr>
      <w:r>
        <w:t>In 2015</w:t>
      </w:r>
      <w:r>
        <w:noBreakHyphen/>
        <w:t>16</w:t>
      </w:r>
      <w:r w:rsidR="009B613B" w:rsidRPr="007162F2">
        <w:t xml:space="preserve">, the most commonly reported disability of NDA service users was a physical </w:t>
      </w:r>
      <w:r w:rsidR="009B613B" w:rsidRPr="00FB41B7">
        <w:t>disability (</w:t>
      </w:r>
      <w:r w:rsidR="00FB41B7" w:rsidRPr="00FB41B7">
        <w:t>32.9</w:t>
      </w:r>
      <w:r w:rsidR="009B613B" w:rsidRPr="00FB41B7">
        <w:t> per </w:t>
      </w:r>
      <w:r w:rsidR="009B613B" w:rsidRPr="007162F2">
        <w:t xml:space="preserve">cent) </w:t>
      </w:r>
      <w:r w:rsidR="000F2383">
        <w:t xml:space="preserve">followed </w:t>
      </w:r>
      <w:r w:rsidR="00D3512C" w:rsidRPr="007162F2">
        <w:t>by intellectual disability (</w:t>
      </w:r>
      <w:r w:rsidR="00FB41B7">
        <w:t>29.0</w:t>
      </w:r>
      <w:r w:rsidR="00E1573D">
        <w:t xml:space="preserve"> per cent) (table</w:t>
      </w:r>
      <w:r w:rsidR="00D3512C" w:rsidRPr="007162F2">
        <w:t> 15A.1</w:t>
      </w:r>
      <w:r w:rsidR="00EA53FA" w:rsidRPr="007162F2">
        <w:t>2</w:t>
      </w:r>
      <w:r w:rsidR="00D3512C" w:rsidRPr="007162F2">
        <w:t>)</w:t>
      </w:r>
      <w:r w:rsidR="009B613B" w:rsidRPr="007162F2">
        <w:t>. Information on</w:t>
      </w:r>
      <w:r w:rsidR="00FB41B7">
        <w:t xml:space="preserve"> NDA service users by primary disability group is in table 15A.12 and </w:t>
      </w:r>
      <w:r w:rsidR="009B613B" w:rsidRPr="007162F2">
        <w:t xml:space="preserve">by need for help in </w:t>
      </w:r>
      <w:r w:rsidR="001148B3" w:rsidRPr="007162F2">
        <w:t xml:space="preserve">life area </w:t>
      </w:r>
      <w:r w:rsidR="00FB41B7">
        <w:t>is in</w:t>
      </w:r>
      <w:r w:rsidR="001148B3" w:rsidRPr="007162F2">
        <w:t xml:space="preserve"> table</w:t>
      </w:r>
      <w:r w:rsidR="00EA53FA" w:rsidRPr="007162F2">
        <w:t> </w:t>
      </w:r>
      <w:r w:rsidR="009B613B" w:rsidRPr="007162F2">
        <w:t>15A.</w:t>
      </w:r>
      <w:r w:rsidR="00EA53FA" w:rsidRPr="007162F2">
        <w:t>13.</w:t>
      </w:r>
    </w:p>
    <w:p w14:paraId="78E2BC41" w14:textId="54B8007F" w:rsidR="009B613B" w:rsidRPr="007162F2" w:rsidRDefault="009B613B" w:rsidP="009B613B">
      <w:pPr>
        <w:pStyle w:val="BodyText"/>
      </w:pPr>
      <w:r w:rsidRPr="007162F2">
        <w:lastRenderedPageBreak/>
        <w:t>An estimate of the population with the potential to require specialist disability services is referred to as the ‘potential population’ — the number of people aged 0–64 years who could most appropriately be supported by specialist disability services, require ongoing and/or long</w:t>
      </w:r>
      <w:r w:rsidR="004514F4">
        <w:noBreakHyphen/>
      </w:r>
      <w:r w:rsidRPr="007162F2">
        <w:t>term episodic support, have a permanent or chronic impairment and substantially reduced capacity in one or more core activities (see section</w:t>
      </w:r>
      <w:r w:rsidR="004514F4">
        <w:t> </w:t>
      </w:r>
      <w:r w:rsidRPr="007162F2">
        <w:t>15.4 for further information</w:t>
      </w:r>
      <w:r w:rsidR="008A0926">
        <w:t xml:space="preserve">). </w:t>
      </w:r>
      <w:r w:rsidR="00201AAE">
        <w:t>I</w:t>
      </w:r>
      <w:r w:rsidR="008A0926">
        <w:t>n 2015</w:t>
      </w:r>
      <w:r w:rsidR="008A0926">
        <w:noBreakHyphen/>
        <w:t>16</w:t>
      </w:r>
      <w:r w:rsidRPr="00ED7446">
        <w:t xml:space="preserve">, </w:t>
      </w:r>
      <w:r w:rsidR="00431868">
        <w:t>32.1</w:t>
      </w:r>
      <w:r w:rsidR="00E441E9" w:rsidRPr="00ED7446">
        <w:t> </w:t>
      </w:r>
      <w:r w:rsidRPr="00ED7446">
        <w:t xml:space="preserve">per cent </w:t>
      </w:r>
      <w:r w:rsidRPr="007162F2">
        <w:t>of the estimated potential population were reported as using specialist disability services administered by State and Territory governments under the NDA</w:t>
      </w:r>
      <w:r w:rsidR="00ED7446">
        <w:t xml:space="preserve"> (excludes service users in the ACT for whom data were not available)</w:t>
      </w:r>
      <w:r w:rsidR="00E441E9" w:rsidRPr="007162F2">
        <w:t xml:space="preserve"> (table</w:t>
      </w:r>
      <w:r w:rsidR="004514F4">
        <w:t> </w:t>
      </w:r>
      <w:r w:rsidR="00E441E9" w:rsidRPr="007162F2">
        <w:t>15A.1</w:t>
      </w:r>
      <w:r w:rsidR="00EA53FA" w:rsidRPr="007162F2">
        <w:t>0</w:t>
      </w:r>
      <w:r w:rsidR="00E441E9" w:rsidRPr="007162F2">
        <w:t>)</w:t>
      </w:r>
      <w:r w:rsidRPr="007162F2">
        <w:t>.</w:t>
      </w:r>
      <w:r w:rsidR="00201AAE">
        <w:t xml:space="preserve"> </w:t>
      </w:r>
      <w:r w:rsidRPr="007162F2">
        <w:t>Data on users of NDA specialist disability services by sex and by age are in table 15A.1</w:t>
      </w:r>
      <w:r w:rsidR="00EA53FA" w:rsidRPr="007162F2">
        <w:t>4</w:t>
      </w:r>
      <w:r w:rsidR="009530FE">
        <w:t>. F</w:t>
      </w:r>
      <w:r w:rsidRPr="007162F2">
        <w:t xml:space="preserve">urther information is available </w:t>
      </w:r>
      <w:r w:rsidR="00201AAE">
        <w:t xml:space="preserve">from </w:t>
      </w:r>
      <w:r w:rsidR="009530FE">
        <w:t>the Disability Support Services report</w:t>
      </w:r>
      <w:r w:rsidR="00201AAE">
        <w:t xml:space="preserve"> (AIHW 2017)</w:t>
      </w:r>
      <w:r w:rsidRPr="007162F2">
        <w:t>.</w:t>
      </w:r>
    </w:p>
    <w:p w14:paraId="2D5CF6B6" w14:textId="77777777" w:rsidR="009B613B" w:rsidRPr="007162F2" w:rsidRDefault="009B613B" w:rsidP="009B613B">
      <w:pPr>
        <w:pStyle w:val="Heading4"/>
      </w:pPr>
      <w:r w:rsidRPr="007162F2">
        <w:t>Basic Community Care</w:t>
      </w:r>
    </w:p>
    <w:p w14:paraId="62716993" w14:textId="31F7FB3A" w:rsidR="009B613B" w:rsidRPr="007162F2" w:rsidRDefault="008A0926" w:rsidP="00EE24D3">
      <w:pPr>
        <w:pStyle w:val="BodyText"/>
      </w:pPr>
      <w:r>
        <w:t>For 2016</w:t>
      </w:r>
      <w:r w:rsidR="004514F4">
        <w:noBreakHyphen/>
      </w:r>
      <w:r>
        <w:t>17</w:t>
      </w:r>
      <w:r w:rsidR="00431868">
        <w:t>,</w:t>
      </w:r>
      <w:r w:rsidR="004310B8">
        <w:t xml:space="preserve"> </w:t>
      </w:r>
      <w:r w:rsidR="00431868">
        <w:t xml:space="preserve">BCC </w:t>
      </w:r>
      <w:r w:rsidR="004310B8">
        <w:t xml:space="preserve">data were available for all jurisdictions </w:t>
      </w:r>
      <w:r w:rsidR="004310B8" w:rsidRPr="00342AFB">
        <w:t xml:space="preserve">except </w:t>
      </w:r>
      <w:r w:rsidR="00ED7446" w:rsidRPr="00342AFB">
        <w:t>Victoria and the NT</w:t>
      </w:r>
      <w:r w:rsidR="00431868" w:rsidRPr="00342AFB">
        <w:t xml:space="preserve"> (for the NT, BCC data are included in the counts of NDA specialist disability service users)</w:t>
      </w:r>
      <w:r w:rsidR="004310B8" w:rsidRPr="00342AFB">
        <w:t xml:space="preserve">, with data on the number of service users </w:t>
      </w:r>
      <w:r w:rsidR="009B613B" w:rsidRPr="00342AFB">
        <w:t xml:space="preserve">per 1000 population receiving BCC services </w:t>
      </w:r>
      <w:r w:rsidR="004310B8" w:rsidRPr="00342AFB">
        <w:t xml:space="preserve">in </w:t>
      </w:r>
      <w:r w:rsidR="009B613B" w:rsidRPr="00342AFB">
        <w:t>table</w:t>
      </w:r>
      <w:r w:rsidR="004514F4" w:rsidRPr="00342AFB">
        <w:t> </w:t>
      </w:r>
      <w:r w:rsidR="009B613B" w:rsidRPr="00342AFB">
        <w:t>15A.1</w:t>
      </w:r>
      <w:r w:rsidR="00EA53FA" w:rsidRPr="00342AFB">
        <w:t>5</w:t>
      </w:r>
      <w:r w:rsidR="004310B8" w:rsidRPr="00342AFB">
        <w:t>, and d</w:t>
      </w:r>
      <w:r w:rsidR="007B3F67" w:rsidRPr="00342AFB">
        <w:t>ata on the number of services received in table 1</w:t>
      </w:r>
      <w:r w:rsidR="005A2273" w:rsidRPr="00342AFB">
        <w:t>5</w:t>
      </w:r>
      <w:r w:rsidR="007B3F67" w:rsidRPr="00342AFB">
        <w:t>A.1</w:t>
      </w:r>
      <w:r w:rsidR="00EA53FA" w:rsidRPr="00342AFB">
        <w:t>6</w:t>
      </w:r>
      <w:r w:rsidR="007B3F67" w:rsidRPr="00342AFB">
        <w:t>.</w:t>
      </w:r>
      <w:r w:rsidR="00F53FA6" w:rsidRPr="00342AFB">
        <w:t xml:space="preserve"> </w:t>
      </w:r>
      <w:r w:rsidR="002E5C75" w:rsidRPr="00342AFB">
        <w:t>The quality of the BCC data reported varies across jurisdictions and comparisons should be made with caution</w:t>
      </w:r>
      <w:r w:rsidR="00F53FA6" w:rsidRPr="00342AFB">
        <w:t>.</w:t>
      </w:r>
    </w:p>
    <w:p w14:paraId="33EC14DA" w14:textId="77777777" w:rsidR="009B613B" w:rsidRPr="007162F2" w:rsidRDefault="000F2383" w:rsidP="009B613B">
      <w:pPr>
        <w:pStyle w:val="Heading4"/>
      </w:pPr>
      <w:r>
        <w:t xml:space="preserve">National </w:t>
      </w:r>
      <w:r w:rsidR="009B613B" w:rsidRPr="007162F2">
        <w:t>Disability Insurance Scheme participants</w:t>
      </w:r>
    </w:p>
    <w:p w14:paraId="02E8D0FB" w14:textId="172998B1" w:rsidR="009B613B" w:rsidRPr="007162F2" w:rsidRDefault="00967A89" w:rsidP="009B613B">
      <w:pPr>
        <w:pStyle w:val="BodyText"/>
      </w:pPr>
      <w:r>
        <w:rPr>
          <w:shd w:val="clear" w:color="auto" w:fill="FFFFFF" w:themeFill="background1"/>
        </w:rPr>
        <w:t>Nationally, a</w:t>
      </w:r>
      <w:r w:rsidR="009B613B" w:rsidRPr="00B7140B">
        <w:rPr>
          <w:shd w:val="clear" w:color="auto" w:fill="FFFFFF" w:themeFill="background1"/>
        </w:rPr>
        <w:t>s</w:t>
      </w:r>
      <w:r w:rsidR="008A0926">
        <w:rPr>
          <w:shd w:val="clear" w:color="auto" w:fill="FFFFFF" w:themeFill="background1"/>
        </w:rPr>
        <w:t xml:space="preserve"> at 30 June 2017</w:t>
      </w:r>
      <w:r w:rsidR="009B613B" w:rsidRPr="007162F2">
        <w:rPr>
          <w:shd w:val="clear" w:color="auto" w:fill="FFFFFF" w:themeFill="background1"/>
        </w:rPr>
        <w:t xml:space="preserve">, </w:t>
      </w:r>
      <w:r w:rsidR="00ED7446">
        <w:rPr>
          <w:shd w:val="clear" w:color="auto" w:fill="FFFFFF" w:themeFill="background1"/>
        </w:rPr>
        <w:t>89 610</w:t>
      </w:r>
      <w:r w:rsidR="009B613B" w:rsidRPr="007162F2">
        <w:rPr>
          <w:shd w:val="clear" w:color="auto" w:fill="FFFFFF" w:themeFill="background1"/>
        </w:rPr>
        <w:t xml:space="preserve"> NDIS participants had an approved plan</w:t>
      </w:r>
      <w:r w:rsidR="00EF2700">
        <w:rPr>
          <w:shd w:val="clear" w:color="auto" w:fill="FFFFFF" w:themeFill="background1"/>
        </w:rPr>
        <w:t xml:space="preserve"> </w:t>
      </w:r>
      <w:r w:rsidR="009B613B" w:rsidRPr="007162F2">
        <w:rPr>
          <w:shd w:val="clear" w:color="auto" w:fill="FFFFFF" w:themeFill="background1"/>
        </w:rPr>
        <w:t>(</w:t>
      </w:r>
      <w:r w:rsidR="009B613B" w:rsidRPr="00342AFB">
        <w:t>table</w:t>
      </w:r>
      <w:r w:rsidR="004514F4" w:rsidRPr="00342AFB">
        <w:t> </w:t>
      </w:r>
      <w:r w:rsidR="009B613B" w:rsidRPr="00342AFB">
        <w:t>15A.</w:t>
      </w:r>
      <w:r w:rsidR="0031606A" w:rsidRPr="00342AFB">
        <w:t>2</w:t>
      </w:r>
      <w:r w:rsidR="009B613B" w:rsidRPr="00342AFB">
        <w:t>)</w:t>
      </w:r>
      <w:r w:rsidR="007013E9" w:rsidRPr="00342AFB">
        <w:rPr>
          <w:rStyle w:val="FootnoteReference"/>
        </w:rPr>
        <w:footnoteReference w:id="7"/>
      </w:r>
      <w:r w:rsidR="009B613B" w:rsidRPr="00342AFB">
        <w:t xml:space="preserve">. </w:t>
      </w:r>
      <w:r w:rsidR="009B613B" w:rsidRPr="007162F2">
        <w:rPr>
          <w:shd w:val="clear" w:color="auto" w:fill="FFFFFF" w:themeFill="background1"/>
        </w:rPr>
        <w:t xml:space="preserve">People identifying as Aboriginal or </w:t>
      </w:r>
      <w:r w:rsidR="008A0926">
        <w:rPr>
          <w:shd w:val="clear" w:color="auto" w:fill="FFFFFF" w:themeFill="background1"/>
        </w:rPr>
        <w:t>Torres Strait Islander made up 5 per cent of participants</w:t>
      </w:r>
      <w:r w:rsidR="009B613B" w:rsidRPr="007162F2">
        <w:rPr>
          <w:shd w:val="clear" w:color="auto" w:fill="FFFFFF" w:themeFill="background1"/>
        </w:rPr>
        <w:t xml:space="preserve"> </w:t>
      </w:r>
      <w:r w:rsidR="008A0926">
        <w:rPr>
          <w:shd w:val="clear" w:color="auto" w:fill="FFFFFF" w:themeFill="background1"/>
        </w:rPr>
        <w:t>(NDIA 2017</w:t>
      </w:r>
      <w:r w:rsidR="005D5F9B" w:rsidRPr="007162F2">
        <w:rPr>
          <w:shd w:val="clear" w:color="auto" w:fill="FFFFFF" w:themeFill="background1"/>
        </w:rPr>
        <w:t>)</w:t>
      </w:r>
      <w:r w:rsidR="009B613B" w:rsidRPr="007162F2">
        <w:rPr>
          <w:shd w:val="clear" w:color="auto" w:fill="FFFFFF" w:themeFill="background1"/>
        </w:rPr>
        <w:t>. Additional information on NDIS participants’ access to mainstream services and satisfaction</w:t>
      </w:r>
      <w:r w:rsidR="00B96A41" w:rsidRPr="007162F2">
        <w:rPr>
          <w:shd w:val="clear" w:color="auto" w:fill="FFFFFF" w:themeFill="background1"/>
        </w:rPr>
        <w:t xml:space="preserve"> with the NDIS</w:t>
      </w:r>
      <w:r w:rsidR="009B613B" w:rsidRPr="007162F2">
        <w:rPr>
          <w:shd w:val="clear" w:color="auto" w:fill="FFFFFF" w:themeFill="background1"/>
        </w:rPr>
        <w:t xml:space="preserve"> can be </w:t>
      </w:r>
      <w:r w:rsidR="009B613B" w:rsidRPr="007162F2">
        <w:t>found in tables </w:t>
      </w:r>
      <w:r w:rsidR="009B613B" w:rsidRPr="007162F2">
        <w:rPr>
          <w:shd w:val="clear" w:color="auto" w:fill="FFFFFF" w:themeFill="background1"/>
        </w:rPr>
        <w:t>15A.1</w:t>
      </w:r>
      <w:r w:rsidR="00EA53FA" w:rsidRPr="007162F2">
        <w:rPr>
          <w:shd w:val="clear" w:color="auto" w:fill="FFFFFF" w:themeFill="background1"/>
        </w:rPr>
        <w:t>7</w:t>
      </w:r>
      <w:r w:rsidR="009B613B" w:rsidRPr="007162F2">
        <w:rPr>
          <w:shd w:val="clear" w:color="auto" w:fill="FFFFFF" w:themeFill="background1"/>
        </w:rPr>
        <w:t>–1</w:t>
      </w:r>
      <w:r w:rsidR="00EA53FA" w:rsidRPr="007162F2">
        <w:rPr>
          <w:shd w:val="clear" w:color="auto" w:fill="FFFFFF" w:themeFill="background1"/>
        </w:rPr>
        <w:t>8</w:t>
      </w:r>
      <w:r w:rsidR="009B613B" w:rsidRPr="007162F2">
        <w:rPr>
          <w:shd w:val="clear" w:color="auto" w:fill="FFFFFF" w:themeFill="background1"/>
        </w:rPr>
        <w:t>.</w:t>
      </w:r>
    </w:p>
    <w:p w14:paraId="38A5E23C" w14:textId="77777777" w:rsidR="009B613B" w:rsidRPr="007162F2" w:rsidRDefault="009B613B" w:rsidP="009B613B">
      <w:pPr>
        <w:pStyle w:val="Heading4"/>
      </w:pPr>
      <w:r w:rsidRPr="007162F2">
        <w:t xml:space="preserve">Income support and allowances </w:t>
      </w:r>
    </w:p>
    <w:p w14:paraId="4EE4E25A" w14:textId="3664CE8F" w:rsidR="009B613B" w:rsidRPr="007162F2" w:rsidRDefault="009B613B" w:rsidP="009B613B">
      <w:pPr>
        <w:pStyle w:val="BodyText"/>
      </w:pPr>
      <w:r w:rsidRPr="007F6F12">
        <w:t>A</w:t>
      </w:r>
      <w:r w:rsidR="00BE61F3">
        <w:t>t June 2017</w:t>
      </w:r>
      <w:r w:rsidRPr="007F6F12">
        <w:t>, there were around</w:t>
      </w:r>
      <w:r w:rsidR="00ED7446">
        <w:t xml:space="preserve"> 758</w:t>
      </w:r>
      <w:r w:rsidR="009E032F">
        <w:t> 900</w:t>
      </w:r>
      <w:r w:rsidRPr="00BE61F3">
        <w:rPr>
          <w:color w:val="FF0000"/>
        </w:rPr>
        <w:t xml:space="preserve"> </w:t>
      </w:r>
      <w:r w:rsidRPr="007F6F12">
        <w:t xml:space="preserve">recipients of the Disability Support Pension, </w:t>
      </w:r>
      <w:r w:rsidR="009E032F" w:rsidRPr="009E032F">
        <w:t>263 900</w:t>
      </w:r>
      <w:r w:rsidRPr="009E032F">
        <w:t xml:space="preserve"> </w:t>
      </w:r>
      <w:r w:rsidRPr="007F6F12">
        <w:t xml:space="preserve">recipients of the Carer Payment, </w:t>
      </w:r>
      <w:r w:rsidR="009E032F" w:rsidRPr="009E032F">
        <w:t>627 000</w:t>
      </w:r>
      <w:r w:rsidR="00BE61F3" w:rsidRPr="009E032F">
        <w:t xml:space="preserve"> </w:t>
      </w:r>
      <w:r w:rsidRPr="007F6F12">
        <w:t xml:space="preserve">recipients of the Carer Allowance, </w:t>
      </w:r>
      <w:r w:rsidR="009E032F" w:rsidRPr="009E032F">
        <w:t xml:space="preserve">640 000 </w:t>
      </w:r>
      <w:r w:rsidR="009E032F" w:rsidRPr="007162F2">
        <w:t>recipients of the Carer Supplement</w:t>
      </w:r>
      <w:r w:rsidR="009E032F">
        <w:t xml:space="preserve"> (paid to Carer Payment and Carer Allowance recipients), </w:t>
      </w:r>
      <w:r w:rsidR="009E032F" w:rsidRPr="009E032F">
        <w:t xml:space="preserve">158 600 </w:t>
      </w:r>
      <w:r w:rsidR="009E032F" w:rsidRPr="007F6F12">
        <w:t>recipients</w:t>
      </w:r>
      <w:r w:rsidR="009E032F" w:rsidRPr="007162F2">
        <w:t xml:space="preserve"> of the Child Disability Assistance Payment</w:t>
      </w:r>
      <w:r w:rsidR="009E032F">
        <w:t>,</w:t>
      </w:r>
      <w:r w:rsidR="009E032F" w:rsidRPr="007162F2">
        <w:t xml:space="preserve"> </w:t>
      </w:r>
      <w:r w:rsidR="009E032F" w:rsidRPr="009E032F">
        <w:t>45 200</w:t>
      </w:r>
      <w:r w:rsidR="00BE61F3" w:rsidRPr="007F6F12">
        <w:t xml:space="preserve"> </w:t>
      </w:r>
      <w:r w:rsidRPr="007F6F12">
        <w:t>recipien</w:t>
      </w:r>
      <w:r w:rsidR="009E032F">
        <w:t>ts of the Mobility Allowance and</w:t>
      </w:r>
      <w:r w:rsidR="00780B9E" w:rsidRPr="007F6F12">
        <w:t xml:space="preserve"> </w:t>
      </w:r>
      <w:r w:rsidR="009E032F" w:rsidRPr="009E032F">
        <w:t>6300</w:t>
      </w:r>
      <w:r w:rsidRPr="009E032F">
        <w:t xml:space="preserve"> r</w:t>
      </w:r>
      <w:r w:rsidRPr="007F6F12">
        <w:t>ecip</w:t>
      </w:r>
      <w:r w:rsidR="009E032F">
        <w:t xml:space="preserve">ients of the Sickness Allowance </w:t>
      </w:r>
      <w:r w:rsidRPr="007162F2">
        <w:t>(</w:t>
      </w:r>
      <w:r w:rsidR="00B96A41" w:rsidRPr="007162F2">
        <w:t>t</w:t>
      </w:r>
      <w:r w:rsidR="00EA53FA" w:rsidRPr="007162F2">
        <w:t>able</w:t>
      </w:r>
      <w:r w:rsidR="004514F4">
        <w:t> </w:t>
      </w:r>
      <w:r w:rsidR="00EA53FA" w:rsidRPr="007162F2">
        <w:t>15A.19</w:t>
      </w:r>
      <w:r w:rsidRPr="007162F2">
        <w:t>).</w:t>
      </w:r>
    </w:p>
    <w:p w14:paraId="3DCC7D46" w14:textId="77777777" w:rsidR="009B613B" w:rsidRPr="007162F2" w:rsidRDefault="009B613B" w:rsidP="00BB70A5">
      <w:pPr>
        <w:pStyle w:val="Heading4"/>
        <w:keepNext w:val="0"/>
      </w:pPr>
      <w:r w:rsidRPr="007162F2">
        <w:t xml:space="preserve">Informal carers </w:t>
      </w:r>
    </w:p>
    <w:p w14:paraId="68EEB374" w14:textId="7DD4040C" w:rsidR="009B613B" w:rsidRPr="007162F2" w:rsidRDefault="009B613B" w:rsidP="009B613B">
      <w:pPr>
        <w:pStyle w:val="BodyText"/>
      </w:pPr>
      <w:r w:rsidRPr="007162F2">
        <w:t xml:space="preserve">Family and friends provide most of the help and/or care that people with disability receive. Information about informal carers enables governments to plan ahead for the future demand </w:t>
      </w:r>
      <w:r w:rsidRPr="007162F2">
        <w:lastRenderedPageBreak/>
        <w:t>for services that support carers and the people they assist (see section</w:t>
      </w:r>
      <w:r w:rsidR="004514F4">
        <w:t> </w:t>
      </w:r>
      <w:r w:rsidRPr="007162F2">
        <w:t>15.4 for different definitions</w:t>
      </w:r>
      <w:r w:rsidR="00780B9E" w:rsidRPr="007162F2">
        <w:t xml:space="preserve"> o</w:t>
      </w:r>
      <w:r w:rsidRPr="007162F2">
        <w:t>f informal carers across collections).</w:t>
      </w:r>
    </w:p>
    <w:p w14:paraId="28675EDB" w14:textId="1E909565" w:rsidR="009B613B" w:rsidRPr="00A417EB" w:rsidRDefault="009B613B" w:rsidP="009B613B">
      <w:pPr>
        <w:pStyle w:val="BodyText"/>
      </w:pPr>
      <w:r w:rsidRPr="00EE24D3">
        <w:t xml:space="preserve">In 2015, an estimated </w:t>
      </w:r>
      <w:r w:rsidR="00583519">
        <w:t xml:space="preserve">855 900 </w:t>
      </w:r>
      <w:r w:rsidRPr="00EE24D3">
        <w:t xml:space="preserve">informal primary carers </w:t>
      </w:r>
      <w:r w:rsidR="00583519">
        <w:t xml:space="preserve">(of which 621 600 were aged less than 65 years) </w:t>
      </w:r>
      <w:r w:rsidRPr="00EE24D3">
        <w:t>provided the majority of assistance with self</w:t>
      </w:r>
      <w:r w:rsidRPr="00EE24D3">
        <w:noBreakHyphen/>
        <w:t>care, mobility and communication for people with disability</w:t>
      </w:r>
      <w:r w:rsidR="00F0751B" w:rsidRPr="00EE24D3">
        <w:t xml:space="preserve"> </w:t>
      </w:r>
      <w:r w:rsidRPr="00EE24D3">
        <w:t>(ABS </w:t>
      </w:r>
      <w:r w:rsidR="00F0751B" w:rsidRPr="00EE24D3">
        <w:t>2016</w:t>
      </w:r>
      <w:r w:rsidRPr="00EE24D3">
        <w:t>).</w:t>
      </w:r>
      <w:r w:rsidR="00BE61F3">
        <w:t xml:space="preserve"> In 2015</w:t>
      </w:r>
      <w:r w:rsidR="00BE61F3">
        <w:noBreakHyphen/>
        <w:t>16</w:t>
      </w:r>
      <w:r w:rsidRPr="007162F2">
        <w:t>, of </w:t>
      </w:r>
      <w:r w:rsidRPr="00A417EB">
        <w:t xml:space="preserve">the </w:t>
      </w:r>
      <w:r w:rsidR="00A417EB" w:rsidRPr="00A417EB">
        <w:t>322 579</w:t>
      </w:r>
      <w:r w:rsidRPr="00A417EB" w:rsidDel="00D150D0">
        <w:t xml:space="preserve"> </w:t>
      </w:r>
      <w:r w:rsidRPr="00A417EB">
        <w:t xml:space="preserve">people </w:t>
      </w:r>
      <w:r w:rsidRPr="007162F2">
        <w:t xml:space="preserve">with disability who accessed NDA specialist disability </w:t>
      </w:r>
      <w:r w:rsidRPr="00A417EB">
        <w:t xml:space="preserve">services, </w:t>
      </w:r>
      <w:r w:rsidR="00A417EB" w:rsidRPr="00A417EB">
        <w:t>41.2</w:t>
      </w:r>
      <w:r w:rsidRPr="00A417EB">
        <w:t xml:space="preserve"> per cent reported having an informal carer and </w:t>
      </w:r>
      <w:r w:rsidR="00A417EB" w:rsidRPr="00A417EB">
        <w:t>29.1</w:t>
      </w:r>
      <w:r w:rsidRPr="00A417EB">
        <w:t xml:space="preserve"> per cent reported having an informal carer who was a primary carer, with these proportions higher for people in very remote areas (</w:t>
      </w:r>
      <w:r w:rsidR="00A417EB" w:rsidRPr="00A417EB">
        <w:t>59.3</w:t>
      </w:r>
      <w:r w:rsidR="00BE61F3" w:rsidRPr="00A417EB">
        <w:t xml:space="preserve"> </w:t>
      </w:r>
      <w:r w:rsidR="0039783B" w:rsidRPr="00A417EB">
        <w:t>per </w:t>
      </w:r>
      <w:r w:rsidRPr="00A417EB">
        <w:t xml:space="preserve">cent and </w:t>
      </w:r>
      <w:r w:rsidR="00A417EB" w:rsidRPr="00A417EB">
        <w:t>48.9</w:t>
      </w:r>
      <w:r w:rsidR="0039783B" w:rsidRPr="00A417EB">
        <w:t> </w:t>
      </w:r>
      <w:r w:rsidRPr="00A417EB">
        <w:t>per</w:t>
      </w:r>
      <w:r w:rsidR="0039783B" w:rsidRPr="00A417EB">
        <w:t> </w:t>
      </w:r>
      <w:r w:rsidRPr="00A417EB">
        <w:t>cent respectively) (table 15A.</w:t>
      </w:r>
      <w:r w:rsidR="00EA53FA" w:rsidRPr="00A417EB">
        <w:t>20</w:t>
      </w:r>
      <w:r w:rsidR="001148B3" w:rsidRPr="00A417EB">
        <w:t>).</w:t>
      </w:r>
      <w:r w:rsidR="008729AB" w:rsidRPr="00A417EB">
        <w:t xml:space="preserve"> </w:t>
      </w:r>
    </w:p>
    <w:p w14:paraId="20AEB8C0" w14:textId="019821A9" w:rsidR="009B613B" w:rsidRPr="007162F2" w:rsidRDefault="009B613B" w:rsidP="009B613B">
      <w:pPr>
        <w:pStyle w:val="Heading2"/>
      </w:pPr>
      <w:bookmarkStart w:id="4" w:name="_Toc470167920"/>
      <w:r w:rsidRPr="007162F2">
        <w:t>15.</w:t>
      </w:r>
      <w:r w:rsidR="00C37B05">
        <w:rPr>
          <w:noProof/>
        </w:rPr>
        <w:t>2</w:t>
      </w:r>
      <w:r w:rsidRPr="007162F2">
        <w:tab/>
      </w:r>
      <w:bookmarkStart w:id="5" w:name="_Toc248563903"/>
      <w:bookmarkStart w:id="6" w:name="_Toc397527174"/>
      <w:bookmarkStart w:id="7" w:name="_Toc459901551"/>
      <w:r w:rsidRPr="007162F2">
        <w:t>Framework of performance indicators</w:t>
      </w:r>
      <w:bookmarkEnd w:id="5"/>
      <w:bookmarkEnd w:id="6"/>
      <w:bookmarkEnd w:id="7"/>
      <w:bookmarkEnd w:id="4"/>
    </w:p>
    <w:p w14:paraId="69F25246" w14:textId="7C8E67CE" w:rsidR="009B613B" w:rsidRDefault="009B613B" w:rsidP="009B613B">
      <w:pPr>
        <w:pStyle w:val="BodyText"/>
      </w:pPr>
      <w:r w:rsidRPr="007162F2">
        <w:t>Box</w:t>
      </w:r>
      <w:r w:rsidR="004514F4">
        <w:t> </w:t>
      </w:r>
      <w:r w:rsidR="009F5938" w:rsidRPr="007162F2">
        <w:t>15.1</w:t>
      </w:r>
      <w:r w:rsidRPr="007162F2">
        <w:t xml:space="preserve"> describes the vision and objectives for the disability services system. The vision and objectives align with the NDA and the NDIS. </w:t>
      </w:r>
    </w:p>
    <w:p w14:paraId="104B2DEF" w14:textId="3CDC0BC3" w:rsidR="009B613B" w:rsidRPr="007162F2" w:rsidRDefault="009B613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B613B" w:rsidRPr="007162F2" w14:paraId="10588493" w14:textId="77777777" w:rsidTr="00925FEC">
        <w:tc>
          <w:tcPr>
            <w:tcW w:w="8789" w:type="dxa"/>
            <w:tcBorders>
              <w:top w:val="single" w:sz="6" w:space="0" w:color="78A22F"/>
              <w:left w:val="nil"/>
              <w:bottom w:val="nil"/>
              <w:right w:val="nil"/>
            </w:tcBorders>
            <w:shd w:val="clear" w:color="auto" w:fill="F2F2F2"/>
          </w:tcPr>
          <w:p w14:paraId="2F2DEFE2" w14:textId="075D99FD" w:rsidR="009B613B" w:rsidRPr="007162F2" w:rsidRDefault="009B613B">
            <w:pPr>
              <w:pStyle w:val="BoxTitle"/>
            </w:pPr>
            <w:r w:rsidRPr="007162F2">
              <w:rPr>
                <w:b w:val="0"/>
              </w:rPr>
              <w:t xml:space="preserve">Box </w:t>
            </w:r>
            <w:r w:rsidR="003134C6">
              <w:rPr>
                <w:b w:val="0"/>
              </w:rPr>
              <w:t>15.</w:t>
            </w:r>
            <w:r w:rsidR="002358A7">
              <w:rPr>
                <w:b w:val="0"/>
                <w:noProof/>
              </w:rPr>
              <w:t>1</w:t>
            </w:r>
            <w:r w:rsidRPr="007162F2">
              <w:tab/>
              <w:t>Objectives of government funded services for people with disability</w:t>
            </w:r>
          </w:p>
        </w:tc>
      </w:tr>
      <w:tr w:rsidR="009B613B" w:rsidRPr="007162F2" w14:paraId="2AAB570F" w14:textId="77777777" w:rsidTr="00925FEC">
        <w:tc>
          <w:tcPr>
            <w:tcW w:w="8789" w:type="dxa"/>
            <w:tcBorders>
              <w:top w:val="nil"/>
              <w:left w:val="nil"/>
              <w:bottom w:val="nil"/>
              <w:right w:val="nil"/>
            </w:tcBorders>
            <w:shd w:val="clear" w:color="auto" w:fill="F2F2F2"/>
          </w:tcPr>
          <w:p w14:paraId="52E0A312" w14:textId="77777777" w:rsidR="003134C6" w:rsidRDefault="009B613B" w:rsidP="009B613B">
            <w:pPr>
              <w:pStyle w:val="Box"/>
            </w:pPr>
            <w:r w:rsidRPr="007162F2">
              <w:t xml:space="preserve">Disability services aim to help people with disability and their </w:t>
            </w:r>
            <w:proofErr w:type="spellStart"/>
            <w:r w:rsidRPr="007162F2">
              <w:t>carers</w:t>
            </w:r>
            <w:proofErr w:type="spellEnd"/>
            <w:r w:rsidRPr="007162F2">
              <w:t xml:space="preserve"> have an enhanced quality of life, enjoy choice and wellbeing, achieve independence, social and economic participation, and full inclusion in the community. </w:t>
            </w:r>
          </w:p>
          <w:p w14:paraId="2EE2BC37" w14:textId="0EDCCC5F" w:rsidR="009B613B" w:rsidRPr="007162F2" w:rsidRDefault="009B613B" w:rsidP="009B613B">
            <w:pPr>
              <w:pStyle w:val="Box"/>
            </w:pPr>
            <w:r w:rsidRPr="007162F2">
              <w:t>For services funded under the NDA, governments aim to achieve this objective by providing access to disability services:</w:t>
            </w:r>
          </w:p>
          <w:p w14:paraId="4B5B6864" w14:textId="77777777" w:rsidR="009B613B" w:rsidRPr="007162F2" w:rsidRDefault="009B613B" w:rsidP="009B613B">
            <w:pPr>
              <w:pStyle w:val="BoxListBullet"/>
            </w:pPr>
            <w:r w:rsidRPr="007162F2">
              <w:t>that meet the individual needs of people with disability and their carers</w:t>
            </w:r>
          </w:p>
          <w:p w14:paraId="0CC09913" w14:textId="77777777" w:rsidR="009B613B" w:rsidRPr="007162F2" w:rsidRDefault="009B613B" w:rsidP="009B613B">
            <w:pPr>
              <w:pStyle w:val="BoxListBullet"/>
            </w:pPr>
            <w:r w:rsidRPr="007162F2">
              <w:t>that provide skills and support to people with disability to enable them to live as independently as possible</w:t>
            </w:r>
          </w:p>
          <w:p w14:paraId="53BD3216" w14:textId="77777777" w:rsidR="009B613B" w:rsidRPr="007162F2" w:rsidRDefault="009B613B" w:rsidP="009B613B">
            <w:pPr>
              <w:pStyle w:val="BoxListBullet"/>
            </w:pPr>
            <w:r w:rsidRPr="007162F2">
              <w:t>that meet a particular standard of quality</w:t>
            </w:r>
          </w:p>
          <w:p w14:paraId="1C375B13" w14:textId="77777777" w:rsidR="009B613B" w:rsidRPr="007162F2" w:rsidRDefault="009B613B" w:rsidP="009B613B">
            <w:pPr>
              <w:pStyle w:val="BoxListBullet"/>
            </w:pPr>
            <w:r w:rsidRPr="007162F2">
              <w:t>on the basis of relative need</w:t>
            </w:r>
          </w:p>
          <w:p w14:paraId="12AD9CA8" w14:textId="77777777" w:rsidR="009B613B" w:rsidRPr="007162F2" w:rsidRDefault="009B613B" w:rsidP="009B613B">
            <w:pPr>
              <w:pStyle w:val="BoxListBullet"/>
            </w:pPr>
            <w:r w:rsidRPr="007162F2">
              <w:t>that assist families and carers in their caring role.</w:t>
            </w:r>
          </w:p>
          <w:p w14:paraId="295F87B7" w14:textId="77777777" w:rsidR="009B613B" w:rsidRPr="007162F2" w:rsidRDefault="009B613B" w:rsidP="009B613B">
            <w:pPr>
              <w:pStyle w:val="Box"/>
            </w:pPr>
            <w:r w:rsidRPr="007162F2">
              <w:t xml:space="preserve">Under the NDIS, governments aim to achieve this objective through the provision of an NDIS which: </w:t>
            </w:r>
          </w:p>
          <w:p w14:paraId="50E6312D" w14:textId="77777777" w:rsidR="009B613B" w:rsidRPr="007162F2" w:rsidRDefault="009B613B" w:rsidP="009B613B">
            <w:pPr>
              <w:pStyle w:val="BoxListBullet"/>
            </w:pPr>
            <w:r w:rsidRPr="007162F2">
              <w:t>enables people with disability to exercise choice and control in the pursuit of their goals and the planning and delivery of their supports</w:t>
            </w:r>
          </w:p>
          <w:p w14:paraId="29F95FF2" w14:textId="77777777" w:rsidR="009B613B" w:rsidRPr="007162F2" w:rsidRDefault="009B613B" w:rsidP="009B613B">
            <w:pPr>
              <w:pStyle w:val="BoxListBullet"/>
            </w:pPr>
            <w:r w:rsidRPr="007162F2">
              <w:t>provides reasonable and necessary supports including early intervention supports</w:t>
            </w:r>
          </w:p>
          <w:p w14:paraId="5EE27D29" w14:textId="77777777" w:rsidR="009B613B" w:rsidRPr="007162F2" w:rsidRDefault="009B613B" w:rsidP="009B613B">
            <w:pPr>
              <w:pStyle w:val="BoxListBullet"/>
            </w:pPr>
            <w:r w:rsidRPr="007162F2">
              <w:t>promotes the provision of high quality and innovative supports.</w:t>
            </w:r>
          </w:p>
          <w:p w14:paraId="31E87B37" w14:textId="77777777" w:rsidR="009B613B" w:rsidRPr="007162F2" w:rsidRDefault="009B613B" w:rsidP="009B613B">
            <w:pPr>
              <w:pStyle w:val="Box"/>
            </w:pPr>
            <w:r w:rsidRPr="007162F2">
              <w:t>Governments aim for services for people with disability to meet these objectives in an equitable and efficient manner.</w:t>
            </w:r>
          </w:p>
          <w:p w14:paraId="3ECBC758" w14:textId="77777777" w:rsidR="009B613B" w:rsidRPr="007162F2" w:rsidRDefault="009B613B" w:rsidP="009B613B">
            <w:pPr>
              <w:pStyle w:val="Box"/>
            </w:pPr>
            <w:r w:rsidRPr="007162F2">
              <w:t>Performance reporting in this chapter focuses on services funded under the NDA. Performance reporting on the NDIS will be developed and progressively introduced into future editions of this Report.</w:t>
            </w:r>
          </w:p>
        </w:tc>
      </w:tr>
      <w:tr w:rsidR="009B613B" w:rsidRPr="007162F2" w14:paraId="11A85F20" w14:textId="77777777" w:rsidTr="00925FEC">
        <w:tc>
          <w:tcPr>
            <w:tcW w:w="8789" w:type="dxa"/>
            <w:tcBorders>
              <w:top w:val="nil"/>
              <w:left w:val="nil"/>
              <w:bottom w:val="single" w:sz="6" w:space="0" w:color="78A22F"/>
              <w:right w:val="nil"/>
            </w:tcBorders>
            <w:shd w:val="clear" w:color="auto" w:fill="F2F2F2"/>
          </w:tcPr>
          <w:p w14:paraId="0A3796FF" w14:textId="77777777" w:rsidR="009B613B" w:rsidRPr="007162F2" w:rsidRDefault="009B613B">
            <w:pPr>
              <w:pStyle w:val="Box"/>
              <w:spacing w:before="0" w:line="120" w:lineRule="exact"/>
            </w:pPr>
          </w:p>
        </w:tc>
      </w:tr>
      <w:tr w:rsidR="009B613B" w:rsidRPr="007162F2" w14:paraId="158D11C4" w14:textId="77777777" w:rsidTr="00925FEC">
        <w:tc>
          <w:tcPr>
            <w:tcW w:w="8789" w:type="dxa"/>
            <w:tcBorders>
              <w:top w:val="single" w:sz="6" w:space="0" w:color="78A22F"/>
              <w:left w:val="nil"/>
              <w:bottom w:val="nil"/>
              <w:right w:val="nil"/>
            </w:tcBorders>
          </w:tcPr>
          <w:p w14:paraId="035601BB" w14:textId="60BC1D71" w:rsidR="009B613B" w:rsidRPr="007162F2" w:rsidRDefault="009B613B" w:rsidP="00F979BC">
            <w:pPr>
              <w:pStyle w:val="BoxSpaceBelow"/>
            </w:pPr>
          </w:p>
        </w:tc>
      </w:tr>
    </w:tbl>
    <w:p w14:paraId="5FEF53D5" w14:textId="7E686189" w:rsidR="00BF134E" w:rsidRPr="007162F2" w:rsidRDefault="00BF134E" w:rsidP="00BF134E">
      <w:pPr>
        <w:pStyle w:val="BodyText"/>
      </w:pPr>
      <w:r w:rsidRPr="007162F2">
        <w:lastRenderedPageBreak/>
        <w:t>The performance indicator framework provides information on equity, efficiency and effectiveness, and distinguishes the outputs and outcomes of services for people with disability (figure </w:t>
      </w:r>
      <w:r w:rsidR="0039783B" w:rsidRPr="007162F2">
        <w:t>15.2</w:t>
      </w:r>
      <w:r w:rsidRPr="007162F2">
        <w:t xml:space="preserve">). </w:t>
      </w:r>
    </w:p>
    <w:p w14:paraId="7B700517" w14:textId="7CD98EA8" w:rsidR="00BF134E" w:rsidRPr="007162F2" w:rsidRDefault="00BF134E" w:rsidP="00BF134E">
      <w:pPr>
        <w:pStyle w:val="BodyText"/>
        <w:rPr>
          <w:szCs w:val="26"/>
        </w:rPr>
      </w:pPr>
      <w:r w:rsidRPr="007162F2">
        <w:t>The performance indicator framework shows which data are com</w:t>
      </w:r>
      <w:r w:rsidR="00BE61F3">
        <w:t>plete and comparable in the 2018</w:t>
      </w:r>
      <w:r w:rsidRPr="007162F2">
        <w:t xml:space="preserve"> Report. For data that are not considered directly comparable, text includes relevant caveats and supporting commentary. </w:t>
      </w:r>
      <w:r w:rsidR="00B90589" w:rsidRPr="007162F2" w:rsidDel="0030184D">
        <w:t>Chapter 1 discusses data comparability, data completeness and information on data quality from a Report wide perspective</w:t>
      </w:r>
      <w:r w:rsidR="00FE34EE" w:rsidRPr="007162F2" w:rsidDel="0030184D">
        <w:t>.</w:t>
      </w:r>
      <w:r w:rsidRPr="007162F2" w:rsidDel="0030184D">
        <w:t xml:space="preserve"> </w:t>
      </w:r>
      <w:r w:rsidR="00C358EA" w:rsidRPr="00572791">
        <w:rPr>
          <w:szCs w:val="26"/>
        </w:rPr>
        <w:t xml:space="preserve">In </w:t>
      </w:r>
      <w:r w:rsidR="00C358EA" w:rsidRPr="00572791">
        <w:rPr>
          <w:szCs w:val="26"/>
          <w:shd w:val="clear" w:color="auto" w:fill="FFFFFF" w:themeFill="background1"/>
        </w:rPr>
        <w:t>addition</w:t>
      </w:r>
      <w:r w:rsidR="00E7027D" w:rsidRPr="00572791">
        <w:rPr>
          <w:szCs w:val="26"/>
          <w:shd w:val="clear" w:color="auto" w:fill="FFFFFF" w:themeFill="background1"/>
        </w:rPr>
        <w:t xml:space="preserve"> to section</w:t>
      </w:r>
      <w:r w:rsidR="004514F4" w:rsidRPr="00572791">
        <w:rPr>
          <w:szCs w:val="26"/>
          <w:shd w:val="clear" w:color="auto" w:fill="FFFFFF" w:themeFill="background1"/>
        </w:rPr>
        <w:t> </w:t>
      </w:r>
      <w:r w:rsidR="00E7027D" w:rsidRPr="00572791">
        <w:rPr>
          <w:szCs w:val="26"/>
          <w:shd w:val="clear" w:color="auto" w:fill="FFFFFF" w:themeFill="background1"/>
        </w:rPr>
        <w:t>15.1, the Report’s s</w:t>
      </w:r>
      <w:r w:rsidRPr="00572791">
        <w:rPr>
          <w:szCs w:val="26"/>
          <w:shd w:val="clear" w:color="auto" w:fill="FFFFFF" w:themeFill="background1"/>
        </w:rPr>
        <w:t>tatistical context</w:t>
      </w:r>
      <w:r w:rsidR="00E7027D" w:rsidRPr="00572791">
        <w:rPr>
          <w:szCs w:val="26"/>
          <w:shd w:val="clear" w:color="auto" w:fill="FFFFFF" w:themeFill="background1"/>
        </w:rPr>
        <w:t xml:space="preserve"> chapter (chapter</w:t>
      </w:r>
      <w:r w:rsidR="004514F4" w:rsidRPr="00572791">
        <w:rPr>
          <w:szCs w:val="26"/>
          <w:shd w:val="clear" w:color="auto" w:fill="FFFFFF" w:themeFill="background1"/>
        </w:rPr>
        <w:t> </w:t>
      </w:r>
      <w:r w:rsidR="00E7027D" w:rsidRPr="00572791">
        <w:rPr>
          <w:szCs w:val="26"/>
          <w:shd w:val="clear" w:color="auto" w:fill="FFFFFF" w:themeFill="background1"/>
        </w:rPr>
        <w:t xml:space="preserve">2) </w:t>
      </w:r>
      <w:r w:rsidRPr="00572791">
        <w:rPr>
          <w:szCs w:val="26"/>
          <w:shd w:val="clear" w:color="auto" w:fill="FFFFFF" w:themeFill="background1"/>
        </w:rPr>
        <w:t>contains data that may assist in interpreting the performance indicators presented in this chapter.</w:t>
      </w:r>
      <w:r w:rsidR="006F4198" w:rsidRPr="00572791">
        <w:rPr>
          <w:szCs w:val="26"/>
          <w:shd w:val="clear" w:color="auto" w:fill="FFFFFF" w:themeFill="background1"/>
        </w:rPr>
        <w:t xml:space="preserve"> </w:t>
      </w:r>
      <w:r w:rsidR="006F4198" w:rsidRPr="006F4198">
        <w:rPr>
          <w:szCs w:val="26"/>
        </w:rPr>
        <w:t xml:space="preserve">Chapters 1 and 2 are available from the website at </w:t>
      </w:r>
      <w:r w:rsidR="00583519" w:rsidRPr="00FF1803">
        <w:rPr>
          <w:szCs w:val="26"/>
        </w:rPr>
        <w:t>www.pc.gov.au/rogs/2018</w:t>
      </w:r>
      <w:r w:rsidR="006F4198">
        <w:rPr>
          <w:szCs w:val="26"/>
        </w:rPr>
        <w:t xml:space="preserve">. </w:t>
      </w:r>
    </w:p>
    <w:p w14:paraId="13804715" w14:textId="4EF850A0" w:rsidR="00BF134E" w:rsidRPr="007162F2" w:rsidRDefault="006F4198" w:rsidP="00BF134E">
      <w:pPr>
        <w:pStyle w:val="BodyText"/>
      </w:pPr>
      <w:r w:rsidRPr="006F4198">
        <w:t>Improvements to</w:t>
      </w:r>
      <w:r>
        <w:t xml:space="preserve"> performance reporting for </w:t>
      </w:r>
      <w:r w:rsidRPr="006F4198">
        <w:t>services</w:t>
      </w:r>
      <w:r>
        <w:t xml:space="preserve"> for people with disability</w:t>
      </w:r>
      <w:r w:rsidRPr="006F4198">
        <w:t xml:space="preserve"> are ongoing and include identifying data sources to fill gaps in reporting for performance indicators and measures, and improving the comparability and completeness of data</w:t>
      </w:r>
      <w:r w:rsidR="00BF134E" w:rsidRPr="007162F2">
        <w:t>.</w:t>
      </w:r>
    </w:p>
    <w:p w14:paraId="3B33B0B1" w14:textId="2BC25D95" w:rsidR="00BF134E" w:rsidRPr="007162F2" w:rsidRDefault="00BF134E"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46E2D2B4" w14:textId="77777777" w:rsidTr="00925FEC">
        <w:trPr>
          <w:tblHeader/>
        </w:trPr>
        <w:tc>
          <w:tcPr>
            <w:tcW w:w="8789" w:type="dxa"/>
            <w:tcBorders>
              <w:top w:val="single" w:sz="6" w:space="0" w:color="78A22F"/>
              <w:left w:val="nil"/>
              <w:bottom w:val="nil"/>
              <w:right w:val="nil"/>
            </w:tcBorders>
            <w:shd w:val="clear" w:color="auto" w:fill="auto"/>
          </w:tcPr>
          <w:p w14:paraId="490E5BC1" w14:textId="202A6AC1" w:rsidR="00BF134E" w:rsidRPr="007162F2" w:rsidRDefault="00BF134E" w:rsidP="00583519">
            <w:pPr>
              <w:pStyle w:val="FigureTitle"/>
            </w:pPr>
            <w:r w:rsidRPr="007162F2">
              <w:rPr>
                <w:b w:val="0"/>
              </w:rPr>
              <w:t xml:space="preserve">Figure </w:t>
            </w:r>
            <w:bookmarkStart w:id="8" w:name="OLE_LINK3"/>
            <w:r w:rsidRPr="007162F2">
              <w:rPr>
                <w:b w:val="0"/>
              </w:rPr>
              <w:t>15.</w:t>
            </w:r>
            <w:r w:rsidR="00C37B05">
              <w:rPr>
                <w:b w:val="0"/>
                <w:noProof/>
              </w:rPr>
              <w:t>2</w:t>
            </w:r>
            <w:bookmarkEnd w:id="8"/>
            <w:r w:rsidRPr="007162F2">
              <w:tab/>
              <w:t>Services for people with disability performance indicator framework</w:t>
            </w:r>
            <w:r w:rsidR="00A321EB">
              <w:t xml:space="preserve"> </w:t>
            </w:r>
          </w:p>
        </w:tc>
      </w:tr>
      <w:tr w:rsidR="00BF134E" w:rsidRPr="007162F2" w14:paraId="74D918D4"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F134E" w:rsidRPr="007162F2" w14:paraId="2EF17BBC" w14:textId="77777777" w:rsidTr="00F979BC">
              <w:trPr>
                <w:tblHeader/>
                <w:jc w:val="center"/>
              </w:trPr>
              <w:tc>
                <w:tcPr>
                  <w:tcW w:w="5000" w:type="pct"/>
                  <w:tcBorders>
                    <w:top w:val="nil"/>
                    <w:bottom w:val="nil"/>
                  </w:tcBorders>
                </w:tcPr>
                <w:p w14:paraId="06BA2A32" w14:textId="3942B059" w:rsidR="00BF134E" w:rsidRPr="007162F2" w:rsidRDefault="00925FEC" w:rsidP="00F979BC">
                  <w:pPr>
                    <w:pStyle w:val="Figure"/>
                    <w:spacing w:before="60" w:after="60"/>
                    <w:rPr>
                      <w:rFonts w:ascii="Arial" w:hAnsi="Arial" w:cs="Arial"/>
                      <w:sz w:val="18"/>
                      <w:szCs w:val="18"/>
                    </w:rPr>
                  </w:pPr>
                  <w:r w:rsidRPr="00925FEC">
                    <w:rPr>
                      <w:rFonts w:ascii="Arial" w:hAnsi="Arial" w:cs="Arial"/>
                      <w:noProof/>
                      <w:sz w:val="18"/>
                      <w:szCs w:val="18"/>
                    </w:rPr>
                    <w:drawing>
                      <wp:inline distT="0" distB="0" distL="0" distR="0" wp14:anchorId="3147A566" wp14:editId="6075C81B">
                        <wp:extent cx="5397500" cy="4260850"/>
                        <wp:effectExtent l="0" t="0" r="0" b="0"/>
                        <wp:docPr id="3" name="Picture 3" descr="More details can be found within the text surrounding this image. " title="Figure 15.2 Services for people with disability performance indicator frame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4260850"/>
                                </a:xfrm>
                                <a:prstGeom prst="rect">
                                  <a:avLst/>
                                </a:prstGeom>
                                <a:noFill/>
                                <a:ln>
                                  <a:noFill/>
                                </a:ln>
                              </pic:spPr>
                            </pic:pic>
                          </a:graphicData>
                        </a:graphic>
                      </wp:inline>
                    </w:drawing>
                  </w:r>
                </w:p>
              </w:tc>
            </w:tr>
          </w:tbl>
          <w:p w14:paraId="01249E49" w14:textId="77777777" w:rsidR="00BF134E" w:rsidRPr="007162F2" w:rsidRDefault="00BF134E" w:rsidP="00F979BC">
            <w:pPr>
              <w:pStyle w:val="Figure"/>
            </w:pPr>
          </w:p>
        </w:tc>
      </w:tr>
      <w:tr w:rsidR="00BF134E" w:rsidRPr="007162F2" w14:paraId="0B559AFC" w14:textId="77777777" w:rsidTr="00925FEC">
        <w:tc>
          <w:tcPr>
            <w:tcW w:w="8789" w:type="dxa"/>
            <w:tcBorders>
              <w:top w:val="nil"/>
              <w:left w:val="nil"/>
              <w:bottom w:val="single" w:sz="6" w:space="0" w:color="78A22F"/>
              <w:right w:val="nil"/>
            </w:tcBorders>
            <w:shd w:val="clear" w:color="auto" w:fill="auto"/>
          </w:tcPr>
          <w:p w14:paraId="479A73B4" w14:textId="77777777" w:rsidR="00BF134E" w:rsidRPr="007162F2" w:rsidRDefault="00BF134E" w:rsidP="00F979BC">
            <w:pPr>
              <w:pStyle w:val="Figurespace"/>
            </w:pPr>
          </w:p>
        </w:tc>
      </w:tr>
      <w:tr w:rsidR="00BF134E" w:rsidRPr="007162F2" w14:paraId="76AD571A" w14:textId="77777777" w:rsidTr="00925FEC">
        <w:tc>
          <w:tcPr>
            <w:tcW w:w="8789" w:type="dxa"/>
            <w:tcBorders>
              <w:top w:val="single" w:sz="6" w:space="0" w:color="78A22F"/>
              <w:left w:val="nil"/>
              <w:bottom w:val="nil"/>
              <w:right w:val="nil"/>
            </w:tcBorders>
          </w:tcPr>
          <w:p w14:paraId="6E2759CF" w14:textId="5A8CD553" w:rsidR="00BF134E" w:rsidRPr="007162F2" w:rsidRDefault="00BF134E" w:rsidP="00F979BC">
            <w:pPr>
              <w:pStyle w:val="BoxSpaceBelow"/>
            </w:pPr>
          </w:p>
        </w:tc>
      </w:tr>
    </w:tbl>
    <w:p w14:paraId="72F378DA" w14:textId="25C9D67A" w:rsidR="009B613B" w:rsidRPr="007162F2" w:rsidRDefault="00BF134E" w:rsidP="00BF134E">
      <w:pPr>
        <w:pStyle w:val="Heading2"/>
      </w:pPr>
      <w:bookmarkStart w:id="9" w:name="_Toc470167921"/>
      <w:r w:rsidRPr="007162F2">
        <w:lastRenderedPageBreak/>
        <w:t>15.</w:t>
      </w:r>
      <w:r w:rsidR="00C37B05">
        <w:rPr>
          <w:noProof/>
        </w:rPr>
        <w:t>3</w:t>
      </w:r>
      <w:r w:rsidRPr="007162F2">
        <w:tab/>
        <w:t>Key performance indicator results</w:t>
      </w:r>
      <w:bookmarkEnd w:id="9"/>
    </w:p>
    <w:p w14:paraId="01703F81" w14:textId="77777777" w:rsidR="00BF134E" w:rsidRPr="007162F2" w:rsidRDefault="00BF134E" w:rsidP="00BF134E">
      <w:pPr>
        <w:pStyle w:val="BodyText"/>
      </w:pPr>
      <w:r w:rsidRPr="007162F2">
        <w:t xml:space="preserve">Different delivery contexts, locations and types of clients </w:t>
      </w:r>
      <w:r w:rsidR="00E7027D" w:rsidRPr="007162F2">
        <w:t xml:space="preserve">may </w:t>
      </w:r>
      <w:r w:rsidRPr="007162F2">
        <w:t>affect the effectiveness and efficiency of services for people with disability.</w:t>
      </w:r>
    </w:p>
    <w:p w14:paraId="4A40F887" w14:textId="77777777" w:rsidR="00BF134E" w:rsidRPr="007162F2" w:rsidRDefault="00BF134E" w:rsidP="00BF134E">
      <w:pPr>
        <w:pStyle w:val="Heading3"/>
      </w:pPr>
      <w:r w:rsidRPr="007162F2">
        <w:t>Outputs</w:t>
      </w:r>
    </w:p>
    <w:p w14:paraId="398B2385" w14:textId="77777777" w:rsidR="00BF134E" w:rsidRPr="007162F2" w:rsidRDefault="00BF134E" w:rsidP="00BF134E">
      <w:pPr>
        <w:pStyle w:val="BodyText"/>
      </w:pPr>
      <w:r w:rsidRPr="007162F2">
        <w:t>Outputs are the services delivered (while outcomes are the impact of these services on the status of an indi</w:t>
      </w:r>
      <w:r w:rsidR="00FE34EE" w:rsidRPr="007162F2">
        <w:t>vidual or group) (see chapter 1</w:t>
      </w:r>
      <w:r w:rsidRPr="007162F2">
        <w:t xml:space="preserve">). Output information is critical for equitable, efficient and effective management of government services. </w:t>
      </w:r>
    </w:p>
    <w:p w14:paraId="29DE6768" w14:textId="77777777" w:rsidR="00BF134E" w:rsidRPr="007162F2" w:rsidRDefault="00BF134E" w:rsidP="00BF134E">
      <w:pPr>
        <w:pStyle w:val="Heading3"/>
      </w:pPr>
      <w:r w:rsidRPr="007162F2">
        <w:t>Equity</w:t>
      </w:r>
    </w:p>
    <w:p w14:paraId="5431BC33" w14:textId="77777777" w:rsidR="00BF134E" w:rsidRPr="007162F2" w:rsidRDefault="00BF134E" w:rsidP="00BF134E">
      <w:pPr>
        <w:pStyle w:val="Heading4"/>
      </w:pPr>
      <w:r w:rsidRPr="007162F2">
        <w:t>Access — Service use by special needs groups</w:t>
      </w:r>
    </w:p>
    <w:p w14:paraId="519F0E21" w14:textId="01CD5705" w:rsidR="00C92F05" w:rsidRPr="007162F2" w:rsidRDefault="00BF134E" w:rsidP="00BF134E">
      <w:pPr>
        <w:pStyle w:val="BodyText"/>
      </w:pPr>
      <w:r w:rsidRPr="007162F2">
        <w:t>‘Service use by special needs groups’ is an indicator of governments’ objective to provide disability services in an equitable manner (box </w:t>
      </w:r>
      <w:r w:rsidR="009F5938" w:rsidRPr="007162F2">
        <w:t>15.2</w:t>
      </w:r>
      <w:r w:rsidRPr="007162F2">
        <w:t>).</w:t>
      </w:r>
    </w:p>
    <w:p w14:paraId="1355A71C" w14:textId="67E0B3D5" w:rsidR="00BF134E" w:rsidRPr="007162F2" w:rsidRDefault="00BF134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744833B1" w14:textId="77777777" w:rsidTr="00925FEC">
        <w:tc>
          <w:tcPr>
            <w:tcW w:w="8789" w:type="dxa"/>
            <w:tcBorders>
              <w:top w:val="single" w:sz="6" w:space="0" w:color="78A22F"/>
              <w:left w:val="nil"/>
              <w:bottom w:val="nil"/>
              <w:right w:val="nil"/>
            </w:tcBorders>
            <w:shd w:val="clear" w:color="auto" w:fill="F2F2F2"/>
          </w:tcPr>
          <w:p w14:paraId="57F88662" w14:textId="3D8991DF" w:rsidR="00BF134E" w:rsidRPr="007162F2" w:rsidRDefault="00BF134E">
            <w:pPr>
              <w:pStyle w:val="BoxTitle"/>
            </w:pPr>
            <w:r w:rsidRPr="007162F2">
              <w:rPr>
                <w:b w:val="0"/>
              </w:rPr>
              <w:t xml:space="preserve">Box </w:t>
            </w:r>
            <w:r w:rsidR="003134C6">
              <w:rPr>
                <w:b w:val="0"/>
              </w:rPr>
              <w:t>15.</w:t>
            </w:r>
            <w:r w:rsidR="002358A7">
              <w:rPr>
                <w:b w:val="0"/>
                <w:noProof/>
              </w:rPr>
              <w:t>2</w:t>
            </w:r>
            <w:r w:rsidRPr="007162F2">
              <w:tab/>
              <w:t>Service use by special needs groups</w:t>
            </w:r>
          </w:p>
        </w:tc>
      </w:tr>
      <w:tr w:rsidR="00BF134E" w:rsidRPr="007162F2" w14:paraId="76D136F0" w14:textId="77777777" w:rsidTr="00925FEC">
        <w:tc>
          <w:tcPr>
            <w:tcW w:w="8789" w:type="dxa"/>
            <w:tcBorders>
              <w:top w:val="nil"/>
              <w:left w:val="nil"/>
              <w:bottom w:val="nil"/>
              <w:right w:val="nil"/>
            </w:tcBorders>
            <w:shd w:val="clear" w:color="auto" w:fill="F2F2F2"/>
          </w:tcPr>
          <w:p w14:paraId="10F40231" w14:textId="77777777" w:rsidR="00BF134E" w:rsidRPr="007162F2" w:rsidRDefault="00BF134E" w:rsidP="00BF134E">
            <w:pPr>
              <w:pStyle w:val="Box"/>
              <w:rPr>
                <w:b/>
              </w:rPr>
            </w:pPr>
            <w:r w:rsidRPr="007162F2">
              <w:t>‘Service use by special needs groups’ is defined as the proportion of service users per 1000 potential population in a particular special needs group, compared with the proportion of service users per 1000 potential population outside th</w:t>
            </w:r>
            <w:r w:rsidR="002A43A0" w:rsidRPr="007162F2">
              <w:t>at</w:t>
            </w:r>
            <w:r w:rsidRPr="007162F2">
              <w:t xml:space="preserve"> special needs group.</w:t>
            </w:r>
            <w:r w:rsidRPr="007162F2">
              <w:rPr>
                <w:b/>
              </w:rPr>
              <w:t xml:space="preserve"> </w:t>
            </w:r>
          </w:p>
          <w:p w14:paraId="7C04D30F" w14:textId="77777777" w:rsidR="00BF134E" w:rsidRPr="007162F2" w:rsidRDefault="00BF134E" w:rsidP="00BF134E">
            <w:pPr>
              <w:pStyle w:val="Box"/>
            </w:pPr>
            <w:r w:rsidRPr="007162F2">
              <w:t>The potential population is an estimate of the number of people with the potential to require specialist disability services at some time. Further details on the potential population can be found in in section 15.4.</w:t>
            </w:r>
          </w:p>
          <w:p w14:paraId="6021EEAB" w14:textId="77777777" w:rsidR="00BF134E" w:rsidRPr="007162F2" w:rsidRDefault="00BF134E" w:rsidP="00BF134E">
            <w:pPr>
              <w:pStyle w:val="Box"/>
            </w:pPr>
            <w:r w:rsidRPr="007162F2">
              <w:t>Data are reported for three special needs groups:</w:t>
            </w:r>
          </w:p>
          <w:p w14:paraId="10CDF8A8" w14:textId="1E24D56E" w:rsidR="00BF134E" w:rsidRPr="007162F2" w:rsidRDefault="00A96A18" w:rsidP="00BF134E">
            <w:pPr>
              <w:pStyle w:val="BoxListBullet"/>
              <w:keepLines/>
            </w:pPr>
            <w:r>
              <w:t>P</w:t>
            </w:r>
            <w:r w:rsidR="00BF134E" w:rsidRPr="007162F2">
              <w:t>eople from outer regional and remote/very remote areas</w:t>
            </w:r>
          </w:p>
          <w:p w14:paraId="48C8F309" w14:textId="3581E7AA" w:rsidR="00BF134E" w:rsidRPr="007162F2" w:rsidRDefault="00A96A18" w:rsidP="00BF134E">
            <w:pPr>
              <w:pStyle w:val="BoxListBullet"/>
              <w:keepLines/>
            </w:pPr>
            <w:r>
              <w:t>P</w:t>
            </w:r>
            <w:r w:rsidR="00BF134E" w:rsidRPr="007162F2">
              <w:t>eople identified as Aboriginal and Torres Strait Islander Australians</w:t>
            </w:r>
          </w:p>
          <w:p w14:paraId="60208E56" w14:textId="4CA2CEE4" w:rsidR="00BF134E" w:rsidRPr="007162F2" w:rsidRDefault="00A96A18" w:rsidP="00BF134E">
            <w:pPr>
              <w:pStyle w:val="BoxListBullet"/>
              <w:keepLines/>
            </w:pPr>
            <w:r>
              <w:t>P</w:t>
            </w:r>
            <w:r w:rsidR="00BF134E" w:rsidRPr="007162F2">
              <w:t>eople</w:t>
            </w:r>
            <w:r w:rsidR="003C4DB4">
              <w:t xml:space="preserve"> </w:t>
            </w:r>
            <w:r w:rsidR="003C4DB4" w:rsidRPr="00EE24D3">
              <w:t xml:space="preserve">from </w:t>
            </w:r>
            <w:r w:rsidR="00EF2700" w:rsidRPr="00EE24D3">
              <w:t>cultur</w:t>
            </w:r>
            <w:r w:rsidR="003C4DB4" w:rsidRPr="00EE24D3">
              <w:t>ally and linguistically diverse backgrounds (defined as people</w:t>
            </w:r>
            <w:r w:rsidR="003C4DB4">
              <w:t xml:space="preserve"> </w:t>
            </w:r>
            <w:r w:rsidR="003C4DB4" w:rsidRPr="007162F2">
              <w:t>who were born in a non</w:t>
            </w:r>
            <w:r w:rsidR="003C4DB4" w:rsidRPr="007162F2">
              <w:noBreakHyphen/>
              <w:t>English speaking country</w:t>
            </w:r>
            <w:r w:rsidR="003C4DB4">
              <w:t>)</w:t>
            </w:r>
            <w:r>
              <w:t>.</w:t>
            </w:r>
          </w:p>
          <w:p w14:paraId="5C0172ED" w14:textId="2FC75382" w:rsidR="00375C65" w:rsidRPr="007162F2" w:rsidRDefault="00BF134E" w:rsidP="00BF134E">
            <w:pPr>
              <w:pStyle w:val="Box"/>
            </w:pPr>
            <w:r w:rsidRPr="007162F2">
              <w:t xml:space="preserve">Data are reported for accommodation support, community support, community access and employment services. </w:t>
            </w:r>
            <w:r w:rsidR="00375C65" w:rsidRPr="007162F2">
              <w:t>D</w:t>
            </w:r>
            <w:r w:rsidR="00C92F05">
              <w:t>ata per 1000 population are also</w:t>
            </w:r>
            <w:r w:rsidR="00375C65" w:rsidRPr="007162F2">
              <w:t xml:space="preserve"> in tables</w:t>
            </w:r>
            <w:r w:rsidR="004514F4">
              <w:t> </w:t>
            </w:r>
            <w:r w:rsidR="00375C65" w:rsidRPr="007162F2">
              <w:t>15A.</w:t>
            </w:r>
            <w:r w:rsidR="002B2B09">
              <w:t>23</w:t>
            </w:r>
            <w:r w:rsidR="00375C65" w:rsidRPr="007162F2">
              <w:t>–</w:t>
            </w:r>
            <w:r w:rsidR="00790AF5">
              <w:t>32 and 15A.36</w:t>
            </w:r>
            <w:r w:rsidR="00E1573D" w:rsidRPr="007162F2">
              <w:t>–</w:t>
            </w:r>
            <w:r w:rsidR="00790AF5">
              <w:t>40.</w:t>
            </w:r>
          </w:p>
          <w:p w14:paraId="02A45EB0" w14:textId="57A0DF30" w:rsidR="00D67A3B" w:rsidRPr="00C92F05" w:rsidRDefault="00BF134E" w:rsidP="00C92F05">
            <w:pPr>
              <w:pStyle w:val="Box"/>
              <w:rPr>
                <w:color w:val="808080" w:themeColor="background1" w:themeShade="80"/>
              </w:rPr>
            </w:pPr>
            <w:r w:rsidRPr="007162F2">
              <w:t xml:space="preserve">While a lower proportion within the special needs group relative to outside the special needs group can indicate reduced access, it can also represent strong alternative informal support networks (and a consequent lower level of otherwise unmet need), or a lower tendency of people in a special needs group to choose to access NDA specialist disability services. Similarly, a higher proportion can suggest poor service targeting, the lack of alternative informal support networks or a greater tendency of people in a special needs group to choose to access NDA specialist disability services. </w:t>
            </w:r>
          </w:p>
        </w:tc>
      </w:tr>
      <w:tr w:rsidR="00C92F05" w:rsidRPr="007162F2" w14:paraId="43F90398" w14:textId="77777777" w:rsidTr="00925FEC">
        <w:tc>
          <w:tcPr>
            <w:tcW w:w="8789" w:type="dxa"/>
            <w:tcBorders>
              <w:top w:val="nil"/>
              <w:left w:val="nil"/>
              <w:bottom w:val="nil"/>
              <w:right w:val="nil"/>
            </w:tcBorders>
            <w:shd w:val="clear" w:color="auto" w:fill="F2F2F2"/>
          </w:tcPr>
          <w:p w14:paraId="4308CEF9" w14:textId="7C6ECBB9" w:rsidR="00C92F05" w:rsidRPr="00925FEC" w:rsidRDefault="00925FEC" w:rsidP="00C92F05">
            <w:pPr>
              <w:pStyle w:val="Box"/>
              <w:jc w:val="right"/>
              <w:rPr>
                <w:sz w:val="18"/>
                <w:szCs w:val="18"/>
              </w:rPr>
            </w:pPr>
            <w:r w:rsidRPr="00925FEC">
              <w:rPr>
                <w:sz w:val="18"/>
                <w:szCs w:val="18"/>
              </w:rPr>
              <w:t>(c</w:t>
            </w:r>
            <w:r w:rsidR="00C92F05" w:rsidRPr="00925FEC">
              <w:rPr>
                <w:sz w:val="18"/>
                <w:szCs w:val="18"/>
              </w:rPr>
              <w:t>ontinued next page)</w:t>
            </w:r>
          </w:p>
        </w:tc>
      </w:tr>
      <w:tr w:rsidR="00BF134E" w:rsidRPr="007162F2" w14:paraId="488053B6" w14:textId="77777777" w:rsidTr="00925FEC">
        <w:tc>
          <w:tcPr>
            <w:tcW w:w="8789" w:type="dxa"/>
            <w:tcBorders>
              <w:top w:val="nil"/>
              <w:left w:val="nil"/>
              <w:bottom w:val="single" w:sz="6" w:space="0" w:color="78A22F"/>
              <w:right w:val="nil"/>
            </w:tcBorders>
            <w:shd w:val="clear" w:color="auto" w:fill="F2F2F2"/>
          </w:tcPr>
          <w:p w14:paraId="53358D73" w14:textId="77777777" w:rsidR="00BF134E" w:rsidRPr="007162F2" w:rsidRDefault="00BF134E">
            <w:pPr>
              <w:pStyle w:val="Box"/>
              <w:spacing w:before="0" w:line="120" w:lineRule="exact"/>
            </w:pPr>
          </w:p>
        </w:tc>
      </w:tr>
      <w:tr w:rsidR="00BF134E" w:rsidRPr="007162F2" w14:paraId="05330D7F" w14:textId="77777777" w:rsidTr="00925FEC">
        <w:tc>
          <w:tcPr>
            <w:tcW w:w="8789" w:type="dxa"/>
            <w:tcBorders>
              <w:top w:val="single" w:sz="6" w:space="0" w:color="78A22F"/>
              <w:left w:val="nil"/>
              <w:bottom w:val="nil"/>
              <w:right w:val="nil"/>
            </w:tcBorders>
          </w:tcPr>
          <w:p w14:paraId="7E184C46" w14:textId="325FD4B0" w:rsidR="00BF134E" w:rsidRPr="007162F2" w:rsidRDefault="00BF134E" w:rsidP="00F979BC">
            <w:pPr>
              <w:pStyle w:val="BoxSpaceBelow"/>
            </w:pPr>
          </w:p>
        </w:tc>
      </w:tr>
    </w:tbl>
    <w:p w14:paraId="46D5F1FA" w14:textId="248577A0" w:rsidR="00C92F05" w:rsidRDefault="00C92F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92F05" w14:paraId="532ED9D6" w14:textId="77777777" w:rsidTr="00925FEC">
        <w:trPr>
          <w:tblHeader/>
        </w:trPr>
        <w:tc>
          <w:tcPr>
            <w:tcW w:w="5000" w:type="pct"/>
            <w:tcBorders>
              <w:top w:val="single" w:sz="6" w:space="0" w:color="78A22F"/>
              <w:left w:val="nil"/>
              <w:bottom w:val="nil"/>
              <w:right w:val="nil"/>
            </w:tcBorders>
            <w:shd w:val="clear" w:color="auto" w:fill="F2F2F2"/>
          </w:tcPr>
          <w:p w14:paraId="18B0D6D8" w14:textId="0C57705F" w:rsidR="00C92F05" w:rsidRPr="00C92F05" w:rsidRDefault="00C92F05" w:rsidP="00C92F05">
            <w:pPr>
              <w:pStyle w:val="BoxTitle"/>
              <w:rPr>
                <w:b w:val="0"/>
                <w:sz w:val="20"/>
                <w:szCs w:val="20"/>
              </w:rPr>
            </w:pPr>
            <w:r>
              <w:rPr>
                <w:b w:val="0"/>
              </w:rPr>
              <w:t>Box 15.2</w:t>
            </w:r>
            <w:r>
              <w:tab/>
            </w:r>
            <w:r w:rsidRPr="00925FEC">
              <w:rPr>
                <w:b w:val="0"/>
                <w:sz w:val="18"/>
                <w:szCs w:val="18"/>
              </w:rPr>
              <w:t>(continued)</w:t>
            </w:r>
          </w:p>
        </w:tc>
      </w:tr>
      <w:tr w:rsidR="00C92F05" w14:paraId="70F81572" w14:textId="77777777" w:rsidTr="00925FEC">
        <w:tc>
          <w:tcPr>
            <w:tcW w:w="5000" w:type="pct"/>
            <w:tcBorders>
              <w:top w:val="nil"/>
              <w:left w:val="nil"/>
              <w:bottom w:val="nil"/>
              <w:right w:val="nil"/>
            </w:tcBorders>
            <w:shd w:val="clear" w:color="auto" w:fill="F2F2F2"/>
          </w:tcPr>
          <w:p w14:paraId="47629187" w14:textId="77777777" w:rsidR="00C92F05" w:rsidRPr="007162F2" w:rsidRDefault="00C92F05" w:rsidP="00C92F05">
            <w:pPr>
              <w:pStyle w:val="Box"/>
            </w:pPr>
            <w:r w:rsidRPr="007162F2">
              <w:t>This indicator does</w:t>
            </w:r>
            <w:r w:rsidRPr="007162F2" w:rsidDel="00217352">
              <w:t xml:space="preserve"> </w:t>
            </w:r>
            <w:r w:rsidRPr="007162F2">
              <w:t xml:space="preserve">not provide information on whether the services were appropriate for the needs of the people receiving them, or correctly targeted </w:t>
            </w:r>
            <w:r w:rsidRPr="007162F2">
              <w:rPr>
                <w:rFonts w:cs="Arial"/>
                <w:szCs w:val="22"/>
              </w:rPr>
              <w:t>on the basis of relative need</w:t>
            </w:r>
            <w:r w:rsidRPr="007162F2">
              <w:t xml:space="preserve">. The indicator does not take into account differences in the level of informal assistance that is available for people in special needs groups and outside the special needs groups. </w:t>
            </w:r>
          </w:p>
          <w:p w14:paraId="2B75CBD9" w14:textId="77777777" w:rsidR="00C92F05" w:rsidRPr="007162F2" w:rsidRDefault="00C92F05" w:rsidP="00C92F05">
            <w:pPr>
              <w:pStyle w:val="Box"/>
            </w:pPr>
            <w:r w:rsidRPr="007162F2">
              <w:t>Data reported for these measures are:</w:t>
            </w:r>
          </w:p>
          <w:p w14:paraId="611A1B92" w14:textId="77777777" w:rsidR="00C92F05" w:rsidRPr="007162F2" w:rsidRDefault="00C92F05" w:rsidP="00C92F05">
            <w:pPr>
              <w:pStyle w:val="BoxListBullet"/>
              <w:keepLines/>
            </w:pPr>
            <w:r w:rsidRPr="007162F2">
              <w:t xml:space="preserve">comparable (subject to caveats) across jurisdictions and over time </w:t>
            </w:r>
          </w:p>
          <w:p w14:paraId="41A0A4C7" w14:textId="4A06AA0E" w:rsidR="00C92F05" w:rsidRDefault="00C92F05" w:rsidP="00C92F05">
            <w:pPr>
              <w:pStyle w:val="BoxListBullet"/>
            </w:pPr>
            <w:r>
              <w:t xml:space="preserve">not </w:t>
            </w:r>
            <w:r w:rsidRPr="007162F2">
              <w:t>complete (subject to caveats) for the current rep</w:t>
            </w:r>
            <w:r>
              <w:t>orting period. Service use data were not available for the ACT for 2015</w:t>
            </w:r>
            <w:r w:rsidR="00665EFA">
              <w:noBreakHyphen/>
            </w:r>
            <w:r>
              <w:t>16 with the exception of employment services</w:t>
            </w:r>
            <w:r w:rsidRPr="007162F2">
              <w:t>.</w:t>
            </w:r>
          </w:p>
          <w:p w14:paraId="4767B784" w14:textId="4ADE3FFB" w:rsidR="00C92F05" w:rsidRDefault="00C92F05" w:rsidP="00C92F05">
            <w:pPr>
              <w:pStyle w:val="Box"/>
            </w:pPr>
            <w:r>
              <w:t>Data on service access by special needs groups for people supported through the NDIS are under development.</w:t>
            </w:r>
          </w:p>
        </w:tc>
      </w:tr>
      <w:tr w:rsidR="00C92F05" w14:paraId="2BC9EB37" w14:textId="77777777" w:rsidTr="00925FEC">
        <w:tc>
          <w:tcPr>
            <w:tcW w:w="5000" w:type="pct"/>
            <w:tcBorders>
              <w:top w:val="nil"/>
              <w:left w:val="nil"/>
              <w:bottom w:val="single" w:sz="6" w:space="0" w:color="78A22F"/>
              <w:right w:val="nil"/>
            </w:tcBorders>
            <w:shd w:val="clear" w:color="auto" w:fill="F2F2F2"/>
          </w:tcPr>
          <w:p w14:paraId="5D9EAFC4" w14:textId="77777777" w:rsidR="00C92F05" w:rsidRDefault="00C92F05">
            <w:pPr>
              <w:pStyle w:val="Box"/>
              <w:spacing w:before="0" w:line="120" w:lineRule="exact"/>
            </w:pPr>
          </w:p>
        </w:tc>
      </w:tr>
      <w:tr w:rsidR="00C92F05" w:rsidRPr="000863A5" w14:paraId="588AF306" w14:textId="77777777" w:rsidTr="00925FEC">
        <w:tc>
          <w:tcPr>
            <w:tcW w:w="5000" w:type="pct"/>
            <w:tcBorders>
              <w:top w:val="single" w:sz="6" w:space="0" w:color="78A22F"/>
              <w:left w:val="nil"/>
              <w:bottom w:val="nil"/>
              <w:right w:val="nil"/>
            </w:tcBorders>
          </w:tcPr>
          <w:p w14:paraId="7C515DDD" w14:textId="2F4B0B85" w:rsidR="00C92F05" w:rsidRPr="00626D32" w:rsidRDefault="00C92F05" w:rsidP="008B4920">
            <w:pPr>
              <w:pStyle w:val="BoxSpaceBelow"/>
            </w:pPr>
          </w:p>
        </w:tc>
      </w:tr>
    </w:tbl>
    <w:p w14:paraId="1299828D" w14:textId="77777777" w:rsidR="00BF134E" w:rsidRPr="007162F2" w:rsidRDefault="00BF134E" w:rsidP="00BF134E">
      <w:pPr>
        <w:pStyle w:val="Heading5"/>
      </w:pPr>
      <w:r w:rsidRPr="007162F2">
        <w:t>Service use by special needs groups — people in outer regional and remote/very remote areas</w:t>
      </w:r>
    </w:p>
    <w:p w14:paraId="263224A7" w14:textId="56523D50" w:rsidR="00BF134E" w:rsidRPr="007162F2" w:rsidRDefault="00BE61F3" w:rsidP="00BF134E">
      <w:pPr>
        <w:pStyle w:val="BodyText"/>
      </w:pPr>
      <w:r>
        <w:t>Nationally in 2015</w:t>
      </w:r>
      <w:r w:rsidR="004514F4">
        <w:noBreakHyphen/>
      </w:r>
      <w:r>
        <w:t>16</w:t>
      </w:r>
      <w:r w:rsidR="00BF134E" w:rsidRPr="007162F2">
        <w:t xml:space="preserve">, the proportion of the </w:t>
      </w:r>
      <w:r w:rsidR="00D460D3" w:rsidRPr="007162F2">
        <w:t xml:space="preserve">potential population in </w:t>
      </w:r>
      <w:r w:rsidR="00BF134E" w:rsidRPr="007162F2">
        <w:t xml:space="preserve">outer regional and remote/very remote </w:t>
      </w:r>
      <w:r w:rsidR="004B2E4A">
        <w:t>areas</w:t>
      </w:r>
      <w:r w:rsidR="00BF134E" w:rsidRPr="007162F2">
        <w:t xml:space="preserve"> who used NDA services </w:t>
      </w:r>
      <w:r w:rsidR="00BF134E" w:rsidRPr="00342AFB">
        <w:t>was lower</w:t>
      </w:r>
      <w:r w:rsidR="00BF134E" w:rsidRPr="007162F2">
        <w:t xml:space="preserve"> than the proportion </w:t>
      </w:r>
      <w:r w:rsidR="00D460D3" w:rsidRPr="007162F2">
        <w:t>in</w:t>
      </w:r>
      <w:r w:rsidR="00BF134E" w:rsidRPr="007162F2">
        <w:t xml:space="preserve"> major cities/inner regional population</w:t>
      </w:r>
      <w:r w:rsidR="006C471A" w:rsidRPr="007162F2">
        <w:t xml:space="preserve"> for accommodation support, community support</w:t>
      </w:r>
      <w:r w:rsidR="00C92F05">
        <w:t xml:space="preserve">, </w:t>
      </w:r>
      <w:r w:rsidR="006C471A" w:rsidRPr="007162F2">
        <w:t>community access</w:t>
      </w:r>
      <w:r w:rsidR="00C92F05">
        <w:t xml:space="preserve"> and respite</w:t>
      </w:r>
      <w:r w:rsidR="006C471A" w:rsidRPr="007162F2">
        <w:t xml:space="preserve"> services (figure</w:t>
      </w:r>
      <w:r w:rsidR="004514F4">
        <w:t> </w:t>
      </w:r>
      <w:r w:rsidR="003C2134" w:rsidRPr="007162F2">
        <w:t>15.3</w:t>
      </w:r>
      <w:r w:rsidR="006C471A" w:rsidRPr="007162F2">
        <w:t>).</w:t>
      </w:r>
    </w:p>
    <w:p w14:paraId="6CB4F4CE" w14:textId="216F2367" w:rsidR="00BF134E" w:rsidRPr="007162F2" w:rsidRDefault="00BF134E"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788428A7" w14:textId="77777777" w:rsidTr="00925FEC">
        <w:trPr>
          <w:tblHeader/>
        </w:trPr>
        <w:tc>
          <w:tcPr>
            <w:tcW w:w="8789" w:type="dxa"/>
            <w:tcBorders>
              <w:top w:val="single" w:sz="6" w:space="0" w:color="78A22F"/>
              <w:left w:val="nil"/>
              <w:bottom w:val="nil"/>
              <w:right w:val="nil"/>
            </w:tcBorders>
            <w:shd w:val="clear" w:color="auto" w:fill="auto"/>
          </w:tcPr>
          <w:p w14:paraId="75207061" w14:textId="02256321" w:rsidR="00BF134E" w:rsidRPr="007162F2" w:rsidRDefault="00BF134E" w:rsidP="000B30F1">
            <w:pPr>
              <w:pStyle w:val="FigureTitle"/>
            </w:pPr>
            <w:r w:rsidRPr="007162F2">
              <w:rPr>
                <w:b w:val="0"/>
              </w:rPr>
              <w:t xml:space="preserve">Figure </w:t>
            </w:r>
            <w:bookmarkStart w:id="10" w:name="OLE_LINK5"/>
            <w:r w:rsidRPr="007162F2">
              <w:rPr>
                <w:b w:val="0"/>
              </w:rPr>
              <w:t>15.</w:t>
            </w:r>
            <w:r w:rsidR="00C37B05">
              <w:rPr>
                <w:b w:val="0"/>
                <w:noProof/>
              </w:rPr>
              <w:t>3</w:t>
            </w:r>
            <w:bookmarkEnd w:id="10"/>
            <w:r w:rsidRPr="007162F2">
              <w:tab/>
              <w:t xml:space="preserve">Users of NDA specialist disability services, </w:t>
            </w:r>
            <w:r w:rsidR="00680D74">
              <w:t>by geographic location, 2015</w:t>
            </w:r>
            <w:r w:rsidR="00680D74">
              <w:noBreakHyphen/>
              <w:t>16</w:t>
            </w:r>
            <w:r w:rsidR="00FF08A1" w:rsidRPr="007162F2">
              <w:rPr>
                <w:rStyle w:val="NoteLabel"/>
                <w:b/>
              </w:rPr>
              <w:t>a, b</w:t>
            </w:r>
            <w:r w:rsidR="00680D74">
              <w:rPr>
                <w:rStyle w:val="NoteLabel"/>
                <w:b/>
              </w:rPr>
              <w:t>, c</w:t>
            </w:r>
          </w:p>
        </w:tc>
      </w:tr>
      <w:tr w:rsidR="00BF134E" w:rsidRPr="007162F2" w14:paraId="77EDF74B"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F134E" w:rsidRPr="007162F2" w14:paraId="2D48BF27" w14:textId="77777777" w:rsidTr="00F979BC">
              <w:trPr>
                <w:tblHeader/>
                <w:jc w:val="center"/>
              </w:trPr>
              <w:tc>
                <w:tcPr>
                  <w:tcW w:w="5000" w:type="pct"/>
                  <w:tcBorders>
                    <w:top w:val="nil"/>
                    <w:bottom w:val="nil"/>
                  </w:tcBorders>
                </w:tcPr>
                <w:p w14:paraId="011892C5" w14:textId="34AFE9EE" w:rsidR="00892B64" w:rsidRDefault="0037621B" w:rsidP="004514F4">
                  <w:pPr>
                    <w:pStyle w:val="Figure"/>
                    <w:rPr>
                      <w:noProof/>
                    </w:rPr>
                  </w:pPr>
                  <w:r>
                    <w:rPr>
                      <w:noProof/>
                    </w:rPr>
                    <w:drawing>
                      <wp:inline distT="0" distB="0" distL="0" distR="0" wp14:anchorId="63021713" wp14:editId="297BDBF5">
                        <wp:extent cx="2496820" cy="2159635"/>
                        <wp:effectExtent l="0" t="0" r="0" b="0"/>
                        <wp:docPr id="11" name="Picture 11" descr="(a) Accommodation support&#10;&#10;More details can be found within the text surrounding this image. " title="Figure 15.3 Users of NDA specialist disability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820" cy="2159635"/>
                                </a:xfrm>
                                <a:prstGeom prst="rect">
                                  <a:avLst/>
                                </a:prstGeom>
                                <a:noFill/>
                                <a:ln>
                                  <a:noFill/>
                                </a:ln>
                              </pic:spPr>
                            </pic:pic>
                          </a:graphicData>
                        </a:graphic>
                      </wp:inline>
                    </w:drawing>
                  </w:r>
                  <w:r>
                    <w:rPr>
                      <w:noProof/>
                    </w:rPr>
                    <w:drawing>
                      <wp:inline distT="0" distB="0" distL="0" distR="0" wp14:anchorId="0FC7B324" wp14:editId="2F5DFA15">
                        <wp:extent cx="2496820" cy="2171700"/>
                        <wp:effectExtent l="0" t="0" r="0" b="0"/>
                        <wp:docPr id="12" name="Picture 12" descr="(b) Community support&#10;&#10;More details can be found within the text surrounding this image. " title="Figure 15.3 Users of NDA specialist disability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820" cy="2171700"/>
                                </a:xfrm>
                                <a:prstGeom prst="rect">
                                  <a:avLst/>
                                </a:prstGeom>
                                <a:noFill/>
                                <a:ln>
                                  <a:noFill/>
                                </a:ln>
                              </pic:spPr>
                            </pic:pic>
                          </a:graphicData>
                        </a:graphic>
                      </wp:inline>
                    </w:drawing>
                  </w:r>
                </w:p>
                <w:p w14:paraId="72E0838A" w14:textId="778C836D" w:rsidR="00680D74" w:rsidRPr="004514F4" w:rsidRDefault="0037621B" w:rsidP="004514F4">
                  <w:pPr>
                    <w:pStyle w:val="Figure"/>
                  </w:pPr>
                  <w:r>
                    <w:rPr>
                      <w:noProof/>
                    </w:rPr>
                    <w:drawing>
                      <wp:inline distT="0" distB="0" distL="0" distR="0" wp14:anchorId="23CA9EAD" wp14:editId="7D014B46">
                        <wp:extent cx="2496820" cy="2237740"/>
                        <wp:effectExtent l="0" t="0" r="0" b="0"/>
                        <wp:docPr id="13" name="Picture 13" descr="(c) Community access&#10;&#10;More details can be found within the text surrounding this image. " title="Figure 15.3 Users of NDA specialist disability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820" cy="2237740"/>
                                </a:xfrm>
                                <a:prstGeom prst="rect">
                                  <a:avLst/>
                                </a:prstGeom>
                                <a:noFill/>
                                <a:ln>
                                  <a:noFill/>
                                </a:ln>
                              </pic:spPr>
                            </pic:pic>
                          </a:graphicData>
                        </a:graphic>
                      </wp:inline>
                    </w:drawing>
                  </w:r>
                  <w:r>
                    <w:rPr>
                      <w:noProof/>
                    </w:rPr>
                    <w:drawing>
                      <wp:inline distT="0" distB="0" distL="0" distR="0" wp14:anchorId="009C21CD" wp14:editId="7A314F86">
                        <wp:extent cx="2514600" cy="2237740"/>
                        <wp:effectExtent l="0" t="0" r="0" b="0"/>
                        <wp:docPr id="15" name="Picture 15" descr="(d) Respite&#10;&#10;More details can be found within the text surrounding this image. " title="Figure 15.3 Users of NDA specialist disability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2237740"/>
                                </a:xfrm>
                                <a:prstGeom prst="rect">
                                  <a:avLst/>
                                </a:prstGeom>
                                <a:noFill/>
                                <a:ln>
                                  <a:noFill/>
                                </a:ln>
                              </pic:spPr>
                            </pic:pic>
                          </a:graphicData>
                        </a:graphic>
                      </wp:inline>
                    </w:drawing>
                  </w:r>
                </w:p>
                <w:p w14:paraId="26C34C09" w14:textId="021D9D19" w:rsidR="004B5386" w:rsidRPr="004514F4" w:rsidRDefault="0001094D" w:rsidP="004514F4">
                  <w:pPr>
                    <w:pStyle w:val="Figure"/>
                  </w:pPr>
                  <w:r>
                    <w:rPr>
                      <w:noProof/>
                    </w:rPr>
                    <w:drawing>
                      <wp:inline distT="0" distB="0" distL="0" distR="0" wp14:anchorId="41B536CA" wp14:editId="50007136">
                        <wp:extent cx="5415280" cy="368300"/>
                        <wp:effectExtent l="0" t="0" r="0" b="0"/>
                        <wp:docPr id="8" name="Picture 8" descr="Legend to Figure 15.3&#10;&#10;Blue: Major cities and inner regional&#10;Green: Outer regional and remote/very remote&#10;&#10;More details can be found within the text surrounding this image. " title="Figure 15.3 Users of NDA specialist disability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5280" cy="368300"/>
                                </a:xfrm>
                                <a:prstGeom prst="rect">
                                  <a:avLst/>
                                </a:prstGeom>
                                <a:noFill/>
                                <a:ln>
                                  <a:noFill/>
                                </a:ln>
                              </pic:spPr>
                            </pic:pic>
                          </a:graphicData>
                        </a:graphic>
                      </wp:inline>
                    </w:drawing>
                  </w:r>
                </w:p>
              </w:tc>
            </w:tr>
          </w:tbl>
          <w:p w14:paraId="5AD9FDE4" w14:textId="77777777" w:rsidR="00BF134E" w:rsidRPr="007162F2" w:rsidRDefault="00BF134E" w:rsidP="00F979BC">
            <w:pPr>
              <w:pStyle w:val="Figure"/>
            </w:pPr>
          </w:p>
        </w:tc>
      </w:tr>
      <w:tr w:rsidR="00BF134E" w:rsidRPr="007162F2" w14:paraId="2C071E27" w14:textId="77777777" w:rsidTr="00925FEC">
        <w:tc>
          <w:tcPr>
            <w:tcW w:w="8789" w:type="dxa"/>
            <w:tcBorders>
              <w:top w:val="nil"/>
              <w:left w:val="nil"/>
              <w:bottom w:val="nil"/>
              <w:right w:val="nil"/>
            </w:tcBorders>
            <w:shd w:val="clear" w:color="auto" w:fill="auto"/>
          </w:tcPr>
          <w:p w14:paraId="7F34EA22" w14:textId="124FE653" w:rsidR="00BF134E" w:rsidRPr="007162F2" w:rsidRDefault="00BF134E" w:rsidP="000B30F1">
            <w:pPr>
              <w:pStyle w:val="Note"/>
            </w:pPr>
            <w:r w:rsidRPr="007162F2">
              <w:rPr>
                <w:rStyle w:val="NoteLabel"/>
              </w:rPr>
              <w:t>a</w:t>
            </w:r>
            <w:r w:rsidRPr="007162F2">
              <w:t xml:space="preserve"> See box </w:t>
            </w:r>
            <w:r w:rsidR="003C2134" w:rsidRPr="007162F2">
              <w:t xml:space="preserve">15.2 </w:t>
            </w:r>
            <w:r w:rsidRPr="007162F2">
              <w:t>and tables 15A.</w:t>
            </w:r>
            <w:r w:rsidR="00EA53FA" w:rsidRPr="007162F2">
              <w:t>23</w:t>
            </w:r>
            <w:r w:rsidRPr="007162F2">
              <w:rPr>
                <w:rFonts w:cs="Arial"/>
              </w:rPr>
              <w:t>–</w:t>
            </w:r>
            <w:r w:rsidR="00EA53FA" w:rsidRPr="007162F2">
              <w:t>26</w:t>
            </w:r>
            <w:r w:rsidRPr="007162F2">
              <w:t xml:space="preserve"> for detailed definitions, footnotes and caveats </w:t>
            </w:r>
            <w:r w:rsidRPr="007162F2">
              <w:rPr>
                <w:rStyle w:val="NoteLabel"/>
              </w:rPr>
              <w:t>b </w:t>
            </w:r>
            <w:r w:rsidRPr="007162F2">
              <w:t>T</w:t>
            </w:r>
            <w:r w:rsidR="00680D74">
              <w:t>asmania does not have major cities. T</w:t>
            </w:r>
            <w:r w:rsidRPr="007162F2">
              <w:t>he ACT does not have outer regional or remote/very remote areas. Th</w:t>
            </w:r>
            <w:r w:rsidR="00FF08A1" w:rsidRPr="007162F2">
              <w:t xml:space="preserve">e NT does not have major cities/ </w:t>
            </w:r>
            <w:r w:rsidRPr="007162F2">
              <w:t xml:space="preserve">inner regional areas. </w:t>
            </w:r>
            <w:r w:rsidR="00680D74" w:rsidRPr="00680D74">
              <w:rPr>
                <w:rStyle w:val="NoteLabel"/>
              </w:rPr>
              <w:t xml:space="preserve">c </w:t>
            </w:r>
            <w:r w:rsidR="00680D74">
              <w:t>Data are not available for the ACT for 2015</w:t>
            </w:r>
            <w:r w:rsidR="00665EFA">
              <w:noBreakHyphen/>
            </w:r>
            <w:r w:rsidR="00680D74">
              <w:t>16.</w:t>
            </w:r>
            <w:r w:rsidR="003C133E">
              <w:t xml:space="preserve"> Australian totals exclude ACT</w:t>
            </w:r>
            <w:r w:rsidR="00ED5549">
              <w:t xml:space="preserve"> service users</w:t>
            </w:r>
            <w:r w:rsidR="003C133E">
              <w:t>.</w:t>
            </w:r>
            <w:r w:rsidR="00C92F05">
              <w:t xml:space="preserve"> </w:t>
            </w:r>
          </w:p>
        </w:tc>
      </w:tr>
      <w:tr w:rsidR="008156B7" w:rsidRPr="007162F2" w14:paraId="692BF6FD" w14:textId="77777777" w:rsidTr="00925FEC">
        <w:tc>
          <w:tcPr>
            <w:tcW w:w="8789" w:type="dxa"/>
            <w:tcBorders>
              <w:top w:val="nil"/>
              <w:left w:val="nil"/>
              <w:bottom w:val="nil"/>
              <w:right w:val="nil"/>
            </w:tcBorders>
            <w:shd w:val="clear" w:color="auto" w:fill="auto"/>
          </w:tcPr>
          <w:p w14:paraId="281C8520" w14:textId="5525DA24" w:rsidR="008156B7" w:rsidRPr="007162F2" w:rsidRDefault="008156B7" w:rsidP="005A2273">
            <w:pPr>
              <w:pStyle w:val="Source"/>
            </w:pPr>
            <w:r w:rsidRPr="007162F2">
              <w:rPr>
                <w:i/>
              </w:rPr>
              <w:t>Source</w:t>
            </w:r>
            <w:r w:rsidRPr="007162F2">
              <w:t xml:space="preserve">: </w:t>
            </w:r>
            <w:r w:rsidR="00440974" w:rsidRPr="007162F2">
              <w:t>AIHW (unpublished) DS NMDS; AIHW (unpublished), AIHW analysis of the ABS June ERP, ABS Census of Population and Housing an</w:t>
            </w:r>
            <w:r w:rsidR="00AA54E2" w:rsidRPr="007162F2">
              <w:t>d the ABS SDAC; tables</w:t>
            </w:r>
            <w:r w:rsidR="004514F4">
              <w:t> </w:t>
            </w:r>
            <w:r w:rsidR="00AA54E2" w:rsidRPr="007162F2">
              <w:t>1</w:t>
            </w:r>
            <w:r w:rsidR="005A2273" w:rsidRPr="007162F2">
              <w:t>5</w:t>
            </w:r>
            <w:r w:rsidR="00AA54E2" w:rsidRPr="007162F2">
              <w:t>A.</w:t>
            </w:r>
            <w:r w:rsidR="00EA53FA" w:rsidRPr="007162F2">
              <w:t>23</w:t>
            </w:r>
            <w:r w:rsidR="00EA53FA" w:rsidRPr="007162F2">
              <w:rPr>
                <w:rFonts w:cs="Arial"/>
              </w:rPr>
              <w:t>–</w:t>
            </w:r>
            <w:r w:rsidR="00EA53FA" w:rsidRPr="007162F2">
              <w:t>26</w:t>
            </w:r>
            <w:r w:rsidR="00440974" w:rsidRPr="007162F2">
              <w:t>.</w:t>
            </w:r>
          </w:p>
        </w:tc>
      </w:tr>
      <w:tr w:rsidR="00BF134E" w:rsidRPr="007162F2" w14:paraId="1804D08B" w14:textId="77777777" w:rsidTr="00925FEC">
        <w:tc>
          <w:tcPr>
            <w:tcW w:w="8789" w:type="dxa"/>
            <w:tcBorders>
              <w:top w:val="nil"/>
              <w:left w:val="nil"/>
              <w:bottom w:val="single" w:sz="6" w:space="0" w:color="78A22F"/>
              <w:right w:val="nil"/>
            </w:tcBorders>
            <w:shd w:val="clear" w:color="auto" w:fill="auto"/>
          </w:tcPr>
          <w:p w14:paraId="56AF23FF" w14:textId="77777777" w:rsidR="00BF134E" w:rsidRPr="007162F2" w:rsidRDefault="00BF134E" w:rsidP="00F979BC">
            <w:pPr>
              <w:pStyle w:val="Figurespace"/>
            </w:pPr>
          </w:p>
        </w:tc>
      </w:tr>
      <w:tr w:rsidR="00BF134E" w:rsidRPr="007162F2" w14:paraId="0E284A70" w14:textId="77777777" w:rsidTr="00925FEC">
        <w:tc>
          <w:tcPr>
            <w:tcW w:w="8789" w:type="dxa"/>
            <w:tcBorders>
              <w:top w:val="single" w:sz="6" w:space="0" w:color="78A22F"/>
              <w:left w:val="nil"/>
              <w:bottom w:val="nil"/>
              <w:right w:val="nil"/>
            </w:tcBorders>
          </w:tcPr>
          <w:p w14:paraId="0BC13559" w14:textId="3FADFA7D" w:rsidR="00BF134E" w:rsidRPr="007162F2" w:rsidRDefault="00BF134E" w:rsidP="00F979BC">
            <w:pPr>
              <w:pStyle w:val="BoxSpaceBelow"/>
            </w:pPr>
          </w:p>
        </w:tc>
      </w:tr>
    </w:tbl>
    <w:p w14:paraId="3ABC5985" w14:textId="5EF56F74" w:rsidR="00E82784" w:rsidRPr="00ED07C4" w:rsidRDefault="00BE61F3" w:rsidP="000E717A">
      <w:pPr>
        <w:pStyle w:val="BodyText"/>
        <w:rPr>
          <w:b/>
        </w:rPr>
      </w:pPr>
      <w:r>
        <w:t>Nationally in 2015</w:t>
      </w:r>
      <w:r w:rsidRPr="00ED07C4">
        <w:noBreakHyphen/>
        <w:t>16</w:t>
      </w:r>
      <w:r w:rsidR="000E717A" w:rsidRPr="00ED07C4">
        <w:t xml:space="preserve">, the proportion of the </w:t>
      </w:r>
      <w:r w:rsidR="00D460D3" w:rsidRPr="00ED07C4">
        <w:t xml:space="preserve">potential population in </w:t>
      </w:r>
      <w:r w:rsidR="000E717A" w:rsidRPr="00ED07C4">
        <w:t xml:space="preserve">outer regional and remote/very remote </w:t>
      </w:r>
      <w:r w:rsidR="00D460D3" w:rsidRPr="00ED07C4">
        <w:t>areas</w:t>
      </w:r>
      <w:r w:rsidR="000E717A" w:rsidRPr="00ED07C4">
        <w:t xml:space="preserve"> who used NDA employment services (</w:t>
      </w:r>
      <w:r w:rsidR="00ED07C4" w:rsidRPr="00ED07C4">
        <w:t>429.1</w:t>
      </w:r>
      <w:r w:rsidR="000E717A" w:rsidRPr="00ED07C4">
        <w:t xml:space="preserve"> service users per 1000 potential population) was lower than that </w:t>
      </w:r>
      <w:r w:rsidR="00D460D3" w:rsidRPr="00ED07C4">
        <w:t>for</w:t>
      </w:r>
      <w:r w:rsidR="000E717A" w:rsidRPr="00ED07C4">
        <w:t xml:space="preserve"> major cities and inner regional </w:t>
      </w:r>
      <w:r w:rsidR="00D460D3" w:rsidRPr="00ED07C4">
        <w:t>areas</w:t>
      </w:r>
      <w:r w:rsidR="000E717A" w:rsidRPr="00ED07C4">
        <w:t xml:space="preserve"> (</w:t>
      </w:r>
      <w:r w:rsidR="00ED07C4" w:rsidRPr="00ED07C4">
        <w:t>488.4</w:t>
      </w:r>
      <w:r w:rsidRPr="00ED07C4">
        <w:t xml:space="preserve"> </w:t>
      </w:r>
      <w:r w:rsidR="000E717A" w:rsidRPr="00ED07C4">
        <w:t>service users per 1000 potential population) (figure </w:t>
      </w:r>
      <w:r w:rsidR="003C2134" w:rsidRPr="00ED07C4">
        <w:t>15.4</w:t>
      </w:r>
      <w:r w:rsidR="000E717A" w:rsidRPr="00ED07C4">
        <w:t>).</w:t>
      </w:r>
    </w:p>
    <w:p w14:paraId="66C30AF2" w14:textId="106F5F9C" w:rsidR="000E717A" w:rsidRPr="007162F2" w:rsidRDefault="000E717A"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717A" w:rsidRPr="007162F2" w14:paraId="6D8E75D9" w14:textId="77777777" w:rsidTr="00925FEC">
        <w:trPr>
          <w:tblHeader/>
        </w:trPr>
        <w:tc>
          <w:tcPr>
            <w:tcW w:w="8789" w:type="dxa"/>
            <w:tcBorders>
              <w:top w:val="single" w:sz="6" w:space="0" w:color="78A22F"/>
              <w:left w:val="nil"/>
              <w:bottom w:val="nil"/>
              <w:right w:val="nil"/>
            </w:tcBorders>
            <w:shd w:val="clear" w:color="auto" w:fill="auto"/>
          </w:tcPr>
          <w:p w14:paraId="6387D8A1" w14:textId="6A689986" w:rsidR="000E717A" w:rsidRPr="007162F2" w:rsidRDefault="000E717A" w:rsidP="003C133E">
            <w:pPr>
              <w:pStyle w:val="FigureTitle"/>
            </w:pPr>
            <w:r w:rsidRPr="007162F2">
              <w:rPr>
                <w:b w:val="0"/>
              </w:rPr>
              <w:t xml:space="preserve">Figure </w:t>
            </w:r>
            <w:bookmarkStart w:id="11" w:name="OLE_LINK8"/>
            <w:r w:rsidRPr="007162F2">
              <w:rPr>
                <w:b w:val="0"/>
              </w:rPr>
              <w:t>15.</w:t>
            </w:r>
            <w:r w:rsidR="00C37B05">
              <w:rPr>
                <w:b w:val="0"/>
                <w:noProof/>
              </w:rPr>
              <w:t>4</w:t>
            </w:r>
            <w:bookmarkEnd w:id="11"/>
            <w:r w:rsidRPr="007162F2">
              <w:tab/>
              <w:t>Users of NDA employment service</w:t>
            </w:r>
            <w:r w:rsidR="00351BA0">
              <w:t>s, by geographic location, 2015</w:t>
            </w:r>
            <w:r w:rsidR="00351BA0">
              <w:noBreakHyphen/>
              <w:t>16</w:t>
            </w:r>
            <w:r w:rsidRPr="007162F2">
              <w:rPr>
                <w:rStyle w:val="NoteLabel"/>
                <w:b/>
              </w:rPr>
              <w:t>a, b</w:t>
            </w:r>
          </w:p>
        </w:tc>
      </w:tr>
      <w:tr w:rsidR="000E717A" w:rsidRPr="007162F2" w14:paraId="5BED6582"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E717A" w:rsidRPr="007162F2" w14:paraId="34ADC5C4" w14:textId="77777777" w:rsidTr="00F979BC">
              <w:trPr>
                <w:tblHeader/>
                <w:jc w:val="center"/>
              </w:trPr>
              <w:tc>
                <w:tcPr>
                  <w:tcW w:w="5000" w:type="pct"/>
                  <w:tcBorders>
                    <w:top w:val="nil"/>
                    <w:bottom w:val="nil"/>
                  </w:tcBorders>
                </w:tcPr>
                <w:p w14:paraId="0D4BEC1D" w14:textId="4848EEE4" w:rsidR="00427FAB"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A34BEBF" wp14:editId="1E66EF3D">
                        <wp:extent cx="5396230" cy="2875280"/>
                        <wp:effectExtent l="0" t="0" r="0" b="1270"/>
                        <wp:docPr id="16" name="Picture 16" descr="More details can be found within the text surrounding this image. " title="Figure 15.4 Users of NDA employment services, by geographic loc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6230" cy="2875280"/>
                                </a:xfrm>
                                <a:prstGeom prst="rect">
                                  <a:avLst/>
                                </a:prstGeom>
                                <a:noFill/>
                                <a:ln>
                                  <a:noFill/>
                                </a:ln>
                              </pic:spPr>
                            </pic:pic>
                          </a:graphicData>
                        </a:graphic>
                      </wp:inline>
                    </w:drawing>
                  </w:r>
                </w:p>
              </w:tc>
            </w:tr>
          </w:tbl>
          <w:p w14:paraId="0988B0A5" w14:textId="77777777" w:rsidR="000E717A" w:rsidRPr="007162F2" w:rsidRDefault="000E717A" w:rsidP="00F979BC">
            <w:pPr>
              <w:pStyle w:val="Figure"/>
            </w:pPr>
          </w:p>
        </w:tc>
      </w:tr>
      <w:tr w:rsidR="008156B7" w:rsidRPr="007162F2" w14:paraId="10B49115" w14:textId="77777777" w:rsidTr="00925FEC">
        <w:tc>
          <w:tcPr>
            <w:tcW w:w="8789" w:type="dxa"/>
            <w:tcBorders>
              <w:top w:val="nil"/>
              <w:left w:val="nil"/>
              <w:bottom w:val="nil"/>
              <w:right w:val="nil"/>
            </w:tcBorders>
            <w:shd w:val="clear" w:color="auto" w:fill="auto"/>
          </w:tcPr>
          <w:p w14:paraId="3D5C1594" w14:textId="7A2B0D71" w:rsidR="008156B7" w:rsidRPr="007162F2" w:rsidRDefault="008156B7" w:rsidP="00EA53FA">
            <w:pPr>
              <w:pStyle w:val="Note"/>
            </w:pPr>
            <w:r w:rsidRPr="007162F2">
              <w:rPr>
                <w:rStyle w:val="NoteLabel"/>
              </w:rPr>
              <w:t>a</w:t>
            </w:r>
            <w:r w:rsidRPr="007162F2">
              <w:t xml:space="preserve"> See box </w:t>
            </w:r>
            <w:r w:rsidR="003C2134" w:rsidRPr="007162F2">
              <w:t xml:space="preserve">15.2 </w:t>
            </w:r>
            <w:r w:rsidRPr="007162F2">
              <w:t>and table 15A.</w:t>
            </w:r>
            <w:r w:rsidR="00EA53FA" w:rsidRPr="007162F2">
              <w:t>27</w:t>
            </w:r>
            <w:r w:rsidRPr="007162F2">
              <w:t xml:space="preserve"> for detailed definitions, footnotes and caveats. </w:t>
            </w:r>
            <w:r w:rsidRPr="007162F2">
              <w:rPr>
                <w:rStyle w:val="NoteLabel"/>
              </w:rPr>
              <w:t xml:space="preserve">b </w:t>
            </w:r>
            <w:r w:rsidRPr="007162F2">
              <w:t>T</w:t>
            </w:r>
            <w:r w:rsidR="00AF24CC">
              <w:t>asmania does not have major cities. T</w:t>
            </w:r>
            <w:r w:rsidRPr="007162F2">
              <w:t xml:space="preserve">he ACT does not have outer regional and remote/very remote areas. The NT does not have major cities or inner regional areas. </w:t>
            </w:r>
          </w:p>
        </w:tc>
      </w:tr>
      <w:tr w:rsidR="000E717A" w:rsidRPr="007162F2" w14:paraId="646E7BE7" w14:textId="77777777" w:rsidTr="00925FEC">
        <w:tc>
          <w:tcPr>
            <w:tcW w:w="8789" w:type="dxa"/>
            <w:tcBorders>
              <w:top w:val="nil"/>
              <w:left w:val="nil"/>
              <w:bottom w:val="nil"/>
              <w:right w:val="nil"/>
            </w:tcBorders>
            <w:shd w:val="clear" w:color="auto" w:fill="auto"/>
          </w:tcPr>
          <w:p w14:paraId="7A2E7C96" w14:textId="77777777" w:rsidR="000E717A" w:rsidRPr="007162F2" w:rsidRDefault="008156B7" w:rsidP="00EA53FA">
            <w:pPr>
              <w:pStyle w:val="Note"/>
            </w:pPr>
            <w:r w:rsidRPr="007162F2">
              <w:rPr>
                <w:i/>
              </w:rPr>
              <w:t>Source</w:t>
            </w:r>
            <w:r w:rsidRPr="007162F2">
              <w:t>: AIHW (unpublished) DS NMDS 201</w:t>
            </w:r>
            <w:r w:rsidR="00624BD7" w:rsidRPr="007162F2">
              <w:t>4</w:t>
            </w:r>
            <w:r w:rsidRPr="007162F2">
              <w:noBreakHyphen/>
              <w:t>1</w:t>
            </w:r>
            <w:r w:rsidR="00624BD7" w:rsidRPr="007162F2">
              <w:t>5</w:t>
            </w:r>
            <w:r w:rsidRPr="007162F2">
              <w:t xml:space="preserve">; AIHW (unpublished), AIHW analysis of the ABS </w:t>
            </w:r>
            <w:r w:rsidR="00624BD7" w:rsidRPr="007162F2">
              <w:t xml:space="preserve">June </w:t>
            </w:r>
            <w:r w:rsidRPr="007162F2">
              <w:t>ERP, ABS Census of Population and Housing and the ABS SDAC; table 15A.</w:t>
            </w:r>
            <w:r w:rsidR="00EA53FA" w:rsidRPr="007162F2">
              <w:t>27</w:t>
            </w:r>
            <w:r w:rsidRPr="007162F2">
              <w:t>.</w:t>
            </w:r>
          </w:p>
        </w:tc>
      </w:tr>
      <w:tr w:rsidR="000E717A" w:rsidRPr="007162F2" w14:paraId="3B43083F" w14:textId="77777777" w:rsidTr="00925FEC">
        <w:tc>
          <w:tcPr>
            <w:tcW w:w="8789" w:type="dxa"/>
            <w:tcBorders>
              <w:top w:val="nil"/>
              <w:left w:val="nil"/>
              <w:bottom w:val="single" w:sz="6" w:space="0" w:color="78A22F"/>
              <w:right w:val="nil"/>
            </w:tcBorders>
            <w:shd w:val="clear" w:color="auto" w:fill="auto"/>
          </w:tcPr>
          <w:p w14:paraId="7D943F08" w14:textId="77777777" w:rsidR="000E717A" w:rsidRPr="007162F2" w:rsidRDefault="000E717A" w:rsidP="00F979BC">
            <w:pPr>
              <w:pStyle w:val="Figurespace"/>
            </w:pPr>
          </w:p>
        </w:tc>
      </w:tr>
      <w:tr w:rsidR="000E717A" w:rsidRPr="007162F2" w14:paraId="3EDACED4" w14:textId="77777777" w:rsidTr="00925FEC">
        <w:tc>
          <w:tcPr>
            <w:tcW w:w="8789" w:type="dxa"/>
            <w:tcBorders>
              <w:top w:val="single" w:sz="6" w:space="0" w:color="78A22F"/>
              <w:left w:val="nil"/>
              <w:bottom w:val="nil"/>
              <w:right w:val="nil"/>
            </w:tcBorders>
          </w:tcPr>
          <w:p w14:paraId="15A039EC" w14:textId="1BB3A11E" w:rsidR="000E717A" w:rsidRPr="007162F2" w:rsidRDefault="000E717A" w:rsidP="00F979BC">
            <w:pPr>
              <w:pStyle w:val="BoxSpaceBelow"/>
            </w:pPr>
          </w:p>
        </w:tc>
      </w:tr>
    </w:tbl>
    <w:p w14:paraId="6B3D686A" w14:textId="77777777" w:rsidR="008156B7" w:rsidRPr="007162F2" w:rsidRDefault="008156B7" w:rsidP="008156B7">
      <w:pPr>
        <w:pStyle w:val="Heading5"/>
      </w:pPr>
      <w:r w:rsidRPr="007162F2">
        <w:t>Service use by special needs groups — Aboriginal and Torres Strait Islander people</w:t>
      </w:r>
    </w:p>
    <w:p w14:paraId="2DDB9CB3" w14:textId="7BFA10C2" w:rsidR="003B6D12" w:rsidRPr="00ED07C4" w:rsidRDefault="003B6D12" w:rsidP="008156B7">
      <w:pPr>
        <w:pStyle w:val="BodyText"/>
      </w:pPr>
      <w:r w:rsidRPr="007162F2">
        <w:t xml:space="preserve">Nationally </w:t>
      </w:r>
      <w:r w:rsidR="005F0ED6">
        <w:t>in 2015</w:t>
      </w:r>
      <w:r w:rsidR="004514F4">
        <w:noBreakHyphen/>
      </w:r>
      <w:r w:rsidR="005F0ED6">
        <w:t>16</w:t>
      </w:r>
      <w:r w:rsidRPr="007162F2">
        <w:t xml:space="preserve">, the proportion of </w:t>
      </w:r>
      <w:r w:rsidR="00D460D3" w:rsidRPr="007162F2">
        <w:t xml:space="preserve">the potential population of </w:t>
      </w:r>
      <w:r w:rsidRPr="007162F2">
        <w:t xml:space="preserve">Aboriginal and Torres Strait </w:t>
      </w:r>
      <w:r w:rsidRPr="00ED07C4">
        <w:t xml:space="preserve">Islander Australians who used NDA services was lower than the proportion </w:t>
      </w:r>
      <w:r w:rsidR="00D460D3" w:rsidRPr="00ED07C4">
        <w:t>for</w:t>
      </w:r>
      <w:r w:rsidRPr="00ED07C4">
        <w:t xml:space="preserve"> non</w:t>
      </w:r>
      <w:r w:rsidR="004514F4" w:rsidRPr="00ED07C4">
        <w:noBreakHyphen/>
      </w:r>
      <w:r w:rsidRPr="00ED07C4">
        <w:t>Indigenous Australians for accommodation support</w:t>
      </w:r>
      <w:r w:rsidR="009237A4">
        <w:t>,</w:t>
      </w:r>
      <w:r w:rsidRPr="00ED07C4">
        <w:t xml:space="preserve"> community access services</w:t>
      </w:r>
      <w:r w:rsidR="009237A4">
        <w:t xml:space="preserve"> </w:t>
      </w:r>
      <w:r w:rsidR="009237A4" w:rsidRPr="00342AFB">
        <w:t>and respite services</w:t>
      </w:r>
      <w:r w:rsidRPr="00342AFB">
        <w:t>,</w:t>
      </w:r>
      <w:r w:rsidR="00665EFA">
        <w:t xml:space="preserve"> </w:t>
      </w:r>
      <w:r w:rsidR="00405786" w:rsidRPr="00342AFB">
        <w:t>but</w:t>
      </w:r>
      <w:r w:rsidR="009237A4" w:rsidRPr="00342AFB">
        <w:t xml:space="preserve"> </w:t>
      </w:r>
      <w:r w:rsidR="00405786" w:rsidRPr="00342AFB">
        <w:t>similar for</w:t>
      </w:r>
      <w:r w:rsidRPr="00342AFB">
        <w:t xml:space="preserve"> community support</w:t>
      </w:r>
      <w:r w:rsidR="00D460D3" w:rsidRPr="00342AFB">
        <w:t xml:space="preserve"> </w:t>
      </w:r>
      <w:r w:rsidRPr="00ED07C4">
        <w:t>(figure</w:t>
      </w:r>
      <w:r w:rsidR="00097555" w:rsidRPr="00ED07C4">
        <w:t> </w:t>
      </w:r>
      <w:r w:rsidR="003C2134" w:rsidRPr="00ED07C4">
        <w:t>15.5</w:t>
      </w:r>
      <w:r w:rsidRPr="00ED07C4">
        <w:t>).</w:t>
      </w:r>
    </w:p>
    <w:p w14:paraId="5D1751F9" w14:textId="5538AD46" w:rsidR="008156B7" w:rsidRPr="007162F2" w:rsidRDefault="008156B7"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56B7" w:rsidRPr="007162F2" w14:paraId="2C192B3D" w14:textId="77777777" w:rsidTr="00925FEC">
        <w:trPr>
          <w:tblHeader/>
        </w:trPr>
        <w:tc>
          <w:tcPr>
            <w:tcW w:w="8789" w:type="dxa"/>
            <w:tcBorders>
              <w:top w:val="single" w:sz="6" w:space="0" w:color="78A22F"/>
              <w:left w:val="nil"/>
              <w:bottom w:val="nil"/>
              <w:right w:val="nil"/>
            </w:tcBorders>
            <w:shd w:val="clear" w:color="auto" w:fill="auto"/>
          </w:tcPr>
          <w:p w14:paraId="62B09A37" w14:textId="38290876" w:rsidR="008156B7" w:rsidRPr="007162F2" w:rsidRDefault="008156B7" w:rsidP="00351BA0">
            <w:pPr>
              <w:pStyle w:val="FigureTitle"/>
            </w:pPr>
            <w:r w:rsidRPr="007162F2">
              <w:rPr>
                <w:b w:val="0"/>
              </w:rPr>
              <w:t xml:space="preserve">Figure </w:t>
            </w:r>
            <w:bookmarkStart w:id="12" w:name="OLE_LINK6"/>
            <w:r w:rsidRPr="007162F2">
              <w:rPr>
                <w:b w:val="0"/>
              </w:rPr>
              <w:t>15.</w:t>
            </w:r>
            <w:r w:rsidR="00C37B05">
              <w:rPr>
                <w:b w:val="0"/>
                <w:noProof/>
              </w:rPr>
              <w:t>5</w:t>
            </w:r>
            <w:bookmarkEnd w:id="12"/>
            <w:r w:rsidRPr="007162F2">
              <w:tab/>
              <w:t>Users of NDA specialist disability services, by Indigenous status, 201</w:t>
            </w:r>
            <w:r w:rsidR="00351BA0">
              <w:t>5</w:t>
            </w:r>
            <w:r w:rsidR="00351BA0">
              <w:noBreakHyphen/>
              <w:t>16</w:t>
            </w:r>
            <w:r w:rsidRPr="007162F2">
              <w:rPr>
                <w:rStyle w:val="NoteLabel"/>
                <w:b/>
              </w:rPr>
              <w:t>a</w:t>
            </w:r>
            <w:r w:rsidR="00185124">
              <w:rPr>
                <w:rStyle w:val="NoteLabel"/>
                <w:b/>
              </w:rPr>
              <w:t>, b</w:t>
            </w:r>
          </w:p>
        </w:tc>
      </w:tr>
      <w:tr w:rsidR="008156B7" w:rsidRPr="007162F2" w14:paraId="133007DE"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8156B7" w:rsidRPr="007162F2" w14:paraId="7E17C7FD" w14:textId="77777777" w:rsidTr="00F979BC">
              <w:trPr>
                <w:tblHeader/>
                <w:jc w:val="center"/>
              </w:trPr>
              <w:tc>
                <w:tcPr>
                  <w:tcW w:w="5000" w:type="pct"/>
                  <w:tcBorders>
                    <w:top w:val="nil"/>
                    <w:bottom w:val="nil"/>
                  </w:tcBorders>
                </w:tcPr>
                <w:p w14:paraId="5C9C9548" w14:textId="28E49225" w:rsidR="00892B64" w:rsidRPr="007162F2" w:rsidRDefault="0037621B" w:rsidP="000C45AA">
                  <w:pPr>
                    <w:pStyle w:val="Figure"/>
                    <w:spacing w:before="60" w:after="60"/>
                    <w:rPr>
                      <w:rFonts w:ascii="Arial" w:hAnsi="Arial" w:cs="Arial"/>
                      <w:sz w:val="18"/>
                      <w:szCs w:val="18"/>
                    </w:rPr>
                  </w:pPr>
                  <w:r>
                    <w:rPr>
                      <w:rFonts w:ascii="Arial" w:hAnsi="Arial" w:cs="Arial"/>
                      <w:noProof/>
                      <w:sz w:val="18"/>
                      <w:szCs w:val="18"/>
                    </w:rPr>
                    <w:drawing>
                      <wp:inline distT="0" distB="0" distL="0" distR="0" wp14:anchorId="417BE180" wp14:editId="7B6FE635">
                        <wp:extent cx="2472690" cy="2201545"/>
                        <wp:effectExtent l="0" t="0" r="3810" b="8255"/>
                        <wp:docPr id="17" name="Picture 17" descr="(a) Accommodation support&#10;&#10;More details can be found within the text surrounding this image. " title="Figure 15.5 Users of NDA specialist disability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2690" cy="2201545"/>
                                </a:xfrm>
                                <a:prstGeom prst="rect">
                                  <a:avLst/>
                                </a:prstGeom>
                                <a:noFill/>
                                <a:ln>
                                  <a:noFill/>
                                </a:ln>
                              </pic:spPr>
                            </pic:pic>
                          </a:graphicData>
                        </a:graphic>
                      </wp:inline>
                    </w:drawing>
                  </w:r>
                  <w:r>
                    <w:rPr>
                      <w:rFonts w:ascii="Arial" w:hAnsi="Arial" w:cs="Arial"/>
                      <w:noProof/>
                      <w:sz w:val="18"/>
                      <w:szCs w:val="18"/>
                    </w:rPr>
                    <w:drawing>
                      <wp:inline distT="0" distB="0" distL="0" distR="0" wp14:anchorId="58F5816D" wp14:editId="3E6FE61A">
                        <wp:extent cx="2550795" cy="2225675"/>
                        <wp:effectExtent l="0" t="0" r="1905" b="3175"/>
                        <wp:docPr id="18" name="Picture 18" descr="(b) Community support&#10;&#10;More details can be found within the text surrounding this image. " title="Figure 15.5 Users of NDA specialist disability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0795" cy="2225675"/>
                                </a:xfrm>
                                <a:prstGeom prst="rect">
                                  <a:avLst/>
                                </a:prstGeom>
                                <a:noFill/>
                                <a:ln>
                                  <a:noFill/>
                                </a:ln>
                              </pic:spPr>
                            </pic:pic>
                          </a:graphicData>
                        </a:graphic>
                      </wp:inline>
                    </w:drawing>
                  </w:r>
                  <w:r>
                    <w:rPr>
                      <w:rFonts w:ascii="Arial" w:hAnsi="Arial" w:cs="Arial"/>
                      <w:noProof/>
                      <w:sz w:val="18"/>
                      <w:szCs w:val="18"/>
                    </w:rPr>
                    <w:drawing>
                      <wp:inline distT="0" distB="0" distL="0" distR="0" wp14:anchorId="06BEF506" wp14:editId="39C2D2F4">
                        <wp:extent cx="2514600" cy="2201545"/>
                        <wp:effectExtent l="0" t="0" r="0" b="8255"/>
                        <wp:docPr id="19" name="Picture 19" descr="(c) Community access&#10;&#10;More details can be found within the text surrounding this image. " title="Figure 15.5 Users of NDA specialist disability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2201545"/>
                                </a:xfrm>
                                <a:prstGeom prst="rect">
                                  <a:avLst/>
                                </a:prstGeom>
                                <a:noFill/>
                                <a:ln>
                                  <a:noFill/>
                                </a:ln>
                              </pic:spPr>
                            </pic:pic>
                          </a:graphicData>
                        </a:graphic>
                      </wp:inline>
                    </w:drawing>
                  </w:r>
                  <w:r>
                    <w:rPr>
                      <w:rFonts w:ascii="Arial" w:hAnsi="Arial" w:cs="Arial"/>
                      <w:noProof/>
                      <w:sz w:val="18"/>
                      <w:szCs w:val="18"/>
                    </w:rPr>
                    <w:drawing>
                      <wp:inline distT="0" distB="0" distL="0" distR="0" wp14:anchorId="749BC63A" wp14:editId="07FEBA6F">
                        <wp:extent cx="2460625" cy="2201545"/>
                        <wp:effectExtent l="0" t="0" r="0" b="8255"/>
                        <wp:docPr id="21" name="Picture 21" descr="(d) Respite&#10;&#10;More details can be found within the text surrounding this image. " title="Figure 15.5 Users of NDA specialist disability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0625" cy="2201545"/>
                                </a:xfrm>
                                <a:prstGeom prst="rect">
                                  <a:avLst/>
                                </a:prstGeom>
                                <a:noFill/>
                                <a:ln>
                                  <a:noFill/>
                                </a:ln>
                              </pic:spPr>
                            </pic:pic>
                          </a:graphicData>
                        </a:graphic>
                      </wp:inline>
                    </w:drawing>
                  </w:r>
                  <w:r w:rsidR="0001094D">
                    <w:rPr>
                      <w:rFonts w:ascii="Arial" w:hAnsi="Arial" w:cs="Arial"/>
                      <w:noProof/>
                      <w:sz w:val="18"/>
                      <w:szCs w:val="18"/>
                    </w:rPr>
                    <w:drawing>
                      <wp:inline distT="0" distB="0" distL="0" distR="0" wp14:anchorId="126D5C63" wp14:editId="19D169BB">
                        <wp:extent cx="5332095" cy="368300"/>
                        <wp:effectExtent l="0" t="0" r="1905" b="0"/>
                        <wp:docPr id="14" name="Picture 14" descr="Legend to Figure 15.5&#10;&#10;Blue: Aboriginal and Torres Strait Islander&#10;Green: Non-Indigenous&#10;&#10;More details can be found within the text surrounding this image. " title="Figure 15.5 Users of NDA specialist disability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2095" cy="368300"/>
                                </a:xfrm>
                                <a:prstGeom prst="rect">
                                  <a:avLst/>
                                </a:prstGeom>
                                <a:noFill/>
                                <a:ln>
                                  <a:noFill/>
                                </a:ln>
                              </pic:spPr>
                            </pic:pic>
                          </a:graphicData>
                        </a:graphic>
                      </wp:inline>
                    </w:drawing>
                  </w:r>
                </w:p>
              </w:tc>
            </w:tr>
          </w:tbl>
          <w:p w14:paraId="71603722" w14:textId="77777777" w:rsidR="008156B7" w:rsidRPr="007162F2" w:rsidRDefault="008156B7" w:rsidP="00F979BC">
            <w:pPr>
              <w:pStyle w:val="Figure"/>
            </w:pPr>
          </w:p>
        </w:tc>
      </w:tr>
      <w:tr w:rsidR="008156B7" w:rsidRPr="007162F2" w14:paraId="0F10164C" w14:textId="77777777" w:rsidTr="00925FEC">
        <w:tc>
          <w:tcPr>
            <w:tcW w:w="8789" w:type="dxa"/>
            <w:tcBorders>
              <w:top w:val="nil"/>
              <w:left w:val="nil"/>
              <w:bottom w:val="nil"/>
              <w:right w:val="nil"/>
            </w:tcBorders>
            <w:shd w:val="clear" w:color="auto" w:fill="auto"/>
          </w:tcPr>
          <w:p w14:paraId="34AA9482" w14:textId="54F35C05" w:rsidR="008156B7" w:rsidRPr="007162F2" w:rsidRDefault="008156B7" w:rsidP="004D49E6">
            <w:pPr>
              <w:pStyle w:val="Note"/>
            </w:pPr>
            <w:r w:rsidRPr="007162F2">
              <w:rPr>
                <w:rStyle w:val="NoteLabel"/>
              </w:rPr>
              <w:t xml:space="preserve">a </w:t>
            </w:r>
            <w:r w:rsidRPr="007162F2">
              <w:t>See box</w:t>
            </w:r>
            <w:r w:rsidR="004514F4">
              <w:t> </w:t>
            </w:r>
            <w:r w:rsidR="003C2134" w:rsidRPr="007162F2">
              <w:t xml:space="preserve">15.2 </w:t>
            </w:r>
            <w:r w:rsidRPr="007162F2">
              <w:t>and tables</w:t>
            </w:r>
            <w:r w:rsidR="004514F4">
              <w:t> </w:t>
            </w:r>
            <w:r w:rsidRPr="007162F2">
              <w:t>15A.</w:t>
            </w:r>
            <w:r w:rsidR="00CB5EE8" w:rsidRPr="007162F2">
              <w:t>28</w:t>
            </w:r>
            <w:r w:rsidRPr="007162F2">
              <w:t>–</w:t>
            </w:r>
            <w:r w:rsidR="00CB5EE8" w:rsidRPr="007162F2">
              <w:t>31</w:t>
            </w:r>
            <w:r w:rsidRPr="007162F2">
              <w:t xml:space="preserve"> for detailed definitions, footnotes and caveats. </w:t>
            </w:r>
            <w:r w:rsidR="00185124" w:rsidRPr="00185124">
              <w:rPr>
                <w:rStyle w:val="NoteLabel"/>
              </w:rPr>
              <w:t>b</w:t>
            </w:r>
            <w:r w:rsidR="00185124">
              <w:t xml:space="preserve"> Data are not available for the ACT. Australian totals exclude ACT</w:t>
            </w:r>
            <w:r w:rsidR="00ED5549">
              <w:t xml:space="preserve"> service users</w:t>
            </w:r>
            <w:r w:rsidR="00185124">
              <w:t>.</w:t>
            </w:r>
          </w:p>
        </w:tc>
      </w:tr>
      <w:tr w:rsidR="008156B7" w:rsidRPr="007162F2" w14:paraId="247B7A45" w14:textId="77777777" w:rsidTr="00925FEC">
        <w:tc>
          <w:tcPr>
            <w:tcW w:w="8789" w:type="dxa"/>
            <w:tcBorders>
              <w:top w:val="nil"/>
              <w:left w:val="nil"/>
              <w:bottom w:val="nil"/>
              <w:right w:val="nil"/>
            </w:tcBorders>
            <w:shd w:val="clear" w:color="auto" w:fill="auto"/>
          </w:tcPr>
          <w:p w14:paraId="773417A1" w14:textId="025638C9" w:rsidR="008156B7" w:rsidRPr="007162F2" w:rsidRDefault="008156B7" w:rsidP="00AA54E2">
            <w:pPr>
              <w:pStyle w:val="Source"/>
            </w:pPr>
            <w:r w:rsidRPr="007162F2">
              <w:rPr>
                <w:i/>
              </w:rPr>
              <w:t>Source</w:t>
            </w:r>
            <w:r w:rsidRPr="007162F2">
              <w:t>:</w:t>
            </w:r>
            <w:r w:rsidR="00780B9E" w:rsidRPr="007162F2">
              <w:t xml:space="preserve"> </w:t>
            </w:r>
            <w:r w:rsidRPr="007162F2">
              <w:t>AIHW (unpublished) DS NMDS; AIHW (unpublished), AIHW analysis of the ABS June ERP, ABS Census of Population and Housing and the ABS SDAC; tables</w:t>
            </w:r>
            <w:r w:rsidR="004514F4">
              <w:t> </w:t>
            </w:r>
            <w:r w:rsidR="00CB5EE8" w:rsidRPr="007162F2">
              <w:t>15A.28–31</w:t>
            </w:r>
            <w:r w:rsidRPr="007162F2">
              <w:t xml:space="preserve">. </w:t>
            </w:r>
          </w:p>
        </w:tc>
      </w:tr>
      <w:tr w:rsidR="008156B7" w:rsidRPr="007162F2" w14:paraId="33EF7BED" w14:textId="77777777" w:rsidTr="00925FEC">
        <w:tc>
          <w:tcPr>
            <w:tcW w:w="8789" w:type="dxa"/>
            <w:tcBorders>
              <w:top w:val="nil"/>
              <w:left w:val="nil"/>
              <w:bottom w:val="single" w:sz="6" w:space="0" w:color="78A22F"/>
              <w:right w:val="nil"/>
            </w:tcBorders>
            <w:shd w:val="clear" w:color="auto" w:fill="auto"/>
          </w:tcPr>
          <w:p w14:paraId="300E696E" w14:textId="77777777" w:rsidR="008156B7" w:rsidRPr="007162F2" w:rsidRDefault="008156B7" w:rsidP="00F979BC">
            <w:pPr>
              <w:pStyle w:val="Figurespace"/>
            </w:pPr>
          </w:p>
        </w:tc>
      </w:tr>
      <w:tr w:rsidR="008156B7" w:rsidRPr="007162F2" w14:paraId="00988532" w14:textId="77777777" w:rsidTr="00925FEC">
        <w:tc>
          <w:tcPr>
            <w:tcW w:w="8789" w:type="dxa"/>
            <w:tcBorders>
              <w:top w:val="single" w:sz="6" w:space="0" w:color="78A22F"/>
              <w:left w:val="nil"/>
              <w:bottom w:val="nil"/>
              <w:right w:val="nil"/>
            </w:tcBorders>
          </w:tcPr>
          <w:p w14:paraId="0571FA35" w14:textId="7A5C4B2A" w:rsidR="008156B7" w:rsidRPr="007162F2" w:rsidRDefault="008156B7" w:rsidP="00F979BC">
            <w:pPr>
              <w:pStyle w:val="BoxSpaceBelow"/>
            </w:pPr>
          </w:p>
        </w:tc>
      </w:tr>
    </w:tbl>
    <w:p w14:paraId="763A7CA4" w14:textId="1D310F0B" w:rsidR="00097555" w:rsidRPr="00DA1FBB" w:rsidRDefault="005F0ED6" w:rsidP="00097555">
      <w:pPr>
        <w:pStyle w:val="BodyText"/>
      </w:pPr>
      <w:r>
        <w:t>Nationally in 2015</w:t>
      </w:r>
      <w:r>
        <w:noBreakHyphen/>
        <w:t>16</w:t>
      </w:r>
      <w:r w:rsidR="00097555" w:rsidRPr="007162F2">
        <w:t xml:space="preserve">, the Aboriginal and Torres Strait Islander potential population who used NDA employment </w:t>
      </w:r>
      <w:r w:rsidR="00097555" w:rsidRPr="00DA1FBB">
        <w:t>services (</w:t>
      </w:r>
      <w:r w:rsidR="00ED07C4" w:rsidRPr="00DA1FBB">
        <w:t>349.2</w:t>
      </w:r>
      <w:r w:rsidR="00097555" w:rsidRPr="00DA1FBB">
        <w:t xml:space="preserve"> service users per 1000 potential population) was lower than that of the non</w:t>
      </w:r>
      <w:r w:rsidR="00097555" w:rsidRPr="00DA1FBB">
        <w:noBreakHyphen/>
        <w:t>Indigenous potential population (</w:t>
      </w:r>
      <w:r w:rsidR="00DA1FBB" w:rsidRPr="00DA1FBB">
        <w:t>488.3</w:t>
      </w:r>
      <w:r w:rsidR="00097555" w:rsidRPr="00DA1FBB">
        <w:t xml:space="preserve"> service users per 1000 potential population) (figure </w:t>
      </w:r>
      <w:r w:rsidR="003C2134" w:rsidRPr="00DA1FBB">
        <w:t>15.6</w:t>
      </w:r>
      <w:r w:rsidR="00097555" w:rsidRPr="00DA1FBB">
        <w:t>).</w:t>
      </w:r>
    </w:p>
    <w:p w14:paraId="3CCCA999" w14:textId="41BC8A4F" w:rsidR="008156B7" w:rsidRPr="007162F2" w:rsidRDefault="008156B7"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56B7" w:rsidRPr="007162F2" w14:paraId="326F84AB" w14:textId="77777777" w:rsidTr="00925FEC">
        <w:trPr>
          <w:tblHeader/>
        </w:trPr>
        <w:tc>
          <w:tcPr>
            <w:tcW w:w="8789" w:type="dxa"/>
            <w:tcBorders>
              <w:top w:val="single" w:sz="6" w:space="0" w:color="78A22F"/>
              <w:left w:val="nil"/>
              <w:bottom w:val="nil"/>
              <w:right w:val="nil"/>
            </w:tcBorders>
            <w:shd w:val="clear" w:color="auto" w:fill="auto"/>
          </w:tcPr>
          <w:p w14:paraId="129327EE" w14:textId="22E6AA96" w:rsidR="008156B7" w:rsidRPr="007162F2" w:rsidRDefault="008156B7" w:rsidP="00351BA0">
            <w:pPr>
              <w:pStyle w:val="FigureTitle"/>
            </w:pPr>
            <w:r w:rsidRPr="007162F2">
              <w:rPr>
                <w:b w:val="0"/>
              </w:rPr>
              <w:t xml:space="preserve">Figure </w:t>
            </w:r>
            <w:bookmarkStart w:id="13" w:name="OLE_LINK7"/>
            <w:r w:rsidRPr="007162F2">
              <w:rPr>
                <w:b w:val="0"/>
              </w:rPr>
              <w:t>15.</w:t>
            </w:r>
            <w:r w:rsidR="00C37B05">
              <w:rPr>
                <w:b w:val="0"/>
                <w:noProof/>
              </w:rPr>
              <w:t>6</w:t>
            </w:r>
            <w:bookmarkEnd w:id="13"/>
            <w:r w:rsidRPr="007162F2">
              <w:tab/>
              <w:t>Users of NDA employment serv</w:t>
            </w:r>
            <w:r w:rsidR="00351BA0">
              <w:t>ices, by Indigenous status, 2015</w:t>
            </w:r>
            <w:r w:rsidR="00351BA0">
              <w:noBreakHyphen/>
              <w:t>16</w:t>
            </w:r>
            <w:r w:rsidRPr="007162F2">
              <w:rPr>
                <w:rStyle w:val="NoteLabel"/>
                <w:b/>
              </w:rPr>
              <w:t>a</w:t>
            </w:r>
          </w:p>
        </w:tc>
      </w:tr>
      <w:tr w:rsidR="008156B7" w:rsidRPr="007162F2" w14:paraId="49ABB69A" w14:textId="77777777" w:rsidTr="00925FE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8156B7" w:rsidRPr="007162F2" w14:paraId="14E2AD8C" w14:textId="77777777" w:rsidTr="00F979BC">
              <w:trPr>
                <w:tblHeader/>
                <w:jc w:val="center"/>
              </w:trPr>
              <w:tc>
                <w:tcPr>
                  <w:tcW w:w="5000" w:type="pct"/>
                  <w:tcBorders>
                    <w:top w:val="nil"/>
                    <w:bottom w:val="nil"/>
                  </w:tcBorders>
                </w:tcPr>
                <w:p w14:paraId="7B41583A" w14:textId="1F2E7C91" w:rsidR="00BF6FF3"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FCBA82" wp14:editId="7C7D08B3">
                        <wp:extent cx="5396230" cy="2875280"/>
                        <wp:effectExtent l="0" t="0" r="0" b="1270"/>
                        <wp:docPr id="22" name="Picture 22" descr="More details can be found within the text surrounding this image. " title="Figure 15.6 Users of NDA employment service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6230" cy="2875280"/>
                                </a:xfrm>
                                <a:prstGeom prst="rect">
                                  <a:avLst/>
                                </a:prstGeom>
                                <a:noFill/>
                                <a:ln>
                                  <a:noFill/>
                                </a:ln>
                              </pic:spPr>
                            </pic:pic>
                          </a:graphicData>
                        </a:graphic>
                      </wp:inline>
                    </w:drawing>
                  </w:r>
                </w:p>
              </w:tc>
            </w:tr>
          </w:tbl>
          <w:p w14:paraId="57288CBB" w14:textId="77777777" w:rsidR="008156B7" w:rsidRPr="007162F2" w:rsidRDefault="008156B7" w:rsidP="00F979BC">
            <w:pPr>
              <w:pStyle w:val="Figure"/>
            </w:pPr>
          </w:p>
        </w:tc>
      </w:tr>
      <w:tr w:rsidR="008156B7" w:rsidRPr="007162F2" w14:paraId="350B9EE1" w14:textId="77777777" w:rsidTr="00925FEC">
        <w:tc>
          <w:tcPr>
            <w:tcW w:w="8789" w:type="dxa"/>
            <w:tcBorders>
              <w:top w:val="nil"/>
              <w:left w:val="nil"/>
              <w:bottom w:val="nil"/>
              <w:right w:val="nil"/>
            </w:tcBorders>
            <w:shd w:val="clear" w:color="auto" w:fill="auto"/>
          </w:tcPr>
          <w:p w14:paraId="5B891586" w14:textId="21A07E21" w:rsidR="008156B7" w:rsidRPr="007162F2" w:rsidRDefault="008156B7" w:rsidP="00CB5EE8">
            <w:pPr>
              <w:pStyle w:val="Note"/>
            </w:pPr>
            <w:r w:rsidRPr="007162F2">
              <w:rPr>
                <w:rStyle w:val="NoteLabel"/>
              </w:rPr>
              <w:t>a</w:t>
            </w:r>
            <w:r w:rsidRPr="007162F2">
              <w:t xml:space="preserve"> See box</w:t>
            </w:r>
            <w:r w:rsidR="004514F4">
              <w:t> </w:t>
            </w:r>
            <w:r w:rsidR="003C2134" w:rsidRPr="007162F2">
              <w:t xml:space="preserve">15.2 </w:t>
            </w:r>
            <w:r w:rsidRPr="007162F2">
              <w:t>and table</w:t>
            </w:r>
            <w:r w:rsidR="004514F4">
              <w:t> </w:t>
            </w:r>
            <w:r w:rsidRPr="007162F2">
              <w:t>15A.</w:t>
            </w:r>
            <w:r w:rsidR="00CB5EE8" w:rsidRPr="007162F2">
              <w:t>32</w:t>
            </w:r>
            <w:r w:rsidRPr="007162F2">
              <w:t xml:space="preserve"> for detailed definitions, footnotes and caveats.</w:t>
            </w:r>
          </w:p>
        </w:tc>
      </w:tr>
      <w:tr w:rsidR="008156B7" w:rsidRPr="007162F2" w14:paraId="007B38E4" w14:textId="77777777" w:rsidTr="00925FEC">
        <w:tc>
          <w:tcPr>
            <w:tcW w:w="8789" w:type="dxa"/>
            <w:tcBorders>
              <w:top w:val="nil"/>
              <w:left w:val="nil"/>
              <w:bottom w:val="nil"/>
              <w:right w:val="nil"/>
            </w:tcBorders>
            <w:shd w:val="clear" w:color="auto" w:fill="auto"/>
          </w:tcPr>
          <w:p w14:paraId="19DAF87B" w14:textId="20E5B15C" w:rsidR="008156B7" w:rsidRPr="007162F2" w:rsidRDefault="0026545C" w:rsidP="00CB5EE8">
            <w:pPr>
              <w:pStyle w:val="Source"/>
            </w:pPr>
            <w:r w:rsidRPr="007162F2">
              <w:rPr>
                <w:i/>
              </w:rPr>
              <w:t>Source</w:t>
            </w:r>
            <w:r w:rsidRPr="007162F2">
              <w:t xml:space="preserve">: AIHW (unpublished) DS NMDS; AIHW (unpublished), AIHW analysis of the ABS June ERP, ABS Census of Population and </w:t>
            </w:r>
            <w:r w:rsidR="00E1573D">
              <w:t>Housing and the ABS SDAC; table</w:t>
            </w:r>
            <w:r w:rsidR="004514F4">
              <w:t> </w:t>
            </w:r>
            <w:r w:rsidRPr="007162F2">
              <w:t>15A.</w:t>
            </w:r>
            <w:r w:rsidR="00CB5EE8" w:rsidRPr="007162F2">
              <w:t>32</w:t>
            </w:r>
            <w:r w:rsidRPr="007162F2">
              <w:t>.</w:t>
            </w:r>
          </w:p>
        </w:tc>
      </w:tr>
      <w:tr w:rsidR="008156B7" w:rsidRPr="007162F2" w14:paraId="0F6F73EE" w14:textId="77777777" w:rsidTr="00925FEC">
        <w:tc>
          <w:tcPr>
            <w:tcW w:w="8789" w:type="dxa"/>
            <w:tcBorders>
              <w:top w:val="nil"/>
              <w:left w:val="nil"/>
              <w:bottom w:val="single" w:sz="6" w:space="0" w:color="78A22F"/>
              <w:right w:val="nil"/>
            </w:tcBorders>
            <w:shd w:val="clear" w:color="auto" w:fill="auto"/>
          </w:tcPr>
          <w:p w14:paraId="12422AC5" w14:textId="77777777" w:rsidR="008156B7" w:rsidRPr="007162F2" w:rsidRDefault="008156B7" w:rsidP="00F979BC">
            <w:pPr>
              <w:pStyle w:val="Figurespace"/>
            </w:pPr>
          </w:p>
        </w:tc>
      </w:tr>
      <w:tr w:rsidR="008156B7" w:rsidRPr="007162F2" w14:paraId="5C00380B" w14:textId="77777777" w:rsidTr="00925FEC">
        <w:tc>
          <w:tcPr>
            <w:tcW w:w="8789" w:type="dxa"/>
            <w:tcBorders>
              <w:top w:val="single" w:sz="6" w:space="0" w:color="78A22F"/>
              <w:left w:val="nil"/>
              <w:bottom w:val="nil"/>
              <w:right w:val="nil"/>
            </w:tcBorders>
          </w:tcPr>
          <w:p w14:paraId="41BF1E75" w14:textId="7912E2DF" w:rsidR="008156B7" w:rsidRPr="007162F2" w:rsidRDefault="008156B7" w:rsidP="00F979BC">
            <w:pPr>
              <w:pStyle w:val="BoxSpaceBelow"/>
            </w:pPr>
          </w:p>
        </w:tc>
      </w:tr>
    </w:tbl>
    <w:p w14:paraId="0F72F5BC" w14:textId="2979D0C6" w:rsidR="00375C65" w:rsidRPr="007162F2" w:rsidRDefault="00F745F8" w:rsidP="00375C65">
      <w:pPr>
        <w:pStyle w:val="BodyText"/>
      </w:pPr>
      <w:r w:rsidRPr="007162F2">
        <w:t xml:space="preserve">Data </w:t>
      </w:r>
      <w:r w:rsidR="009014A1">
        <w:t>for Aboriginal and Torres Strait Islander service users</w:t>
      </w:r>
      <w:r w:rsidRPr="007162F2">
        <w:t xml:space="preserve"> for</w:t>
      </w:r>
      <w:r w:rsidR="007B5BA0">
        <w:t xml:space="preserve"> 2008</w:t>
      </w:r>
      <w:r w:rsidR="007B5BA0">
        <w:noBreakHyphen/>
        <w:t>09 to 2015</w:t>
      </w:r>
      <w:r w:rsidR="007B5BA0">
        <w:noBreakHyphen/>
        <w:t>16</w:t>
      </w:r>
      <w:r w:rsidR="00375C65" w:rsidRPr="007162F2">
        <w:t xml:space="preserve"> are available </w:t>
      </w:r>
      <w:r w:rsidR="00D460D3" w:rsidRPr="007162F2">
        <w:t xml:space="preserve">in </w:t>
      </w:r>
      <w:r w:rsidR="00375C65" w:rsidRPr="007162F2">
        <w:t>table 15A.</w:t>
      </w:r>
      <w:r w:rsidR="00CB5EE8" w:rsidRPr="007162F2">
        <w:t>41</w:t>
      </w:r>
      <w:r w:rsidR="00D460D3" w:rsidRPr="007162F2">
        <w:t xml:space="preserve"> (specialist disability services) and </w:t>
      </w:r>
      <w:r w:rsidR="009014A1">
        <w:t xml:space="preserve">by age group in </w:t>
      </w:r>
      <w:r w:rsidR="00D460D3" w:rsidRPr="007162F2">
        <w:t>tables 15A.</w:t>
      </w:r>
      <w:r w:rsidR="00CB5EE8" w:rsidRPr="007162F2">
        <w:t>33</w:t>
      </w:r>
      <w:r w:rsidR="00D460D3" w:rsidRPr="007162F2">
        <w:t>−</w:t>
      </w:r>
      <w:r w:rsidR="00CB5EE8" w:rsidRPr="007162F2">
        <w:t>35</w:t>
      </w:r>
      <w:r w:rsidR="00D460D3" w:rsidRPr="007162F2">
        <w:t xml:space="preserve"> (employment services</w:t>
      </w:r>
      <w:r w:rsidR="00375C65" w:rsidRPr="007162F2">
        <w:t xml:space="preserve">). </w:t>
      </w:r>
    </w:p>
    <w:p w14:paraId="4849EAD0" w14:textId="77777777" w:rsidR="008156B7" w:rsidRPr="007162F2" w:rsidRDefault="008156B7" w:rsidP="008156B7">
      <w:pPr>
        <w:pStyle w:val="Heading5"/>
      </w:pPr>
      <w:r w:rsidRPr="007162F2">
        <w:t>Service use by special needs groups — people born in a non</w:t>
      </w:r>
      <w:r w:rsidRPr="007162F2">
        <w:noBreakHyphen/>
        <w:t xml:space="preserve">English speaking country </w:t>
      </w:r>
    </w:p>
    <w:p w14:paraId="56C20C45" w14:textId="4596C538" w:rsidR="008156B7" w:rsidRPr="00DA1FBB" w:rsidRDefault="007B5BA0" w:rsidP="005D5F9B">
      <w:pPr>
        <w:pStyle w:val="BodyText"/>
      </w:pPr>
      <w:r w:rsidRPr="00DA1FBB">
        <w:t>Nationally in 2015</w:t>
      </w:r>
      <w:r w:rsidRPr="00DA1FBB">
        <w:noBreakHyphen/>
        <w:t>16</w:t>
      </w:r>
      <w:r w:rsidR="008156B7" w:rsidRPr="00DA1FBB">
        <w:t>, the proportion of the potential population born in a non</w:t>
      </w:r>
      <w:r w:rsidR="008156B7" w:rsidRPr="00DA1FBB">
        <w:noBreakHyphen/>
        <w:t>English speaking country who used NDA services</w:t>
      </w:r>
      <w:r w:rsidR="001B2B1B" w:rsidRPr="00DA1FBB">
        <w:t xml:space="preserve"> was</w:t>
      </w:r>
      <w:r w:rsidR="008156B7" w:rsidRPr="00DA1FBB">
        <w:t xml:space="preserve"> lower than that of the potential population born in an English speaking country</w:t>
      </w:r>
      <w:r w:rsidR="00D460D3" w:rsidRPr="00DA1FBB">
        <w:t xml:space="preserve">, for </w:t>
      </w:r>
      <w:r w:rsidR="005204AC">
        <w:t xml:space="preserve">all service types </w:t>
      </w:r>
      <w:r w:rsidR="0054456D" w:rsidRPr="00DA1FBB">
        <w:t>(figure </w:t>
      </w:r>
      <w:r w:rsidR="003C2134" w:rsidRPr="00DA1FBB">
        <w:t>15.7</w:t>
      </w:r>
      <w:r w:rsidR="0054456D" w:rsidRPr="00DA1FBB">
        <w:t>).</w:t>
      </w:r>
    </w:p>
    <w:p w14:paraId="3C5D4AA3" w14:textId="64966D9C" w:rsidR="008156B7" w:rsidRPr="007162F2" w:rsidRDefault="008156B7"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56B7" w:rsidRPr="007162F2" w14:paraId="7CF33983" w14:textId="77777777" w:rsidTr="00F14D5E">
        <w:trPr>
          <w:tblHeader/>
        </w:trPr>
        <w:tc>
          <w:tcPr>
            <w:tcW w:w="8789" w:type="dxa"/>
            <w:tcBorders>
              <w:top w:val="single" w:sz="6" w:space="0" w:color="78A22F"/>
              <w:left w:val="nil"/>
              <w:bottom w:val="nil"/>
              <w:right w:val="nil"/>
            </w:tcBorders>
            <w:shd w:val="clear" w:color="auto" w:fill="auto"/>
          </w:tcPr>
          <w:p w14:paraId="620535F1" w14:textId="05ECF090" w:rsidR="008156B7" w:rsidRPr="007162F2" w:rsidRDefault="008156B7" w:rsidP="00640588">
            <w:pPr>
              <w:pStyle w:val="FigureTitle"/>
            </w:pPr>
            <w:r w:rsidRPr="007162F2">
              <w:rPr>
                <w:b w:val="0"/>
              </w:rPr>
              <w:t xml:space="preserve">Figure </w:t>
            </w:r>
            <w:bookmarkStart w:id="14" w:name="OLE_LINK9"/>
            <w:r w:rsidRPr="007162F2">
              <w:rPr>
                <w:b w:val="0"/>
              </w:rPr>
              <w:t>15.</w:t>
            </w:r>
            <w:r w:rsidR="00C37B05">
              <w:rPr>
                <w:b w:val="0"/>
                <w:noProof/>
              </w:rPr>
              <w:t>7</w:t>
            </w:r>
            <w:bookmarkEnd w:id="14"/>
            <w:r w:rsidRPr="007162F2">
              <w:tab/>
              <w:t>Users of State and Territory administered NDA specialist disability services, by country of birth, 201</w:t>
            </w:r>
            <w:r w:rsidR="00640588">
              <w:t>5</w:t>
            </w:r>
            <w:r w:rsidRPr="007162F2">
              <w:noBreakHyphen/>
              <w:t>1</w:t>
            </w:r>
            <w:r w:rsidR="00640588">
              <w:t>6</w:t>
            </w:r>
            <w:r w:rsidRPr="007162F2">
              <w:rPr>
                <w:rStyle w:val="NoteLabel"/>
                <w:b/>
              </w:rPr>
              <w:t>a</w:t>
            </w:r>
            <w:r w:rsidR="00640588">
              <w:rPr>
                <w:rStyle w:val="NoteLabel"/>
                <w:b/>
              </w:rPr>
              <w:t>, b</w:t>
            </w:r>
            <w:r w:rsidR="009530FE">
              <w:rPr>
                <w:rStyle w:val="NoteLabel"/>
                <w:b/>
              </w:rPr>
              <w:t xml:space="preserve">, </w:t>
            </w:r>
            <w:r w:rsidR="009530FE" w:rsidRPr="00342AFB">
              <w:rPr>
                <w:rStyle w:val="NoteLabel"/>
                <w:b/>
              </w:rPr>
              <w:t>c</w:t>
            </w:r>
          </w:p>
        </w:tc>
      </w:tr>
      <w:tr w:rsidR="008156B7" w:rsidRPr="007162F2" w14:paraId="6EC89CC3"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8156B7" w:rsidRPr="007162F2" w14:paraId="7E29DBD2" w14:textId="77777777" w:rsidTr="00F979BC">
              <w:trPr>
                <w:tblHeader/>
                <w:jc w:val="center"/>
              </w:trPr>
              <w:tc>
                <w:tcPr>
                  <w:tcW w:w="5000" w:type="pct"/>
                  <w:tcBorders>
                    <w:top w:val="nil"/>
                    <w:bottom w:val="nil"/>
                  </w:tcBorders>
                </w:tcPr>
                <w:p w14:paraId="19F24410" w14:textId="1109030A" w:rsidR="00DD09FD" w:rsidRPr="007162F2" w:rsidRDefault="0037621B" w:rsidP="00640588">
                  <w:pPr>
                    <w:pStyle w:val="Figure"/>
                    <w:spacing w:before="60" w:after="60"/>
                    <w:rPr>
                      <w:rFonts w:ascii="Arial" w:hAnsi="Arial" w:cs="Arial"/>
                      <w:sz w:val="18"/>
                      <w:szCs w:val="18"/>
                    </w:rPr>
                  </w:pPr>
                  <w:r>
                    <w:rPr>
                      <w:rFonts w:ascii="Arial" w:hAnsi="Arial" w:cs="Arial"/>
                      <w:noProof/>
                      <w:sz w:val="18"/>
                      <w:szCs w:val="18"/>
                    </w:rPr>
                    <w:drawing>
                      <wp:inline distT="0" distB="0" distL="0" distR="0" wp14:anchorId="7589CF2D" wp14:editId="06CBBA0C">
                        <wp:extent cx="2514600" cy="2574925"/>
                        <wp:effectExtent l="0" t="0" r="0" b="0"/>
                        <wp:docPr id="23" name="Picture 23" descr="(a) Accommodation support&#10;&#10;More details can be found within the text surrounding this image. " title="Figure 15.7 Users of State and Territory administered NDA specialist disability services, by country of birth,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2574925"/>
                                </a:xfrm>
                                <a:prstGeom prst="rect">
                                  <a:avLst/>
                                </a:prstGeom>
                                <a:noFill/>
                                <a:ln>
                                  <a:noFill/>
                                </a:ln>
                              </pic:spPr>
                            </pic:pic>
                          </a:graphicData>
                        </a:graphic>
                      </wp:inline>
                    </w:drawing>
                  </w:r>
                  <w:r>
                    <w:rPr>
                      <w:rFonts w:ascii="Arial" w:hAnsi="Arial" w:cs="Arial"/>
                      <w:noProof/>
                      <w:sz w:val="18"/>
                      <w:szCs w:val="18"/>
                    </w:rPr>
                    <w:drawing>
                      <wp:inline distT="0" distB="0" distL="0" distR="0" wp14:anchorId="31D18CC6" wp14:editId="2D195E0D">
                        <wp:extent cx="2538730" cy="2568575"/>
                        <wp:effectExtent l="0" t="0" r="0" b="3175"/>
                        <wp:docPr id="24" name="Picture 24" descr="(b) Community support&#10;&#10;More details can be found within the text surrounding this image. " title="Figure 15.7 Users of State and Territory administered NDA specialist disability services, by country of birth,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8730" cy="2568575"/>
                                </a:xfrm>
                                <a:prstGeom prst="rect">
                                  <a:avLst/>
                                </a:prstGeom>
                                <a:noFill/>
                                <a:ln>
                                  <a:noFill/>
                                </a:ln>
                              </pic:spPr>
                            </pic:pic>
                          </a:graphicData>
                        </a:graphic>
                      </wp:inline>
                    </w:drawing>
                  </w:r>
                  <w:r>
                    <w:rPr>
                      <w:rFonts w:ascii="Arial" w:hAnsi="Arial" w:cs="Arial"/>
                      <w:noProof/>
                      <w:sz w:val="18"/>
                      <w:szCs w:val="18"/>
                    </w:rPr>
                    <w:drawing>
                      <wp:inline distT="0" distB="0" distL="0" distR="0" wp14:anchorId="1CCAA4BF" wp14:editId="13271A5A">
                        <wp:extent cx="2514600" cy="2574925"/>
                        <wp:effectExtent l="0" t="0" r="0" b="0"/>
                        <wp:docPr id="25" name="Picture 25" descr="(c) Community access&#10;&#10;More details can be found within the text surrounding this image. " title="Figure 15.7 Users of State and Territory administered NDA specialist disability services, by country of birth,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0" cy="2574925"/>
                                </a:xfrm>
                                <a:prstGeom prst="rect">
                                  <a:avLst/>
                                </a:prstGeom>
                                <a:noFill/>
                                <a:ln>
                                  <a:noFill/>
                                </a:ln>
                              </pic:spPr>
                            </pic:pic>
                          </a:graphicData>
                        </a:graphic>
                      </wp:inline>
                    </w:drawing>
                  </w:r>
                  <w:r>
                    <w:rPr>
                      <w:rFonts w:ascii="Arial" w:hAnsi="Arial" w:cs="Arial"/>
                      <w:noProof/>
                      <w:sz w:val="18"/>
                      <w:szCs w:val="18"/>
                    </w:rPr>
                    <w:drawing>
                      <wp:inline distT="0" distB="0" distL="0" distR="0" wp14:anchorId="2F699142" wp14:editId="72E41C59">
                        <wp:extent cx="2755265" cy="2586990"/>
                        <wp:effectExtent l="0" t="0" r="6985" b="3810"/>
                        <wp:docPr id="26" name="Picture 26" descr="(d) Respite&#10;&#10;More details can be found within the text surrounding this image. " title="Figure 15.7 Users of State and Territory administered NDA specialist disability services, by country of birth,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5265" cy="2586990"/>
                                </a:xfrm>
                                <a:prstGeom prst="rect">
                                  <a:avLst/>
                                </a:prstGeom>
                                <a:noFill/>
                                <a:ln>
                                  <a:noFill/>
                                </a:ln>
                              </pic:spPr>
                            </pic:pic>
                          </a:graphicData>
                        </a:graphic>
                      </wp:inline>
                    </w:drawing>
                  </w:r>
                  <w:r w:rsidR="0001094D">
                    <w:rPr>
                      <w:rFonts w:ascii="Arial" w:hAnsi="Arial" w:cs="Arial"/>
                      <w:noProof/>
                      <w:sz w:val="18"/>
                      <w:szCs w:val="18"/>
                    </w:rPr>
                    <w:drawing>
                      <wp:inline distT="0" distB="0" distL="0" distR="0" wp14:anchorId="19F58A89" wp14:editId="39B6E111">
                        <wp:extent cx="5391150" cy="356235"/>
                        <wp:effectExtent l="0" t="0" r="0" b="5715"/>
                        <wp:docPr id="20" name="Picture 20" descr="More details can be found within the text surrounding this image. " title="Figure 15.7 Users of State and Territory administered NDA specialist disability services, by country of birth,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1150" cy="356235"/>
                                </a:xfrm>
                                <a:prstGeom prst="rect">
                                  <a:avLst/>
                                </a:prstGeom>
                                <a:noFill/>
                                <a:ln>
                                  <a:noFill/>
                                </a:ln>
                              </pic:spPr>
                            </pic:pic>
                          </a:graphicData>
                        </a:graphic>
                      </wp:inline>
                    </w:drawing>
                  </w:r>
                </w:p>
              </w:tc>
            </w:tr>
          </w:tbl>
          <w:p w14:paraId="26E30878" w14:textId="77777777" w:rsidR="008156B7" w:rsidRPr="007162F2" w:rsidRDefault="008156B7" w:rsidP="00F979BC">
            <w:pPr>
              <w:pStyle w:val="Figure"/>
            </w:pPr>
          </w:p>
        </w:tc>
      </w:tr>
      <w:tr w:rsidR="008156B7" w:rsidRPr="007162F2" w14:paraId="3630E3D9" w14:textId="77777777" w:rsidTr="00F14D5E">
        <w:tc>
          <w:tcPr>
            <w:tcW w:w="8789" w:type="dxa"/>
            <w:tcBorders>
              <w:top w:val="nil"/>
              <w:left w:val="nil"/>
              <w:bottom w:val="nil"/>
              <w:right w:val="nil"/>
            </w:tcBorders>
            <w:shd w:val="clear" w:color="auto" w:fill="auto"/>
          </w:tcPr>
          <w:p w14:paraId="2132D562" w14:textId="75712EC9" w:rsidR="008156B7" w:rsidRPr="007162F2" w:rsidRDefault="008156B7" w:rsidP="0025356F">
            <w:pPr>
              <w:pStyle w:val="Note"/>
            </w:pPr>
            <w:r w:rsidRPr="007162F2">
              <w:rPr>
                <w:rStyle w:val="NoteLabel"/>
              </w:rPr>
              <w:t>a</w:t>
            </w:r>
            <w:r w:rsidRPr="007162F2">
              <w:t xml:space="preserve"> See box</w:t>
            </w:r>
            <w:r w:rsidR="004514F4">
              <w:t> </w:t>
            </w:r>
            <w:r w:rsidR="003C2134" w:rsidRPr="007162F2">
              <w:t xml:space="preserve">15.2 </w:t>
            </w:r>
            <w:r w:rsidRPr="007162F2">
              <w:t>and tables</w:t>
            </w:r>
            <w:r w:rsidR="004514F4">
              <w:t> </w:t>
            </w:r>
            <w:r w:rsidRPr="007162F2">
              <w:t>15A.</w:t>
            </w:r>
            <w:r w:rsidR="00CB5EE8" w:rsidRPr="007162F2">
              <w:t>36</w:t>
            </w:r>
            <w:r w:rsidRPr="007162F2">
              <w:t>–</w:t>
            </w:r>
            <w:r w:rsidR="00CB5EE8" w:rsidRPr="007162F2">
              <w:t>39</w:t>
            </w:r>
            <w:r w:rsidRPr="007162F2">
              <w:t xml:space="preserve"> for detailed definitions, footnotes and caveats.</w:t>
            </w:r>
            <w:r w:rsidR="00640588">
              <w:t xml:space="preserve"> </w:t>
            </w:r>
            <w:r w:rsidR="00640588" w:rsidRPr="00185124">
              <w:rPr>
                <w:rStyle w:val="NoteLabel"/>
              </w:rPr>
              <w:t>b</w:t>
            </w:r>
            <w:r w:rsidR="00640588">
              <w:t xml:space="preserve"> Data are not available for the ACT for 2015</w:t>
            </w:r>
            <w:r w:rsidR="00665EFA">
              <w:noBreakHyphen/>
            </w:r>
            <w:r w:rsidR="00640588">
              <w:t>16. Australian totals exclude ACT</w:t>
            </w:r>
            <w:r w:rsidR="00ED5549">
              <w:t xml:space="preserve"> service users</w:t>
            </w:r>
            <w:r w:rsidR="00640588">
              <w:t>.</w:t>
            </w:r>
            <w:r w:rsidR="009530FE">
              <w:t xml:space="preserve"> </w:t>
            </w:r>
            <w:r w:rsidR="009530FE" w:rsidRPr="00342AFB">
              <w:rPr>
                <w:rStyle w:val="NoteLabel"/>
              </w:rPr>
              <w:t>c</w:t>
            </w:r>
            <w:r w:rsidR="009530FE" w:rsidRPr="00342AFB">
              <w:t xml:space="preserve"> There were no users of respite services in Tasmania in 2015</w:t>
            </w:r>
            <w:r w:rsidR="00665EFA">
              <w:noBreakHyphen/>
            </w:r>
            <w:r w:rsidR="009530FE" w:rsidRPr="00342AFB">
              <w:t>16</w:t>
            </w:r>
            <w:r w:rsidR="0025356F" w:rsidRPr="00342AFB">
              <w:t xml:space="preserve"> who were born in a non-English speaking country</w:t>
            </w:r>
            <w:r w:rsidR="009530FE" w:rsidRPr="00342AFB">
              <w:t>.</w:t>
            </w:r>
          </w:p>
        </w:tc>
      </w:tr>
      <w:tr w:rsidR="008156B7" w:rsidRPr="007162F2" w14:paraId="366CA638" w14:textId="77777777" w:rsidTr="00F14D5E">
        <w:tc>
          <w:tcPr>
            <w:tcW w:w="8789" w:type="dxa"/>
            <w:tcBorders>
              <w:top w:val="nil"/>
              <w:left w:val="nil"/>
              <w:bottom w:val="nil"/>
              <w:right w:val="nil"/>
            </w:tcBorders>
            <w:shd w:val="clear" w:color="auto" w:fill="auto"/>
          </w:tcPr>
          <w:p w14:paraId="0CA1CE1B" w14:textId="0C73798B" w:rsidR="008156B7" w:rsidRPr="007162F2" w:rsidRDefault="008156B7" w:rsidP="00CB5EE8">
            <w:pPr>
              <w:pStyle w:val="Source"/>
            </w:pPr>
            <w:r w:rsidRPr="007162F2">
              <w:rPr>
                <w:i/>
              </w:rPr>
              <w:t>Source</w:t>
            </w:r>
            <w:r w:rsidRPr="007162F2">
              <w:t>: AIHW (unpublished) DS NMDS 2014</w:t>
            </w:r>
            <w:r w:rsidR="004514F4">
              <w:noBreakHyphen/>
            </w:r>
            <w:r w:rsidRPr="007162F2">
              <w:t>15; AIHW (unpublished), AIHW analysis of the ABS June ERP, ABS Census of Population and Housing and the ABS SDAC; tables</w:t>
            </w:r>
            <w:r w:rsidR="004514F4">
              <w:t> </w:t>
            </w:r>
            <w:r w:rsidRPr="007162F2">
              <w:t>15A.</w:t>
            </w:r>
            <w:r w:rsidR="00CB5EE8" w:rsidRPr="007162F2">
              <w:t>36</w:t>
            </w:r>
            <w:r w:rsidRPr="007162F2">
              <w:t>–</w:t>
            </w:r>
            <w:r w:rsidR="00CB5EE8" w:rsidRPr="007162F2">
              <w:t>39</w:t>
            </w:r>
            <w:r w:rsidRPr="007162F2">
              <w:t>.</w:t>
            </w:r>
          </w:p>
        </w:tc>
      </w:tr>
      <w:tr w:rsidR="008156B7" w:rsidRPr="007162F2" w14:paraId="63ED237A" w14:textId="77777777" w:rsidTr="00F14D5E">
        <w:tc>
          <w:tcPr>
            <w:tcW w:w="8789" w:type="dxa"/>
            <w:tcBorders>
              <w:top w:val="nil"/>
              <w:left w:val="nil"/>
              <w:bottom w:val="single" w:sz="6" w:space="0" w:color="78A22F"/>
              <w:right w:val="nil"/>
            </w:tcBorders>
            <w:shd w:val="clear" w:color="auto" w:fill="auto"/>
          </w:tcPr>
          <w:p w14:paraId="013185F8" w14:textId="77777777" w:rsidR="008156B7" w:rsidRPr="007162F2" w:rsidRDefault="008156B7" w:rsidP="00F979BC">
            <w:pPr>
              <w:pStyle w:val="Figurespace"/>
            </w:pPr>
          </w:p>
        </w:tc>
      </w:tr>
      <w:tr w:rsidR="008156B7" w:rsidRPr="007162F2" w14:paraId="3EA8BB27" w14:textId="77777777" w:rsidTr="00F14D5E">
        <w:tc>
          <w:tcPr>
            <w:tcW w:w="8789" w:type="dxa"/>
            <w:tcBorders>
              <w:top w:val="single" w:sz="6" w:space="0" w:color="78A22F"/>
              <w:left w:val="nil"/>
              <w:bottom w:val="nil"/>
              <w:right w:val="nil"/>
            </w:tcBorders>
          </w:tcPr>
          <w:p w14:paraId="1B76FBDB" w14:textId="79F7E963" w:rsidR="008156B7" w:rsidRPr="007162F2" w:rsidRDefault="008156B7" w:rsidP="00F979BC">
            <w:pPr>
              <w:pStyle w:val="BoxSpaceBelow"/>
            </w:pPr>
          </w:p>
        </w:tc>
      </w:tr>
    </w:tbl>
    <w:p w14:paraId="6A20A2A7" w14:textId="68943D8A" w:rsidR="009E6A23" w:rsidRPr="00DA1FBB" w:rsidRDefault="007B5BA0" w:rsidP="009E6A23">
      <w:pPr>
        <w:pStyle w:val="BodyText"/>
      </w:pPr>
      <w:r w:rsidRPr="00DA1FBB">
        <w:t>Nationally in 2015</w:t>
      </w:r>
      <w:r w:rsidRPr="00DA1FBB">
        <w:noBreakHyphen/>
        <w:t>16</w:t>
      </w:r>
      <w:r w:rsidR="009E6A23" w:rsidRPr="00DA1FBB">
        <w:t>, the proportion of the potential population of people born in a non</w:t>
      </w:r>
      <w:r w:rsidR="009E6A23" w:rsidRPr="00DA1FBB">
        <w:noBreakHyphen/>
        <w:t>English speaking country who used NDA employment services (</w:t>
      </w:r>
      <w:r w:rsidR="00DA1FBB" w:rsidRPr="00DA1FBB">
        <w:t>453.1</w:t>
      </w:r>
      <w:r w:rsidR="009E6A23" w:rsidRPr="00DA1FBB">
        <w:t xml:space="preserve"> service users per 1000 potential population) </w:t>
      </w:r>
      <w:r w:rsidR="009E6A23" w:rsidRPr="00342AFB">
        <w:t xml:space="preserve">was </w:t>
      </w:r>
      <w:r w:rsidR="00DA1FBB" w:rsidRPr="00342AFB">
        <w:t>lower</w:t>
      </w:r>
      <w:r w:rsidR="009014A1" w:rsidRPr="00DA1FBB">
        <w:t xml:space="preserve"> </w:t>
      </w:r>
      <w:r w:rsidR="009E6A23" w:rsidRPr="00DA1FBB">
        <w:t>than that of the potential population of people born in an English speaking country (</w:t>
      </w:r>
      <w:r w:rsidR="00DA1FBB" w:rsidRPr="00DA1FBB">
        <w:t>484.9</w:t>
      </w:r>
      <w:r w:rsidR="009E6A23" w:rsidRPr="00DA1FBB">
        <w:t xml:space="preserve"> service users per 1000 potential population) (figure </w:t>
      </w:r>
      <w:r w:rsidR="003C2134" w:rsidRPr="00DA1FBB">
        <w:t>15.8</w:t>
      </w:r>
      <w:r w:rsidR="009E6A23" w:rsidRPr="00DA1FBB">
        <w:t>).</w:t>
      </w:r>
    </w:p>
    <w:p w14:paraId="010CD88F" w14:textId="369F1DCE" w:rsidR="009E6A23" w:rsidRPr="007162F2" w:rsidRDefault="009E6A23"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E6A23" w:rsidRPr="007162F2" w14:paraId="7BCED519" w14:textId="77777777" w:rsidTr="00F14D5E">
        <w:trPr>
          <w:tblHeader/>
        </w:trPr>
        <w:tc>
          <w:tcPr>
            <w:tcW w:w="8789" w:type="dxa"/>
            <w:tcBorders>
              <w:top w:val="single" w:sz="6" w:space="0" w:color="78A22F"/>
              <w:left w:val="nil"/>
              <w:bottom w:val="nil"/>
              <w:right w:val="nil"/>
            </w:tcBorders>
            <w:shd w:val="clear" w:color="auto" w:fill="auto"/>
          </w:tcPr>
          <w:p w14:paraId="64DC8B09" w14:textId="48C103E0" w:rsidR="009E6A23" w:rsidRPr="007162F2" w:rsidRDefault="009E6A23" w:rsidP="00910E5F">
            <w:pPr>
              <w:pStyle w:val="FigureTitle"/>
              <w:spacing w:after="0"/>
            </w:pPr>
            <w:r w:rsidRPr="007162F2">
              <w:rPr>
                <w:b w:val="0"/>
              </w:rPr>
              <w:t xml:space="preserve">Figure </w:t>
            </w:r>
            <w:bookmarkStart w:id="15" w:name="OLE_LINK10"/>
            <w:r w:rsidRPr="007162F2">
              <w:rPr>
                <w:b w:val="0"/>
              </w:rPr>
              <w:t>15.</w:t>
            </w:r>
            <w:r w:rsidR="00C37B05">
              <w:rPr>
                <w:b w:val="0"/>
                <w:noProof/>
              </w:rPr>
              <w:t>8</w:t>
            </w:r>
            <w:bookmarkEnd w:id="15"/>
            <w:r w:rsidRPr="007162F2">
              <w:tab/>
              <w:t xml:space="preserve">Users of NDA employment services, by country of birth, </w:t>
            </w:r>
            <w:r w:rsidR="00CF14BF">
              <w:t>2015</w:t>
            </w:r>
            <w:r w:rsidR="00CF14BF">
              <w:noBreakHyphen/>
              <w:t>16</w:t>
            </w:r>
            <w:r w:rsidRPr="007162F2">
              <w:rPr>
                <w:rStyle w:val="NoteLabel"/>
                <w:b/>
              </w:rPr>
              <w:t>a</w:t>
            </w:r>
          </w:p>
        </w:tc>
      </w:tr>
      <w:tr w:rsidR="00EF5FCB" w:rsidRPr="007162F2" w14:paraId="031E059A" w14:textId="77777777" w:rsidTr="00F14D5E">
        <w:tblPrEx>
          <w:tblCellMar>
            <w:left w:w="108" w:type="dxa"/>
            <w:right w:w="108" w:type="dxa"/>
          </w:tblCellMar>
        </w:tblPrEx>
        <w:tc>
          <w:tcPr>
            <w:tcW w:w="8789" w:type="dxa"/>
            <w:tcBorders>
              <w:top w:val="nil"/>
              <w:left w:val="nil"/>
              <w:bottom w:val="nil"/>
              <w:right w:val="nil"/>
            </w:tcBorders>
            <w:shd w:val="clear" w:color="auto" w:fill="auto"/>
          </w:tcPr>
          <w:p w14:paraId="27CD1EA9" w14:textId="0C54FABD" w:rsidR="00EF5FCB" w:rsidRDefault="00EF5FCB" w:rsidP="00F979BC">
            <w:pPr>
              <w:pStyle w:val="Figure"/>
              <w:spacing w:before="60" w:after="60"/>
              <w:rPr>
                <w:rFonts w:ascii="Arial" w:hAnsi="Arial" w:cs="Arial"/>
                <w:noProof/>
                <w:sz w:val="18"/>
                <w:szCs w:val="18"/>
              </w:rPr>
            </w:pPr>
            <w:r>
              <w:rPr>
                <w:noProof/>
              </w:rPr>
              <w:drawing>
                <wp:inline distT="0" distB="0" distL="0" distR="0" wp14:anchorId="3323CC00" wp14:editId="4940C8E5">
                  <wp:extent cx="5389245" cy="2638425"/>
                  <wp:effectExtent l="0" t="0" r="1905" b="0"/>
                  <wp:docPr id="7" name="Chart 7" descr="More details can be found within the text surrounding this image. " title="Figure 15.8 Users of NDA employment services, by country of birth,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9E6A23" w:rsidRPr="007162F2" w14:paraId="657F6088" w14:textId="77777777" w:rsidTr="00F14D5E">
        <w:tc>
          <w:tcPr>
            <w:tcW w:w="8789" w:type="dxa"/>
            <w:tcBorders>
              <w:top w:val="nil"/>
              <w:left w:val="nil"/>
              <w:bottom w:val="nil"/>
              <w:right w:val="nil"/>
            </w:tcBorders>
            <w:shd w:val="clear" w:color="auto" w:fill="auto"/>
          </w:tcPr>
          <w:p w14:paraId="00D0CE1A" w14:textId="15188747" w:rsidR="009E6A23" w:rsidRPr="007162F2" w:rsidRDefault="009E6A23" w:rsidP="00CB5EE8">
            <w:pPr>
              <w:pStyle w:val="Note"/>
            </w:pPr>
            <w:r w:rsidRPr="007162F2">
              <w:rPr>
                <w:rStyle w:val="NoteLabel"/>
              </w:rPr>
              <w:t>a</w:t>
            </w:r>
            <w:r w:rsidRPr="007162F2">
              <w:t xml:space="preserve"> See box</w:t>
            </w:r>
            <w:r w:rsidR="004514F4">
              <w:t> </w:t>
            </w:r>
            <w:r w:rsidR="003C2134" w:rsidRPr="007162F2">
              <w:t xml:space="preserve">15.2 </w:t>
            </w:r>
            <w:r w:rsidRPr="007162F2">
              <w:t>and table</w:t>
            </w:r>
            <w:r w:rsidR="004514F4">
              <w:t> </w:t>
            </w:r>
            <w:r w:rsidRPr="007162F2">
              <w:t>15A.</w:t>
            </w:r>
            <w:r w:rsidR="00CB5EE8" w:rsidRPr="007162F2">
              <w:t>40</w:t>
            </w:r>
            <w:r w:rsidRPr="007162F2">
              <w:t xml:space="preserve"> for detailed definitions, footnotes and caveats.</w:t>
            </w:r>
          </w:p>
        </w:tc>
      </w:tr>
      <w:tr w:rsidR="009E6A23" w:rsidRPr="007162F2" w14:paraId="450B80A1" w14:textId="77777777" w:rsidTr="00F14D5E">
        <w:tc>
          <w:tcPr>
            <w:tcW w:w="8789" w:type="dxa"/>
            <w:tcBorders>
              <w:top w:val="nil"/>
              <w:left w:val="nil"/>
              <w:bottom w:val="nil"/>
              <w:right w:val="nil"/>
            </w:tcBorders>
            <w:shd w:val="clear" w:color="auto" w:fill="auto"/>
          </w:tcPr>
          <w:p w14:paraId="62A73E3C" w14:textId="4591307C" w:rsidR="009E6A23" w:rsidRPr="007162F2" w:rsidRDefault="009E6A23" w:rsidP="00CB5EE8">
            <w:pPr>
              <w:pStyle w:val="Source"/>
            </w:pPr>
            <w:r w:rsidRPr="007162F2">
              <w:rPr>
                <w:i/>
              </w:rPr>
              <w:t>Source</w:t>
            </w:r>
            <w:r w:rsidRPr="007162F2">
              <w:t>: AIHW (unpublished) DS NMDS; AIHW (unpublished), AIHW analysis of the ABS June ERP, ABS Census of Population and Housi</w:t>
            </w:r>
            <w:r w:rsidR="00CB5EE8" w:rsidRPr="007162F2">
              <w:t>ng and the ABS SDAC; table</w:t>
            </w:r>
            <w:r w:rsidR="004514F4">
              <w:t> </w:t>
            </w:r>
            <w:r w:rsidR="00CB5EE8" w:rsidRPr="007162F2">
              <w:t>15A.40</w:t>
            </w:r>
            <w:r w:rsidRPr="007162F2">
              <w:t>.</w:t>
            </w:r>
          </w:p>
        </w:tc>
      </w:tr>
      <w:tr w:rsidR="009E6A23" w:rsidRPr="007162F2" w14:paraId="25F293CC" w14:textId="77777777" w:rsidTr="00F14D5E">
        <w:tc>
          <w:tcPr>
            <w:tcW w:w="8789" w:type="dxa"/>
            <w:tcBorders>
              <w:top w:val="nil"/>
              <w:left w:val="nil"/>
              <w:bottom w:val="single" w:sz="6" w:space="0" w:color="78A22F"/>
              <w:right w:val="nil"/>
            </w:tcBorders>
            <w:shd w:val="clear" w:color="auto" w:fill="auto"/>
          </w:tcPr>
          <w:p w14:paraId="65526B7D" w14:textId="77777777" w:rsidR="009E6A23" w:rsidRPr="007162F2" w:rsidRDefault="009E6A23" w:rsidP="00F979BC">
            <w:pPr>
              <w:pStyle w:val="Figurespace"/>
            </w:pPr>
          </w:p>
        </w:tc>
      </w:tr>
      <w:tr w:rsidR="009E6A23" w:rsidRPr="007162F2" w14:paraId="76913717" w14:textId="77777777" w:rsidTr="00F14D5E">
        <w:tc>
          <w:tcPr>
            <w:tcW w:w="8789" w:type="dxa"/>
            <w:tcBorders>
              <w:top w:val="single" w:sz="6" w:space="0" w:color="78A22F"/>
              <w:left w:val="nil"/>
              <w:bottom w:val="nil"/>
              <w:right w:val="nil"/>
            </w:tcBorders>
          </w:tcPr>
          <w:p w14:paraId="661CB679" w14:textId="1147305F" w:rsidR="009E6A23" w:rsidRPr="007162F2" w:rsidRDefault="009E6A23" w:rsidP="00F979BC">
            <w:pPr>
              <w:pStyle w:val="BoxSpaceBelow"/>
            </w:pPr>
          </w:p>
        </w:tc>
      </w:tr>
    </w:tbl>
    <w:p w14:paraId="3BFB6637" w14:textId="77777777" w:rsidR="009E6A23" w:rsidRPr="007162F2" w:rsidRDefault="009E6A23" w:rsidP="009E6A23">
      <w:pPr>
        <w:pStyle w:val="Heading3"/>
      </w:pPr>
      <w:r w:rsidRPr="007162F2">
        <w:t>Effectiveness</w:t>
      </w:r>
    </w:p>
    <w:p w14:paraId="368D255F" w14:textId="2268EC9D" w:rsidR="009E6A23" w:rsidRPr="007162F2" w:rsidRDefault="009E6A23" w:rsidP="00452ECC">
      <w:pPr>
        <w:pStyle w:val="Heading4"/>
        <w:spacing w:before="440"/>
      </w:pPr>
      <w:r w:rsidRPr="007162F2">
        <w:t xml:space="preserve">Access — Access to </w:t>
      </w:r>
      <w:r w:rsidR="00CA7A86">
        <w:t>s</w:t>
      </w:r>
      <w:r w:rsidRPr="007162F2">
        <w:t>pecialist disability services</w:t>
      </w:r>
    </w:p>
    <w:p w14:paraId="1B9ACD6A" w14:textId="09E8A6C0" w:rsidR="009E6A23" w:rsidRDefault="009E6A23" w:rsidP="00910E5F">
      <w:pPr>
        <w:pStyle w:val="BodyText"/>
        <w:spacing w:after="200"/>
      </w:pPr>
      <w:r w:rsidRPr="007162F2">
        <w:t>‘Access to NDA specialist disability services’ is an indicator of governments’ objective to provide access to disability services on the basis of relative need (box </w:t>
      </w:r>
      <w:r w:rsidR="009F5938" w:rsidRPr="007162F2">
        <w:t>15.3</w:t>
      </w:r>
      <w:r w:rsidRPr="007162F2">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E6A23" w:rsidRPr="007162F2" w14:paraId="1F42A0EE" w14:textId="77777777" w:rsidTr="00F14D5E">
        <w:tc>
          <w:tcPr>
            <w:tcW w:w="8789" w:type="dxa"/>
            <w:tcBorders>
              <w:top w:val="single" w:sz="6" w:space="0" w:color="78A22F"/>
              <w:left w:val="nil"/>
              <w:bottom w:val="nil"/>
              <w:right w:val="nil"/>
            </w:tcBorders>
            <w:shd w:val="clear" w:color="auto" w:fill="F2F2F2"/>
          </w:tcPr>
          <w:p w14:paraId="1CC7277D" w14:textId="3E896C08" w:rsidR="009E6A23" w:rsidRPr="007162F2" w:rsidRDefault="009E6A23" w:rsidP="00CA7A86">
            <w:pPr>
              <w:pStyle w:val="BoxTitle"/>
            </w:pPr>
            <w:r w:rsidRPr="007162F2">
              <w:rPr>
                <w:b w:val="0"/>
              </w:rPr>
              <w:t xml:space="preserve">Box </w:t>
            </w:r>
            <w:r w:rsidR="003134C6">
              <w:rPr>
                <w:b w:val="0"/>
              </w:rPr>
              <w:t>15.</w:t>
            </w:r>
            <w:r w:rsidR="002358A7">
              <w:rPr>
                <w:b w:val="0"/>
                <w:noProof/>
              </w:rPr>
              <w:t>3</w:t>
            </w:r>
            <w:r w:rsidRPr="007162F2">
              <w:tab/>
              <w:t>Access to specialist disability services</w:t>
            </w:r>
          </w:p>
        </w:tc>
      </w:tr>
      <w:tr w:rsidR="009E6A23" w:rsidRPr="007162F2" w14:paraId="07DDB15E" w14:textId="77777777" w:rsidTr="00F14D5E">
        <w:tc>
          <w:tcPr>
            <w:tcW w:w="8789" w:type="dxa"/>
            <w:tcBorders>
              <w:top w:val="nil"/>
              <w:left w:val="nil"/>
              <w:bottom w:val="nil"/>
              <w:right w:val="nil"/>
            </w:tcBorders>
            <w:shd w:val="clear" w:color="auto" w:fill="F2F2F2"/>
          </w:tcPr>
          <w:p w14:paraId="5A249EFB" w14:textId="75B00FE2" w:rsidR="009E6A23" w:rsidRPr="007162F2" w:rsidRDefault="009E6A23" w:rsidP="009E6A23">
            <w:pPr>
              <w:pStyle w:val="Box"/>
            </w:pPr>
            <w:r w:rsidRPr="007162F2">
              <w:t>‘Access to specialist disability services’ is defined as the number of people using a particular NDA specialist disability service divided by the potential population for that service (see section</w:t>
            </w:r>
            <w:r w:rsidR="004514F4">
              <w:t> </w:t>
            </w:r>
            <w:r w:rsidRPr="007162F2">
              <w:t xml:space="preserve">15.4 for further information on the potential population). </w:t>
            </w:r>
            <w:r w:rsidR="001B2B1B" w:rsidRPr="007162F2">
              <w:t>Data</w:t>
            </w:r>
            <w:r w:rsidRPr="007162F2">
              <w:t xml:space="preserve"> are reported for </w:t>
            </w:r>
            <w:r w:rsidR="00CA7A86">
              <w:t xml:space="preserve">NDA </w:t>
            </w:r>
            <w:r w:rsidRPr="007162F2">
              <w:t>accommodation support, community support, community access, respite services and employment services (open and supported).</w:t>
            </w:r>
          </w:p>
          <w:p w14:paraId="4FF4272A" w14:textId="77777777" w:rsidR="009530FE" w:rsidRDefault="009E6A23" w:rsidP="00182F38">
            <w:pPr>
              <w:pStyle w:val="Box"/>
            </w:pPr>
            <w:r w:rsidRPr="007162F2">
              <w:t>A high or increasing proportion of the relevant estimated potential population using a particular service</w:t>
            </w:r>
            <w:r w:rsidR="00967A89">
              <w:t xml:space="preserve"> </w:t>
            </w:r>
            <w:r w:rsidR="00967A89" w:rsidRPr="00342AFB">
              <w:t>(the potential population can differ across service types – see section 15.4 for further details)</w:t>
            </w:r>
            <w:r w:rsidRPr="00342AFB">
              <w:t xml:space="preserve"> </w:t>
            </w:r>
            <w:r w:rsidRPr="007162F2">
              <w:t xml:space="preserve">suggests greater access to that service. However, not all people in the estimated potential population will need the service or seek to access the service in the relevant period. </w:t>
            </w:r>
          </w:p>
          <w:p w14:paraId="49F3D8D4" w14:textId="793FB936" w:rsidR="009E6A23" w:rsidRDefault="009530FE" w:rsidP="00182F38">
            <w:pPr>
              <w:pStyle w:val="Box"/>
            </w:pPr>
            <w:r w:rsidRPr="00EE24D3">
              <w:t xml:space="preserve">Differences in access between service types may reflect differences </w:t>
            </w:r>
            <w:r>
              <w:t>in the intensity of a service (for example,</w:t>
            </w:r>
            <w:r w:rsidRPr="00EE24D3">
              <w:t xml:space="preserve"> it is expected that use of community support services (low intensity) will be higher than accommodation support services (high intensity)).</w:t>
            </w:r>
          </w:p>
          <w:p w14:paraId="568D5AB5" w14:textId="2F7E7431" w:rsidR="008A247A" w:rsidRPr="007162F2" w:rsidRDefault="00910E5F" w:rsidP="00910E5F">
            <w:pPr>
              <w:pStyle w:val="Continued"/>
              <w:spacing w:before="120"/>
            </w:pPr>
            <w:r>
              <w:t xml:space="preserve"> </w:t>
            </w:r>
            <w:r w:rsidR="008A247A">
              <w:t>(continued next page)</w:t>
            </w:r>
          </w:p>
        </w:tc>
      </w:tr>
      <w:tr w:rsidR="009E6A23" w:rsidRPr="007162F2" w14:paraId="542558CC" w14:textId="77777777" w:rsidTr="00F14D5E">
        <w:tc>
          <w:tcPr>
            <w:tcW w:w="8789" w:type="dxa"/>
            <w:tcBorders>
              <w:top w:val="nil"/>
              <w:left w:val="nil"/>
              <w:bottom w:val="single" w:sz="6" w:space="0" w:color="78A22F"/>
              <w:right w:val="nil"/>
            </w:tcBorders>
            <w:shd w:val="clear" w:color="auto" w:fill="F2F2F2"/>
          </w:tcPr>
          <w:p w14:paraId="5EEA0DEE" w14:textId="77777777" w:rsidR="009E6A23" w:rsidRPr="007162F2" w:rsidRDefault="009E6A23">
            <w:pPr>
              <w:pStyle w:val="Box"/>
              <w:spacing w:before="0" w:line="120" w:lineRule="exact"/>
            </w:pPr>
          </w:p>
        </w:tc>
      </w:tr>
      <w:tr w:rsidR="009E6A23" w:rsidRPr="007162F2" w14:paraId="39B85534" w14:textId="77777777" w:rsidTr="00F14D5E">
        <w:tc>
          <w:tcPr>
            <w:tcW w:w="8789" w:type="dxa"/>
            <w:tcBorders>
              <w:top w:val="single" w:sz="6" w:space="0" w:color="78A22F"/>
              <w:left w:val="nil"/>
              <w:bottom w:val="nil"/>
              <w:right w:val="nil"/>
            </w:tcBorders>
          </w:tcPr>
          <w:p w14:paraId="37CC752F" w14:textId="1B9B4D24" w:rsidR="009E6A23" w:rsidRPr="007162F2" w:rsidRDefault="009E6A23" w:rsidP="00F979BC">
            <w:pPr>
              <w:pStyle w:val="BoxSpaceBelow"/>
            </w:pPr>
          </w:p>
        </w:tc>
      </w:tr>
    </w:tbl>
    <w:p w14:paraId="6FA99084" w14:textId="6CDE6EC6" w:rsidR="008A247A" w:rsidRDefault="008A247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47A" w14:paraId="1ECA2C1B" w14:textId="77777777" w:rsidTr="00F14D5E">
        <w:tc>
          <w:tcPr>
            <w:tcW w:w="8789" w:type="dxa"/>
            <w:tcBorders>
              <w:top w:val="single" w:sz="6" w:space="0" w:color="78A22F"/>
              <w:left w:val="nil"/>
              <w:bottom w:val="nil"/>
              <w:right w:val="nil"/>
            </w:tcBorders>
            <w:shd w:val="clear" w:color="auto" w:fill="F2F2F2"/>
          </w:tcPr>
          <w:p w14:paraId="571A15FB" w14:textId="6EC23B70" w:rsidR="008A247A" w:rsidRDefault="008A247A" w:rsidP="00BB2639">
            <w:pPr>
              <w:pStyle w:val="BoxTitle"/>
            </w:pPr>
            <w:r>
              <w:rPr>
                <w:b w:val="0"/>
              </w:rPr>
              <w:t xml:space="preserve">Box </w:t>
            </w:r>
            <w:r w:rsidR="00BB2639" w:rsidRPr="00BB2639">
              <w:rPr>
                <w:b w:val="0"/>
              </w:rPr>
              <w:t>15.3</w:t>
            </w:r>
            <w:r>
              <w:tab/>
            </w:r>
            <w:r>
              <w:rPr>
                <w:rStyle w:val="Continuedintitle"/>
              </w:rPr>
              <w:t>(c</w:t>
            </w:r>
            <w:r w:rsidRPr="008A247A">
              <w:rPr>
                <w:rStyle w:val="Continuedintitle"/>
              </w:rPr>
              <w:t>ontinued</w:t>
            </w:r>
            <w:r>
              <w:rPr>
                <w:rStyle w:val="Continuedintitle"/>
              </w:rPr>
              <w:t>)</w:t>
            </w:r>
          </w:p>
        </w:tc>
      </w:tr>
      <w:tr w:rsidR="008A247A" w14:paraId="6D3AA57C" w14:textId="77777777" w:rsidTr="00F14D5E">
        <w:tc>
          <w:tcPr>
            <w:tcW w:w="8789" w:type="dxa"/>
            <w:tcBorders>
              <w:top w:val="nil"/>
              <w:left w:val="nil"/>
              <w:bottom w:val="nil"/>
              <w:right w:val="nil"/>
            </w:tcBorders>
            <w:shd w:val="clear" w:color="auto" w:fill="F2F2F2"/>
          </w:tcPr>
          <w:p w14:paraId="4D0ACD31" w14:textId="77777777" w:rsidR="008A247A" w:rsidRPr="007162F2" w:rsidRDefault="008A247A" w:rsidP="008A247A">
            <w:pPr>
              <w:pStyle w:val="Box"/>
            </w:pPr>
            <w:r w:rsidRPr="007162F2">
              <w:t>Information on the proportion of the potential population and the proportion of primary carers who report a need for more formal assistance are available in tables 15A.42–45. This indicator does not provide information on whether the services are appropriate for the needs of the people receiving them, or accessed by those most in need.</w:t>
            </w:r>
          </w:p>
          <w:p w14:paraId="326EB249" w14:textId="77777777" w:rsidR="008A247A" w:rsidRPr="007162F2" w:rsidRDefault="008A247A" w:rsidP="008A247A">
            <w:pPr>
              <w:pStyle w:val="Box"/>
            </w:pPr>
            <w:r w:rsidRPr="007162F2">
              <w:t>Data reported for this measure are:</w:t>
            </w:r>
          </w:p>
          <w:p w14:paraId="5BBA5A0F" w14:textId="77777777" w:rsidR="008A247A" w:rsidRPr="007162F2" w:rsidRDefault="008A247A" w:rsidP="008A247A">
            <w:pPr>
              <w:pStyle w:val="BoxListBullet"/>
              <w:keepLines/>
            </w:pPr>
            <w:r w:rsidRPr="007162F2">
              <w:t xml:space="preserve">comparable (subject to caveats) across jurisdictions and over time </w:t>
            </w:r>
          </w:p>
          <w:p w14:paraId="7AA7CD86" w14:textId="72E58ECD" w:rsidR="008A247A" w:rsidRDefault="005F1371" w:rsidP="00CA7A86">
            <w:pPr>
              <w:pStyle w:val="BoxListBullet"/>
              <w:keepLines/>
            </w:pPr>
            <w:r>
              <w:t xml:space="preserve">not </w:t>
            </w:r>
            <w:r w:rsidR="008A247A" w:rsidRPr="007162F2">
              <w:t xml:space="preserve">complete (subject to caveats) for the current reporting period. </w:t>
            </w:r>
            <w:r>
              <w:t>Service use data were not available for the ACT for 2015</w:t>
            </w:r>
            <w:r w:rsidR="00665EFA">
              <w:noBreakHyphen/>
            </w:r>
            <w:r>
              <w:t>16 with the exception of employment services</w:t>
            </w:r>
            <w:r w:rsidRPr="007162F2">
              <w:t>.</w:t>
            </w:r>
          </w:p>
          <w:p w14:paraId="171DCC7D" w14:textId="49EC155F" w:rsidR="00CA7A86" w:rsidRDefault="00CA7A86" w:rsidP="00CA7A86">
            <w:pPr>
              <w:pStyle w:val="Box"/>
            </w:pPr>
            <w:r w:rsidRPr="00CA7A86">
              <w:t>Data on service access by people supported through the NDIS are under development.</w:t>
            </w:r>
          </w:p>
        </w:tc>
      </w:tr>
      <w:tr w:rsidR="008A247A" w14:paraId="4B57075D" w14:textId="77777777" w:rsidTr="00F14D5E">
        <w:tc>
          <w:tcPr>
            <w:tcW w:w="8789" w:type="dxa"/>
            <w:tcBorders>
              <w:top w:val="nil"/>
              <w:left w:val="nil"/>
              <w:bottom w:val="single" w:sz="6" w:space="0" w:color="78A22F"/>
              <w:right w:val="nil"/>
            </w:tcBorders>
            <w:shd w:val="clear" w:color="auto" w:fill="F2F2F2"/>
          </w:tcPr>
          <w:p w14:paraId="7DEB6A39" w14:textId="77777777" w:rsidR="008A247A" w:rsidRDefault="008A247A">
            <w:pPr>
              <w:pStyle w:val="Box"/>
              <w:spacing w:before="0" w:line="120" w:lineRule="exact"/>
            </w:pPr>
          </w:p>
        </w:tc>
      </w:tr>
      <w:tr w:rsidR="008A247A" w:rsidRPr="000863A5" w14:paraId="1034F8C8" w14:textId="77777777" w:rsidTr="00F14D5E">
        <w:tc>
          <w:tcPr>
            <w:tcW w:w="8789" w:type="dxa"/>
            <w:tcBorders>
              <w:top w:val="single" w:sz="6" w:space="0" w:color="78A22F"/>
              <w:left w:val="nil"/>
              <w:bottom w:val="nil"/>
              <w:right w:val="nil"/>
            </w:tcBorders>
          </w:tcPr>
          <w:p w14:paraId="64C261F6" w14:textId="2C4C9E76" w:rsidR="008A247A" w:rsidRPr="00626D32" w:rsidRDefault="008A247A" w:rsidP="00BE12C5">
            <w:pPr>
              <w:pStyle w:val="BoxSpaceBelow"/>
            </w:pPr>
          </w:p>
        </w:tc>
      </w:tr>
    </w:tbl>
    <w:p w14:paraId="5B38BF09" w14:textId="15466465" w:rsidR="002D6391" w:rsidRPr="00606F94" w:rsidRDefault="00D76B1D" w:rsidP="00F979BC">
      <w:pPr>
        <w:pStyle w:val="BodyText"/>
      </w:pPr>
      <w:r w:rsidRPr="00D76B1D">
        <w:t>Nationally in 2015</w:t>
      </w:r>
      <w:r w:rsidR="00665EFA">
        <w:noBreakHyphen/>
      </w:r>
      <w:r w:rsidRPr="00D76B1D">
        <w:t xml:space="preserve">16, the proportion of the estimated potential population using NDA specialist disability services was highest for community support services (22.0 per cent) (figure 15.9) </w:t>
      </w:r>
      <w:r w:rsidRPr="00342AFB">
        <w:t>and respite services (13.9 per cent) (figure 15.10), followed by community access services (7.7 per cent) (table 15A.48) and accommod</w:t>
      </w:r>
      <w:r w:rsidR="00160161">
        <w:t>ation support services (5.5 per </w:t>
      </w:r>
      <w:r w:rsidRPr="00342AFB">
        <w:t>cent) (table 15A.46).</w:t>
      </w:r>
    </w:p>
    <w:p w14:paraId="2B05A6D2" w14:textId="1267EA5D" w:rsidR="00F979BC" w:rsidRPr="007162F2" w:rsidRDefault="00F979BC"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5744527A" w14:textId="77777777" w:rsidTr="00F14D5E">
        <w:trPr>
          <w:tblHeader/>
        </w:trPr>
        <w:tc>
          <w:tcPr>
            <w:tcW w:w="8789" w:type="dxa"/>
            <w:tcBorders>
              <w:top w:val="single" w:sz="6" w:space="0" w:color="78A22F"/>
              <w:left w:val="nil"/>
              <w:bottom w:val="nil"/>
              <w:right w:val="nil"/>
            </w:tcBorders>
            <w:shd w:val="clear" w:color="auto" w:fill="auto"/>
          </w:tcPr>
          <w:p w14:paraId="12DD8502" w14:textId="26C83715" w:rsidR="00F979BC" w:rsidRPr="007162F2" w:rsidRDefault="00F979BC" w:rsidP="00ED5549">
            <w:pPr>
              <w:pStyle w:val="FigureTitle"/>
            </w:pPr>
            <w:r w:rsidRPr="007162F2">
              <w:rPr>
                <w:b w:val="0"/>
              </w:rPr>
              <w:t xml:space="preserve">Figure </w:t>
            </w:r>
            <w:bookmarkStart w:id="16" w:name="OLE_LINK13"/>
            <w:r w:rsidRPr="007162F2">
              <w:rPr>
                <w:b w:val="0"/>
              </w:rPr>
              <w:t>15.</w:t>
            </w:r>
            <w:r w:rsidR="00C37B05">
              <w:rPr>
                <w:b w:val="0"/>
                <w:noProof/>
              </w:rPr>
              <w:t>9</w:t>
            </w:r>
            <w:bookmarkEnd w:id="16"/>
            <w:r w:rsidRPr="007162F2">
              <w:tab/>
              <w:t>Users of NDA community support services as a proportion of the estimated potential population</w:t>
            </w:r>
            <w:r w:rsidRPr="007162F2">
              <w:rPr>
                <w:rStyle w:val="NoteLabel"/>
                <w:b/>
              </w:rPr>
              <w:t>a</w:t>
            </w:r>
            <w:r w:rsidR="00ED5549">
              <w:rPr>
                <w:rStyle w:val="NoteLabel"/>
                <w:b/>
              </w:rPr>
              <w:t>, b</w:t>
            </w:r>
          </w:p>
        </w:tc>
      </w:tr>
      <w:tr w:rsidR="00F979BC" w:rsidRPr="007162F2" w14:paraId="6CFA932A"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79BC" w:rsidRPr="007162F2" w14:paraId="36E4BAD8" w14:textId="77777777" w:rsidTr="00F979BC">
              <w:trPr>
                <w:tblHeader/>
                <w:jc w:val="center"/>
              </w:trPr>
              <w:tc>
                <w:tcPr>
                  <w:tcW w:w="5000" w:type="pct"/>
                  <w:tcBorders>
                    <w:top w:val="nil"/>
                    <w:bottom w:val="nil"/>
                  </w:tcBorders>
                </w:tcPr>
                <w:p w14:paraId="731CE75C" w14:textId="0B396F19" w:rsidR="005165DC"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F832DB4" wp14:editId="6A801241">
                        <wp:extent cx="5335905" cy="2526665"/>
                        <wp:effectExtent l="0" t="0" r="0" b="6985"/>
                        <wp:docPr id="27" name="Picture 27" descr="More details can be found within the text surrounding this image. " title="Figure 15.9 Users of NDA community support services as a proportion of the estimated potenti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5905" cy="2526665"/>
                                </a:xfrm>
                                <a:prstGeom prst="rect">
                                  <a:avLst/>
                                </a:prstGeom>
                                <a:noFill/>
                                <a:ln>
                                  <a:noFill/>
                                </a:ln>
                              </pic:spPr>
                            </pic:pic>
                          </a:graphicData>
                        </a:graphic>
                      </wp:inline>
                    </w:drawing>
                  </w:r>
                </w:p>
              </w:tc>
            </w:tr>
          </w:tbl>
          <w:p w14:paraId="7FE0C536" w14:textId="77777777" w:rsidR="00F979BC" w:rsidRPr="007162F2" w:rsidRDefault="00F979BC" w:rsidP="00F979BC">
            <w:pPr>
              <w:pStyle w:val="Figure"/>
            </w:pPr>
          </w:p>
        </w:tc>
      </w:tr>
      <w:tr w:rsidR="00F979BC" w:rsidRPr="007162F2" w14:paraId="067C592D" w14:textId="77777777" w:rsidTr="00F14D5E">
        <w:tc>
          <w:tcPr>
            <w:tcW w:w="8789" w:type="dxa"/>
            <w:tcBorders>
              <w:top w:val="nil"/>
              <w:left w:val="nil"/>
              <w:bottom w:val="nil"/>
              <w:right w:val="nil"/>
            </w:tcBorders>
            <w:shd w:val="clear" w:color="auto" w:fill="auto"/>
          </w:tcPr>
          <w:p w14:paraId="63EC977C" w14:textId="6EF62225" w:rsidR="00F979BC" w:rsidRPr="007162F2" w:rsidRDefault="00F979BC" w:rsidP="00ED5549">
            <w:pPr>
              <w:pStyle w:val="Note"/>
            </w:pPr>
            <w:r w:rsidRPr="007162F2">
              <w:rPr>
                <w:rStyle w:val="NoteLabel"/>
              </w:rPr>
              <w:t>a</w:t>
            </w:r>
            <w:r w:rsidRPr="007162F2">
              <w:t xml:space="preserve"> See box </w:t>
            </w:r>
            <w:r w:rsidR="00983398">
              <w:t xml:space="preserve">15.3 </w:t>
            </w:r>
            <w:r w:rsidRPr="007162F2">
              <w:t>and table 15A.</w:t>
            </w:r>
            <w:r w:rsidR="00CB5EE8" w:rsidRPr="007162F2">
              <w:t>47</w:t>
            </w:r>
            <w:r w:rsidRPr="007162F2">
              <w:t xml:space="preserve"> for detailed definitions, footnotes and caveats.</w:t>
            </w:r>
            <w:r w:rsidR="00ED5549">
              <w:t xml:space="preserve"> </w:t>
            </w:r>
            <w:r w:rsidR="00ED5549" w:rsidRPr="00185124">
              <w:rPr>
                <w:rStyle w:val="NoteLabel"/>
              </w:rPr>
              <w:t>b</w:t>
            </w:r>
            <w:r w:rsidR="00ED5549">
              <w:t xml:space="preserve"> Data are not available for the ACT for 2015</w:t>
            </w:r>
            <w:r w:rsidR="00665EFA">
              <w:noBreakHyphen/>
            </w:r>
            <w:r w:rsidR="00ED5549">
              <w:t xml:space="preserve">16. </w:t>
            </w:r>
            <w:r w:rsidR="0057488B">
              <w:t xml:space="preserve">The </w:t>
            </w:r>
            <w:r w:rsidR="00ED5549">
              <w:t>Australian total</w:t>
            </w:r>
            <w:r w:rsidR="0057488B">
              <w:t xml:space="preserve"> for 2015-16</w:t>
            </w:r>
            <w:r w:rsidR="00ED5549">
              <w:t xml:space="preserve"> exclude</w:t>
            </w:r>
            <w:r w:rsidR="0057488B">
              <w:t>s</w:t>
            </w:r>
            <w:r w:rsidR="00ED5549">
              <w:t xml:space="preserve"> ACT service users.</w:t>
            </w:r>
          </w:p>
        </w:tc>
      </w:tr>
      <w:tr w:rsidR="00F979BC" w:rsidRPr="007162F2" w14:paraId="1F7088CD" w14:textId="77777777" w:rsidTr="00F14D5E">
        <w:tc>
          <w:tcPr>
            <w:tcW w:w="8789" w:type="dxa"/>
            <w:tcBorders>
              <w:top w:val="nil"/>
              <w:left w:val="nil"/>
              <w:bottom w:val="nil"/>
              <w:right w:val="nil"/>
            </w:tcBorders>
            <w:shd w:val="clear" w:color="auto" w:fill="auto"/>
          </w:tcPr>
          <w:p w14:paraId="6B75C0C0" w14:textId="77777777" w:rsidR="00F979BC" w:rsidRPr="007162F2" w:rsidRDefault="00F979BC" w:rsidP="00F979BC">
            <w:pPr>
              <w:pStyle w:val="Source"/>
            </w:pPr>
            <w:r w:rsidRPr="007162F2">
              <w:rPr>
                <w:i/>
              </w:rPr>
              <w:t>Source</w:t>
            </w:r>
            <w:r w:rsidRPr="007162F2">
              <w:t>: AIHW (unpublished), DS NMDS, AIHW analysis of the ABS June ERP, ABS Census of Population and Housing and the ABS SDAC; table 15A.</w:t>
            </w:r>
            <w:r w:rsidR="00CB5EE8" w:rsidRPr="007162F2">
              <w:t>47.</w:t>
            </w:r>
          </w:p>
        </w:tc>
      </w:tr>
      <w:tr w:rsidR="00F979BC" w:rsidRPr="007162F2" w14:paraId="2B95752B" w14:textId="77777777" w:rsidTr="00F14D5E">
        <w:tc>
          <w:tcPr>
            <w:tcW w:w="8789" w:type="dxa"/>
            <w:tcBorders>
              <w:top w:val="nil"/>
              <w:left w:val="nil"/>
              <w:bottom w:val="single" w:sz="6" w:space="0" w:color="78A22F"/>
              <w:right w:val="nil"/>
            </w:tcBorders>
            <w:shd w:val="clear" w:color="auto" w:fill="auto"/>
          </w:tcPr>
          <w:p w14:paraId="3B3CEE79" w14:textId="77777777" w:rsidR="00F979BC" w:rsidRPr="007162F2" w:rsidRDefault="00F979BC" w:rsidP="00F979BC">
            <w:pPr>
              <w:pStyle w:val="Figurespace"/>
            </w:pPr>
          </w:p>
        </w:tc>
      </w:tr>
      <w:tr w:rsidR="00F979BC" w:rsidRPr="007162F2" w14:paraId="28C31F21" w14:textId="77777777" w:rsidTr="00F14D5E">
        <w:tc>
          <w:tcPr>
            <w:tcW w:w="8789" w:type="dxa"/>
            <w:tcBorders>
              <w:top w:val="single" w:sz="6" w:space="0" w:color="78A22F"/>
              <w:left w:val="nil"/>
              <w:bottom w:val="nil"/>
              <w:right w:val="nil"/>
            </w:tcBorders>
          </w:tcPr>
          <w:p w14:paraId="1FBCCAF7" w14:textId="3796AEED" w:rsidR="00F979BC" w:rsidRPr="007162F2" w:rsidRDefault="00F979BC" w:rsidP="00F979BC">
            <w:pPr>
              <w:pStyle w:val="BoxSpaceBelow"/>
            </w:pPr>
          </w:p>
        </w:tc>
      </w:tr>
    </w:tbl>
    <w:p w14:paraId="608DEDB5" w14:textId="60972160" w:rsidR="00F979BC" w:rsidRPr="007162F2" w:rsidRDefault="00F979BC"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54E9E1A7" w14:textId="77777777" w:rsidTr="00F14D5E">
        <w:trPr>
          <w:cantSplit/>
          <w:tblHeader/>
        </w:trPr>
        <w:tc>
          <w:tcPr>
            <w:tcW w:w="8789" w:type="dxa"/>
            <w:tcBorders>
              <w:top w:val="single" w:sz="6" w:space="0" w:color="78A22F"/>
              <w:left w:val="nil"/>
              <w:bottom w:val="nil"/>
              <w:right w:val="nil"/>
            </w:tcBorders>
            <w:shd w:val="clear" w:color="auto" w:fill="auto"/>
          </w:tcPr>
          <w:p w14:paraId="3FE525DA" w14:textId="7212E9CD" w:rsidR="00F979BC" w:rsidRPr="007162F2" w:rsidRDefault="00F979BC" w:rsidP="008F23F5">
            <w:pPr>
              <w:pStyle w:val="FigureTitle"/>
            </w:pPr>
            <w:r w:rsidRPr="007162F2">
              <w:rPr>
                <w:b w:val="0"/>
              </w:rPr>
              <w:t xml:space="preserve">Figure </w:t>
            </w:r>
            <w:bookmarkStart w:id="17" w:name="OLE_LINK15"/>
            <w:r w:rsidRPr="007162F2">
              <w:rPr>
                <w:b w:val="0"/>
              </w:rPr>
              <w:t>15.</w:t>
            </w:r>
            <w:r w:rsidR="00C37B05">
              <w:rPr>
                <w:b w:val="0"/>
                <w:noProof/>
              </w:rPr>
              <w:t>10</w:t>
            </w:r>
            <w:bookmarkEnd w:id="17"/>
            <w:r w:rsidRPr="007162F2">
              <w:tab/>
              <w:t>Users of NDA respite services as a proportion of the</w:t>
            </w:r>
            <w:r w:rsidR="006870C0" w:rsidRPr="007162F2">
              <w:t xml:space="preserve"> estimated potential population</w:t>
            </w:r>
            <w:r w:rsidRPr="007162F2">
              <w:rPr>
                <w:rStyle w:val="NoteLabel"/>
                <w:b/>
              </w:rPr>
              <w:t>a</w:t>
            </w:r>
            <w:r w:rsidR="008F23F5">
              <w:rPr>
                <w:rStyle w:val="NoteLabel"/>
                <w:b/>
              </w:rPr>
              <w:t>, b</w:t>
            </w:r>
          </w:p>
        </w:tc>
      </w:tr>
      <w:tr w:rsidR="00F979BC" w:rsidRPr="007162F2" w14:paraId="280EF6AE" w14:textId="77777777" w:rsidTr="00F14D5E">
        <w:trPr>
          <w:cantSplit/>
        </w:trPr>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79BC" w:rsidRPr="007162F2" w14:paraId="4F11DCAE" w14:textId="77777777" w:rsidTr="00F979BC">
              <w:trPr>
                <w:tblHeader/>
                <w:jc w:val="center"/>
              </w:trPr>
              <w:tc>
                <w:tcPr>
                  <w:tcW w:w="5000" w:type="pct"/>
                  <w:tcBorders>
                    <w:top w:val="nil"/>
                    <w:bottom w:val="nil"/>
                  </w:tcBorders>
                </w:tcPr>
                <w:p w14:paraId="2B82AC1F" w14:textId="7F23B2C2" w:rsidR="005165DC"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0AFE734" wp14:editId="0E2D03E1">
                        <wp:extent cx="5372100" cy="2707005"/>
                        <wp:effectExtent l="0" t="0" r="0" b="0"/>
                        <wp:docPr id="28" name="Picture 28" descr="More details can be found within the text surrounding this image. " title="Figure 15.10 Users of NDA respite services as a proportion of the estimated potenti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2100" cy="2707005"/>
                                </a:xfrm>
                                <a:prstGeom prst="rect">
                                  <a:avLst/>
                                </a:prstGeom>
                                <a:noFill/>
                                <a:ln>
                                  <a:noFill/>
                                </a:ln>
                              </pic:spPr>
                            </pic:pic>
                          </a:graphicData>
                        </a:graphic>
                      </wp:inline>
                    </w:drawing>
                  </w:r>
                </w:p>
              </w:tc>
            </w:tr>
          </w:tbl>
          <w:p w14:paraId="7B4BDA9F" w14:textId="77777777" w:rsidR="00F979BC" w:rsidRPr="007162F2" w:rsidRDefault="00F979BC" w:rsidP="00F979BC">
            <w:pPr>
              <w:pStyle w:val="Figure"/>
            </w:pPr>
          </w:p>
        </w:tc>
      </w:tr>
      <w:tr w:rsidR="00F979BC" w:rsidRPr="007162F2" w14:paraId="473714FC" w14:textId="77777777" w:rsidTr="00F14D5E">
        <w:trPr>
          <w:cantSplit/>
        </w:trPr>
        <w:tc>
          <w:tcPr>
            <w:tcW w:w="8789" w:type="dxa"/>
            <w:tcBorders>
              <w:top w:val="nil"/>
              <w:left w:val="nil"/>
              <w:bottom w:val="nil"/>
              <w:right w:val="nil"/>
            </w:tcBorders>
            <w:shd w:val="clear" w:color="auto" w:fill="auto"/>
          </w:tcPr>
          <w:p w14:paraId="611A40DC" w14:textId="7388C8A5" w:rsidR="00F979BC" w:rsidRPr="007162F2" w:rsidRDefault="00F979BC" w:rsidP="00983398">
            <w:pPr>
              <w:pStyle w:val="Note"/>
            </w:pPr>
            <w:r w:rsidRPr="007162F2">
              <w:rPr>
                <w:rStyle w:val="NoteLabel"/>
              </w:rPr>
              <w:t>a</w:t>
            </w:r>
            <w:r w:rsidRPr="007162F2">
              <w:t xml:space="preserve"> See box </w:t>
            </w:r>
            <w:r w:rsidR="00983398">
              <w:t xml:space="preserve">15.3 </w:t>
            </w:r>
            <w:r w:rsidRPr="007162F2">
              <w:t>and table 15A.</w:t>
            </w:r>
            <w:r w:rsidR="00CB5EE8" w:rsidRPr="007162F2">
              <w:t>49</w:t>
            </w:r>
            <w:r w:rsidRPr="007162F2">
              <w:t xml:space="preserve"> for detailed definitions, footnotes and caveats.</w:t>
            </w:r>
            <w:r w:rsidR="008F23F5">
              <w:t xml:space="preserve"> </w:t>
            </w:r>
            <w:r w:rsidR="008F23F5" w:rsidRPr="00185124">
              <w:rPr>
                <w:rStyle w:val="NoteLabel"/>
              </w:rPr>
              <w:t>b</w:t>
            </w:r>
            <w:r w:rsidR="008F23F5">
              <w:t xml:space="preserve"> Data are not available for the ACT for 2015</w:t>
            </w:r>
            <w:r w:rsidR="00665EFA">
              <w:noBreakHyphen/>
            </w:r>
            <w:r w:rsidR="008F23F5">
              <w:t xml:space="preserve">16. </w:t>
            </w:r>
            <w:r w:rsidR="0057488B">
              <w:t xml:space="preserve">The </w:t>
            </w:r>
            <w:r w:rsidR="008F23F5">
              <w:t>Australian total</w:t>
            </w:r>
            <w:r w:rsidR="0057488B">
              <w:t xml:space="preserve"> for 2015-16</w:t>
            </w:r>
            <w:r w:rsidR="008F23F5">
              <w:t xml:space="preserve"> exclude</w:t>
            </w:r>
            <w:r w:rsidR="0057488B">
              <w:t>s</w:t>
            </w:r>
            <w:r w:rsidR="008F23F5">
              <w:t xml:space="preserve"> ACT service users.</w:t>
            </w:r>
          </w:p>
        </w:tc>
      </w:tr>
      <w:tr w:rsidR="00F979BC" w:rsidRPr="007162F2" w14:paraId="7D7F3F46" w14:textId="77777777" w:rsidTr="00F14D5E">
        <w:trPr>
          <w:cantSplit/>
        </w:trPr>
        <w:tc>
          <w:tcPr>
            <w:tcW w:w="8789" w:type="dxa"/>
            <w:tcBorders>
              <w:top w:val="nil"/>
              <w:left w:val="nil"/>
              <w:bottom w:val="nil"/>
              <w:right w:val="nil"/>
            </w:tcBorders>
            <w:shd w:val="clear" w:color="auto" w:fill="auto"/>
          </w:tcPr>
          <w:p w14:paraId="272CD1F4" w14:textId="77777777" w:rsidR="00F979BC" w:rsidRPr="007162F2" w:rsidRDefault="00F979BC" w:rsidP="00CB5EE8">
            <w:pPr>
              <w:pStyle w:val="Source"/>
            </w:pPr>
            <w:r w:rsidRPr="007162F2">
              <w:rPr>
                <w:i/>
              </w:rPr>
              <w:t>Source</w:t>
            </w:r>
            <w:r w:rsidRPr="007162F2">
              <w:t>: AIHW (unpublished) DS NMDS, AIHW analysis of the ABS June ERP, ABS Census of Population and Housing and the ABS SDAC; table 15A.</w:t>
            </w:r>
            <w:r w:rsidR="00CB5EE8" w:rsidRPr="007162F2">
              <w:t>49</w:t>
            </w:r>
            <w:r w:rsidRPr="007162F2">
              <w:t>.</w:t>
            </w:r>
          </w:p>
        </w:tc>
      </w:tr>
      <w:tr w:rsidR="00F979BC" w:rsidRPr="007162F2" w14:paraId="6B5370D6" w14:textId="77777777" w:rsidTr="00F14D5E">
        <w:trPr>
          <w:cantSplit/>
        </w:trPr>
        <w:tc>
          <w:tcPr>
            <w:tcW w:w="8789" w:type="dxa"/>
            <w:tcBorders>
              <w:top w:val="nil"/>
              <w:left w:val="nil"/>
              <w:bottom w:val="single" w:sz="6" w:space="0" w:color="78A22F"/>
              <w:right w:val="nil"/>
            </w:tcBorders>
            <w:shd w:val="clear" w:color="auto" w:fill="auto"/>
          </w:tcPr>
          <w:p w14:paraId="15AB6521" w14:textId="77777777" w:rsidR="00F979BC" w:rsidRPr="007162F2" w:rsidRDefault="00F979BC" w:rsidP="00F979BC">
            <w:pPr>
              <w:pStyle w:val="Figurespace"/>
            </w:pPr>
          </w:p>
        </w:tc>
      </w:tr>
      <w:tr w:rsidR="00F979BC" w:rsidRPr="007162F2" w14:paraId="17B3E4F9" w14:textId="77777777" w:rsidTr="00F14D5E">
        <w:trPr>
          <w:cantSplit/>
        </w:trPr>
        <w:tc>
          <w:tcPr>
            <w:tcW w:w="8789" w:type="dxa"/>
            <w:tcBorders>
              <w:top w:val="single" w:sz="6" w:space="0" w:color="78A22F"/>
              <w:left w:val="nil"/>
              <w:bottom w:val="nil"/>
              <w:right w:val="nil"/>
            </w:tcBorders>
          </w:tcPr>
          <w:p w14:paraId="7B1CB760" w14:textId="20E83811" w:rsidR="00F979BC" w:rsidRPr="007162F2" w:rsidRDefault="00F979BC" w:rsidP="00F979BC">
            <w:pPr>
              <w:pStyle w:val="BoxSpaceBelow"/>
            </w:pPr>
          </w:p>
        </w:tc>
      </w:tr>
    </w:tbl>
    <w:p w14:paraId="733F9C63" w14:textId="1AE452D1" w:rsidR="00F979BC" w:rsidRPr="00606F94" w:rsidRDefault="002A2775" w:rsidP="001325A6">
      <w:pPr>
        <w:pStyle w:val="BodyText"/>
      </w:pPr>
      <w:r w:rsidRPr="00606F94">
        <w:t>Nationally in 2015</w:t>
      </w:r>
      <w:r w:rsidRPr="00606F94">
        <w:noBreakHyphen/>
        <w:t>16</w:t>
      </w:r>
      <w:r w:rsidR="00F979BC" w:rsidRPr="00606F94">
        <w:t>, for people aged 15–64 years with disability</w:t>
      </w:r>
      <w:r w:rsidR="001325A6" w:rsidRPr="00606F94">
        <w:t xml:space="preserve"> with an employment restriction, </w:t>
      </w:r>
      <w:r w:rsidR="00606F94" w:rsidRPr="00606F94">
        <w:t>8.8</w:t>
      </w:r>
      <w:r w:rsidR="00F979BC" w:rsidRPr="00606F94">
        <w:t xml:space="preserve"> per cent were using NDA open employment services </w:t>
      </w:r>
      <w:r w:rsidR="001B2B1B" w:rsidRPr="00606F94">
        <w:t>(</w:t>
      </w:r>
      <w:r w:rsidR="003C663E" w:rsidRPr="00606F94">
        <w:t>Employment Support Services (</w:t>
      </w:r>
      <w:r w:rsidR="001B2B1B" w:rsidRPr="00606F94">
        <w:t>ESS</w:t>
      </w:r>
      <w:r w:rsidR="003C663E" w:rsidRPr="00606F94">
        <w:t>)</w:t>
      </w:r>
      <w:r w:rsidR="00F979BC" w:rsidRPr="00606F94">
        <w:t>)</w:t>
      </w:r>
      <w:r w:rsidR="00F979BC" w:rsidRPr="00342AFB">
        <w:t xml:space="preserve"> </w:t>
      </w:r>
      <w:r w:rsidR="004A402E" w:rsidRPr="00342AFB">
        <w:t>— an increase from 7.5 per cent in 2011</w:t>
      </w:r>
      <w:r w:rsidR="004A402E" w:rsidRPr="00342AFB">
        <w:noBreakHyphen/>
        <w:t xml:space="preserve">12 </w:t>
      </w:r>
      <w:r w:rsidR="00F979BC" w:rsidRPr="00606F94">
        <w:t>(figure </w:t>
      </w:r>
      <w:r w:rsidR="003C2134" w:rsidRPr="00606F94">
        <w:t>15.11</w:t>
      </w:r>
      <w:r w:rsidR="00D611DE" w:rsidRPr="00606F94">
        <w:t>)</w:t>
      </w:r>
      <w:r w:rsidR="004514F4" w:rsidRPr="00606F94">
        <w:t>.</w:t>
      </w:r>
    </w:p>
    <w:p w14:paraId="6A5F6EAF" w14:textId="7C2C5AB9" w:rsidR="00F979BC" w:rsidRPr="00606F94" w:rsidRDefault="001325A6" w:rsidP="001325A6">
      <w:pPr>
        <w:pStyle w:val="BodyText"/>
      </w:pPr>
      <w:r w:rsidRPr="00606F94">
        <w:t>Nationally in 201</w:t>
      </w:r>
      <w:r w:rsidR="002A2775" w:rsidRPr="00606F94">
        <w:t>6</w:t>
      </w:r>
      <w:r w:rsidRPr="00606F94">
        <w:noBreakHyphen/>
        <w:t>1</w:t>
      </w:r>
      <w:r w:rsidR="002A2775" w:rsidRPr="00606F94">
        <w:t>7</w:t>
      </w:r>
      <w:r w:rsidRPr="00606F94">
        <w:t xml:space="preserve">, for people aged 15–64 years with disability with an employment restriction, </w:t>
      </w:r>
      <w:r w:rsidR="00606F94" w:rsidRPr="00606F94">
        <w:t>8.8</w:t>
      </w:r>
      <w:r w:rsidR="00F979BC" w:rsidRPr="00606F94">
        <w:t xml:space="preserve"> per cent were using NDA open employment services (</w:t>
      </w:r>
      <w:r w:rsidR="003C663E" w:rsidRPr="00606F94">
        <w:t xml:space="preserve">Disability </w:t>
      </w:r>
      <w:r w:rsidR="00F979BC" w:rsidRPr="00606F94">
        <w:t>M</w:t>
      </w:r>
      <w:r w:rsidR="003C663E" w:rsidRPr="00606F94">
        <w:t>anagement Services (DMS)</w:t>
      </w:r>
      <w:r w:rsidR="00F979BC" w:rsidRPr="00606F94">
        <w:t xml:space="preserve">) </w:t>
      </w:r>
      <w:r w:rsidR="004A402E" w:rsidRPr="00342AFB">
        <w:t>— similar to 8.4 per cent in 2012</w:t>
      </w:r>
      <w:r w:rsidR="004A402E" w:rsidRPr="00342AFB">
        <w:noBreakHyphen/>
        <w:t xml:space="preserve">13 </w:t>
      </w:r>
      <w:r w:rsidR="00F979BC" w:rsidRPr="00606F94">
        <w:t>(figure </w:t>
      </w:r>
      <w:r w:rsidR="003C2134" w:rsidRPr="00606F94">
        <w:t>15.12</w:t>
      </w:r>
      <w:r w:rsidR="00F979BC" w:rsidRPr="00606F94">
        <w:t>).</w:t>
      </w:r>
    </w:p>
    <w:p w14:paraId="6A261EFE" w14:textId="07BBB600" w:rsidR="00F979BC" w:rsidRPr="007162F2" w:rsidRDefault="00F979BC"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9F2539C" w14:textId="77777777" w:rsidTr="00F14D5E">
        <w:trPr>
          <w:tblHeader/>
        </w:trPr>
        <w:tc>
          <w:tcPr>
            <w:tcW w:w="8789" w:type="dxa"/>
            <w:tcBorders>
              <w:top w:val="single" w:sz="6" w:space="0" w:color="78A22F"/>
              <w:left w:val="nil"/>
              <w:bottom w:val="nil"/>
              <w:right w:val="nil"/>
            </w:tcBorders>
            <w:shd w:val="clear" w:color="auto" w:fill="auto"/>
          </w:tcPr>
          <w:p w14:paraId="537FD3EF" w14:textId="6DE39E58" w:rsidR="00F979BC" w:rsidRPr="007162F2" w:rsidRDefault="00F979BC" w:rsidP="002B1F59">
            <w:pPr>
              <w:pStyle w:val="FigureTitle"/>
            </w:pPr>
            <w:r w:rsidRPr="007162F2">
              <w:rPr>
                <w:b w:val="0"/>
              </w:rPr>
              <w:t xml:space="preserve">Figure </w:t>
            </w:r>
            <w:bookmarkStart w:id="18" w:name="OLE_LINK16"/>
            <w:r w:rsidRPr="007162F2">
              <w:rPr>
                <w:b w:val="0"/>
              </w:rPr>
              <w:t>15.</w:t>
            </w:r>
            <w:r w:rsidR="00C37B05">
              <w:rPr>
                <w:b w:val="0"/>
                <w:noProof/>
              </w:rPr>
              <w:t>11</w:t>
            </w:r>
            <w:bookmarkEnd w:id="18"/>
            <w:r w:rsidRPr="007162F2">
              <w:tab/>
              <w:t>Users of NDA open employment services (</w:t>
            </w:r>
            <w:r w:rsidR="00924EEC" w:rsidRPr="007162F2">
              <w:t>ESS</w:t>
            </w:r>
            <w:r w:rsidRPr="007162F2">
              <w:t>) aged 15–64 years as a proportion of the estimated number of people with an employment restriction</w:t>
            </w:r>
            <w:r w:rsidRPr="007162F2">
              <w:rPr>
                <w:rStyle w:val="NoteLabel"/>
                <w:b/>
              </w:rPr>
              <w:t>a</w:t>
            </w:r>
          </w:p>
        </w:tc>
      </w:tr>
      <w:tr w:rsidR="00F979BC" w:rsidRPr="007162F2" w14:paraId="449A4015"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79BC" w:rsidRPr="007162F2" w14:paraId="5E5DEE82" w14:textId="77777777" w:rsidTr="00F979BC">
              <w:trPr>
                <w:tblHeader/>
                <w:jc w:val="center"/>
              </w:trPr>
              <w:tc>
                <w:tcPr>
                  <w:tcW w:w="5000" w:type="pct"/>
                  <w:tcBorders>
                    <w:top w:val="nil"/>
                    <w:bottom w:val="nil"/>
                  </w:tcBorders>
                </w:tcPr>
                <w:p w14:paraId="107E7512" w14:textId="278D9231" w:rsidR="005165DC"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B1C5908" wp14:editId="30BCFEAA">
                        <wp:extent cx="5293995" cy="2460625"/>
                        <wp:effectExtent l="0" t="0" r="1905" b="0"/>
                        <wp:docPr id="29" name="Picture 29" descr="More details can be found within the text surrounding this image. " title="Figure 15.11 Users of NDA open employment services (ESS) aged 15–64 years as a proportion of the estimated number of people with an employment restr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93995" cy="2460625"/>
                                </a:xfrm>
                                <a:prstGeom prst="rect">
                                  <a:avLst/>
                                </a:prstGeom>
                                <a:noFill/>
                                <a:ln>
                                  <a:noFill/>
                                </a:ln>
                              </pic:spPr>
                            </pic:pic>
                          </a:graphicData>
                        </a:graphic>
                      </wp:inline>
                    </w:drawing>
                  </w:r>
                </w:p>
              </w:tc>
            </w:tr>
          </w:tbl>
          <w:p w14:paraId="5493C931" w14:textId="77777777" w:rsidR="00F979BC" w:rsidRPr="007162F2" w:rsidRDefault="00F979BC" w:rsidP="00F979BC">
            <w:pPr>
              <w:pStyle w:val="Figure"/>
            </w:pPr>
          </w:p>
        </w:tc>
      </w:tr>
      <w:tr w:rsidR="00F979BC" w:rsidRPr="007162F2" w14:paraId="4C44A5DD" w14:textId="77777777" w:rsidTr="00F14D5E">
        <w:tc>
          <w:tcPr>
            <w:tcW w:w="8789" w:type="dxa"/>
            <w:tcBorders>
              <w:top w:val="nil"/>
              <w:left w:val="nil"/>
              <w:bottom w:val="nil"/>
              <w:right w:val="nil"/>
            </w:tcBorders>
            <w:shd w:val="clear" w:color="auto" w:fill="auto"/>
          </w:tcPr>
          <w:p w14:paraId="6C9932F4" w14:textId="465DDBF5" w:rsidR="00F979BC" w:rsidRPr="007162F2" w:rsidRDefault="00F979BC" w:rsidP="00983398">
            <w:pPr>
              <w:pStyle w:val="Note"/>
            </w:pPr>
            <w:r w:rsidRPr="007162F2">
              <w:rPr>
                <w:rStyle w:val="NoteLabel"/>
              </w:rPr>
              <w:t>a</w:t>
            </w:r>
            <w:r w:rsidRPr="007162F2">
              <w:t xml:space="preserve"> See box </w:t>
            </w:r>
            <w:r w:rsidR="00983398">
              <w:t xml:space="preserve">15.3 </w:t>
            </w:r>
            <w:r w:rsidRPr="007162F2">
              <w:t>and table 15A.</w:t>
            </w:r>
            <w:r w:rsidR="00CB5EE8" w:rsidRPr="007162F2">
              <w:t>50</w:t>
            </w:r>
            <w:r w:rsidRPr="007162F2">
              <w:t xml:space="preserve"> for detailed definitions, footnotes and caveats.</w:t>
            </w:r>
          </w:p>
        </w:tc>
      </w:tr>
      <w:tr w:rsidR="00F979BC" w:rsidRPr="007162F2" w14:paraId="77E3C6F3" w14:textId="77777777" w:rsidTr="00F14D5E">
        <w:tc>
          <w:tcPr>
            <w:tcW w:w="8789" w:type="dxa"/>
            <w:tcBorders>
              <w:top w:val="nil"/>
              <w:left w:val="nil"/>
              <w:bottom w:val="nil"/>
              <w:right w:val="nil"/>
            </w:tcBorders>
            <w:shd w:val="clear" w:color="auto" w:fill="auto"/>
          </w:tcPr>
          <w:p w14:paraId="009BE66E" w14:textId="77777777" w:rsidR="00F979BC" w:rsidRPr="007162F2" w:rsidRDefault="00F979BC" w:rsidP="00CB5EE8">
            <w:pPr>
              <w:pStyle w:val="Source"/>
            </w:pPr>
            <w:r w:rsidRPr="007162F2">
              <w:rPr>
                <w:i/>
              </w:rPr>
              <w:t>Source</w:t>
            </w:r>
            <w:r w:rsidRPr="007162F2">
              <w:t>: AIHW (unpublished), DS NMDS, AIHW analysis of the ABS June ERP, ABS Census of Population and Housing and the ABS SDAC; table 15A.</w:t>
            </w:r>
            <w:r w:rsidR="00CB5EE8" w:rsidRPr="007162F2">
              <w:t>50</w:t>
            </w:r>
            <w:r w:rsidRPr="007162F2">
              <w:t>.</w:t>
            </w:r>
          </w:p>
        </w:tc>
      </w:tr>
      <w:tr w:rsidR="00F979BC" w:rsidRPr="007162F2" w14:paraId="55FE8D8A" w14:textId="77777777" w:rsidTr="00F14D5E">
        <w:tc>
          <w:tcPr>
            <w:tcW w:w="8789" w:type="dxa"/>
            <w:tcBorders>
              <w:top w:val="nil"/>
              <w:left w:val="nil"/>
              <w:bottom w:val="single" w:sz="6" w:space="0" w:color="78A22F"/>
              <w:right w:val="nil"/>
            </w:tcBorders>
            <w:shd w:val="clear" w:color="auto" w:fill="auto"/>
          </w:tcPr>
          <w:p w14:paraId="785452EF" w14:textId="77777777" w:rsidR="00F979BC" w:rsidRPr="007162F2" w:rsidRDefault="00F979BC" w:rsidP="00F979BC">
            <w:pPr>
              <w:pStyle w:val="Figurespace"/>
            </w:pPr>
          </w:p>
        </w:tc>
      </w:tr>
      <w:tr w:rsidR="00F979BC" w:rsidRPr="007162F2" w14:paraId="16E9DBED" w14:textId="77777777" w:rsidTr="00F14D5E">
        <w:tc>
          <w:tcPr>
            <w:tcW w:w="8789" w:type="dxa"/>
            <w:tcBorders>
              <w:top w:val="single" w:sz="6" w:space="0" w:color="78A22F"/>
              <w:left w:val="nil"/>
              <w:bottom w:val="nil"/>
              <w:right w:val="nil"/>
            </w:tcBorders>
          </w:tcPr>
          <w:p w14:paraId="2188C492" w14:textId="4741DEF6" w:rsidR="00F979BC" w:rsidRPr="007162F2" w:rsidRDefault="00F979BC" w:rsidP="00F979BC">
            <w:pPr>
              <w:pStyle w:val="BoxSpaceBelow"/>
            </w:pPr>
          </w:p>
        </w:tc>
      </w:tr>
    </w:tbl>
    <w:p w14:paraId="29A88895" w14:textId="45136FB7" w:rsidR="00BE1C19" w:rsidRPr="007162F2" w:rsidRDefault="00BE1C19" w:rsidP="00BE1C1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38666AB2" w14:textId="77777777" w:rsidTr="00F14D5E">
        <w:trPr>
          <w:tblHeader/>
        </w:trPr>
        <w:tc>
          <w:tcPr>
            <w:tcW w:w="8789" w:type="dxa"/>
            <w:tcBorders>
              <w:top w:val="single" w:sz="6" w:space="0" w:color="78A22F"/>
              <w:left w:val="nil"/>
              <w:bottom w:val="nil"/>
              <w:right w:val="nil"/>
            </w:tcBorders>
            <w:shd w:val="clear" w:color="auto" w:fill="auto"/>
          </w:tcPr>
          <w:p w14:paraId="2C259233" w14:textId="4697285E" w:rsidR="00F979BC" w:rsidRPr="007162F2" w:rsidRDefault="00F979BC" w:rsidP="002B1F59">
            <w:pPr>
              <w:pStyle w:val="FigureTitle"/>
            </w:pPr>
            <w:r w:rsidRPr="007162F2">
              <w:rPr>
                <w:b w:val="0"/>
              </w:rPr>
              <w:t xml:space="preserve">Figure </w:t>
            </w:r>
            <w:bookmarkStart w:id="19" w:name="OLE_LINK17"/>
            <w:bookmarkStart w:id="20" w:name="OLE_LINK12"/>
            <w:r w:rsidRPr="007162F2">
              <w:rPr>
                <w:b w:val="0"/>
              </w:rPr>
              <w:t>15.</w:t>
            </w:r>
            <w:r w:rsidR="00C37B05">
              <w:rPr>
                <w:b w:val="0"/>
                <w:noProof/>
              </w:rPr>
              <w:t>12</w:t>
            </w:r>
            <w:bookmarkEnd w:id="19"/>
            <w:r w:rsidR="00F17CF4" w:rsidRPr="007162F2">
              <w:tab/>
            </w:r>
            <w:bookmarkEnd w:id="20"/>
            <w:r w:rsidR="00F17CF4" w:rsidRPr="007162F2">
              <w:t>Users of NDA open employment services (</w:t>
            </w:r>
            <w:r w:rsidR="00924EEC" w:rsidRPr="007162F2">
              <w:t>DMS</w:t>
            </w:r>
            <w:r w:rsidR="00F17CF4" w:rsidRPr="007162F2">
              <w:t>) aged 15–64 years as a proportion of the estimated number of people with an employment restriction</w:t>
            </w:r>
            <w:r w:rsidR="00F17CF4" w:rsidRPr="007162F2">
              <w:rPr>
                <w:rStyle w:val="NoteLabel"/>
                <w:b/>
              </w:rPr>
              <w:t>a</w:t>
            </w:r>
          </w:p>
        </w:tc>
      </w:tr>
      <w:tr w:rsidR="00F979BC" w:rsidRPr="007162F2" w14:paraId="36DA4F52"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12207" w:rsidRPr="007162F2" w14:paraId="4A697921" w14:textId="77777777" w:rsidTr="00412207">
              <w:trPr>
                <w:tblHeader/>
                <w:jc w:val="center"/>
              </w:trPr>
              <w:tc>
                <w:tcPr>
                  <w:tcW w:w="5000" w:type="pct"/>
                  <w:tcBorders>
                    <w:top w:val="nil"/>
                    <w:bottom w:val="nil"/>
                  </w:tcBorders>
                </w:tcPr>
                <w:p w14:paraId="2DB31641" w14:textId="7DB13299" w:rsidR="00412207" w:rsidRDefault="00412207" w:rsidP="00F979BC">
                  <w:pPr>
                    <w:pStyle w:val="Figure"/>
                    <w:spacing w:before="60" w:after="60"/>
                    <w:rPr>
                      <w:rFonts w:ascii="Arial" w:hAnsi="Arial" w:cs="Arial"/>
                      <w:noProof/>
                      <w:sz w:val="18"/>
                      <w:szCs w:val="18"/>
                    </w:rPr>
                  </w:pPr>
                  <w:r>
                    <w:rPr>
                      <w:noProof/>
                    </w:rPr>
                    <w:drawing>
                      <wp:inline distT="0" distB="0" distL="0" distR="0" wp14:anchorId="11EF1564" wp14:editId="62C19CA1">
                        <wp:extent cx="5400040" cy="2302510"/>
                        <wp:effectExtent l="0" t="0" r="0" b="2540"/>
                        <wp:docPr id="2" name="Chart 2" descr="More details can be found within the text surrounding this image. " title="Figure 15.12 Users of NDA open employment services (DMS) aged 15–64 years as a proportion of the estimated number of people with an employment restr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3E254524" w14:textId="77777777" w:rsidR="00F979BC" w:rsidRPr="007162F2" w:rsidRDefault="00F979BC" w:rsidP="00F979BC">
            <w:pPr>
              <w:pStyle w:val="Figure"/>
            </w:pPr>
          </w:p>
        </w:tc>
      </w:tr>
      <w:tr w:rsidR="00F979BC" w:rsidRPr="007162F2" w14:paraId="595F7C42" w14:textId="77777777" w:rsidTr="00F14D5E">
        <w:tc>
          <w:tcPr>
            <w:tcW w:w="8789" w:type="dxa"/>
            <w:tcBorders>
              <w:top w:val="nil"/>
              <w:left w:val="nil"/>
              <w:bottom w:val="nil"/>
              <w:right w:val="nil"/>
            </w:tcBorders>
            <w:shd w:val="clear" w:color="auto" w:fill="auto"/>
          </w:tcPr>
          <w:p w14:paraId="7021BD13" w14:textId="65D87E60" w:rsidR="00F979BC" w:rsidRPr="007162F2" w:rsidRDefault="00F979BC" w:rsidP="00983398">
            <w:pPr>
              <w:pStyle w:val="Note"/>
            </w:pPr>
            <w:r w:rsidRPr="007162F2">
              <w:rPr>
                <w:rStyle w:val="NoteLabel"/>
              </w:rPr>
              <w:t>a</w:t>
            </w:r>
            <w:r w:rsidRPr="007162F2">
              <w:t xml:space="preserve"> </w:t>
            </w:r>
            <w:r w:rsidR="00F17CF4" w:rsidRPr="007162F2">
              <w:t>See box</w:t>
            </w:r>
            <w:bookmarkStart w:id="21" w:name="OLE_LINK20"/>
            <w:r w:rsidR="004514F4">
              <w:t> </w:t>
            </w:r>
            <w:bookmarkEnd w:id="21"/>
            <w:r w:rsidR="00983398">
              <w:t xml:space="preserve">15.3 </w:t>
            </w:r>
            <w:r w:rsidR="00F17CF4" w:rsidRPr="007162F2">
              <w:t>and table</w:t>
            </w:r>
            <w:r w:rsidR="004514F4">
              <w:t> </w:t>
            </w:r>
            <w:r w:rsidR="00F17CF4" w:rsidRPr="007162F2">
              <w:t>15A.</w:t>
            </w:r>
            <w:r w:rsidR="00CB5EE8" w:rsidRPr="007162F2">
              <w:t>51</w:t>
            </w:r>
            <w:r w:rsidR="00F17CF4" w:rsidRPr="007162F2">
              <w:t xml:space="preserve"> for detailed definitions, footnotes and caveats.</w:t>
            </w:r>
          </w:p>
        </w:tc>
      </w:tr>
      <w:tr w:rsidR="00F979BC" w:rsidRPr="007162F2" w14:paraId="04933F7A" w14:textId="77777777" w:rsidTr="00F14D5E">
        <w:tc>
          <w:tcPr>
            <w:tcW w:w="8789" w:type="dxa"/>
            <w:tcBorders>
              <w:top w:val="nil"/>
              <w:left w:val="nil"/>
              <w:bottom w:val="nil"/>
              <w:right w:val="nil"/>
            </w:tcBorders>
            <w:shd w:val="clear" w:color="auto" w:fill="auto"/>
          </w:tcPr>
          <w:p w14:paraId="3F2EE1A5" w14:textId="61307308" w:rsidR="00F979BC" w:rsidRPr="007162F2" w:rsidRDefault="00F17CF4" w:rsidP="00F979BC">
            <w:pPr>
              <w:pStyle w:val="Source"/>
            </w:pPr>
            <w:r w:rsidRPr="007162F2">
              <w:rPr>
                <w:i/>
              </w:rPr>
              <w:t>S</w:t>
            </w:r>
            <w:r w:rsidR="00F979BC" w:rsidRPr="007162F2">
              <w:rPr>
                <w:i/>
              </w:rPr>
              <w:t>ource</w:t>
            </w:r>
            <w:r w:rsidR="00F979BC" w:rsidRPr="007162F2">
              <w:t xml:space="preserve">: </w:t>
            </w:r>
            <w:r w:rsidRPr="007162F2">
              <w:t>AIHW (unpublished) DS NMDS; DEEWR (unpublished) administrative IT system; DSS (unpublished) administrative IT system; AIHW analysis of the ABS June ERP; ABS Census of Population and Housin</w:t>
            </w:r>
            <w:r w:rsidR="00CB5EE8" w:rsidRPr="007162F2">
              <w:t>g and the ABS SDAC; table</w:t>
            </w:r>
            <w:r w:rsidR="004514F4">
              <w:t> </w:t>
            </w:r>
            <w:r w:rsidR="00CB5EE8" w:rsidRPr="007162F2">
              <w:t>15A.51</w:t>
            </w:r>
            <w:r w:rsidRPr="007162F2">
              <w:t>.</w:t>
            </w:r>
          </w:p>
        </w:tc>
      </w:tr>
      <w:tr w:rsidR="00F979BC" w:rsidRPr="007162F2" w14:paraId="5BD11529" w14:textId="77777777" w:rsidTr="00F14D5E">
        <w:tc>
          <w:tcPr>
            <w:tcW w:w="8789" w:type="dxa"/>
            <w:tcBorders>
              <w:top w:val="nil"/>
              <w:left w:val="nil"/>
              <w:bottom w:val="single" w:sz="6" w:space="0" w:color="78A22F"/>
              <w:right w:val="nil"/>
            </w:tcBorders>
            <w:shd w:val="clear" w:color="auto" w:fill="auto"/>
          </w:tcPr>
          <w:p w14:paraId="1FF6D834" w14:textId="77777777" w:rsidR="00F979BC" w:rsidRPr="007162F2" w:rsidRDefault="00F979BC" w:rsidP="00F979BC">
            <w:pPr>
              <w:pStyle w:val="Figurespace"/>
            </w:pPr>
          </w:p>
        </w:tc>
      </w:tr>
      <w:tr w:rsidR="00F979BC" w:rsidRPr="007162F2" w14:paraId="63F763BD" w14:textId="77777777" w:rsidTr="00F14D5E">
        <w:tc>
          <w:tcPr>
            <w:tcW w:w="8789" w:type="dxa"/>
            <w:tcBorders>
              <w:top w:val="single" w:sz="6" w:space="0" w:color="78A22F"/>
              <w:left w:val="nil"/>
              <w:bottom w:val="nil"/>
              <w:right w:val="nil"/>
            </w:tcBorders>
          </w:tcPr>
          <w:p w14:paraId="7F25B0AA" w14:textId="15B18BFC" w:rsidR="00F979BC" w:rsidRPr="007162F2" w:rsidRDefault="00F979BC" w:rsidP="00F979BC">
            <w:pPr>
              <w:pStyle w:val="BoxSpaceBelow"/>
            </w:pPr>
          </w:p>
        </w:tc>
      </w:tr>
    </w:tbl>
    <w:p w14:paraId="24BA3EC6" w14:textId="55F90FD3" w:rsidR="003C663E" w:rsidRPr="007162F2" w:rsidRDefault="002A2775" w:rsidP="003C663E">
      <w:pPr>
        <w:pStyle w:val="BodyText"/>
      </w:pPr>
      <w:r>
        <w:lastRenderedPageBreak/>
        <w:t>Nationally in 2015</w:t>
      </w:r>
      <w:r>
        <w:noBreakHyphen/>
        <w:t>16</w:t>
      </w:r>
      <w:r w:rsidR="003C663E" w:rsidRPr="007162F2">
        <w:t xml:space="preserve">, the number of people with disability who used NDA supported employment services as a proportion of the potential population (aged 15–64 years) was </w:t>
      </w:r>
      <w:r w:rsidR="00606F94" w:rsidRPr="00606F94">
        <w:t>6.4</w:t>
      </w:r>
      <w:r w:rsidR="0093125A">
        <w:t> </w:t>
      </w:r>
      <w:r w:rsidR="003C663E" w:rsidRPr="00606F94">
        <w:t>per</w:t>
      </w:r>
      <w:r w:rsidR="0093125A">
        <w:t> </w:t>
      </w:r>
      <w:r w:rsidR="003C663E" w:rsidRPr="007162F2">
        <w:t xml:space="preserve">cent </w:t>
      </w:r>
      <w:r w:rsidR="004A402E" w:rsidRPr="00342AFB">
        <w:t xml:space="preserve">— </w:t>
      </w:r>
      <w:r w:rsidR="00CE0B4D" w:rsidRPr="00342AFB">
        <w:t>a decrease</w:t>
      </w:r>
      <w:r w:rsidR="004A402E" w:rsidRPr="00342AFB">
        <w:t xml:space="preserve"> from 7.7 per cent in 2011</w:t>
      </w:r>
      <w:r w:rsidR="004A402E" w:rsidRPr="00342AFB">
        <w:noBreakHyphen/>
        <w:t>12</w:t>
      </w:r>
      <w:r w:rsidR="004A402E">
        <w:t xml:space="preserve"> </w:t>
      </w:r>
      <w:r w:rsidR="003C663E" w:rsidRPr="007162F2">
        <w:t>(figure 15.13).</w:t>
      </w:r>
    </w:p>
    <w:p w14:paraId="1807081A" w14:textId="5754077B" w:rsidR="00F979BC" w:rsidRPr="007162F2" w:rsidRDefault="00F979BC" w:rsidP="00F14D5E">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C8DF6E8" w14:textId="77777777" w:rsidTr="00F14D5E">
        <w:trPr>
          <w:tblHeader/>
        </w:trPr>
        <w:tc>
          <w:tcPr>
            <w:tcW w:w="8789" w:type="dxa"/>
            <w:tcBorders>
              <w:top w:val="single" w:sz="6" w:space="0" w:color="78A22F"/>
              <w:left w:val="nil"/>
              <w:bottom w:val="nil"/>
              <w:right w:val="nil"/>
            </w:tcBorders>
            <w:shd w:val="clear" w:color="auto" w:fill="auto"/>
          </w:tcPr>
          <w:p w14:paraId="60CE7C93" w14:textId="0CBB298F" w:rsidR="00F979BC" w:rsidRPr="007162F2" w:rsidRDefault="00F979BC" w:rsidP="002B1F59">
            <w:pPr>
              <w:pStyle w:val="FigureTitle"/>
            </w:pPr>
            <w:r w:rsidRPr="007162F2">
              <w:rPr>
                <w:b w:val="0"/>
              </w:rPr>
              <w:t xml:space="preserve">Figure </w:t>
            </w:r>
            <w:bookmarkStart w:id="22" w:name="OLE_LINK18"/>
            <w:r w:rsidRPr="007162F2">
              <w:rPr>
                <w:b w:val="0"/>
              </w:rPr>
              <w:t>15.</w:t>
            </w:r>
            <w:r w:rsidR="00C37B05">
              <w:rPr>
                <w:b w:val="0"/>
                <w:noProof/>
              </w:rPr>
              <w:t>13</w:t>
            </w:r>
            <w:bookmarkEnd w:id="22"/>
            <w:r w:rsidR="00F17CF4" w:rsidRPr="007162F2">
              <w:tab/>
              <w:t>Users of NDA supported employment services aged 15–64 years as a proportion of the total estimated potential population for supported employment services</w:t>
            </w:r>
            <w:r w:rsidR="00F17CF4" w:rsidRPr="007162F2">
              <w:rPr>
                <w:rStyle w:val="NoteLabel"/>
                <w:b/>
              </w:rPr>
              <w:t>a</w:t>
            </w:r>
          </w:p>
        </w:tc>
      </w:tr>
      <w:tr w:rsidR="00F979BC" w:rsidRPr="007162F2" w14:paraId="36B9E0CF"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79BC" w:rsidRPr="007162F2" w14:paraId="2227F487" w14:textId="77777777" w:rsidTr="00F979BC">
              <w:trPr>
                <w:tblHeader/>
                <w:jc w:val="center"/>
              </w:trPr>
              <w:tc>
                <w:tcPr>
                  <w:tcW w:w="5000" w:type="pct"/>
                  <w:tcBorders>
                    <w:top w:val="nil"/>
                    <w:bottom w:val="nil"/>
                  </w:tcBorders>
                </w:tcPr>
                <w:p w14:paraId="1D460484" w14:textId="556E5D7D" w:rsidR="00F53B7B" w:rsidRPr="007162F2" w:rsidRDefault="0037621B" w:rsidP="00F979B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5A49142" wp14:editId="757C2D51">
                        <wp:extent cx="5293995" cy="2484755"/>
                        <wp:effectExtent l="0" t="0" r="1905" b="0"/>
                        <wp:docPr id="30" name="Picture 30" descr="More details can be found within the text surrounding this image. " title="Figure 15.13 Users of NDA supported employment services aged 15–64 years as a proportion of the total estimated potential population for supported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93995" cy="2484755"/>
                                </a:xfrm>
                                <a:prstGeom prst="rect">
                                  <a:avLst/>
                                </a:prstGeom>
                                <a:noFill/>
                                <a:ln>
                                  <a:noFill/>
                                </a:ln>
                              </pic:spPr>
                            </pic:pic>
                          </a:graphicData>
                        </a:graphic>
                      </wp:inline>
                    </w:drawing>
                  </w:r>
                </w:p>
              </w:tc>
            </w:tr>
          </w:tbl>
          <w:p w14:paraId="71DC97D6" w14:textId="77777777" w:rsidR="00F979BC" w:rsidRPr="007162F2" w:rsidRDefault="00F979BC" w:rsidP="00F979BC">
            <w:pPr>
              <w:pStyle w:val="Figure"/>
            </w:pPr>
          </w:p>
        </w:tc>
      </w:tr>
      <w:tr w:rsidR="00F979BC" w:rsidRPr="007162F2" w14:paraId="4BC01E77" w14:textId="77777777" w:rsidTr="00F14D5E">
        <w:tc>
          <w:tcPr>
            <w:tcW w:w="8789" w:type="dxa"/>
            <w:tcBorders>
              <w:top w:val="nil"/>
              <w:left w:val="nil"/>
              <w:bottom w:val="nil"/>
              <w:right w:val="nil"/>
            </w:tcBorders>
            <w:shd w:val="clear" w:color="auto" w:fill="auto"/>
          </w:tcPr>
          <w:p w14:paraId="13F2269D" w14:textId="561E4E29" w:rsidR="00F979BC" w:rsidRPr="007162F2" w:rsidRDefault="00F979BC" w:rsidP="00983398">
            <w:pPr>
              <w:pStyle w:val="Note"/>
            </w:pPr>
            <w:r w:rsidRPr="007162F2">
              <w:rPr>
                <w:rStyle w:val="NoteLabel"/>
              </w:rPr>
              <w:t>a</w:t>
            </w:r>
            <w:r w:rsidRPr="007162F2">
              <w:t xml:space="preserve"> </w:t>
            </w:r>
            <w:r w:rsidR="00F17CF4" w:rsidRPr="007162F2">
              <w:t>See box </w:t>
            </w:r>
            <w:r w:rsidR="00983398">
              <w:t xml:space="preserve">15.3 </w:t>
            </w:r>
            <w:r w:rsidR="00F17CF4" w:rsidRPr="007162F2">
              <w:t>and table 15A.</w:t>
            </w:r>
            <w:r w:rsidR="00CB5EE8" w:rsidRPr="007162F2">
              <w:t>52</w:t>
            </w:r>
            <w:r w:rsidR="00F17CF4" w:rsidRPr="007162F2">
              <w:t xml:space="preserve"> for detailed definitions, footnotes and caveats.</w:t>
            </w:r>
          </w:p>
        </w:tc>
      </w:tr>
      <w:tr w:rsidR="00F979BC" w:rsidRPr="007162F2" w14:paraId="353824B2" w14:textId="77777777" w:rsidTr="00F14D5E">
        <w:tc>
          <w:tcPr>
            <w:tcW w:w="8789" w:type="dxa"/>
            <w:tcBorders>
              <w:top w:val="nil"/>
              <w:left w:val="nil"/>
              <w:bottom w:val="nil"/>
              <w:right w:val="nil"/>
            </w:tcBorders>
            <w:shd w:val="clear" w:color="auto" w:fill="auto"/>
          </w:tcPr>
          <w:p w14:paraId="245D955F" w14:textId="77777777" w:rsidR="00F979BC" w:rsidRPr="007162F2" w:rsidRDefault="00F17CF4" w:rsidP="00CB5EE8">
            <w:pPr>
              <w:pStyle w:val="Source"/>
            </w:pPr>
            <w:r w:rsidRPr="007162F2">
              <w:rPr>
                <w:i/>
              </w:rPr>
              <w:t>S</w:t>
            </w:r>
            <w:r w:rsidR="00F979BC" w:rsidRPr="007162F2">
              <w:rPr>
                <w:i/>
              </w:rPr>
              <w:t>ource</w:t>
            </w:r>
            <w:r w:rsidR="00F979BC" w:rsidRPr="007162F2">
              <w:t xml:space="preserve">: </w:t>
            </w:r>
            <w:r w:rsidRPr="007162F2">
              <w:t>AIHW (unpublished), DS NMDS; AIHW analysis of the ABS June ERP, ABS Census of Population and Housing and the ABS SDAC; table 15A.</w:t>
            </w:r>
            <w:r w:rsidR="00CB5EE8" w:rsidRPr="007162F2">
              <w:t>52</w:t>
            </w:r>
            <w:r w:rsidRPr="007162F2">
              <w:t>.</w:t>
            </w:r>
          </w:p>
        </w:tc>
      </w:tr>
      <w:tr w:rsidR="00F979BC" w:rsidRPr="007162F2" w14:paraId="6B7E75C3" w14:textId="77777777" w:rsidTr="00F14D5E">
        <w:tc>
          <w:tcPr>
            <w:tcW w:w="8789" w:type="dxa"/>
            <w:tcBorders>
              <w:top w:val="nil"/>
              <w:left w:val="nil"/>
              <w:bottom w:val="single" w:sz="6" w:space="0" w:color="78A22F"/>
              <w:right w:val="nil"/>
            </w:tcBorders>
            <w:shd w:val="clear" w:color="auto" w:fill="auto"/>
          </w:tcPr>
          <w:p w14:paraId="45E48992" w14:textId="77777777" w:rsidR="00F979BC" w:rsidRPr="007162F2" w:rsidRDefault="00F979BC" w:rsidP="00F979BC">
            <w:pPr>
              <w:pStyle w:val="Figurespace"/>
            </w:pPr>
          </w:p>
        </w:tc>
      </w:tr>
      <w:tr w:rsidR="00F979BC" w:rsidRPr="007162F2" w14:paraId="474D3A5F" w14:textId="77777777" w:rsidTr="00F14D5E">
        <w:tc>
          <w:tcPr>
            <w:tcW w:w="8789" w:type="dxa"/>
            <w:tcBorders>
              <w:top w:val="single" w:sz="6" w:space="0" w:color="78A22F"/>
              <w:left w:val="nil"/>
              <w:bottom w:val="nil"/>
              <w:right w:val="nil"/>
            </w:tcBorders>
          </w:tcPr>
          <w:p w14:paraId="6D789DDE" w14:textId="4DAFD7B8" w:rsidR="00F979BC" w:rsidRPr="007162F2" w:rsidRDefault="00F979BC" w:rsidP="00F979BC">
            <w:pPr>
              <w:pStyle w:val="BoxSpaceBelow"/>
            </w:pPr>
          </w:p>
        </w:tc>
      </w:tr>
    </w:tbl>
    <w:p w14:paraId="78C51790" w14:textId="67C6E97D" w:rsidR="00F17CF4" w:rsidRPr="007162F2" w:rsidRDefault="00F17CF4" w:rsidP="00F14D5E">
      <w:pPr>
        <w:pStyle w:val="Heading4"/>
        <w:spacing w:before="400"/>
      </w:pPr>
      <w:r w:rsidRPr="007162F2">
        <w:t>Access —</w:t>
      </w:r>
      <w:r w:rsidR="00665EFA">
        <w:t xml:space="preserve"> </w:t>
      </w:r>
      <w:r w:rsidR="005204AC">
        <w:t>Y</w:t>
      </w:r>
      <w:r w:rsidRPr="007162F2">
        <w:t>ounger people with disability in residential aged care</w:t>
      </w:r>
    </w:p>
    <w:p w14:paraId="3C25F356" w14:textId="2ACB7EF1" w:rsidR="00F17CF4" w:rsidRDefault="00F17CF4" w:rsidP="00F17CF4">
      <w:pPr>
        <w:pStyle w:val="BodyText"/>
      </w:pPr>
      <w:r w:rsidRPr="007162F2">
        <w:t>‘</w:t>
      </w:r>
      <w:r w:rsidR="005204AC">
        <w:t>Y</w:t>
      </w:r>
      <w:r w:rsidRPr="007162F2">
        <w:t>ounger people with disability in</w:t>
      </w:r>
      <w:r w:rsidR="005204AC">
        <w:t xml:space="preserve"> </w:t>
      </w:r>
      <w:r w:rsidRPr="007162F2">
        <w:t xml:space="preserve">residential aged care’ is an indicator of governments’ objective to provide access to disability services </w:t>
      </w:r>
      <w:r w:rsidR="005204AC">
        <w:t>on the basis of relative need</w:t>
      </w:r>
      <w:r w:rsidR="00CA7A86">
        <w:t>; and through the NDIS, to provide reasonable and necessary supports, including early intervention supports</w:t>
      </w:r>
      <w:r w:rsidR="00AD792D" w:rsidRPr="007162F2">
        <w:t xml:space="preserve"> </w:t>
      </w:r>
      <w:r w:rsidRPr="007162F2">
        <w:t>(box </w:t>
      </w:r>
      <w:r w:rsidR="009F5938" w:rsidRPr="007162F2">
        <w:t>15.4</w:t>
      </w:r>
      <w:r w:rsidRPr="007162F2">
        <w:t>).</w:t>
      </w:r>
    </w:p>
    <w:p w14:paraId="70A99FD5" w14:textId="6D05B159" w:rsidR="00F14D5E" w:rsidRDefault="00F14D5E" w:rsidP="00F14D5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4D5E" w14:paraId="71CE2B27" w14:textId="77777777" w:rsidTr="002E11EC">
        <w:trPr>
          <w:tblHeader/>
        </w:trPr>
        <w:tc>
          <w:tcPr>
            <w:tcW w:w="5000" w:type="pct"/>
            <w:tcBorders>
              <w:top w:val="single" w:sz="6" w:space="0" w:color="78A22F"/>
              <w:left w:val="nil"/>
              <w:bottom w:val="nil"/>
              <w:right w:val="nil"/>
            </w:tcBorders>
            <w:shd w:val="clear" w:color="auto" w:fill="F2F2F2"/>
          </w:tcPr>
          <w:p w14:paraId="3665933C" w14:textId="1DC76C4F" w:rsidR="00F14D5E" w:rsidRDefault="00F14D5E">
            <w:pPr>
              <w:pStyle w:val="BoxTitle"/>
            </w:pPr>
            <w:r>
              <w:rPr>
                <w:b w:val="0"/>
              </w:rPr>
              <w:t>Box 15.</w:t>
            </w:r>
            <w:r w:rsidR="002358A7">
              <w:rPr>
                <w:b w:val="0"/>
                <w:noProof/>
              </w:rPr>
              <w:t>4</w:t>
            </w:r>
            <w:r>
              <w:tab/>
              <w:t>Y</w:t>
            </w:r>
            <w:r w:rsidRPr="007162F2">
              <w:t>ounger people with disability in residential aged care</w:t>
            </w:r>
          </w:p>
        </w:tc>
      </w:tr>
      <w:tr w:rsidR="00F14D5E" w14:paraId="601B866E" w14:textId="77777777" w:rsidTr="002E11EC">
        <w:tc>
          <w:tcPr>
            <w:tcW w:w="5000" w:type="pct"/>
            <w:tcBorders>
              <w:top w:val="nil"/>
              <w:left w:val="nil"/>
              <w:bottom w:val="nil"/>
              <w:right w:val="nil"/>
            </w:tcBorders>
            <w:shd w:val="clear" w:color="auto" w:fill="F2F2F2"/>
          </w:tcPr>
          <w:p w14:paraId="712781AA" w14:textId="3569FB58" w:rsidR="00F14D5E" w:rsidRDefault="00F14D5E" w:rsidP="002E11EC">
            <w:pPr>
              <w:pStyle w:val="Box"/>
            </w:pPr>
            <w:r w:rsidRPr="007162F2">
              <w:t>‘</w:t>
            </w:r>
            <w:r>
              <w:t>Y</w:t>
            </w:r>
            <w:r w:rsidRPr="007162F2">
              <w:t xml:space="preserve">ounger people </w:t>
            </w:r>
            <w:r>
              <w:t xml:space="preserve">with disability </w:t>
            </w:r>
            <w:r w:rsidRPr="007162F2">
              <w:t>in residential aged care’ is defined as the rate of non</w:t>
            </w:r>
            <w:r>
              <w:noBreakHyphen/>
            </w:r>
            <w:r w:rsidRPr="007162F2">
              <w:t>Indigenous persons aged 0–64 years and Aboriginal and Torres Strait Islander persons aged 0–49 years admitted to permanent residential aged care per 10 000 potential population. Further details on the potential population can be found in in section 15.4.</w:t>
            </w:r>
          </w:p>
          <w:p w14:paraId="511889C4" w14:textId="77777777" w:rsidR="00F14D5E" w:rsidRDefault="00F14D5E" w:rsidP="002E11EC">
            <w:pPr>
              <w:pStyle w:val="Box"/>
            </w:pPr>
            <w:r w:rsidRPr="007162F2">
              <w:t>These data should be interpreted with care, as some younger people choose to remain in residential aged care for a variety of reasons, such as</w:t>
            </w:r>
            <w:r>
              <w:t xml:space="preserve">: </w:t>
            </w:r>
          </w:p>
          <w:p w14:paraId="0D5A6684" w14:textId="3C301C0A" w:rsidR="00F14D5E" w:rsidRDefault="00F14D5E" w:rsidP="002E11EC">
            <w:pPr>
              <w:pStyle w:val="BoxListBullet"/>
            </w:pPr>
            <w:r w:rsidRPr="007162F2">
              <w:t>their physical and nursing needs can be best met in residential aged care</w:t>
            </w:r>
          </w:p>
        </w:tc>
      </w:tr>
      <w:tr w:rsidR="00F14D5E" w14:paraId="13FB1E9E" w14:textId="77777777" w:rsidTr="002E11EC">
        <w:tc>
          <w:tcPr>
            <w:tcW w:w="5000" w:type="pct"/>
            <w:tcBorders>
              <w:top w:val="nil"/>
              <w:left w:val="nil"/>
              <w:bottom w:val="nil"/>
              <w:right w:val="nil"/>
            </w:tcBorders>
            <w:shd w:val="clear" w:color="auto" w:fill="F2F2F2"/>
          </w:tcPr>
          <w:p w14:paraId="1B0117CF" w14:textId="511FD1EC" w:rsidR="00F14D5E" w:rsidRPr="00F14D5E" w:rsidRDefault="00F14D5E" w:rsidP="00F14D5E">
            <w:pPr>
              <w:pStyle w:val="BoxSource"/>
              <w:jc w:val="right"/>
            </w:pPr>
            <w:r w:rsidRPr="00F14D5E">
              <w:t>(continued next page)</w:t>
            </w:r>
          </w:p>
        </w:tc>
      </w:tr>
      <w:tr w:rsidR="00F14D5E" w14:paraId="56B91CBE" w14:textId="77777777" w:rsidTr="002E11EC">
        <w:tc>
          <w:tcPr>
            <w:tcW w:w="5000" w:type="pct"/>
            <w:tcBorders>
              <w:top w:val="nil"/>
              <w:left w:val="nil"/>
              <w:bottom w:val="single" w:sz="6" w:space="0" w:color="78A22F"/>
              <w:right w:val="nil"/>
            </w:tcBorders>
            <w:shd w:val="clear" w:color="auto" w:fill="F2F2F2"/>
          </w:tcPr>
          <w:p w14:paraId="23D252A4" w14:textId="77777777" w:rsidR="00F14D5E" w:rsidRDefault="00F14D5E">
            <w:pPr>
              <w:pStyle w:val="Box"/>
              <w:spacing w:before="0" w:line="120" w:lineRule="exact"/>
            </w:pPr>
          </w:p>
        </w:tc>
      </w:tr>
      <w:tr w:rsidR="00F14D5E" w:rsidRPr="000863A5" w14:paraId="4114CDCF" w14:textId="77777777" w:rsidTr="002E11EC">
        <w:tc>
          <w:tcPr>
            <w:tcW w:w="5000" w:type="pct"/>
            <w:tcBorders>
              <w:top w:val="single" w:sz="6" w:space="0" w:color="78A22F"/>
              <w:left w:val="nil"/>
              <w:bottom w:val="nil"/>
              <w:right w:val="nil"/>
            </w:tcBorders>
          </w:tcPr>
          <w:p w14:paraId="16908396" w14:textId="0E71A0D7" w:rsidR="00F14D5E" w:rsidRPr="00626D32" w:rsidRDefault="00F14D5E" w:rsidP="002E11EC">
            <w:pPr>
              <w:pStyle w:val="BoxSpaceBelow"/>
            </w:pPr>
          </w:p>
        </w:tc>
      </w:tr>
    </w:tbl>
    <w:p w14:paraId="16F5062F" w14:textId="6DF3861B" w:rsidR="00F17CF4" w:rsidRPr="007162F2" w:rsidRDefault="00F17C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17CF4" w:rsidRPr="007162F2" w14:paraId="4496D74D" w14:textId="77777777" w:rsidTr="00F14D5E">
        <w:tc>
          <w:tcPr>
            <w:tcW w:w="8789" w:type="dxa"/>
            <w:tcBorders>
              <w:top w:val="single" w:sz="6" w:space="0" w:color="78A22F"/>
              <w:left w:val="nil"/>
              <w:bottom w:val="nil"/>
              <w:right w:val="nil"/>
            </w:tcBorders>
            <w:shd w:val="clear" w:color="auto" w:fill="F2F2F2"/>
          </w:tcPr>
          <w:p w14:paraId="50FAE7AE" w14:textId="2AF7778C" w:rsidR="00F17CF4" w:rsidRPr="007162F2" w:rsidRDefault="00F17CF4" w:rsidP="007675B4">
            <w:pPr>
              <w:pStyle w:val="BoxTitle"/>
            </w:pPr>
            <w:r w:rsidRPr="007162F2">
              <w:rPr>
                <w:b w:val="0"/>
              </w:rPr>
              <w:t xml:space="preserve">Box </w:t>
            </w:r>
            <w:r w:rsidR="0052733D">
              <w:rPr>
                <w:b w:val="0"/>
              </w:rPr>
              <w:t>15.</w:t>
            </w:r>
            <w:r w:rsidR="007675B4">
              <w:rPr>
                <w:b w:val="0"/>
              </w:rPr>
              <w:t>4</w:t>
            </w:r>
            <w:r w:rsidRPr="007162F2">
              <w:tab/>
            </w:r>
            <w:r w:rsidR="00F14D5E" w:rsidRPr="00F14D5E">
              <w:rPr>
                <w:b w:val="0"/>
                <w:sz w:val="18"/>
                <w:szCs w:val="18"/>
              </w:rPr>
              <w:t>(continued)</w:t>
            </w:r>
          </w:p>
        </w:tc>
      </w:tr>
      <w:tr w:rsidR="00F17CF4" w:rsidRPr="007162F2" w14:paraId="7AD35E6C" w14:textId="77777777" w:rsidTr="00F14D5E">
        <w:tc>
          <w:tcPr>
            <w:tcW w:w="8789" w:type="dxa"/>
            <w:tcBorders>
              <w:top w:val="nil"/>
              <w:left w:val="nil"/>
              <w:bottom w:val="nil"/>
              <w:right w:val="nil"/>
            </w:tcBorders>
            <w:shd w:val="clear" w:color="auto" w:fill="F2F2F2"/>
          </w:tcPr>
          <w:p w14:paraId="4E3F829F" w14:textId="4F11BB42" w:rsidR="00F17CF4" w:rsidRPr="007162F2" w:rsidRDefault="00F17CF4" w:rsidP="00F14D5E">
            <w:pPr>
              <w:pStyle w:val="BoxListBullet"/>
            </w:pPr>
            <w:r w:rsidRPr="007162F2">
              <w:t>they are satisfied with their current living situation (that is, it is their preferred facility)</w:t>
            </w:r>
          </w:p>
          <w:p w14:paraId="7582E7F9" w14:textId="77777777" w:rsidR="00F17CF4" w:rsidRPr="007162F2" w:rsidRDefault="00F17CF4" w:rsidP="00F17CF4">
            <w:pPr>
              <w:pStyle w:val="BoxListBullet"/>
            </w:pPr>
            <w:r w:rsidRPr="007162F2">
              <w:t>the facility is located close to family and friends</w:t>
            </w:r>
          </w:p>
          <w:p w14:paraId="3A0A2FF9" w14:textId="77777777" w:rsidR="00F17CF4" w:rsidRPr="007162F2" w:rsidRDefault="00F17CF4" w:rsidP="00F17CF4">
            <w:pPr>
              <w:pStyle w:val="BoxListBullet"/>
            </w:pPr>
            <w:r w:rsidRPr="007162F2">
              <w:t>it is a familiar home environment.</w:t>
            </w:r>
          </w:p>
          <w:p w14:paraId="33DF2851" w14:textId="77777777" w:rsidR="00F17CF4" w:rsidRPr="007162F2" w:rsidRDefault="00F17CF4" w:rsidP="00F17CF4">
            <w:pPr>
              <w:pStyle w:val="Box"/>
            </w:pPr>
            <w:r w:rsidRPr="007162F2">
              <w:t>Data reported for these measures are:</w:t>
            </w:r>
          </w:p>
          <w:p w14:paraId="131A827F" w14:textId="77777777" w:rsidR="00F17CF4" w:rsidRPr="007162F2" w:rsidRDefault="00F17CF4" w:rsidP="00F17CF4">
            <w:pPr>
              <w:pStyle w:val="BoxListBullet"/>
            </w:pPr>
            <w:r w:rsidRPr="007162F2">
              <w:t xml:space="preserve">comparable (subject to caveats) across jurisdictions and over time </w:t>
            </w:r>
          </w:p>
          <w:p w14:paraId="7B0CF828" w14:textId="1B3801EB" w:rsidR="00F17CF4" w:rsidRPr="007162F2" w:rsidRDefault="00F17CF4" w:rsidP="00F17CF4">
            <w:pPr>
              <w:pStyle w:val="BoxListBullet"/>
            </w:pPr>
            <w:r w:rsidRPr="007162F2">
              <w:t>complete (subject to caveats) for the current rep</w:t>
            </w:r>
            <w:r w:rsidR="00CA7A86">
              <w:t>orting period. All required 2016</w:t>
            </w:r>
            <w:r w:rsidR="00CA7A86">
              <w:noBreakHyphen/>
              <w:t>17</w:t>
            </w:r>
            <w:r w:rsidRPr="007162F2">
              <w:t xml:space="preserve"> data are available for all jurisdictions.</w:t>
            </w:r>
          </w:p>
          <w:p w14:paraId="3B99154F" w14:textId="77777777" w:rsidR="00F17CF4" w:rsidRPr="007162F2" w:rsidRDefault="00AD792D" w:rsidP="00F17CF4">
            <w:pPr>
              <w:pStyle w:val="Box"/>
            </w:pPr>
            <w:r w:rsidRPr="007162F2">
              <w:t xml:space="preserve">Data by disability status are not available. </w:t>
            </w:r>
            <w:r w:rsidR="00F17CF4" w:rsidRPr="007162F2">
              <w:t>Further work is required to record disability status for young people entering, receiving or exiting residential aged care.</w:t>
            </w:r>
          </w:p>
        </w:tc>
      </w:tr>
      <w:tr w:rsidR="00F17CF4" w:rsidRPr="007162F2" w14:paraId="68379991" w14:textId="77777777" w:rsidTr="00F14D5E">
        <w:tc>
          <w:tcPr>
            <w:tcW w:w="8789" w:type="dxa"/>
            <w:tcBorders>
              <w:top w:val="nil"/>
              <w:left w:val="nil"/>
              <w:bottom w:val="single" w:sz="6" w:space="0" w:color="78A22F"/>
              <w:right w:val="nil"/>
            </w:tcBorders>
            <w:shd w:val="clear" w:color="auto" w:fill="F2F2F2"/>
          </w:tcPr>
          <w:p w14:paraId="19DA5690" w14:textId="77777777" w:rsidR="00F17CF4" w:rsidRPr="007162F2" w:rsidRDefault="00F17CF4">
            <w:pPr>
              <w:pStyle w:val="Box"/>
              <w:spacing w:before="0" w:line="120" w:lineRule="exact"/>
            </w:pPr>
          </w:p>
        </w:tc>
      </w:tr>
      <w:tr w:rsidR="00F17CF4" w:rsidRPr="007162F2" w14:paraId="2385ED9D" w14:textId="77777777" w:rsidTr="00F14D5E">
        <w:tc>
          <w:tcPr>
            <w:tcW w:w="8789" w:type="dxa"/>
            <w:tcBorders>
              <w:top w:val="single" w:sz="6" w:space="0" w:color="78A22F"/>
              <w:left w:val="nil"/>
              <w:bottom w:val="nil"/>
              <w:right w:val="nil"/>
            </w:tcBorders>
          </w:tcPr>
          <w:p w14:paraId="380B45EA" w14:textId="326CB8F7" w:rsidR="00F17CF4" w:rsidRPr="007162F2" w:rsidRDefault="00F17CF4" w:rsidP="009F5938">
            <w:pPr>
              <w:pStyle w:val="BoxSpaceBelow"/>
            </w:pPr>
          </w:p>
        </w:tc>
      </w:tr>
    </w:tbl>
    <w:p w14:paraId="63F95E13" w14:textId="6BFAF321" w:rsidR="00F17CF4" w:rsidRDefault="00F17CF4" w:rsidP="00F17CF4">
      <w:pPr>
        <w:pStyle w:val="BodyText"/>
        <w:rPr>
          <w:shd w:val="clear" w:color="auto" w:fill="FFFFFF" w:themeFill="background1"/>
        </w:rPr>
      </w:pPr>
      <w:r w:rsidRPr="007162F2">
        <w:t>Nationally in 201</w:t>
      </w:r>
      <w:r w:rsidR="00792C2B">
        <w:t>6</w:t>
      </w:r>
      <w:r w:rsidR="004514F4">
        <w:noBreakHyphen/>
      </w:r>
      <w:r w:rsidR="00792C2B">
        <w:t>17</w:t>
      </w:r>
      <w:r w:rsidRPr="007162F2">
        <w:t xml:space="preserve">, the rate of people aged 0–64 years admitted to permanent residential aged </w:t>
      </w:r>
      <w:r w:rsidRPr="003952A5">
        <w:t xml:space="preserve">care was </w:t>
      </w:r>
      <w:r w:rsidR="003952A5" w:rsidRPr="003952A5">
        <w:t>32.8</w:t>
      </w:r>
      <w:r w:rsidR="006744C7" w:rsidRPr="003952A5">
        <w:t> </w:t>
      </w:r>
      <w:r w:rsidRPr="003952A5">
        <w:t>per 10 </w:t>
      </w:r>
      <w:r w:rsidRPr="007162F2">
        <w:t xml:space="preserve">000 </w:t>
      </w:r>
      <w:r w:rsidRPr="007162F2">
        <w:rPr>
          <w:shd w:val="clear" w:color="auto" w:fill="FFFFFF" w:themeFill="background1"/>
        </w:rPr>
        <w:t>potential population</w:t>
      </w:r>
      <w:r w:rsidR="003952A5">
        <w:rPr>
          <w:shd w:val="clear" w:color="auto" w:fill="FFFFFF" w:themeFill="background1"/>
        </w:rPr>
        <w:t xml:space="preserve"> — around 90 per cent were aged 50 years or over</w:t>
      </w:r>
      <w:r w:rsidRPr="007162F2">
        <w:rPr>
          <w:shd w:val="clear" w:color="auto" w:fill="FFFFFF" w:themeFill="background1"/>
        </w:rPr>
        <w:t xml:space="preserve"> (</w:t>
      </w:r>
      <w:r w:rsidR="00CB5EE8" w:rsidRPr="007162F2">
        <w:t>table 15A.5</w:t>
      </w:r>
      <w:r w:rsidRPr="007162F2">
        <w:t>3).</w:t>
      </w:r>
      <w:r w:rsidRPr="007162F2">
        <w:rPr>
          <w:shd w:val="clear" w:color="auto" w:fill="FFFFFF" w:themeFill="background1"/>
        </w:rPr>
        <w:t xml:space="preserve"> Data on the number of younger people receiving and separating from residential aged care to return to home/famil</w:t>
      </w:r>
      <w:r w:rsidR="00CB5EE8" w:rsidRPr="007162F2">
        <w:rPr>
          <w:shd w:val="clear" w:color="auto" w:fill="FFFFFF" w:themeFill="background1"/>
        </w:rPr>
        <w:t>y are available in tables 15A.54–55</w:t>
      </w:r>
      <w:r w:rsidRPr="007162F2">
        <w:rPr>
          <w:shd w:val="clear" w:color="auto" w:fill="FFFFFF" w:themeFill="background1"/>
        </w:rPr>
        <w:t xml:space="preserve">. Data on the number of younger people receiving residential aged care by Indigenous status </w:t>
      </w:r>
      <w:r w:rsidR="005B5126" w:rsidRPr="007162F2">
        <w:rPr>
          <w:shd w:val="clear" w:color="auto" w:fill="FFFFFF" w:themeFill="background1"/>
        </w:rPr>
        <w:t>are</w:t>
      </w:r>
      <w:r w:rsidRPr="007162F2">
        <w:rPr>
          <w:shd w:val="clear" w:color="auto" w:fill="FFFFFF" w:themeFill="background1"/>
        </w:rPr>
        <w:t xml:space="preserve"> available in table</w:t>
      </w:r>
      <w:r w:rsidR="004514F4">
        <w:rPr>
          <w:shd w:val="clear" w:color="auto" w:fill="FFFFFF" w:themeFill="background1"/>
        </w:rPr>
        <w:t> </w:t>
      </w:r>
      <w:r w:rsidRPr="007162F2">
        <w:rPr>
          <w:shd w:val="clear" w:color="auto" w:fill="FFFFFF" w:themeFill="background1"/>
        </w:rPr>
        <w:t>15A.</w:t>
      </w:r>
      <w:r w:rsidR="00CB5EE8" w:rsidRPr="007162F2">
        <w:rPr>
          <w:shd w:val="clear" w:color="auto" w:fill="FFFFFF" w:themeFill="background1"/>
        </w:rPr>
        <w:t>56.</w:t>
      </w:r>
      <w:r w:rsidR="001913CD" w:rsidRPr="00342AFB">
        <w:t xml:space="preserve"> State and Territory government expenditure for younger people with disability in residential aged care is reported in table 14A.3</w:t>
      </w:r>
      <w:r w:rsidR="00450E7B" w:rsidRPr="00342AFB">
        <w:t>, chapter 14</w:t>
      </w:r>
      <w:r w:rsidR="001913CD" w:rsidRPr="00342AFB">
        <w:t>.</w:t>
      </w:r>
    </w:p>
    <w:p w14:paraId="5EC760E5" w14:textId="58B90F22" w:rsidR="00CE0B4D" w:rsidRPr="0077471F" w:rsidRDefault="003134C6" w:rsidP="003134C6">
      <w:pPr>
        <w:pStyle w:val="Heading4"/>
        <w:rPr>
          <w:b/>
          <w:u w:val="dottedHeavy"/>
        </w:rPr>
      </w:pPr>
      <w:r w:rsidRPr="0077471F">
        <w:t>Appropriateness — Choice and control</w:t>
      </w:r>
    </w:p>
    <w:p w14:paraId="52E724C3" w14:textId="1A44B23D" w:rsidR="003134C6" w:rsidRDefault="003134C6" w:rsidP="00F17CF4">
      <w:pPr>
        <w:pStyle w:val="BodyText"/>
      </w:pPr>
      <w:r>
        <w:t>‘Choice and control’ is an indicator of governments’ objective under the NDIS to enable people with disability to exercise choice and control in the pursuit of their goals and the planning and delivery of their supports (box 15.5).</w:t>
      </w:r>
    </w:p>
    <w:p w14:paraId="1D0C2915" w14:textId="3834152C" w:rsidR="003134C6" w:rsidRDefault="003134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34C6" w14:paraId="2D12DE5E" w14:textId="77777777" w:rsidTr="005F0ED6">
        <w:tc>
          <w:tcPr>
            <w:tcW w:w="5000" w:type="pct"/>
            <w:tcBorders>
              <w:top w:val="single" w:sz="6" w:space="0" w:color="78A22F"/>
              <w:left w:val="nil"/>
              <w:bottom w:val="nil"/>
              <w:right w:val="nil"/>
            </w:tcBorders>
            <w:shd w:val="clear" w:color="auto" w:fill="F2F2F2"/>
          </w:tcPr>
          <w:p w14:paraId="7690D39B" w14:textId="016CB44B" w:rsidR="003134C6" w:rsidRDefault="003134C6" w:rsidP="0052733D">
            <w:pPr>
              <w:pStyle w:val="BoxTitle"/>
            </w:pPr>
            <w:r>
              <w:rPr>
                <w:b w:val="0"/>
              </w:rPr>
              <w:t>Box 15.</w:t>
            </w:r>
            <w:r w:rsidR="0052733D">
              <w:rPr>
                <w:b w:val="0"/>
              </w:rPr>
              <w:t>5</w:t>
            </w:r>
            <w:r>
              <w:tab/>
              <w:t>Choice and control</w:t>
            </w:r>
          </w:p>
        </w:tc>
      </w:tr>
      <w:tr w:rsidR="003134C6" w14:paraId="6257D431" w14:textId="77777777" w:rsidTr="005F0ED6">
        <w:tc>
          <w:tcPr>
            <w:tcW w:w="5000" w:type="pct"/>
            <w:tcBorders>
              <w:top w:val="nil"/>
              <w:left w:val="nil"/>
              <w:bottom w:val="nil"/>
              <w:right w:val="nil"/>
            </w:tcBorders>
            <w:shd w:val="clear" w:color="auto" w:fill="F2F2F2"/>
          </w:tcPr>
          <w:p w14:paraId="72369BEE" w14:textId="77777777" w:rsidR="003134C6" w:rsidRPr="003134C6" w:rsidRDefault="003134C6" w:rsidP="003134C6">
            <w:pPr>
              <w:pStyle w:val="Box"/>
            </w:pPr>
            <w:r w:rsidRPr="003134C6">
              <w:t xml:space="preserve">‘Choice and control’ is defined as the proportion of NDIS participants with an active plan in place, who experience independence, and choice and control over their care. </w:t>
            </w:r>
          </w:p>
          <w:p w14:paraId="3408F6AB" w14:textId="77777777" w:rsidR="003134C6" w:rsidRPr="003134C6" w:rsidRDefault="003134C6" w:rsidP="003134C6">
            <w:pPr>
              <w:pStyle w:val="Box"/>
            </w:pPr>
            <w:r w:rsidRPr="003134C6">
              <w:t xml:space="preserve">High or increasing proportions of NDIS participants with an active plan in place, who experienced independence and control of their care, is desirable. </w:t>
            </w:r>
          </w:p>
          <w:p w14:paraId="47E975C5" w14:textId="56EBC5AD" w:rsidR="003134C6" w:rsidRDefault="003134C6" w:rsidP="003134C6">
            <w:pPr>
              <w:pStyle w:val="Box"/>
            </w:pPr>
            <w:r w:rsidRPr="003134C6">
              <w:t>Data on NDIS plan activation, client experience of choice and control and assistance to exercise and implement choice and control are being investigated for future reports.</w:t>
            </w:r>
          </w:p>
        </w:tc>
      </w:tr>
      <w:tr w:rsidR="003134C6" w14:paraId="0DF33A76" w14:textId="77777777" w:rsidTr="005F0ED6">
        <w:tc>
          <w:tcPr>
            <w:tcW w:w="5000" w:type="pct"/>
            <w:tcBorders>
              <w:top w:val="nil"/>
              <w:left w:val="nil"/>
              <w:bottom w:val="single" w:sz="6" w:space="0" w:color="78A22F"/>
              <w:right w:val="nil"/>
            </w:tcBorders>
            <w:shd w:val="clear" w:color="auto" w:fill="F2F2F2"/>
          </w:tcPr>
          <w:p w14:paraId="2556CC95" w14:textId="77777777" w:rsidR="003134C6" w:rsidRDefault="003134C6">
            <w:pPr>
              <w:pStyle w:val="Box"/>
              <w:spacing w:before="0" w:line="120" w:lineRule="exact"/>
            </w:pPr>
          </w:p>
        </w:tc>
      </w:tr>
      <w:tr w:rsidR="003134C6" w:rsidRPr="000863A5" w14:paraId="448E193A" w14:textId="77777777" w:rsidTr="005F0ED6">
        <w:tc>
          <w:tcPr>
            <w:tcW w:w="5000" w:type="pct"/>
            <w:tcBorders>
              <w:top w:val="single" w:sz="6" w:space="0" w:color="78A22F"/>
              <w:left w:val="nil"/>
              <w:bottom w:val="nil"/>
              <w:right w:val="nil"/>
            </w:tcBorders>
          </w:tcPr>
          <w:p w14:paraId="47167B89" w14:textId="411D143F" w:rsidR="003134C6" w:rsidRPr="00626D32" w:rsidRDefault="003134C6" w:rsidP="005F0ED6">
            <w:pPr>
              <w:pStyle w:val="BoxSpaceBelow"/>
            </w:pPr>
          </w:p>
        </w:tc>
      </w:tr>
    </w:tbl>
    <w:p w14:paraId="709AE806" w14:textId="77777777" w:rsidR="00F17CF4" w:rsidRPr="007162F2" w:rsidRDefault="00F17CF4" w:rsidP="00F17CF4">
      <w:pPr>
        <w:pStyle w:val="Heading4"/>
      </w:pPr>
      <w:r w:rsidRPr="007162F2">
        <w:t xml:space="preserve">Quality </w:t>
      </w:r>
      <w:r w:rsidRPr="007162F2">
        <w:rPr>
          <w:rFonts w:cs="Arial"/>
        </w:rPr>
        <w:t>―</w:t>
      </w:r>
      <w:r w:rsidRPr="007162F2">
        <w:t xml:space="preserve"> Client and carer satisfaction</w:t>
      </w:r>
    </w:p>
    <w:p w14:paraId="01C42851" w14:textId="0D014C1D" w:rsidR="00F17CF4" w:rsidRPr="007162F2" w:rsidRDefault="00F17CF4" w:rsidP="00F17CF4">
      <w:pPr>
        <w:pStyle w:val="BodyText"/>
      </w:pPr>
      <w:r w:rsidRPr="007162F2">
        <w:t>‘Client and carer satisfaction’ is an indicator of governments’ objective to provide access to disability services that meet a particular standard of quality</w:t>
      </w:r>
      <w:r w:rsidR="00CA7A86">
        <w:t>; and under the NDIS, to promote the provision of high quality and innovative supports</w:t>
      </w:r>
      <w:r w:rsidRPr="007162F2">
        <w:t xml:space="preserve"> (box </w:t>
      </w:r>
      <w:r w:rsidR="007537AA">
        <w:t>15.6</w:t>
      </w:r>
      <w:r w:rsidRPr="007162F2">
        <w:t>).</w:t>
      </w:r>
      <w:r w:rsidR="0011467D">
        <w:t xml:space="preserve"> </w:t>
      </w:r>
    </w:p>
    <w:p w14:paraId="5D4B61E6" w14:textId="01ECE5A3" w:rsidR="00F17CF4" w:rsidRPr="007162F2" w:rsidRDefault="00F17C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17CF4" w:rsidRPr="007162F2" w14:paraId="476C3DE0" w14:textId="77777777" w:rsidTr="00F14D5E">
        <w:tc>
          <w:tcPr>
            <w:tcW w:w="8789" w:type="dxa"/>
            <w:tcBorders>
              <w:top w:val="single" w:sz="6" w:space="0" w:color="78A22F"/>
              <w:left w:val="nil"/>
              <w:bottom w:val="nil"/>
              <w:right w:val="nil"/>
            </w:tcBorders>
            <w:shd w:val="clear" w:color="auto" w:fill="F2F2F2"/>
          </w:tcPr>
          <w:p w14:paraId="2FF7906C" w14:textId="283CF9BF" w:rsidR="00F17CF4" w:rsidRPr="007162F2" w:rsidRDefault="00F17CF4" w:rsidP="0052733D">
            <w:pPr>
              <w:pStyle w:val="BoxTitle"/>
            </w:pPr>
            <w:r w:rsidRPr="007162F2">
              <w:rPr>
                <w:b w:val="0"/>
              </w:rPr>
              <w:t xml:space="preserve">Box </w:t>
            </w:r>
            <w:r w:rsidR="007537AA">
              <w:rPr>
                <w:b w:val="0"/>
              </w:rPr>
              <w:t>15.</w:t>
            </w:r>
            <w:r w:rsidR="0052733D">
              <w:rPr>
                <w:b w:val="0"/>
              </w:rPr>
              <w:t>6</w:t>
            </w:r>
            <w:r w:rsidRPr="007162F2">
              <w:tab/>
              <w:t>Client and carer satisfaction</w:t>
            </w:r>
          </w:p>
        </w:tc>
      </w:tr>
      <w:tr w:rsidR="00F17CF4" w:rsidRPr="007162F2" w14:paraId="55FBEDAE" w14:textId="77777777" w:rsidTr="00F14D5E">
        <w:trPr>
          <w:trHeight w:val="2404"/>
        </w:trPr>
        <w:tc>
          <w:tcPr>
            <w:tcW w:w="8789" w:type="dxa"/>
            <w:tcBorders>
              <w:top w:val="nil"/>
              <w:left w:val="nil"/>
              <w:bottom w:val="nil"/>
              <w:right w:val="nil"/>
            </w:tcBorders>
            <w:shd w:val="clear" w:color="auto" w:fill="F2F2F2"/>
          </w:tcPr>
          <w:p w14:paraId="1E8E8E86" w14:textId="77777777" w:rsidR="00F17CF4" w:rsidRPr="007162F2" w:rsidRDefault="00F17CF4" w:rsidP="00F17CF4">
            <w:pPr>
              <w:pStyle w:val="Box"/>
            </w:pPr>
            <w:r w:rsidRPr="007162F2">
              <w:t>‘Client and carer satisfaction’ is defined by four measures:</w:t>
            </w:r>
          </w:p>
          <w:p w14:paraId="5DFE5D7B" w14:textId="71B03C0E" w:rsidR="00F17CF4" w:rsidRPr="007162F2" w:rsidRDefault="00F17CF4" w:rsidP="00F17CF4">
            <w:pPr>
              <w:pStyle w:val="BoxListBullet"/>
            </w:pPr>
            <w:r w:rsidRPr="007162F2">
              <w:t xml:space="preserve">the proportion of people with disability </w:t>
            </w:r>
            <w:r w:rsidR="008F0629">
              <w:t>aged 15</w:t>
            </w:r>
            <w:r w:rsidR="008F0629" w:rsidRPr="007162F2">
              <w:t>–</w:t>
            </w:r>
            <w:r w:rsidR="000D7005" w:rsidRPr="007162F2">
              <w:t xml:space="preserve">64 years </w:t>
            </w:r>
            <w:r w:rsidRPr="007162F2">
              <w:t>who are satisfied with the quality of assistance received from organised and formal services in the last six months</w:t>
            </w:r>
          </w:p>
          <w:p w14:paraId="0255175F" w14:textId="4D23C59A" w:rsidR="00F17CF4" w:rsidRPr="007162F2" w:rsidRDefault="00F17CF4" w:rsidP="00F17CF4">
            <w:pPr>
              <w:pStyle w:val="BoxListBullet"/>
            </w:pPr>
            <w:r w:rsidRPr="007162F2">
              <w:t xml:space="preserve">the proportion of people with disability </w:t>
            </w:r>
            <w:r w:rsidR="000D7005" w:rsidRPr="007162F2">
              <w:t>aged 15</w:t>
            </w:r>
            <w:r w:rsidR="008F0629" w:rsidRPr="007162F2">
              <w:t>–</w:t>
            </w:r>
            <w:r w:rsidR="000D7005" w:rsidRPr="007162F2">
              <w:t xml:space="preserve">64 years </w:t>
            </w:r>
            <w:r w:rsidRPr="007162F2">
              <w:t>who are satisfied with the range of organised and formal service options available</w:t>
            </w:r>
          </w:p>
          <w:p w14:paraId="156E4944" w14:textId="50FD6D90" w:rsidR="00F17CF4" w:rsidRPr="007162F2" w:rsidRDefault="00F17CF4" w:rsidP="00F17CF4">
            <w:pPr>
              <w:pStyle w:val="BoxListBullet"/>
            </w:pPr>
            <w:r w:rsidRPr="007162F2">
              <w:t>the proportion of primary carers</w:t>
            </w:r>
            <w:r w:rsidR="00276C04" w:rsidRPr="007162F2">
              <w:t xml:space="preserve"> (</w:t>
            </w:r>
            <w:r w:rsidRPr="007162F2">
              <w:t xml:space="preserve">of people with disability </w:t>
            </w:r>
            <w:r w:rsidR="000D7005" w:rsidRPr="007162F2">
              <w:t xml:space="preserve">aged </w:t>
            </w:r>
            <w:r w:rsidR="00276C04" w:rsidRPr="007162F2">
              <w:t>0</w:t>
            </w:r>
            <w:r w:rsidR="008F0629" w:rsidRPr="007162F2">
              <w:t>–</w:t>
            </w:r>
            <w:r w:rsidR="000D7005" w:rsidRPr="007162F2">
              <w:t>64 years</w:t>
            </w:r>
            <w:r w:rsidR="00276C04" w:rsidRPr="007162F2">
              <w:t>)</w:t>
            </w:r>
            <w:r w:rsidR="000D7005" w:rsidRPr="007162F2">
              <w:t xml:space="preserve"> </w:t>
            </w:r>
            <w:r w:rsidRPr="007162F2">
              <w:t>who are satisfied with the quality of assistance received from formal services, by the person with disability and by the carer in the last six months</w:t>
            </w:r>
          </w:p>
          <w:p w14:paraId="42FD808F" w14:textId="3F296AFF" w:rsidR="00F17CF4" w:rsidRPr="007162F2" w:rsidRDefault="00F17CF4" w:rsidP="00F17CF4">
            <w:pPr>
              <w:pStyle w:val="BoxListBullet"/>
            </w:pPr>
            <w:r w:rsidRPr="007162F2">
              <w:t xml:space="preserve">the proportion of primary carers </w:t>
            </w:r>
            <w:r w:rsidR="00276C04" w:rsidRPr="007162F2">
              <w:t>(of people with disability aged 0</w:t>
            </w:r>
            <w:r w:rsidR="008F0629" w:rsidRPr="007162F2">
              <w:t>–</w:t>
            </w:r>
            <w:r w:rsidR="00276C04" w:rsidRPr="007162F2">
              <w:t>64 years)</w:t>
            </w:r>
            <w:r w:rsidR="000D7005" w:rsidRPr="007162F2">
              <w:t>,</w:t>
            </w:r>
            <w:r w:rsidRPr="007162F2">
              <w:t xml:space="preserve"> who are satisfied with the range of formal service options available to help them in their caring role.</w:t>
            </w:r>
          </w:p>
          <w:p w14:paraId="1239CA0A" w14:textId="77777777" w:rsidR="00F17CF4" w:rsidRPr="007162F2" w:rsidRDefault="00F17CF4" w:rsidP="00F17CF4">
            <w:pPr>
              <w:pStyle w:val="Box"/>
              <w:rPr>
                <w:szCs w:val="24"/>
              </w:rPr>
            </w:pPr>
            <w:r w:rsidRPr="007162F2">
              <w:t>A high or increasing proportion of clients and carers</w:t>
            </w:r>
            <w:r w:rsidR="001B2B1B" w:rsidRPr="007162F2">
              <w:t xml:space="preserve"> who are satisfied is desirable</w:t>
            </w:r>
            <w:r w:rsidRPr="007162F2">
              <w:t xml:space="preserve"> as it suggests that the service received was of a higher quality.</w:t>
            </w:r>
          </w:p>
          <w:p w14:paraId="4E089E2D" w14:textId="77777777" w:rsidR="00F17CF4" w:rsidRPr="007162F2" w:rsidRDefault="00F17CF4" w:rsidP="00F17CF4">
            <w:pPr>
              <w:pStyle w:val="Box"/>
            </w:pPr>
            <w:r w:rsidRPr="007162F2">
              <w:t>Data reported for this measure are:</w:t>
            </w:r>
          </w:p>
          <w:p w14:paraId="3BA8F532" w14:textId="77777777" w:rsidR="00F17CF4" w:rsidRPr="007162F2" w:rsidRDefault="00F17CF4" w:rsidP="00F17CF4">
            <w:pPr>
              <w:pStyle w:val="BoxListBullet"/>
            </w:pPr>
            <w:r w:rsidRPr="007162F2">
              <w:rPr>
                <w:lang w:eastAsia="en-US"/>
              </w:rPr>
              <w:t>comparable across jurisdictions</w:t>
            </w:r>
            <w:r w:rsidR="0011467D">
              <w:rPr>
                <w:lang w:eastAsia="en-US"/>
              </w:rPr>
              <w:t xml:space="preserve"> and over time</w:t>
            </w:r>
          </w:p>
          <w:p w14:paraId="5BD358A1" w14:textId="0DE73A56" w:rsidR="00F17CF4" w:rsidRPr="007162F2" w:rsidRDefault="00F17CF4" w:rsidP="00E02BE8">
            <w:pPr>
              <w:pStyle w:val="BoxListBullet"/>
            </w:pPr>
            <w:r w:rsidRPr="007162F2">
              <w:rPr>
                <w:lang w:eastAsia="en-US"/>
              </w:rPr>
              <w:t>complete (subject to caveats) for the current reporting period</w:t>
            </w:r>
            <w:r w:rsidR="00E02BE8" w:rsidRPr="007162F2">
              <w:rPr>
                <w:lang w:eastAsia="en-US"/>
              </w:rPr>
              <w:t>.</w:t>
            </w:r>
            <w:r w:rsidR="00CA7A86">
              <w:rPr>
                <w:lang w:eastAsia="en-US"/>
              </w:rPr>
              <w:t xml:space="preserve"> All required 2015 data are available for all jurisdictions.</w:t>
            </w:r>
          </w:p>
        </w:tc>
      </w:tr>
      <w:tr w:rsidR="00F17CF4" w:rsidRPr="007162F2" w14:paraId="162C2F9C" w14:textId="77777777" w:rsidTr="00F14D5E">
        <w:tc>
          <w:tcPr>
            <w:tcW w:w="8789" w:type="dxa"/>
            <w:tcBorders>
              <w:top w:val="nil"/>
              <w:left w:val="nil"/>
              <w:bottom w:val="single" w:sz="6" w:space="0" w:color="78A22F"/>
              <w:right w:val="nil"/>
            </w:tcBorders>
            <w:shd w:val="clear" w:color="auto" w:fill="F2F2F2"/>
          </w:tcPr>
          <w:p w14:paraId="3CDA1A35" w14:textId="77777777" w:rsidR="00F17CF4" w:rsidRPr="007162F2" w:rsidRDefault="00F17CF4">
            <w:pPr>
              <w:pStyle w:val="Box"/>
              <w:spacing w:before="0" w:line="120" w:lineRule="exact"/>
            </w:pPr>
          </w:p>
        </w:tc>
      </w:tr>
      <w:tr w:rsidR="00F17CF4" w:rsidRPr="007162F2" w14:paraId="6B10C865" w14:textId="77777777" w:rsidTr="00F14D5E">
        <w:tc>
          <w:tcPr>
            <w:tcW w:w="8789" w:type="dxa"/>
            <w:tcBorders>
              <w:top w:val="single" w:sz="6" w:space="0" w:color="78A22F"/>
              <w:left w:val="nil"/>
              <w:bottom w:val="nil"/>
              <w:right w:val="nil"/>
            </w:tcBorders>
          </w:tcPr>
          <w:p w14:paraId="382B2AAC" w14:textId="78323CB5" w:rsidR="00F17CF4" w:rsidRPr="007162F2" w:rsidRDefault="00F17CF4" w:rsidP="009F5938">
            <w:pPr>
              <w:pStyle w:val="BoxSpaceBelow"/>
            </w:pPr>
          </w:p>
        </w:tc>
      </w:tr>
    </w:tbl>
    <w:p w14:paraId="7DE4C891" w14:textId="2D15AC63" w:rsidR="00E02BE8" w:rsidRDefault="002042CE" w:rsidP="007F6F12">
      <w:pPr>
        <w:pStyle w:val="BodyText"/>
        <w:shd w:val="clear" w:color="auto" w:fill="FFFFFF" w:themeFill="background1"/>
        <w:rPr>
          <w:szCs w:val="26"/>
        </w:rPr>
      </w:pPr>
      <w:r>
        <w:rPr>
          <w:szCs w:val="26"/>
        </w:rPr>
        <w:t>Nationally in 2015, of people aged 15</w:t>
      </w:r>
      <w:r w:rsidR="005478AB">
        <w:rPr>
          <w:szCs w:val="26"/>
        </w:rPr>
        <w:t>–</w:t>
      </w:r>
      <w:r>
        <w:rPr>
          <w:szCs w:val="26"/>
        </w:rPr>
        <w:t xml:space="preserve">64 years with disability who received formal services in the previous six months, </w:t>
      </w:r>
      <w:r w:rsidRPr="00062254">
        <w:rPr>
          <w:szCs w:val="26"/>
        </w:rPr>
        <w:t>78.7</w:t>
      </w:r>
      <w:r w:rsidR="00FC3E20" w:rsidRPr="002042CE">
        <w:rPr>
          <w:szCs w:val="26"/>
        </w:rPr>
        <w:t xml:space="preserve"> </w:t>
      </w:r>
      <w:r w:rsidR="00FC3E20">
        <w:rPr>
          <w:szCs w:val="26"/>
        </w:rPr>
        <w:t>per cent</w:t>
      </w:r>
      <w:r w:rsidR="00E02BE8" w:rsidRPr="007162F2">
        <w:rPr>
          <w:szCs w:val="26"/>
        </w:rPr>
        <w:t xml:space="preserve"> were </w:t>
      </w:r>
      <w:r w:rsidR="00E02BE8" w:rsidRPr="00EE24D3">
        <w:rPr>
          <w:szCs w:val="26"/>
        </w:rPr>
        <w:t xml:space="preserve">satisfied with the </w:t>
      </w:r>
      <w:r w:rsidR="00E02BE8" w:rsidRPr="00DD13C6">
        <w:rPr>
          <w:i/>
          <w:szCs w:val="26"/>
        </w:rPr>
        <w:t>quality</w:t>
      </w:r>
      <w:r w:rsidR="00E02BE8" w:rsidRPr="00EE24D3">
        <w:rPr>
          <w:szCs w:val="26"/>
        </w:rPr>
        <w:t xml:space="preserve"> of assistance they received (</w:t>
      </w:r>
      <w:r w:rsidR="00450E7B">
        <w:rPr>
          <w:szCs w:val="26"/>
        </w:rPr>
        <w:t>table 15A.57</w:t>
      </w:r>
      <w:r w:rsidR="00477569" w:rsidRPr="00EE24D3">
        <w:rPr>
          <w:szCs w:val="26"/>
        </w:rPr>
        <w:t>)</w:t>
      </w:r>
      <w:r w:rsidR="00FC3E20" w:rsidRPr="00EE24D3">
        <w:rPr>
          <w:szCs w:val="26"/>
        </w:rPr>
        <w:t xml:space="preserve">, and 49.2 per cent were satisfied with the </w:t>
      </w:r>
      <w:r w:rsidR="00FC3E20" w:rsidRPr="00DD13C6">
        <w:rPr>
          <w:i/>
          <w:szCs w:val="26"/>
        </w:rPr>
        <w:t>range</w:t>
      </w:r>
      <w:r w:rsidR="00FC3E20" w:rsidRPr="00EE24D3">
        <w:rPr>
          <w:szCs w:val="26"/>
        </w:rPr>
        <w:t xml:space="preserve"> of services received </w:t>
      </w:r>
      <w:r w:rsidR="00171823" w:rsidRPr="00477569">
        <w:rPr>
          <w:szCs w:val="26"/>
        </w:rPr>
        <w:t>(table </w:t>
      </w:r>
      <w:r w:rsidR="00477569" w:rsidRPr="00477569">
        <w:rPr>
          <w:szCs w:val="26"/>
        </w:rPr>
        <w:t>15A.62</w:t>
      </w:r>
      <w:r w:rsidR="00171823" w:rsidRPr="00477569">
        <w:rPr>
          <w:szCs w:val="26"/>
        </w:rPr>
        <w:t>).</w:t>
      </w:r>
      <w:r w:rsidR="00171823" w:rsidRPr="00EE24D3">
        <w:rPr>
          <w:szCs w:val="26"/>
        </w:rPr>
        <w:t xml:space="preserve"> </w:t>
      </w:r>
      <w:r w:rsidR="00FC3E20" w:rsidRPr="00EE24D3">
        <w:rPr>
          <w:szCs w:val="26"/>
        </w:rPr>
        <w:t>These figures were not significantly different from 2012 (table</w:t>
      </w:r>
      <w:r w:rsidR="00450E7B">
        <w:rPr>
          <w:szCs w:val="26"/>
        </w:rPr>
        <w:t>s</w:t>
      </w:r>
      <w:r w:rsidR="004514F4">
        <w:rPr>
          <w:szCs w:val="26"/>
        </w:rPr>
        <w:t> </w:t>
      </w:r>
      <w:r w:rsidR="00450E7B">
        <w:rPr>
          <w:szCs w:val="26"/>
        </w:rPr>
        <w:t xml:space="preserve">15A.57 and </w:t>
      </w:r>
      <w:r w:rsidR="00FC3E20" w:rsidRPr="00EE24D3">
        <w:rPr>
          <w:szCs w:val="26"/>
        </w:rPr>
        <w:t>15A.62).</w:t>
      </w:r>
    </w:p>
    <w:p w14:paraId="7340FB80" w14:textId="71D8B12E" w:rsidR="00EC36E7" w:rsidRDefault="00EC36E7" w:rsidP="00D6499E">
      <w:pPr>
        <w:pStyle w:val="BodyText"/>
        <w:rPr>
          <w:szCs w:val="26"/>
        </w:rPr>
      </w:pPr>
      <w:r w:rsidRPr="00496CC3">
        <w:t xml:space="preserve">Nationally, the proportion of primary carers who were satisfied with the </w:t>
      </w:r>
      <w:r w:rsidRPr="00496CC3">
        <w:rPr>
          <w:i/>
        </w:rPr>
        <w:t>quality</w:t>
      </w:r>
      <w:r w:rsidRPr="00496CC3">
        <w:t xml:space="preserve"> of services received was 73.4</w:t>
      </w:r>
      <w:r>
        <w:t> </w:t>
      </w:r>
      <w:r w:rsidRPr="00496CC3">
        <w:t>per</w:t>
      </w:r>
      <w:r>
        <w:t> </w:t>
      </w:r>
      <w:r w:rsidRPr="00496CC3">
        <w:t xml:space="preserve">cent in 2015 </w:t>
      </w:r>
      <w:r w:rsidRPr="00EC36E7">
        <w:t xml:space="preserve">compared to 69.0 per cent in 2012 </w:t>
      </w:r>
      <w:r w:rsidRPr="00496CC3">
        <w:t>(figure 15.14)</w:t>
      </w:r>
      <w:r>
        <w:t xml:space="preserve">, </w:t>
      </w:r>
      <w:r w:rsidRPr="00477569">
        <w:t xml:space="preserve">however </w:t>
      </w:r>
      <w:r>
        <w:t xml:space="preserve">there was no significant change in </w:t>
      </w:r>
      <w:r w:rsidRPr="00477569">
        <w:t xml:space="preserve">satisfaction with the </w:t>
      </w:r>
      <w:r w:rsidRPr="00FF02B9">
        <w:rPr>
          <w:i/>
        </w:rPr>
        <w:t>range</w:t>
      </w:r>
      <w:r w:rsidRPr="00477569">
        <w:t xml:space="preserve"> of services </w:t>
      </w:r>
      <w:r>
        <w:t xml:space="preserve">received </w:t>
      </w:r>
      <w:r w:rsidRPr="00477569">
        <w:t xml:space="preserve">(32.5 per cent in 2015) </w:t>
      </w:r>
      <w:r>
        <w:t>(</w:t>
      </w:r>
      <w:r w:rsidRPr="00477569">
        <w:t>table 15A.63).</w:t>
      </w:r>
    </w:p>
    <w:p w14:paraId="5EEB320F" w14:textId="69CD7BE1" w:rsidR="00F14D5E" w:rsidRPr="00FF3F53" w:rsidRDefault="00F14D5E" w:rsidP="00D6499E">
      <w:pPr>
        <w:pStyle w:val="BodyText"/>
        <w:rPr>
          <w:szCs w:val="26"/>
        </w:rPr>
      </w:pPr>
      <w:r w:rsidRPr="0011467D">
        <w:t>Data disaggregated by special needs groups are available in tables</w:t>
      </w:r>
      <w:r>
        <w:t> </w:t>
      </w:r>
      <w:r w:rsidRPr="0011467D">
        <w:t xml:space="preserve">15A.59–61 and </w:t>
      </w:r>
      <w:r>
        <w:br/>
        <w:t>15A.63</w:t>
      </w:r>
      <w:r w:rsidRPr="0011467D">
        <w:t>–65.</w:t>
      </w:r>
    </w:p>
    <w:p w14:paraId="4CEF68DF" w14:textId="26B1A364" w:rsidR="00E02BE8" w:rsidRPr="007162F2" w:rsidRDefault="00E02BE8" w:rsidP="00452ECC">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1AAC43A9" w14:textId="77777777" w:rsidTr="00F14D5E">
        <w:trPr>
          <w:tblHeader/>
        </w:trPr>
        <w:tc>
          <w:tcPr>
            <w:tcW w:w="8789" w:type="dxa"/>
            <w:tcBorders>
              <w:top w:val="single" w:sz="6" w:space="0" w:color="78A22F"/>
              <w:left w:val="nil"/>
              <w:bottom w:val="nil"/>
              <w:right w:val="nil"/>
            </w:tcBorders>
            <w:shd w:val="clear" w:color="auto" w:fill="auto"/>
          </w:tcPr>
          <w:p w14:paraId="17971924" w14:textId="3AAE0AF8" w:rsidR="00E02BE8" w:rsidRPr="007162F2" w:rsidRDefault="00E02BE8" w:rsidP="00410952">
            <w:pPr>
              <w:pStyle w:val="FigureTitle"/>
            </w:pPr>
            <w:r w:rsidRPr="007162F2">
              <w:rPr>
                <w:b w:val="0"/>
              </w:rPr>
              <w:t xml:space="preserve">Figure </w:t>
            </w:r>
            <w:bookmarkStart w:id="23" w:name="OLE_LINK23"/>
            <w:r w:rsidRPr="007162F2">
              <w:rPr>
                <w:b w:val="0"/>
              </w:rPr>
              <w:t>15.</w:t>
            </w:r>
            <w:r w:rsidR="00C37B05">
              <w:rPr>
                <w:b w:val="0"/>
                <w:noProof/>
              </w:rPr>
              <w:t>14</w:t>
            </w:r>
            <w:bookmarkEnd w:id="23"/>
            <w:r w:rsidRPr="007162F2">
              <w:tab/>
            </w:r>
            <w:r w:rsidRPr="00342AFB">
              <w:t xml:space="preserve">Proportion of </w:t>
            </w:r>
            <w:r w:rsidR="00231325" w:rsidRPr="00342AFB">
              <w:t xml:space="preserve">carers of </w:t>
            </w:r>
            <w:r w:rsidRPr="00342AFB">
              <w:t xml:space="preserve">people with disability who are satisfied with the quality of </w:t>
            </w:r>
            <w:r w:rsidR="00410952">
              <w:t>services</w:t>
            </w:r>
            <w:r w:rsidR="00410952" w:rsidRPr="00342AFB">
              <w:t xml:space="preserve"> </w:t>
            </w:r>
            <w:r w:rsidRPr="00342AFB">
              <w:t>received</w:t>
            </w:r>
            <w:r w:rsidRPr="00342AFB">
              <w:rPr>
                <w:rStyle w:val="NoteLabel"/>
                <w:b/>
              </w:rPr>
              <w:t>a</w:t>
            </w:r>
          </w:p>
        </w:tc>
      </w:tr>
      <w:tr w:rsidR="007B46BB" w:rsidRPr="007162F2" w14:paraId="30E1B468" w14:textId="77777777" w:rsidTr="00F14D5E">
        <w:tblPrEx>
          <w:tblCellMar>
            <w:left w:w="108" w:type="dxa"/>
            <w:right w:w="108" w:type="dxa"/>
          </w:tblCellMar>
        </w:tblPrEx>
        <w:tc>
          <w:tcPr>
            <w:tcW w:w="8789" w:type="dxa"/>
            <w:tcBorders>
              <w:top w:val="nil"/>
              <w:left w:val="nil"/>
              <w:bottom w:val="nil"/>
              <w:right w:val="nil"/>
            </w:tcBorders>
            <w:shd w:val="clear" w:color="auto" w:fill="auto"/>
          </w:tcPr>
          <w:p w14:paraId="06B6E0FB" w14:textId="2BA69181" w:rsidR="007B46BB" w:rsidRDefault="007B46BB" w:rsidP="00843560">
            <w:pPr>
              <w:pStyle w:val="Figure"/>
              <w:spacing w:before="60" w:after="60"/>
              <w:rPr>
                <w:noProof/>
              </w:rPr>
            </w:pPr>
            <w:r>
              <w:rPr>
                <w:noProof/>
              </w:rPr>
              <w:drawing>
                <wp:inline distT="0" distB="0" distL="0" distR="0" wp14:anchorId="3028C7D9" wp14:editId="236C582D">
                  <wp:extent cx="5432425" cy="2484755"/>
                  <wp:effectExtent l="0" t="0" r="0" b="0"/>
                  <wp:docPr id="9" name="Chart 9" descr="More details can be found within the text surrounding this image. " title="Figure 15.14 Proportion of carers of people with disability who are satisfied with the quality of services receiv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E02BE8" w:rsidRPr="007162F2" w14:paraId="535648AD" w14:textId="77777777" w:rsidTr="00F14D5E">
        <w:tc>
          <w:tcPr>
            <w:tcW w:w="8789" w:type="dxa"/>
            <w:tcBorders>
              <w:top w:val="nil"/>
              <w:left w:val="nil"/>
              <w:bottom w:val="nil"/>
              <w:right w:val="nil"/>
            </w:tcBorders>
            <w:shd w:val="clear" w:color="auto" w:fill="auto"/>
          </w:tcPr>
          <w:p w14:paraId="729182DD" w14:textId="30BEA7B0" w:rsidR="00E02BE8" w:rsidRPr="007162F2" w:rsidRDefault="00E02BE8" w:rsidP="00F00E0F">
            <w:pPr>
              <w:pStyle w:val="Note"/>
            </w:pPr>
            <w:r w:rsidRPr="007162F2">
              <w:rPr>
                <w:rStyle w:val="NoteLabel"/>
              </w:rPr>
              <w:t>a</w:t>
            </w:r>
            <w:r w:rsidRPr="007162F2">
              <w:t xml:space="preserve"> See box </w:t>
            </w:r>
            <w:r w:rsidR="007537AA">
              <w:t>15.6</w:t>
            </w:r>
            <w:r w:rsidR="000C79B1">
              <w:t xml:space="preserve"> </w:t>
            </w:r>
            <w:r w:rsidR="00E1573D">
              <w:t>and table</w:t>
            </w:r>
            <w:r w:rsidRPr="007162F2">
              <w:t> </w:t>
            </w:r>
            <w:r w:rsidRPr="00342AFB">
              <w:t>15A.</w:t>
            </w:r>
            <w:r w:rsidR="00CB5EE8" w:rsidRPr="00342AFB">
              <w:t>5</w:t>
            </w:r>
            <w:r w:rsidR="00F00E0F" w:rsidRPr="00342AFB">
              <w:t>8</w:t>
            </w:r>
            <w:r w:rsidRPr="007162F2">
              <w:t xml:space="preserve"> for detailed definitions, footnotes and caveats.</w:t>
            </w:r>
          </w:p>
        </w:tc>
      </w:tr>
      <w:tr w:rsidR="00E02BE8" w:rsidRPr="007162F2" w14:paraId="162E0917" w14:textId="77777777" w:rsidTr="00F14D5E">
        <w:tc>
          <w:tcPr>
            <w:tcW w:w="8789" w:type="dxa"/>
            <w:tcBorders>
              <w:top w:val="nil"/>
              <w:left w:val="nil"/>
              <w:bottom w:val="nil"/>
              <w:right w:val="nil"/>
            </w:tcBorders>
            <w:shd w:val="clear" w:color="auto" w:fill="auto"/>
          </w:tcPr>
          <w:p w14:paraId="302F005F" w14:textId="77C9CFF3" w:rsidR="00E02BE8" w:rsidRPr="007162F2" w:rsidRDefault="00E02BE8" w:rsidP="00222C9A">
            <w:pPr>
              <w:pStyle w:val="Source"/>
            </w:pPr>
            <w:r w:rsidRPr="007162F2">
              <w:rPr>
                <w:i/>
              </w:rPr>
              <w:t>Source</w:t>
            </w:r>
            <w:r w:rsidRPr="007162F2">
              <w:t>: ABS (unpublished) SDAC; table </w:t>
            </w:r>
            <w:r w:rsidR="00477569" w:rsidRPr="00342AFB">
              <w:t>15A.5</w:t>
            </w:r>
            <w:r w:rsidR="00222C9A" w:rsidRPr="00342AFB">
              <w:t>8</w:t>
            </w:r>
            <w:r w:rsidRPr="007162F2">
              <w:t>.</w:t>
            </w:r>
          </w:p>
        </w:tc>
      </w:tr>
      <w:tr w:rsidR="00E02BE8" w:rsidRPr="007162F2" w14:paraId="76FB54E3" w14:textId="77777777" w:rsidTr="00F14D5E">
        <w:tc>
          <w:tcPr>
            <w:tcW w:w="8789" w:type="dxa"/>
            <w:tcBorders>
              <w:top w:val="nil"/>
              <w:left w:val="nil"/>
              <w:bottom w:val="single" w:sz="6" w:space="0" w:color="78A22F"/>
              <w:right w:val="nil"/>
            </w:tcBorders>
            <w:shd w:val="clear" w:color="auto" w:fill="auto"/>
          </w:tcPr>
          <w:p w14:paraId="7F1F8341" w14:textId="77777777" w:rsidR="00E02BE8" w:rsidRPr="007162F2" w:rsidRDefault="00E02BE8" w:rsidP="009F5938">
            <w:pPr>
              <w:pStyle w:val="Figurespace"/>
            </w:pPr>
          </w:p>
        </w:tc>
      </w:tr>
      <w:tr w:rsidR="00E02BE8" w:rsidRPr="007162F2" w14:paraId="19FDDBF1" w14:textId="77777777" w:rsidTr="00F14D5E">
        <w:tc>
          <w:tcPr>
            <w:tcW w:w="8789" w:type="dxa"/>
            <w:tcBorders>
              <w:top w:val="single" w:sz="6" w:space="0" w:color="78A22F"/>
              <w:left w:val="nil"/>
              <w:bottom w:val="nil"/>
              <w:right w:val="nil"/>
            </w:tcBorders>
          </w:tcPr>
          <w:p w14:paraId="22F48778" w14:textId="07D5FBB6" w:rsidR="00E02BE8" w:rsidRPr="007162F2" w:rsidRDefault="00E02BE8" w:rsidP="009F5938">
            <w:pPr>
              <w:pStyle w:val="BoxSpaceBelow"/>
            </w:pPr>
          </w:p>
        </w:tc>
      </w:tr>
    </w:tbl>
    <w:p w14:paraId="1913899B" w14:textId="77777777" w:rsidR="00E02BE8" w:rsidRPr="007162F2" w:rsidRDefault="00E02BE8" w:rsidP="00E02BE8">
      <w:pPr>
        <w:pStyle w:val="Heading3"/>
      </w:pPr>
      <w:r w:rsidRPr="007162F2">
        <w:t>Efficiency</w:t>
      </w:r>
    </w:p>
    <w:p w14:paraId="1D92B82E" w14:textId="5CC1E09F" w:rsidR="00E02BE8" w:rsidRPr="007162F2" w:rsidRDefault="00792C2B" w:rsidP="00E02BE8">
      <w:pPr>
        <w:pStyle w:val="BodyText"/>
      </w:pPr>
      <w:r>
        <w:rPr>
          <w:szCs w:val="26"/>
        </w:rPr>
        <w:t>This Report includes 2016</w:t>
      </w:r>
      <w:r>
        <w:rPr>
          <w:szCs w:val="26"/>
        </w:rPr>
        <w:noBreakHyphen/>
        <w:t>17</w:t>
      </w:r>
      <w:r w:rsidR="00E02BE8" w:rsidRPr="007162F2">
        <w:rPr>
          <w:szCs w:val="26"/>
        </w:rPr>
        <w:t xml:space="preserve"> expenditure data provided by Australian, State and Territory governments. However, as 201</w:t>
      </w:r>
      <w:r>
        <w:rPr>
          <w:szCs w:val="26"/>
        </w:rPr>
        <w:t>6</w:t>
      </w:r>
      <w:r w:rsidR="00E02BE8" w:rsidRPr="007162F2">
        <w:rPr>
          <w:szCs w:val="26"/>
        </w:rPr>
        <w:noBreakHyphen/>
        <w:t>1</w:t>
      </w:r>
      <w:r>
        <w:rPr>
          <w:szCs w:val="26"/>
        </w:rPr>
        <w:t>7</w:t>
      </w:r>
      <w:r w:rsidR="00E02BE8" w:rsidRPr="007162F2">
        <w:rPr>
          <w:szCs w:val="26"/>
        </w:rPr>
        <w:t xml:space="preserve"> service user data were not available for this Report, the cost per service user efficiency indicators are reported using expenditu</w:t>
      </w:r>
      <w:r>
        <w:rPr>
          <w:szCs w:val="26"/>
        </w:rPr>
        <w:t>re and service use data for 2015</w:t>
      </w:r>
      <w:r>
        <w:rPr>
          <w:szCs w:val="26"/>
        </w:rPr>
        <w:noBreakHyphen/>
        <w:t>16</w:t>
      </w:r>
      <w:r w:rsidR="00E02BE8" w:rsidRPr="007162F2">
        <w:rPr>
          <w:szCs w:val="26"/>
        </w:rPr>
        <w:t xml:space="preserve">. Expenditure data in this Report might differ from information reported elsewhere </w:t>
      </w:r>
      <w:r w:rsidR="004A46C2" w:rsidRPr="007162F2">
        <w:rPr>
          <w:szCs w:val="26"/>
        </w:rPr>
        <w:t xml:space="preserve">(for example, </w:t>
      </w:r>
      <w:r w:rsidR="00E02BE8" w:rsidRPr="007162F2">
        <w:rPr>
          <w:szCs w:val="26"/>
        </w:rPr>
        <w:t xml:space="preserve">data here exclude users of specialist psychiatric </w:t>
      </w:r>
      <w:r w:rsidR="00E02BE8" w:rsidRPr="004D6161">
        <w:rPr>
          <w:szCs w:val="26"/>
        </w:rPr>
        <w:t>disability services</w:t>
      </w:r>
      <w:r w:rsidR="004D6161" w:rsidRPr="004D6161">
        <w:rPr>
          <w:szCs w:val="26"/>
          <w:shd w:val="clear" w:color="auto" w:fill="FFFF00"/>
        </w:rPr>
        <w:t xml:space="preserve"> </w:t>
      </w:r>
      <w:r w:rsidR="004D6161" w:rsidRPr="00342AFB">
        <w:rPr>
          <w:szCs w:val="26"/>
        </w:rPr>
        <w:t>only</w:t>
      </w:r>
      <w:r w:rsidR="004A46C2" w:rsidRPr="007162F2">
        <w:rPr>
          <w:szCs w:val="26"/>
        </w:rPr>
        <w:t>)</w:t>
      </w:r>
      <w:r w:rsidR="00E02BE8" w:rsidRPr="007162F2">
        <w:rPr>
          <w:szCs w:val="26"/>
        </w:rPr>
        <w:t>.</w:t>
      </w:r>
      <w:r w:rsidR="00E86EFD" w:rsidRPr="007162F2">
        <w:rPr>
          <w:szCs w:val="26"/>
        </w:rPr>
        <w:t xml:space="preserve"> Information on differences in calculating the reported efficiency indic</w:t>
      </w:r>
      <w:r w:rsidR="00FA64E8">
        <w:rPr>
          <w:szCs w:val="26"/>
        </w:rPr>
        <w:t>a</w:t>
      </w:r>
      <w:r w:rsidR="00E86EFD" w:rsidRPr="007162F2">
        <w:rPr>
          <w:szCs w:val="26"/>
        </w:rPr>
        <w:t>tors can be found in table</w:t>
      </w:r>
      <w:r w:rsidR="004514F4">
        <w:rPr>
          <w:szCs w:val="26"/>
        </w:rPr>
        <w:t> </w:t>
      </w:r>
      <w:r w:rsidR="00CB5EE8" w:rsidRPr="007162F2">
        <w:t>15A.66</w:t>
      </w:r>
      <w:r w:rsidR="00E86EFD" w:rsidRPr="007162F2">
        <w:t>.</w:t>
      </w:r>
    </w:p>
    <w:p w14:paraId="20B09162" w14:textId="77777777" w:rsidR="00E02BE8" w:rsidRPr="007162F2" w:rsidRDefault="00E02BE8" w:rsidP="00E02BE8">
      <w:pPr>
        <w:pStyle w:val="Heading4"/>
      </w:pPr>
      <w:r w:rsidRPr="007162F2">
        <w:t xml:space="preserve">Cost per output unit </w:t>
      </w:r>
      <w:r w:rsidRPr="007162F2">
        <w:rPr>
          <w:rFonts w:cs="Arial"/>
        </w:rPr>
        <w:t>―</w:t>
      </w:r>
      <w:r w:rsidRPr="007162F2">
        <w:t xml:space="preserve"> Government contribution per user of non</w:t>
      </w:r>
      <w:r w:rsidRPr="007162F2">
        <w:noBreakHyphen/>
        <w:t xml:space="preserve">government provided services </w:t>
      </w:r>
    </w:p>
    <w:p w14:paraId="30C619D2" w14:textId="3C482EC5" w:rsidR="00E02BE8" w:rsidRDefault="00E02BE8" w:rsidP="00E02BE8">
      <w:pPr>
        <w:pStyle w:val="BodyText"/>
      </w:pPr>
      <w:r w:rsidRPr="007162F2">
        <w:t>‘Government contribution per user of non</w:t>
      </w:r>
      <w:r w:rsidRPr="007162F2">
        <w:noBreakHyphen/>
        <w:t>government provided services’ is an indicator of governments’ objective to provide access to disability services in an efficient manner (box </w:t>
      </w:r>
      <w:r w:rsidR="007537AA">
        <w:t>15.7</w:t>
      </w:r>
      <w:r w:rsidRPr="007162F2">
        <w:t>).</w:t>
      </w:r>
    </w:p>
    <w:p w14:paraId="3AD95020" w14:textId="37263A6D" w:rsidR="00E02BE8" w:rsidRPr="007162F2" w:rsidRDefault="00E02BE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63D7E659" w14:textId="77777777" w:rsidTr="00F14D5E">
        <w:tc>
          <w:tcPr>
            <w:tcW w:w="8789" w:type="dxa"/>
            <w:tcBorders>
              <w:top w:val="single" w:sz="6" w:space="0" w:color="78A22F"/>
              <w:left w:val="nil"/>
              <w:bottom w:val="nil"/>
              <w:right w:val="nil"/>
            </w:tcBorders>
            <w:shd w:val="clear" w:color="auto" w:fill="F2F2F2"/>
          </w:tcPr>
          <w:p w14:paraId="3DE3B65D" w14:textId="75A70BAD" w:rsidR="00E02BE8" w:rsidRPr="007162F2" w:rsidRDefault="00E02BE8" w:rsidP="0052733D">
            <w:pPr>
              <w:pStyle w:val="BoxTitle"/>
            </w:pPr>
            <w:r w:rsidRPr="007162F2">
              <w:rPr>
                <w:b w:val="0"/>
              </w:rPr>
              <w:t xml:space="preserve">Box </w:t>
            </w:r>
            <w:r w:rsidR="007537AA">
              <w:rPr>
                <w:b w:val="0"/>
              </w:rPr>
              <w:t>15.</w:t>
            </w:r>
            <w:r w:rsidR="0052733D">
              <w:rPr>
                <w:b w:val="0"/>
              </w:rPr>
              <w:t>7</w:t>
            </w:r>
            <w:r w:rsidRPr="007162F2">
              <w:tab/>
              <w:t>Government contribution per user of non</w:t>
            </w:r>
            <w:r w:rsidRPr="007162F2">
              <w:noBreakHyphen/>
              <w:t>government provided services</w:t>
            </w:r>
          </w:p>
        </w:tc>
      </w:tr>
      <w:tr w:rsidR="00E02BE8" w:rsidRPr="007162F2" w14:paraId="0A58F0BA" w14:textId="77777777" w:rsidTr="00F14D5E">
        <w:tc>
          <w:tcPr>
            <w:tcW w:w="8789" w:type="dxa"/>
            <w:tcBorders>
              <w:top w:val="nil"/>
              <w:left w:val="nil"/>
              <w:bottom w:val="nil"/>
              <w:right w:val="nil"/>
            </w:tcBorders>
            <w:shd w:val="clear" w:color="auto" w:fill="F2F2F2"/>
          </w:tcPr>
          <w:p w14:paraId="6CACD8FE" w14:textId="77777777" w:rsidR="00E02BE8" w:rsidRPr="007162F2" w:rsidRDefault="00E02BE8" w:rsidP="00E02BE8">
            <w:pPr>
              <w:pStyle w:val="Box"/>
            </w:pPr>
            <w:r w:rsidRPr="007162F2">
              <w:t>‘Government contribution per user of non</w:t>
            </w:r>
            <w:r w:rsidRPr="007162F2">
              <w:noBreakHyphen/>
              <w:t>government provided services’ is defined as the net government expenditure divided by the number of users of non</w:t>
            </w:r>
            <w:r w:rsidRPr="007162F2">
              <w:noBreakHyphen/>
              <w:t>government provided NDA services. Measures are reported for the following non</w:t>
            </w:r>
            <w:r w:rsidRPr="007162F2">
              <w:noBreakHyphen/>
              <w:t>government provided services:</w:t>
            </w:r>
          </w:p>
          <w:p w14:paraId="3E0D815C" w14:textId="03A8DBB9" w:rsidR="00E02BE8" w:rsidRPr="007162F2" w:rsidRDefault="00A96A18" w:rsidP="00E02BE8">
            <w:pPr>
              <w:pStyle w:val="BoxListBullet"/>
            </w:pPr>
            <w:r>
              <w:t>A</w:t>
            </w:r>
            <w:r w:rsidR="00E02BE8" w:rsidRPr="007162F2">
              <w:t>ccommodation support services in:</w:t>
            </w:r>
          </w:p>
          <w:p w14:paraId="27286E48" w14:textId="77777777" w:rsidR="00E02BE8" w:rsidRPr="007162F2" w:rsidRDefault="00E02BE8" w:rsidP="00E02BE8">
            <w:pPr>
              <w:pStyle w:val="BoxListBullet2"/>
            </w:pPr>
            <w:r w:rsidRPr="007162F2">
              <w:t>ins</w:t>
            </w:r>
            <w:r w:rsidR="00AA0BC3" w:rsidRPr="007162F2">
              <w:t>titutional/residential settings</w:t>
            </w:r>
          </w:p>
          <w:p w14:paraId="551B7B0D" w14:textId="77777777" w:rsidR="00E02BE8" w:rsidRPr="007162F2" w:rsidRDefault="00AA0BC3" w:rsidP="00E02BE8">
            <w:pPr>
              <w:pStyle w:val="BoxListBullet2"/>
            </w:pPr>
            <w:r w:rsidRPr="007162F2">
              <w:t>group homes</w:t>
            </w:r>
          </w:p>
          <w:p w14:paraId="1A4C72B9" w14:textId="0001F65E" w:rsidR="00E02BE8" w:rsidRPr="007162F2" w:rsidRDefault="00E02BE8" w:rsidP="00E02BE8">
            <w:pPr>
              <w:pStyle w:val="BoxListBullet2"/>
            </w:pPr>
            <w:r w:rsidRPr="007162F2">
              <w:t>other community settings</w:t>
            </w:r>
            <w:r w:rsidR="00A96A18">
              <w:t>.</w:t>
            </w:r>
          </w:p>
          <w:p w14:paraId="01D9E440" w14:textId="1DEAAD7C" w:rsidR="00E02BE8" w:rsidRPr="007162F2" w:rsidRDefault="00A96A18" w:rsidP="00E02BE8">
            <w:pPr>
              <w:pStyle w:val="BoxListBullet"/>
            </w:pPr>
            <w:r>
              <w:t>E</w:t>
            </w:r>
            <w:r w:rsidR="00E02BE8" w:rsidRPr="007162F2">
              <w:t>mployment services (reported per emp</w:t>
            </w:r>
            <w:r w:rsidR="00AA0BC3" w:rsidRPr="007162F2">
              <w:t>loyment service user assisted)</w:t>
            </w:r>
            <w:r>
              <w:t>.</w:t>
            </w:r>
          </w:p>
          <w:p w14:paraId="1F1611D7" w14:textId="77777777" w:rsidR="006E7CB4" w:rsidRPr="007162F2" w:rsidRDefault="006E7CB4" w:rsidP="006E7CB4">
            <w:pPr>
              <w:pStyle w:val="Box"/>
            </w:pPr>
            <w:r>
              <w:t>Assuming all</w:t>
            </w:r>
            <w:r w:rsidRPr="007162F2">
              <w:t xml:space="preserve"> other factors </w:t>
            </w:r>
            <w:r>
              <w:t xml:space="preserve">remain </w:t>
            </w:r>
            <w:r w:rsidRPr="007162F2">
              <w:t xml:space="preserve">constant (such as service quality and accessibility), low or decreasing government expenditure per service user reflects a more efficient provision of this service. </w:t>
            </w:r>
          </w:p>
          <w:p w14:paraId="40547109" w14:textId="77777777" w:rsidR="00FF02B9" w:rsidRPr="007162F2" w:rsidRDefault="00FF02B9" w:rsidP="00FF02B9">
            <w:pPr>
              <w:pStyle w:val="Box"/>
            </w:pPr>
            <w:r w:rsidRPr="007162F2">
              <w:t xml:space="preserve">Efficiency data are difficult to interpret. Although high or increasing expenditure per unit of output can reflect deteriorating efficiency, it can also reflect improvements in the quality or other attributes of the services provided, or an increase in the service needs of users. Similarly, low or declining expenditure per unit of output can reflect improving efficiency, or lower quality and less effective services. </w:t>
            </w:r>
          </w:p>
          <w:p w14:paraId="02812E21" w14:textId="77777777" w:rsidR="00FF02B9" w:rsidRPr="007162F2" w:rsidRDefault="00FF02B9" w:rsidP="00FF02B9">
            <w:pPr>
              <w:pStyle w:val="Box"/>
            </w:pPr>
            <w:r w:rsidRPr="007162F2">
              <w:t>Data reported for this measure are:</w:t>
            </w:r>
          </w:p>
          <w:p w14:paraId="30D362E2" w14:textId="425E11D8" w:rsidR="00FF02B9" w:rsidRPr="007162F2" w:rsidRDefault="00FF02B9" w:rsidP="006E67B8">
            <w:pPr>
              <w:pStyle w:val="BoxListBullet"/>
              <w:keepLines/>
            </w:pPr>
            <w:r w:rsidRPr="007162F2">
              <w:t>comparable (subject to caveats) within some jurisdictions over time but are not comparable across jurisdictions or over time for other jurisdictions (see caveats in attachment tables)</w:t>
            </w:r>
            <w:r w:rsidR="006E67B8">
              <w:t xml:space="preserve">. The transition of the NDIS impacts results for many jurisdictions </w:t>
            </w:r>
          </w:p>
          <w:p w14:paraId="2CB72D7D" w14:textId="458D2BC0" w:rsidR="00E02BE8" w:rsidRPr="007162F2" w:rsidRDefault="003952A5" w:rsidP="005F1371">
            <w:pPr>
              <w:pStyle w:val="BoxListBullet"/>
              <w:keepLines/>
            </w:pPr>
            <w:r>
              <w:t xml:space="preserve">not </w:t>
            </w:r>
            <w:r w:rsidR="00FF02B9" w:rsidRPr="007162F2">
              <w:t>complete (subject to caveats) for the current rep</w:t>
            </w:r>
            <w:r w:rsidR="00792C2B">
              <w:t xml:space="preserve">orting period. </w:t>
            </w:r>
            <w:r>
              <w:t>Service use data for 2015</w:t>
            </w:r>
            <w:r>
              <w:noBreakHyphen/>
              <w:t>16 were not available for the ACT</w:t>
            </w:r>
            <w:r w:rsidR="005F1371">
              <w:t xml:space="preserve"> (relevant to group homes and other community settings) and </w:t>
            </w:r>
            <w:r>
              <w:t>Australian totals do not include the ACT.</w:t>
            </w:r>
          </w:p>
        </w:tc>
      </w:tr>
      <w:tr w:rsidR="00E02BE8" w:rsidRPr="007162F2" w14:paraId="56608384" w14:textId="77777777" w:rsidTr="00F14D5E">
        <w:tc>
          <w:tcPr>
            <w:tcW w:w="8789" w:type="dxa"/>
            <w:tcBorders>
              <w:top w:val="nil"/>
              <w:left w:val="nil"/>
              <w:bottom w:val="single" w:sz="6" w:space="0" w:color="78A22F"/>
              <w:right w:val="nil"/>
            </w:tcBorders>
            <w:shd w:val="clear" w:color="auto" w:fill="F2F2F2"/>
          </w:tcPr>
          <w:p w14:paraId="1117BAA8" w14:textId="77777777" w:rsidR="00E02BE8" w:rsidRPr="007162F2" w:rsidRDefault="00E02BE8">
            <w:pPr>
              <w:pStyle w:val="Box"/>
              <w:spacing w:before="0" w:line="120" w:lineRule="exact"/>
            </w:pPr>
          </w:p>
        </w:tc>
      </w:tr>
      <w:tr w:rsidR="00E02BE8" w:rsidRPr="007162F2" w14:paraId="1D865421" w14:textId="77777777" w:rsidTr="00F14D5E">
        <w:tc>
          <w:tcPr>
            <w:tcW w:w="8789" w:type="dxa"/>
            <w:tcBorders>
              <w:top w:val="single" w:sz="6" w:space="0" w:color="78A22F"/>
              <w:left w:val="nil"/>
              <w:bottom w:val="nil"/>
              <w:right w:val="nil"/>
            </w:tcBorders>
          </w:tcPr>
          <w:p w14:paraId="4FA2398A" w14:textId="509C421C" w:rsidR="00E02BE8" w:rsidRPr="007162F2" w:rsidRDefault="00E02BE8" w:rsidP="009F5938">
            <w:pPr>
              <w:pStyle w:val="BoxSpaceBelow"/>
            </w:pPr>
          </w:p>
        </w:tc>
      </w:tr>
    </w:tbl>
    <w:p w14:paraId="33654918" w14:textId="49E992DF" w:rsidR="00E02BE8" w:rsidRPr="007162F2" w:rsidRDefault="00E02BE8" w:rsidP="00E02BE8">
      <w:pPr>
        <w:pStyle w:val="Heading5"/>
      </w:pPr>
      <w:r w:rsidRPr="007162F2">
        <w:t>Government contribution per user of non</w:t>
      </w:r>
      <w:r w:rsidRPr="007162F2">
        <w:noBreakHyphen/>
        <w:t xml:space="preserve">government provided services — </w:t>
      </w:r>
      <w:r w:rsidRPr="00342AFB">
        <w:t>accommodation support services</w:t>
      </w:r>
      <w:r w:rsidRPr="007162F2">
        <w:t xml:space="preserve"> </w:t>
      </w:r>
    </w:p>
    <w:p w14:paraId="692EEC0B" w14:textId="7B29872F" w:rsidR="0094625B" w:rsidRDefault="0094625B" w:rsidP="00342AFB">
      <w:pPr>
        <w:pStyle w:val="BodyText"/>
        <w:rPr>
          <w:szCs w:val="26"/>
        </w:rPr>
      </w:pPr>
      <w:r>
        <w:rPr>
          <w:szCs w:val="26"/>
        </w:rPr>
        <w:t>E</w:t>
      </w:r>
      <w:r w:rsidRPr="00EE24D3">
        <w:rPr>
          <w:szCs w:val="26"/>
        </w:rPr>
        <w:t xml:space="preserve">stimated annual government </w:t>
      </w:r>
      <w:r>
        <w:rPr>
          <w:szCs w:val="26"/>
        </w:rPr>
        <w:t>funding</w:t>
      </w:r>
      <w:r w:rsidRPr="00EE24D3">
        <w:rPr>
          <w:szCs w:val="26"/>
        </w:rPr>
        <w:t xml:space="preserve"> on </w:t>
      </w:r>
      <w:r>
        <w:rPr>
          <w:szCs w:val="26"/>
        </w:rPr>
        <w:t>non</w:t>
      </w:r>
      <w:r>
        <w:rPr>
          <w:szCs w:val="26"/>
        </w:rPr>
        <w:noBreakHyphen/>
        <w:t xml:space="preserve">government provided </w:t>
      </w:r>
      <w:r w:rsidRPr="00EE24D3">
        <w:rPr>
          <w:szCs w:val="26"/>
        </w:rPr>
        <w:t>accommodation support services in</w:t>
      </w:r>
      <w:r>
        <w:rPr>
          <w:szCs w:val="26"/>
        </w:rPr>
        <w:t xml:space="preserve"> 2015</w:t>
      </w:r>
      <w:r w:rsidR="00665EFA">
        <w:rPr>
          <w:szCs w:val="26"/>
        </w:rPr>
        <w:noBreakHyphen/>
      </w:r>
      <w:r>
        <w:rPr>
          <w:szCs w:val="26"/>
        </w:rPr>
        <w:t>16 was:</w:t>
      </w:r>
    </w:p>
    <w:p w14:paraId="68076840" w14:textId="02B2F2B3" w:rsidR="0094625B" w:rsidRDefault="0094625B" w:rsidP="00342AFB">
      <w:pPr>
        <w:pStyle w:val="ListBullet"/>
      </w:pPr>
      <w:r w:rsidRPr="007162F2">
        <w:rPr>
          <w:szCs w:val="26"/>
        </w:rPr>
        <w:t>$</w:t>
      </w:r>
      <w:r>
        <w:rPr>
          <w:szCs w:val="26"/>
        </w:rPr>
        <w:t>145 796</w:t>
      </w:r>
      <w:r>
        <w:t xml:space="preserve"> (excluding the ACT) </w:t>
      </w:r>
      <w:r w:rsidR="00B260F8" w:rsidRPr="00EE24D3">
        <w:t>per service user</w:t>
      </w:r>
      <w:r w:rsidR="00B260F8">
        <w:t xml:space="preserve"> in </w:t>
      </w:r>
      <w:r>
        <w:t>group homes</w:t>
      </w:r>
      <w:r w:rsidR="00226D94">
        <w:t xml:space="preserve"> (figure 15.15)</w:t>
      </w:r>
    </w:p>
    <w:p w14:paraId="0ED5C8E4" w14:textId="77777777" w:rsidR="0094625B" w:rsidRDefault="0094625B" w:rsidP="00342AFB">
      <w:pPr>
        <w:pStyle w:val="ListBullet"/>
      </w:pPr>
      <w:r w:rsidRPr="007162F2">
        <w:rPr>
          <w:szCs w:val="26"/>
        </w:rPr>
        <w:t>$</w:t>
      </w:r>
      <w:r>
        <w:rPr>
          <w:szCs w:val="26"/>
        </w:rPr>
        <w:t>76 672</w:t>
      </w:r>
      <w:r>
        <w:t xml:space="preserve"> </w:t>
      </w:r>
      <w:r w:rsidRPr="00EE24D3">
        <w:t>per service user</w:t>
      </w:r>
      <w:r>
        <w:t xml:space="preserve"> in </w:t>
      </w:r>
      <w:r w:rsidRPr="00EE24D3">
        <w:t xml:space="preserve">institutional/residential settings </w:t>
      </w:r>
    </w:p>
    <w:p w14:paraId="5FDD6A7A" w14:textId="3253898C" w:rsidR="0094625B" w:rsidRPr="0094625B" w:rsidRDefault="0094625B" w:rsidP="00342AFB">
      <w:pPr>
        <w:pStyle w:val="ListBullet"/>
      </w:pPr>
      <w:r w:rsidRPr="007162F2">
        <w:rPr>
          <w:szCs w:val="26"/>
        </w:rPr>
        <w:t>$</w:t>
      </w:r>
      <w:r>
        <w:rPr>
          <w:szCs w:val="26"/>
        </w:rPr>
        <w:t>39 580</w:t>
      </w:r>
      <w:r>
        <w:t xml:space="preserve"> (excluding the ACT) </w:t>
      </w:r>
      <w:r w:rsidR="00B260F8" w:rsidRPr="00EE24D3">
        <w:t>per service user</w:t>
      </w:r>
      <w:r w:rsidR="00B260F8">
        <w:t xml:space="preserve"> in </w:t>
      </w:r>
      <w:r>
        <w:t>other community settings (table</w:t>
      </w:r>
      <w:r w:rsidR="00B260F8">
        <w:t> </w:t>
      </w:r>
      <w:r>
        <w:t>15A.67).</w:t>
      </w:r>
    </w:p>
    <w:p w14:paraId="7725B521" w14:textId="15A11633"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08CF8FD4" w14:textId="77777777" w:rsidTr="00F14D5E">
        <w:trPr>
          <w:tblHeader/>
        </w:trPr>
        <w:tc>
          <w:tcPr>
            <w:tcW w:w="8789" w:type="dxa"/>
            <w:tcBorders>
              <w:top w:val="single" w:sz="6" w:space="0" w:color="78A22F"/>
              <w:left w:val="nil"/>
              <w:bottom w:val="nil"/>
              <w:right w:val="nil"/>
            </w:tcBorders>
            <w:shd w:val="clear" w:color="auto" w:fill="auto"/>
          </w:tcPr>
          <w:p w14:paraId="7CA2B390" w14:textId="46F47A49" w:rsidR="00E02BE8" w:rsidRPr="007162F2" w:rsidRDefault="00E02BE8" w:rsidP="00991133">
            <w:pPr>
              <w:pStyle w:val="FigureTitle"/>
            </w:pPr>
            <w:r w:rsidRPr="007162F2">
              <w:rPr>
                <w:b w:val="0"/>
              </w:rPr>
              <w:t xml:space="preserve">Figure </w:t>
            </w:r>
            <w:bookmarkStart w:id="24" w:name="OLE_LINK25"/>
            <w:r w:rsidRPr="007162F2">
              <w:rPr>
                <w:b w:val="0"/>
              </w:rPr>
              <w:t>15.</w:t>
            </w:r>
            <w:r w:rsidR="00C37B05">
              <w:rPr>
                <w:b w:val="0"/>
                <w:noProof/>
              </w:rPr>
              <w:t>15</w:t>
            </w:r>
            <w:bookmarkEnd w:id="24"/>
            <w:r w:rsidRPr="007162F2">
              <w:tab/>
            </w:r>
            <w:r w:rsidR="00226D94">
              <w:t>G</w:t>
            </w:r>
            <w:r w:rsidRPr="007162F2">
              <w:t xml:space="preserve">overnment </w:t>
            </w:r>
            <w:r w:rsidR="00226D94">
              <w:t>contribution</w:t>
            </w:r>
            <w:r w:rsidR="00226D94" w:rsidRPr="007162F2">
              <w:t xml:space="preserve"> </w:t>
            </w:r>
            <w:r w:rsidRPr="007162F2">
              <w:t>per user of non</w:t>
            </w:r>
            <w:r w:rsidRPr="007162F2">
              <w:noBreakHyphen/>
              <w:t xml:space="preserve">government provided accommodation support services in </w:t>
            </w:r>
            <w:r w:rsidR="008E1219" w:rsidRPr="00342AFB">
              <w:t>group homes</w:t>
            </w:r>
            <w:r w:rsidRPr="006F1C52">
              <w:rPr>
                <w:shd w:val="clear" w:color="auto" w:fill="FFFF00"/>
              </w:rPr>
              <w:t xml:space="preserve"> </w:t>
            </w:r>
            <w:r w:rsidRPr="007162F2">
              <w:t>(201</w:t>
            </w:r>
            <w:r w:rsidR="001438A7">
              <w:t>5</w:t>
            </w:r>
            <w:r w:rsidRPr="007162F2">
              <w:noBreakHyphen/>
              <w:t>1</w:t>
            </w:r>
            <w:r w:rsidR="001438A7">
              <w:t>6</w:t>
            </w:r>
            <w:r w:rsidRPr="007162F2">
              <w:t xml:space="preserve"> dollars)</w:t>
            </w:r>
            <w:r w:rsidRPr="007162F2">
              <w:rPr>
                <w:rStyle w:val="NoteLabel"/>
                <w:b/>
              </w:rPr>
              <w:t>a, b</w:t>
            </w:r>
          </w:p>
        </w:tc>
      </w:tr>
      <w:tr w:rsidR="00E02BE8" w:rsidRPr="007162F2" w14:paraId="652D742D"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02BE8" w:rsidRPr="007162F2" w14:paraId="6F3C7470" w14:textId="77777777" w:rsidTr="008E1219">
              <w:trPr>
                <w:tblHeader/>
                <w:jc w:val="center"/>
              </w:trPr>
              <w:tc>
                <w:tcPr>
                  <w:tcW w:w="8504" w:type="dxa"/>
                  <w:tcBorders>
                    <w:top w:val="nil"/>
                    <w:bottom w:val="nil"/>
                  </w:tcBorders>
                </w:tcPr>
                <w:p w14:paraId="1DCD7CE1" w14:textId="44896045" w:rsidR="00E02BE8" w:rsidRPr="007162F2" w:rsidRDefault="008E1219" w:rsidP="009F5938">
                  <w:pPr>
                    <w:pStyle w:val="Figure"/>
                    <w:spacing w:before="60" w:after="60"/>
                    <w:rPr>
                      <w:rFonts w:ascii="Arial" w:hAnsi="Arial" w:cs="Arial"/>
                      <w:sz w:val="18"/>
                      <w:szCs w:val="18"/>
                    </w:rPr>
                  </w:pPr>
                  <w:r>
                    <w:rPr>
                      <w:noProof/>
                    </w:rPr>
                    <w:drawing>
                      <wp:inline distT="0" distB="0" distL="0" distR="0" wp14:anchorId="653F1446" wp14:editId="387744C4">
                        <wp:extent cx="5262880" cy="2554605"/>
                        <wp:effectExtent l="0" t="0" r="0" b="0"/>
                        <wp:docPr id="6" name="Chart 6" descr="More details can be found within the text surrounding this image. " title="Figure 15.15 Government contribution per user of non-government provided accommodation support services in group homes (2015-16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7D4BEF6F" w14:textId="77777777" w:rsidR="00E02BE8" w:rsidRPr="007162F2" w:rsidRDefault="00E02BE8" w:rsidP="009F5938">
            <w:pPr>
              <w:pStyle w:val="Figure"/>
            </w:pPr>
          </w:p>
        </w:tc>
      </w:tr>
      <w:tr w:rsidR="00E02BE8" w:rsidRPr="007162F2" w14:paraId="6812ECB5" w14:textId="77777777" w:rsidTr="00F14D5E">
        <w:tc>
          <w:tcPr>
            <w:tcW w:w="8789" w:type="dxa"/>
            <w:tcBorders>
              <w:top w:val="nil"/>
              <w:left w:val="nil"/>
              <w:bottom w:val="nil"/>
              <w:right w:val="nil"/>
            </w:tcBorders>
            <w:shd w:val="clear" w:color="auto" w:fill="auto"/>
          </w:tcPr>
          <w:p w14:paraId="1BCED01F" w14:textId="7EB98D40" w:rsidR="00E02BE8" w:rsidRPr="007162F2" w:rsidRDefault="00E02BE8" w:rsidP="00991133">
            <w:pPr>
              <w:pStyle w:val="Note"/>
            </w:pPr>
            <w:r w:rsidRPr="007162F2">
              <w:rPr>
                <w:rStyle w:val="NoteLabel"/>
              </w:rPr>
              <w:t>a</w:t>
            </w:r>
            <w:r w:rsidRPr="007162F2">
              <w:t xml:space="preserve"> See box </w:t>
            </w:r>
            <w:r w:rsidR="007537AA">
              <w:t>15.7</w:t>
            </w:r>
            <w:r w:rsidRPr="007162F2">
              <w:t xml:space="preserve"> and table 15A.</w:t>
            </w:r>
            <w:r w:rsidR="00C47E5C" w:rsidRPr="007162F2">
              <w:t>67</w:t>
            </w:r>
            <w:r w:rsidRPr="007162F2">
              <w:t xml:space="preserve"> for detailed definitions, footnotes and caveats. </w:t>
            </w:r>
            <w:r w:rsidRPr="00342AFB">
              <w:rPr>
                <w:rStyle w:val="NoteLabel"/>
              </w:rPr>
              <w:t xml:space="preserve">b </w:t>
            </w:r>
            <w:r w:rsidR="00EC50B0" w:rsidRPr="00342AFB">
              <w:t xml:space="preserve">The Australian total </w:t>
            </w:r>
            <w:r w:rsidR="00226D94" w:rsidRPr="00342AFB">
              <w:t>for 2015</w:t>
            </w:r>
            <w:r w:rsidR="00665EFA">
              <w:noBreakHyphen/>
            </w:r>
            <w:r w:rsidR="00226D94" w:rsidRPr="00342AFB">
              <w:t xml:space="preserve">16 </w:t>
            </w:r>
            <w:r w:rsidR="00EC50B0" w:rsidRPr="00342AFB">
              <w:t>does no</w:t>
            </w:r>
            <w:r w:rsidR="009326E0" w:rsidRPr="00342AFB">
              <w:t>t</w:t>
            </w:r>
            <w:r w:rsidR="00EC50B0" w:rsidRPr="00342AFB">
              <w:t xml:space="preserve"> include</w:t>
            </w:r>
            <w:r w:rsidR="00226D94" w:rsidRPr="00342AFB">
              <w:t xml:space="preserve"> the</w:t>
            </w:r>
            <w:r w:rsidR="00EC50B0" w:rsidRPr="00342AFB">
              <w:t xml:space="preserve"> ACT</w:t>
            </w:r>
            <w:r w:rsidR="00402BDC">
              <w:t>, for which service use data were not available</w:t>
            </w:r>
            <w:r w:rsidR="00EC50B0" w:rsidRPr="00342AFB">
              <w:t>.</w:t>
            </w:r>
          </w:p>
        </w:tc>
      </w:tr>
      <w:tr w:rsidR="00E02BE8" w:rsidRPr="007162F2" w14:paraId="2D17BE7A" w14:textId="77777777" w:rsidTr="00F14D5E">
        <w:tc>
          <w:tcPr>
            <w:tcW w:w="8789" w:type="dxa"/>
            <w:tcBorders>
              <w:top w:val="nil"/>
              <w:left w:val="nil"/>
              <w:bottom w:val="nil"/>
              <w:right w:val="nil"/>
            </w:tcBorders>
            <w:shd w:val="clear" w:color="auto" w:fill="auto"/>
          </w:tcPr>
          <w:p w14:paraId="390FC57A" w14:textId="5E255CB4" w:rsidR="00E02BE8" w:rsidRPr="007162F2" w:rsidRDefault="00E02BE8" w:rsidP="00C47E5C">
            <w:pPr>
              <w:pStyle w:val="Source"/>
            </w:pPr>
            <w:r w:rsidRPr="007162F2">
              <w:rPr>
                <w:i/>
              </w:rPr>
              <w:t>Source</w:t>
            </w:r>
            <w:r w:rsidRPr="007162F2">
              <w:t>:</w:t>
            </w:r>
            <w:r w:rsidR="002461F0">
              <w:t xml:space="preserve"> AIHW (unpublished) DS NMDS 2011</w:t>
            </w:r>
            <w:r w:rsidR="002461F0">
              <w:noBreakHyphen/>
              <w:t>12</w:t>
            </w:r>
            <w:r w:rsidRPr="007162F2">
              <w:t xml:space="preserve"> to 201</w:t>
            </w:r>
            <w:r w:rsidR="002461F0">
              <w:t>5</w:t>
            </w:r>
            <w:r w:rsidRPr="007162F2">
              <w:noBreakHyphen/>
              <w:t>1</w:t>
            </w:r>
            <w:r w:rsidR="002461F0">
              <w:t>6</w:t>
            </w:r>
            <w:r w:rsidRPr="007162F2">
              <w:t>; State and Territory governments (unpublished); table 15A.</w:t>
            </w:r>
            <w:r w:rsidR="00C47E5C" w:rsidRPr="007162F2">
              <w:t>67</w:t>
            </w:r>
            <w:r w:rsidRPr="007162F2">
              <w:t>.</w:t>
            </w:r>
          </w:p>
        </w:tc>
      </w:tr>
      <w:tr w:rsidR="00E02BE8" w:rsidRPr="007162F2" w14:paraId="40D4F28E" w14:textId="77777777" w:rsidTr="00F14D5E">
        <w:tc>
          <w:tcPr>
            <w:tcW w:w="8789" w:type="dxa"/>
            <w:tcBorders>
              <w:top w:val="nil"/>
              <w:left w:val="nil"/>
              <w:bottom w:val="single" w:sz="6" w:space="0" w:color="78A22F"/>
              <w:right w:val="nil"/>
            </w:tcBorders>
            <w:shd w:val="clear" w:color="auto" w:fill="auto"/>
          </w:tcPr>
          <w:p w14:paraId="02F30A0B" w14:textId="77777777" w:rsidR="00E02BE8" w:rsidRPr="007162F2" w:rsidRDefault="00E02BE8" w:rsidP="009F5938">
            <w:pPr>
              <w:pStyle w:val="Figurespace"/>
            </w:pPr>
          </w:p>
        </w:tc>
      </w:tr>
      <w:tr w:rsidR="00E02BE8" w:rsidRPr="007162F2" w14:paraId="344231E5" w14:textId="77777777" w:rsidTr="00F14D5E">
        <w:tc>
          <w:tcPr>
            <w:tcW w:w="8789" w:type="dxa"/>
            <w:tcBorders>
              <w:top w:val="single" w:sz="6" w:space="0" w:color="78A22F"/>
              <w:left w:val="nil"/>
              <w:bottom w:val="nil"/>
              <w:right w:val="nil"/>
            </w:tcBorders>
          </w:tcPr>
          <w:p w14:paraId="446A1205" w14:textId="5FDD56D3" w:rsidR="00E02BE8" w:rsidRPr="007162F2" w:rsidRDefault="00E02BE8" w:rsidP="009F5938">
            <w:pPr>
              <w:pStyle w:val="BoxSpaceBelow"/>
            </w:pPr>
          </w:p>
        </w:tc>
      </w:tr>
    </w:tbl>
    <w:p w14:paraId="6A80DD21" w14:textId="59CDAB75" w:rsidR="00E02BE8" w:rsidRPr="007162F2" w:rsidRDefault="00226D94" w:rsidP="00E02BE8">
      <w:pPr>
        <w:pStyle w:val="BodyText"/>
      </w:pPr>
      <w:r w:rsidRPr="00342AFB">
        <w:t>Data on the cost</w:t>
      </w:r>
      <w:r w:rsidR="00E02BE8" w:rsidRPr="00342AFB">
        <w:t xml:space="preserve"> per user of government provided accommodation support services</w:t>
      </w:r>
      <w:r w:rsidRPr="00342AFB">
        <w:t>, along with historical data on costs and contributions per user,</w:t>
      </w:r>
      <w:r w:rsidR="00E02BE8" w:rsidRPr="00342AFB">
        <w:t xml:space="preserve"> are reported in table 15A.</w:t>
      </w:r>
      <w:r w:rsidR="00C47E5C" w:rsidRPr="00342AFB">
        <w:t>67</w:t>
      </w:r>
      <w:r w:rsidR="00E02BE8" w:rsidRPr="00342AFB">
        <w:t>.</w:t>
      </w:r>
      <w:r w:rsidRPr="004B7720">
        <w:rPr>
          <w:shd w:val="clear" w:color="auto" w:fill="FFFF00"/>
        </w:rPr>
        <w:t xml:space="preserve"> </w:t>
      </w:r>
    </w:p>
    <w:p w14:paraId="6CB02B01" w14:textId="36340072" w:rsidR="00E02BE8" w:rsidRPr="007162F2" w:rsidRDefault="00E02BE8" w:rsidP="004B7720">
      <w:pPr>
        <w:pStyle w:val="Heading5"/>
      </w:pPr>
      <w:r w:rsidRPr="007162F2">
        <w:t>Government contribution per user of non</w:t>
      </w:r>
      <w:r w:rsidRPr="007162F2">
        <w:noBreakHyphen/>
        <w:t xml:space="preserve">government provided </w:t>
      </w:r>
      <w:r w:rsidRPr="00342AFB">
        <w:t xml:space="preserve">services — </w:t>
      </w:r>
      <w:r w:rsidR="00226D94" w:rsidRPr="00342AFB">
        <w:t>employment services</w:t>
      </w:r>
    </w:p>
    <w:p w14:paraId="3D6EB468" w14:textId="3D6D940D" w:rsidR="00E02BE8" w:rsidRPr="007162F2" w:rsidRDefault="00E02BE8" w:rsidP="00E02BE8">
      <w:pPr>
        <w:pStyle w:val="BodyText"/>
        <w:rPr>
          <w:szCs w:val="26"/>
        </w:rPr>
      </w:pPr>
      <w:r w:rsidRPr="007162F2">
        <w:rPr>
          <w:szCs w:val="26"/>
        </w:rPr>
        <w:t xml:space="preserve">Nationally, </w:t>
      </w:r>
      <w:r w:rsidRPr="005F1371">
        <w:rPr>
          <w:szCs w:val="26"/>
        </w:rPr>
        <w:t xml:space="preserve">for all employment services, </w:t>
      </w:r>
      <w:r w:rsidR="00EF0CCF" w:rsidRPr="00342AFB">
        <w:rPr>
          <w:szCs w:val="26"/>
        </w:rPr>
        <w:t>the estimated Australian G</w:t>
      </w:r>
      <w:r w:rsidRPr="00342AFB">
        <w:rPr>
          <w:szCs w:val="26"/>
        </w:rPr>
        <w:t xml:space="preserve">overnment </w:t>
      </w:r>
      <w:r w:rsidR="00EF0CCF" w:rsidRPr="00342AFB">
        <w:rPr>
          <w:szCs w:val="26"/>
        </w:rPr>
        <w:t>contribution</w:t>
      </w:r>
      <w:r w:rsidRPr="00342AFB">
        <w:rPr>
          <w:szCs w:val="26"/>
        </w:rPr>
        <w:t xml:space="preserve"> per service user</w:t>
      </w:r>
      <w:r w:rsidR="00EF0CCF" w:rsidRPr="00342AFB">
        <w:rPr>
          <w:szCs w:val="26"/>
        </w:rPr>
        <w:t xml:space="preserve"> assisted (non-government provided employment services)</w:t>
      </w:r>
      <w:r w:rsidRPr="00342AFB">
        <w:rPr>
          <w:szCs w:val="26"/>
        </w:rPr>
        <w:t xml:space="preserve"> </w:t>
      </w:r>
      <w:r w:rsidRPr="005F1371">
        <w:rPr>
          <w:szCs w:val="26"/>
        </w:rPr>
        <w:t xml:space="preserve">was </w:t>
      </w:r>
      <w:r w:rsidR="00747696" w:rsidRPr="005F1371">
        <w:rPr>
          <w:szCs w:val="26"/>
        </w:rPr>
        <w:t>$</w:t>
      </w:r>
      <w:r w:rsidR="005F1371" w:rsidRPr="005F1371">
        <w:rPr>
          <w:szCs w:val="26"/>
        </w:rPr>
        <w:t>4628</w:t>
      </w:r>
      <w:r w:rsidRPr="005F1371">
        <w:t xml:space="preserve"> </w:t>
      </w:r>
      <w:r w:rsidR="00792C2B" w:rsidRPr="005F1371">
        <w:t>in 2015</w:t>
      </w:r>
      <w:r w:rsidRPr="005F1371">
        <w:noBreakHyphen/>
        <w:t>1</w:t>
      </w:r>
      <w:r w:rsidR="00792C2B" w:rsidRPr="005F1371">
        <w:t>6</w:t>
      </w:r>
      <w:r w:rsidRPr="005F1371">
        <w:t xml:space="preserve"> (figure </w:t>
      </w:r>
      <w:r w:rsidR="003C2134" w:rsidRPr="005F1371">
        <w:t>15.16</w:t>
      </w:r>
      <w:r w:rsidRPr="005F1371">
        <w:t>)</w:t>
      </w:r>
      <w:r w:rsidR="001274D8" w:rsidRPr="005F1371">
        <w:t xml:space="preserve"> — </w:t>
      </w:r>
      <w:r w:rsidR="00792C2B" w:rsidRPr="005F1371">
        <w:t>$</w:t>
      </w:r>
      <w:r w:rsidR="005F1371" w:rsidRPr="005F1371">
        <w:t>3489</w:t>
      </w:r>
      <w:r w:rsidRPr="005F1371">
        <w:t xml:space="preserve"> </w:t>
      </w:r>
      <w:r w:rsidR="001274D8" w:rsidRPr="005F1371">
        <w:t xml:space="preserve">per </w:t>
      </w:r>
      <w:r w:rsidR="001274D8" w:rsidRPr="007162F2">
        <w:t xml:space="preserve">user </w:t>
      </w:r>
      <w:r w:rsidR="00A344D0">
        <w:t>of</w:t>
      </w:r>
      <w:r w:rsidRPr="007162F2">
        <w:t xml:space="preserve"> open services (employed or seeking employment in</w:t>
      </w:r>
      <w:r w:rsidR="00792C2B">
        <w:t xml:space="preserve"> the open labour market) and $</w:t>
      </w:r>
      <w:r w:rsidR="005F1371">
        <w:t>11 921</w:t>
      </w:r>
      <w:r w:rsidRPr="007162F2">
        <w:t xml:space="preserve"> </w:t>
      </w:r>
      <w:r w:rsidR="001274D8" w:rsidRPr="007162F2">
        <w:t xml:space="preserve">per user </w:t>
      </w:r>
      <w:r w:rsidRPr="007162F2">
        <w:t>o</w:t>
      </w:r>
      <w:r w:rsidR="00A344D0">
        <w:t>f</w:t>
      </w:r>
      <w:r w:rsidRPr="007162F2">
        <w:t xml:space="preserve"> supported services (employed by the service provider) (table 15A.</w:t>
      </w:r>
      <w:r w:rsidR="00C47E5C" w:rsidRPr="007162F2">
        <w:t>68</w:t>
      </w:r>
      <w:r w:rsidRPr="007162F2">
        <w:t>)</w:t>
      </w:r>
      <w:r w:rsidRPr="007162F2">
        <w:rPr>
          <w:szCs w:val="26"/>
        </w:rPr>
        <w:t>.</w:t>
      </w:r>
    </w:p>
    <w:p w14:paraId="5B0BDB1D" w14:textId="6FE15D74"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1F7C74C8" w14:textId="77777777" w:rsidTr="00F14D5E">
        <w:trPr>
          <w:tblHeader/>
        </w:trPr>
        <w:tc>
          <w:tcPr>
            <w:tcW w:w="8789" w:type="dxa"/>
            <w:tcBorders>
              <w:top w:val="single" w:sz="6" w:space="0" w:color="78A22F"/>
              <w:left w:val="nil"/>
              <w:bottom w:val="nil"/>
              <w:right w:val="nil"/>
            </w:tcBorders>
            <w:shd w:val="clear" w:color="auto" w:fill="auto"/>
          </w:tcPr>
          <w:p w14:paraId="70E1BF80" w14:textId="57AAB830" w:rsidR="00E02BE8" w:rsidRPr="007162F2" w:rsidRDefault="00E02BE8" w:rsidP="00991133">
            <w:pPr>
              <w:pStyle w:val="FigureTitle"/>
            </w:pPr>
            <w:r w:rsidRPr="007162F2">
              <w:rPr>
                <w:b w:val="0"/>
              </w:rPr>
              <w:t xml:space="preserve">Figure </w:t>
            </w:r>
            <w:bookmarkStart w:id="25" w:name="OLE_LINK26"/>
            <w:r w:rsidRPr="007162F2">
              <w:rPr>
                <w:b w:val="0"/>
              </w:rPr>
              <w:t>15.</w:t>
            </w:r>
            <w:r w:rsidR="00C37B05">
              <w:rPr>
                <w:b w:val="0"/>
                <w:noProof/>
              </w:rPr>
              <w:t>16</w:t>
            </w:r>
            <w:bookmarkEnd w:id="25"/>
            <w:r w:rsidRPr="007162F2">
              <w:tab/>
            </w:r>
            <w:r w:rsidR="00EF0CCF" w:rsidRPr="00342AFB">
              <w:t xml:space="preserve">Australian </w:t>
            </w:r>
            <w:r w:rsidRPr="00342AFB">
              <w:t xml:space="preserve">Government contribution per </w:t>
            </w:r>
            <w:r w:rsidR="00EF0CCF" w:rsidRPr="00342AFB">
              <w:t>user of non</w:t>
            </w:r>
            <w:r w:rsidR="00665EFA">
              <w:noBreakHyphen/>
            </w:r>
            <w:r w:rsidR="00EF0CCF" w:rsidRPr="00342AFB">
              <w:t xml:space="preserve">government provided </w:t>
            </w:r>
            <w:r w:rsidRPr="00342AFB">
              <w:t>employment service</w:t>
            </w:r>
            <w:r w:rsidR="00EF0CCF" w:rsidRPr="00342AFB">
              <w:t>s</w:t>
            </w:r>
            <w:r w:rsidRPr="007162F2">
              <w:t xml:space="preserve"> (</w:t>
            </w:r>
            <w:r w:rsidR="0030058C">
              <w:t>2015</w:t>
            </w:r>
            <w:r w:rsidR="0030058C">
              <w:noBreakHyphen/>
              <w:t>16</w:t>
            </w:r>
            <w:r w:rsidR="00427FAB" w:rsidRPr="007162F2">
              <w:t xml:space="preserve"> </w:t>
            </w:r>
            <w:r w:rsidRPr="007162F2">
              <w:t>dollars)</w:t>
            </w:r>
            <w:r w:rsidRPr="007162F2">
              <w:rPr>
                <w:rStyle w:val="NoteLabel"/>
                <w:b/>
              </w:rPr>
              <w:t>a</w:t>
            </w:r>
          </w:p>
        </w:tc>
      </w:tr>
      <w:tr w:rsidR="00E02BE8" w:rsidRPr="007162F2" w14:paraId="68EE427E"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E02BE8" w:rsidRPr="007162F2" w14:paraId="79580D46" w14:textId="77777777" w:rsidTr="009F5938">
              <w:trPr>
                <w:tblHeader/>
                <w:jc w:val="center"/>
              </w:trPr>
              <w:tc>
                <w:tcPr>
                  <w:tcW w:w="5000" w:type="pct"/>
                  <w:tcBorders>
                    <w:top w:val="nil"/>
                    <w:bottom w:val="nil"/>
                  </w:tcBorders>
                </w:tcPr>
                <w:p w14:paraId="0498EA10" w14:textId="0AB0A08F" w:rsidR="00E02BE8" w:rsidRPr="007162F2" w:rsidRDefault="0037621B" w:rsidP="009F5938">
                  <w:pPr>
                    <w:pStyle w:val="Figure"/>
                    <w:spacing w:before="60" w:after="60"/>
                    <w:rPr>
                      <w:rFonts w:ascii="Arial" w:hAnsi="Arial" w:cs="Arial"/>
                      <w:sz w:val="18"/>
                      <w:szCs w:val="18"/>
                    </w:rPr>
                  </w:pPr>
                  <w:r>
                    <w:rPr>
                      <w:rFonts w:ascii="Arial" w:hAnsi="Arial" w:cs="Arial"/>
                      <w:noProof/>
                      <w:sz w:val="18"/>
                      <w:szCs w:val="18"/>
                    </w:rPr>
                    <w:drawing>
                      <wp:inline distT="0" distB="0" distL="0" distR="0" wp14:anchorId="7F57B3F3" wp14:editId="5A664B2E">
                        <wp:extent cx="5360035" cy="2791460"/>
                        <wp:effectExtent l="0" t="0" r="0" b="8890"/>
                        <wp:docPr id="31" name="Picture 31" descr="More details can be found within the text surrounding this image. " title="Figure 15.16 Australian Government contribution per user of non-government provided employment services (2015-16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0035" cy="2791460"/>
                                </a:xfrm>
                                <a:prstGeom prst="rect">
                                  <a:avLst/>
                                </a:prstGeom>
                                <a:noFill/>
                                <a:ln>
                                  <a:noFill/>
                                </a:ln>
                              </pic:spPr>
                            </pic:pic>
                          </a:graphicData>
                        </a:graphic>
                      </wp:inline>
                    </w:drawing>
                  </w:r>
                </w:p>
              </w:tc>
            </w:tr>
          </w:tbl>
          <w:p w14:paraId="42022FBD" w14:textId="77777777" w:rsidR="00E02BE8" w:rsidRPr="007162F2" w:rsidRDefault="00E02BE8" w:rsidP="009F5938">
            <w:pPr>
              <w:pStyle w:val="Figure"/>
            </w:pPr>
          </w:p>
        </w:tc>
      </w:tr>
      <w:tr w:rsidR="00E02BE8" w:rsidRPr="007162F2" w14:paraId="39467400" w14:textId="77777777" w:rsidTr="00F14D5E">
        <w:tc>
          <w:tcPr>
            <w:tcW w:w="8789" w:type="dxa"/>
            <w:tcBorders>
              <w:top w:val="nil"/>
              <w:left w:val="nil"/>
              <w:bottom w:val="nil"/>
              <w:right w:val="nil"/>
            </w:tcBorders>
            <w:shd w:val="clear" w:color="auto" w:fill="auto"/>
          </w:tcPr>
          <w:p w14:paraId="1779DE00" w14:textId="1D191E95" w:rsidR="00E02BE8" w:rsidRPr="007162F2" w:rsidRDefault="00E02BE8" w:rsidP="00C47E5C">
            <w:pPr>
              <w:pStyle w:val="Note"/>
            </w:pPr>
            <w:r w:rsidRPr="007162F2">
              <w:rPr>
                <w:rStyle w:val="NoteLabel"/>
              </w:rPr>
              <w:t>a</w:t>
            </w:r>
            <w:r w:rsidRPr="007162F2">
              <w:t xml:space="preserve"> See box </w:t>
            </w:r>
            <w:r w:rsidR="007537AA">
              <w:t>15.7</w:t>
            </w:r>
            <w:r w:rsidRPr="007162F2">
              <w:t xml:space="preserve"> and table 15A.</w:t>
            </w:r>
            <w:r w:rsidR="00C47E5C" w:rsidRPr="007162F2">
              <w:t>69</w:t>
            </w:r>
            <w:r w:rsidRPr="007162F2">
              <w:t xml:space="preserve"> for detailed definitions, footnotes and caveats.</w:t>
            </w:r>
          </w:p>
        </w:tc>
      </w:tr>
      <w:tr w:rsidR="00E02BE8" w:rsidRPr="007162F2" w14:paraId="5F844CF5" w14:textId="77777777" w:rsidTr="00F14D5E">
        <w:tc>
          <w:tcPr>
            <w:tcW w:w="8789" w:type="dxa"/>
            <w:tcBorders>
              <w:top w:val="nil"/>
              <w:left w:val="nil"/>
              <w:bottom w:val="nil"/>
              <w:right w:val="nil"/>
            </w:tcBorders>
            <w:shd w:val="clear" w:color="auto" w:fill="auto"/>
          </w:tcPr>
          <w:p w14:paraId="5EDD0136" w14:textId="664DAD57" w:rsidR="00E02BE8" w:rsidRPr="007162F2" w:rsidRDefault="00E02BE8" w:rsidP="00C47E5C">
            <w:pPr>
              <w:pStyle w:val="Source"/>
            </w:pPr>
            <w:r w:rsidRPr="007162F2">
              <w:rPr>
                <w:i/>
              </w:rPr>
              <w:t>Source</w:t>
            </w:r>
            <w:r w:rsidRPr="007162F2">
              <w:t>: Australian Government (unpublished);</w:t>
            </w:r>
            <w:r w:rsidR="009A2131">
              <w:t xml:space="preserve"> AIHW (unpublished) DS NMDS 2011</w:t>
            </w:r>
            <w:r w:rsidR="009A2131">
              <w:noBreakHyphen/>
              <w:t>12</w:t>
            </w:r>
            <w:r w:rsidRPr="007162F2">
              <w:t xml:space="preserve"> to 201</w:t>
            </w:r>
            <w:r w:rsidR="009A2131">
              <w:t>5</w:t>
            </w:r>
            <w:r w:rsidRPr="007162F2">
              <w:noBreakHyphen/>
              <w:t>1</w:t>
            </w:r>
            <w:r w:rsidR="009A2131">
              <w:t>6</w:t>
            </w:r>
            <w:r w:rsidRPr="007162F2">
              <w:t>; table 15A.</w:t>
            </w:r>
            <w:r w:rsidR="00C47E5C" w:rsidRPr="007162F2">
              <w:t>69</w:t>
            </w:r>
            <w:r w:rsidRPr="007162F2">
              <w:t>.</w:t>
            </w:r>
          </w:p>
        </w:tc>
      </w:tr>
      <w:tr w:rsidR="00E02BE8" w:rsidRPr="007162F2" w14:paraId="376D41ED" w14:textId="77777777" w:rsidTr="00F14D5E">
        <w:tc>
          <w:tcPr>
            <w:tcW w:w="8789" w:type="dxa"/>
            <w:tcBorders>
              <w:top w:val="nil"/>
              <w:left w:val="nil"/>
              <w:bottom w:val="single" w:sz="6" w:space="0" w:color="78A22F"/>
              <w:right w:val="nil"/>
            </w:tcBorders>
            <w:shd w:val="clear" w:color="auto" w:fill="auto"/>
          </w:tcPr>
          <w:p w14:paraId="718932C2" w14:textId="77777777" w:rsidR="00E02BE8" w:rsidRPr="007162F2" w:rsidRDefault="00E02BE8" w:rsidP="009F5938">
            <w:pPr>
              <w:pStyle w:val="Figurespace"/>
            </w:pPr>
          </w:p>
        </w:tc>
      </w:tr>
      <w:tr w:rsidR="00E02BE8" w:rsidRPr="007162F2" w14:paraId="537B7BB5" w14:textId="77777777" w:rsidTr="00F14D5E">
        <w:tc>
          <w:tcPr>
            <w:tcW w:w="8789" w:type="dxa"/>
            <w:tcBorders>
              <w:top w:val="single" w:sz="6" w:space="0" w:color="78A22F"/>
              <w:left w:val="nil"/>
              <w:bottom w:val="nil"/>
              <w:right w:val="nil"/>
            </w:tcBorders>
          </w:tcPr>
          <w:p w14:paraId="7586E7E7" w14:textId="33CB23DA" w:rsidR="00E02BE8" w:rsidRPr="007162F2" w:rsidRDefault="00E02BE8" w:rsidP="009F5938">
            <w:pPr>
              <w:pStyle w:val="BoxSpaceBelow"/>
            </w:pPr>
          </w:p>
        </w:tc>
      </w:tr>
    </w:tbl>
    <w:p w14:paraId="4345B315" w14:textId="77777777" w:rsidR="00E02BE8" w:rsidRPr="007162F2" w:rsidRDefault="00E02BE8" w:rsidP="00E02BE8">
      <w:pPr>
        <w:pStyle w:val="Heading4"/>
      </w:pPr>
      <w:r w:rsidRPr="007162F2">
        <w:t xml:space="preserve">Cost per output unit </w:t>
      </w:r>
      <w:r w:rsidRPr="007162F2">
        <w:rPr>
          <w:rFonts w:cs="Arial"/>
        </w:rPr>
        <w:t>―</w:t>
      </w:r>
      <w:r w:rsidRPr="007162F2">
        <w:t xml:space="preserve"> Cost per user of State and Territory administered services </w:t>
      </w:r>
    </w:p>
    <w:p w14:paraId="63F40EC8" w14:textId="47763233" w:rsidR="00E02BE8" w:rsidRDefault="00E02BE8" w:rsidP="00E02BE8">
      <w:pPr>
        <w:pStyle w:val="BodyText"/>
      </w:pPr>
      <w:r w:rsidRPr="007162F2">
        <w:t>‘Cost per user of State and Territory administered services’ is an indicator of governments’ objective to provide access to disability services in an efficient manner (box </w:t>
      </w:r>
      <w:r w:rsidR="007537AA">
        <w:t>15.8</w:t>
      </w:r>
      <w:r w:rsidRPr="007162F2">
        <w:t>).</w:t>
      </w:r>
    </w:p>
    <w:p w14:paraId="36672597" w14:textId="4634F777" w:rsidR="00F14D5E" w:rsidRDefault="00F14D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4D5E" w14:paraId="32238C78" w14:textId="77777777" w:rsidTr="002E11EC">
        <w:trPr>
          <w:tblHeader/>
        </w:trPr>
        <w:tc>
          <w:tcPr>
            <w:tcW w:w="5000" w:type="pct"/>
            <w:tcBorders>
              <w:top w:val="single" w:sz="6" w:space="0" w:color="78A22F"/>
              <w:left w:val="nil"/>
              <w:bottom w:val="nil"/>
              <w:right w:val="nil"/>
            </w:tcBorders>
            <w:shd w:val="clear" w:color="auto" w:fill="F2F2F2"/>
          </w:tcPr>
          <w:p w14:paraId="2E19E2EE" w14:textId="70492416" w:rsidR="00F14D5E" w:rsidRDefault="00F14D5E" w:rsidP="00F14D5E">
            <w:pPr>
              <w:pStyle w:val="BoxTitle"/>
            </w:pPr>
            <w:r>
              <w:rPr>
                <w:b w:val="0"/>
              </w:rPr>
              <w:t>Box 15.8</w:t>
            </w:r>
            <w:r>
              <w:tab/>
            </w:r>
            <w:r w:rsidRPr="007162F2">
              <w:t>Cost per user of State and Territory administered services</w:t>
            </w:r>
          </w:p>
        </w:tc>
      </w:tr>
      <w:tr w:rsidR="00F14D5E" w14:paraId="16A73E5B" w14:textId="77777777" w:rsidTr="002E11EC">
        <w:tc>
          <w:tcPr>
            <w:tcW w:w="5000" w:type="pct"/>
            <w:tcBorders>
              <w:top w:val="nil"/>
              <w:left w:val="nil"/>
              <w:bottom w:val="nil"/>
              <w:right w:val="nil"/>
            </w:tcBorders>
            <w:shd w:val="clear" w:color="auto" w:fill="F2F2F2"/>
          </w:tcPr>
          <w:p w14:paraId="68EF3202" w14:textId="77777777" w:rsidR="00F14D5E" w:rsidRPr="007162F2" w:rsidRDefault="00F14D5E" w:rsidP="00F14D5E">
            <w:pPr>
              <w:pStyle w:val="Box"/>
            </w:pPr>
            <w:r w:rsidRPr="007162F2">
              <w:t xml:space="preserve">‘Cost per user of State and Territory administered services’ is defined as government expenditure on NDA State and Territory administered services per service user. Two measures are reported: </w:t>
            </w:r>
          </w:p>
          <w:p w14:paraId="3B5E63AC" w14:textId="77777777" w:rsidR="00F14D5E" w:rsidRPr="007162F2" w:rsidRDefault="00F14D5E" w:rsidP="00F14D5E">
            <w:pPr>
              <w:pStyle w:val="BoxListBullet"/>
            </w:pPr>
            <w:r>
              <w:t>E</w:t>
            </w:r>
            <w:r w:rsidRPr="007162F2">
              <w:t>stimated government expenditure per user of NDA services</w:t>
            </w:r>
            <w:r>
              <w:t>.</w:t>
            </w:r>
          </w:p>
          <w:p w14:paraId="2F229B5F" w14:textId="77777777" w:rsidR="00F14D5E" w:rsidRPr="007162F2" w:rsidRDefault="00F14D5E" w:rsidP="00F14D5E">
            <w:pPr>
              <w:pStyle w:val="BoxListBullet"/>
            </w:pPr>
            <w:r>
              <w:t>C</w:t>
            </w:r>
            <w:r w:rsidRPr="007162F2">
              <w:t>ost per user of government provided accommodation support services in:</w:t>
            </w:r>
          </w:p>
          <w:p w14:paraId="5DAF55D7" w14:textId="77777777" w:rsidR="00F14D5E" w:rsidRPr="007162F2" w:rsidRDefault="00F14D5E" w:rsidP="00F14D5E">
            <w:pPr>
              <w:pStyle w:val="BoxListBullet2"/>
            </w:pPr>
            <w:r w:rsidRPr="007162F2">
              <w:t xml:space="preserve">institutional/residential settings </w:t>
            </w:r>
          </w:p>
          <w:p w14:paraId="2A7CFA24" w14:textId="77777777" w:rsidR="00F14D5E" w:rsidRPr="007162F2" w:rsidRDefault="00F14D5E" w:rsidP="00F14D5E">
            <w:pPr>
              <w:pStyle w:val="BoxListBullet2"/>
            </w:pPr>
            <w:r w:rsidRPr="007162F2">
              <w:t>group homes</w:t>
            </w:r>
          </w:p>
          <w:p w14:paraId="39255500" w14:textId="77777777" w:rsidR="00F14D5E" w:rsidRDefault="00F14D5E" w:rsidP="002E11EC">
            <w:pPr>
              <w:pStyle w:val="BoxListBullet2"/>
            </w:pPr>
            <w:r w:rsidRPr="007162F2">
              <w:t>other community settings</w:t>
            </w:r>
            <w:r>
              <w:t>.</w:t>
            </w:r>
          </w:p>
          <w:p w14:paraId="18D0A06D" w14:textId="5A8C6F73" w:rsidR="00F14D5E" w:rsidRDefault="00F14D5E" w:rsidP="00F14D5E">
            <w:pPr>
              <w:pStyle w:val="Box"/>
            </w:pPr>
            <w:r>
              <w:t>Assuming other</w:t>
            </w:r>
            <w:r w:rsidRPr="007162F2">
              <w:t xml:space="preserve"> factors</w:t>
            </w:r>
            <w:r>
              <w:t xml:space="preserve"> were</w:t>
            </w:r>
            <w:r w:rsidRPr="007162F2">
              <w:t xml:space="preserve"> constant (such as service quality and accessibility), low or decreasing government expenditure per service user reflects a more effici</w:t>
            </w:r>
            <w:r>
              <w:t xml:space="preserve">ent provision of this service. </w:t>
            </w:r>
          </w:p>
        </w:tc>
      </w:tr>
      <w:tr w:rsidR="00F14D5E" w14:paraId="62B14CBD" w14:textId="77777777" w:rsidTr="002E11EC">
        <w:tc>
          <w:tcPr>
            <w:tcW w:w="5000" w:type="pct"/>
            <w:tcBorders>
              <w:top w:val="nil"/>
              <w:left w:val="nil"/>
              <w:bottom w:val="nil"/>
              <w:right w:val="nil"/>
            </w:tcBorders>
            <w:shd w:val="clear" w:color="auto" w:fill="F2F2F2"/>
          </w:tcPr>
          <w:p w14:paraId="290FEAD9" w14:textId="32AE735B" w:rsidR="00F14D5E" w:rsidRDefault="00F14D5E" w:rsidP="00F14D5E">
            <w:pPr>
              <w:pStyle w:val="BoxSource"/>
              <w:jc w:val="right"/>
            </w:pPr>
            <w:r>
              <w:t>(continued next page)</w:t>
            </w:r>
          </w:p>
        </w:tc>
      </w:tr>
      <w:tr w:rsidR="00F14D5E" w14:paraId="2EA26901" w14:textId="77777777" w:rsidTr="002E11EC">
        <w:tc>
          <w:tcPr>
            <w:tcW w:w="5000" w:type="pct"/>
            <w:tcBorders>
              <w:top w:val="nil"/>
              <w:left w:val="nil"/>
              <w:bottom w:val="single" w:sz="6" w:space="0" w:color="78A22F"/>
              <w:right w:val="nil"/>
            </w:tcBorders>
            <w:shd w:val="clear" w:color="auto" w:fill="F2F2F2"/>
          </w:tcPr>
          <w:p w14:paraId="46D9DA8F" w14:textId="77777777" w:rsidR="00F14D5E" w:rsidRDefault="00F14D5E">
            <w:pPr>
              <w:pStyle w:val="Box"/>
              <w:spacing w:before="0" w:line="120" w:lineRule="exact"/>
            </w:pPr>
          </w:p>
        </w:tc>
      </w:tr>
      <w:tr w:rsidR="00F14D5E" w:rsidRPr="000863A5" w14:paraId="3969A6F8" w14:textId="77777777" w:rsidTr="002E11EC">
        <w:tc>
          <w:tcPr>
            <w:tcW w:w="5000" w:type="pct"/>
            <w:tcBorders>
              <w:top w:val="single" w:sz="6" w:space="0" w:color="78A22F"/>
              <w:left w:val="nil"/>
              <w:bottom w:val="nil"/>
              <w:right w:val="nil"/>
            </w:tcBorders>
          </w:tcPr>
          <w:p w14:paraId="27A32907" w14:textId="79066592" w:rsidR="00F14D5E" w:rsidRPr="00626D32" w:rsidRDefault="00F14D5E" w:rsidP="002E11EC">
            <w:pPr>
              <w:pStyle w:val="BoxSpaceBelow"/>
            </w:pPr>
          </w:p>
        </w:tc>
      </w:tr>
    </w:tbl>
    <w:p w14:paraId="24E80CEA" w14:textId="132B2DA7" w:rsidR="00E02BE8" w:rsidRPr="007162F2" w:rsidRDefault="00E02BE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51FDE273" w14:textId="77777777" w:rsidTr="00F14D5E">
        <w:tc>
          <w:tcPr>
            <w:tcW w:w="8789" w:type="dxa"/>
            <w:tcBorders>
              <w:top w:val="single" w:sz="6" w:space="0" w:color="78A22F"/>
              <w:left w:val="nil"/>
              <w:bottom w:val="nil"/>
              <w:right w:val="nil"/>
            </w:tcBorders>
            <w:shd w:val="clear" w:color="auto" w:fill="F2F2F2"/>
          </w:tcPr>
          <w:p w14:paraId="754422F4" w14:textId="056E06A3" w:rsidR="00E02BE8" w:rsidRPr="007162F2" w:rsidRDefault="00E02BE8" w:rsidP="0052733D">
            <w:pPr>
              <w:pStyle w:val="BoxTitle"/>
            </w:pPr>
            <w:r w:rsidRPr="007162F2">
              <w:rPr>
                <w:b w:val="0"/>
              </w:rPr>
              <w:t xml:space="preserve">Box </w:t>
            </w:r>
            <w:r w:rsidR="007537AA">
              <w:rPr>
                <w:b w:val="0"/>
              </w:rPr>
              <w:t>15.</w:t>
            </w:r>
            <w:r w:rsidR="0052733D">
              <w:rPr>
                <w:b w:val="0"/>
              </w:rPr>
              <w:t>8</w:t>
            </w:r>
            <w:r w:rsidRPr="007162F2">
              <w:tab/>
            </w:r>
            <w:r w:rsidR="00F14D5E" w:rsidRPr="00F14D5E">
              <w:rPr>
                <w:b w:val="0"/>
                <w:sz w:val="18"/>
                <w:szCs w:val="18"/>
              </w:rPr>
              <w:t>(continued)</w:t>
            </w:r>
          </w:p>
        </w:tc>
      </w:tr>
      <w:tr w:rsidR="00E02BE8" w:rsidRPr="007162F2" w14:paraId="545AFB86" w14:textId="77777777" w:rsidTr="00F14D5E">
        <w:tc>
          <w:tcPr>
            <w:tcW w:w="8789" w:type="dxa"/>
            <w:tcBorders>
              <w:top w:val="nil"/>
              <w:left w:val="nil"/>
              <w:bottom w:val="nil"/>
              <w:right w:val="nil"/>
            </w:tcBorders>
            <w:shd w:val="clear" w:color="auto" w:fill="F2F2F2"/>
          </w:tcPr>
          <w:p w14:paraId="2C64D9D6" w14:textId="77777777" w:rsidR="00E02BE8" w:rsidRPr="007162F2" w:rsidRDefault="00E02BE8" w:rsidP="00E02BE8">
            <w:pPr>
              <w:pStyle w:val="Box"/>
            </w:pPr>
            <w:r w:rsidRPr="007162F2">
              <w:t xml:space="preserve">Efficiency data are difficult to interpret. Although high or increasing expenditure per unit of output can reflect deteriorating efficiency, it can also reflect improvements in the quality or attributes of the services provided, or an increase in the service needs of service users. Similarly, low or decreasing expenditure per unit of output can reflect improving efficiency, or lower quality and less effective services. </w:t>
            </w:r>
          </w:p>
          <w:p w14:paraId="3405B0B3" w14:textId="4AC17B83" w:rsidR="00E02BE8" w:rsidRPr="007162F2" w:rsidRDefault="00B80E42" w:rsidP="00E02BE8">
            <w:pPr>
              <w:pStyle w:val="Box"/>
            </w:pPr>
            <w:r>
              <w:t>Data reported for these</w:t>
            </w:r>
            <w:r w:rsidR="00E02BE8" w:rsidRPr="007162F2">
              <w:t xml:space="preserve"> measure</w:t>
            </w:r>
            <w:r>
              <w:t>s</w:t>
            </w:r>
            <w:r w:rsidR="00E02BE8" w:rsidRPr="007162F2">
              <w:t xml:space="preserve"> are:</w:t>
            </w:r>
          </w:p>
          <w:p w14:paraId="59588137" w14:textId="24F1EA91" w:rsidR="00E02BE8" w:rsidRPr="007162F2" w:rsidRDefault="00E02BE8" w:rsidP="00E02BE8">
            <w:pPr>
              <w:pStyle w:val="BoxListBullet"/>
              <w:keepLines/>
            </w:pPr>
            <w:r w:rsidRPr="007162F2">
              <w:t>comparable (subject to caveats) within some jurisdictions over time but are not comparable across jurisdictions or over time for other jurisdictions</w:t>
            </w:r>
            <w:r w:rsidR="00B80E42">
              <w:t>. The transition of the NDIS impacts</w:t>
            </w:r>
            <w:r w:rsidR="00F14D5E">
              <w:t xml:space="preserve"> results for many jurisdictions</w:t>
            </w:r>
            <w:r w:rsidRPr="007162F2">
              <w:t xml:space="preserve"> </w:t>
            </w:r>
          </w:p>
          <w:p w14:paraId="3362120B" w14:textId="7934C505" w:rsidR="00E02BE8" w:rsidRPr="007162F2" w:rsidRDefault="00A321EB" w:rsidP="00E02BE8">
            <w:pPr>
              <w:pStyle w:val="BoxListBullet"/>
              <w:keepLines/>
            </w:pPr>
            <w:r>
              <w:t xml:space="preserve">not </w:t>
            </w:r>
            <w:r w:rsidR="00E02BE8" w:rsidRPr="007162F2">
              <w:t xml:space="preserve">complete (subject to caveats) for the current reporting period. </w:t>
            </w:r>
            <w:r>
              <w:t>Service use data for 2015</w:t>
            </w:r>
            <w:r>
              <w:noBreakHyphen/>
              <w:t>16 were not available for the ACT (relevant to group homes and other community settings) and Australian totals do not include the ACT.</w:t>
            </w:r>
          </w:p>
        </w:tc>
      </w:tr>
      <w:tr w:rsidR="00E02BE8" w:rsidRPr="007162F2" w14:paraId="05B342C9" w14:textId="77777777" w:rsidTr="00F14D5E">
        <w:tc>
          <w:tcPr>
            <w:tcW w:w="8789" w:type="dxa"/>
            <w:tcBorders>
              <w:top w:val="nil"/>
              <w:left w:val="nil"/>
              <w:bottom w:val="single" w:sz="6" w:space="0" w:color="78A22F"/>
              <w:right w:val="nil"/>
            </w:tcBorders>
            <w:shd w:val="clear" w:color="auto" w:fill="F2F2F2"/>
          </w:tcPr>
          <w:p w14:paraId="4170211E" w14:textId="77777777" w:rsidR="00E02BE8" w:rsidRPr="007162F2" w:rsidRDefault="00E02BE8">
            <w:pPr>
              <w:pStyle w:val="Box"/>
              <w:spacing w:before="0" w:line="120" w:lineRule="exact"/>
            </w:pPr>
          </w:p>
        </w:tc>
      </w:tr>
      <w:tr w:rsidR="00E02BE8" w:rsidRPr="007162F2" w14:paraId="635BC0EE" w14:textId="77777777" w:rsidTr="00F14D5E">
        <w:tc>
          <w:tcPr>
            <w:tcW w:w="8789" w:type="dxa"/>
            <w:tcBorders>
              <w:top w:val="single" w:sz="6" w:space="0" w:color="78A22F"/>
              <w:left w:val="nil"/>
              <w:bottom w:val="nil"/>
              <w:right w:val="nil"/>
            </w:tcBorders>
          </w:tcPr>
          <w:p w14:paraId="4915C60D" w14:textId="7A830FC5" w:rsidR="00E02BE8" w:rsidRPr="007162F2" w:rsidRDefault="00E02BE8" w:rsidP="009F5938">
            <w:pPr>
              <w:pStyle w:val="BoxSpaceBelow"/>
            </w:pPr>
          </w:p>
        </w:tc>
      </w:tr>
    </w:tbl>
    <w:p w14:paraId="52054CFE" w14:textId="229AC2A9" w:rsidR="00E02BE8" w:rsidRDefault="00E02BE8" w:rsidP="00E02BE8">
      <w:pPr>
        <w:pStyle w:val="BodyText"/>
        <w:rPr>
          <w:szCs w:val="26"/>
        </w:rPr>
      </w:pPr>
      <w:r w:rsidRPr="007162F2">
        <w:rPr>
          <w:szCs w:val="26"/>
        </w:rPr>
        <w:t>Nationally</w:t>
      </w:r>
      <w:r w:rsidR="00A321EB">
        <w:rPr>
          <w:szCs w:val="26"/>
        </w:rPr>
        <w:t xml:space="preserve"> in 2015</w:t>
      </w:r>
      <w:r w:rsidR="00665EFA">
        <w:rPr>
          <w:szCs w:val="26"/>
        </w:rPr>
        <w:noBreakHyphen/>
      </w:r>
      <w:r w:rsidR="00A321EB">
        <w:rPr>
          <w:szCs w:val="26"/>
        </w:rPr>
        <w:t>16 (excluding the ACT)</w:t>
      </w:r>
      <w:r w:rsidRPr="007162F2">
        <w:rPr>
          <w:szCs w:val="26"/>
        </w:rPr>
        <w:t xml:space="preserve">, estimated expenditure per </w:t>
      </w:r>
      <w:r w:rsidR="005C15FB" w:rsidRPr="007162F2">
        <w:rPr>
          <w:szCs w:val="26"/>
        </w:rPr>
        <w:t xml:space="preserve">NDA </w:t>
      </w:r>
      <w:r w:rsidRPr="007162F2">
        <w:rPr>
          <w:szCs w:val="26"/>
        </w:rPr>
        <w:t xml:space="preserve">service user </w:t>
      </w:r>
      <w:r w:rsidR="006C2DEF" w:rsidRPr="007162F2">
        <w:rPr>
          <w:szCs w:val="26"/>
        </w:rPr>
        <w:t xml:space="preserve">excluding payroll tax </w:t>
      </w:r>
      <w:r w:rsidRPr="007162F2">
        <w:rPr>
          <w:szCs w:val="26"/>
        </w:rPr>
        <w:t xml:space="preserve">was </w:t>
      </w:r>
      <w:r w:rsidRPr="00342AFB">
        <w:rPr>
          <w:szCs w:val="26"/>
        </w:rPr>
        <w:t>$</w:t>
      </w:r>
      <w:r w:rsidR="00A321EB" w:rsidRPr="00342AFB">
        <w:rPr>
          <w:szCs w:val="26"/>
        </w:rPr>
        <w:t>3</w:t>
      </w:r>
      <w:r w:rsidR="00C640A6" w:rsidRPr="00342AFB">
        <w:rPr>
          <w:szCs w:val="26"/>
        </w:rPr>
        <w:t>8</w:t>
      </w:r>
      <w:r w:rsidR="00A321EB" w:rsidRPr="00342AFB">
        <w:rPr>
          <w:szCs w:val="26"/>
        </w:rPr>
        <w:t> </w:t>
      </w:r>
      <w:r w:rsidR="00C640A6" w:rsidRPr="00342AFB">
        <w:rPr>
          <w:szCs w:val="26"/>
        </w:rPr>
        <w:t>600</w:t>
      </w:r>
      <w:r w:rsidRPr="00A321EB">
        <w:rPr>
          <w:szCs w:val="26"/>
        </w:rPr>
        <w:t xml:space="preserve"> </w:t>
      </w:r>
      <w:r w:rsidRPr="007162F2">
        <w:rPr>
          <w:szCs w:val="26"/>
        </w:rPr>
        <w:t>(</w:t>
      </w:r>
      <w:r w:rsidR="00B00B12">
        <w:rPr>
          <w:szCs w:val="26"/>
        </w:rPr>
        <w:t>table 15A.71</w:t>
      </w:r>
      <w:r w:rsidRPr="007162F2">
        <w:rPr>
          <w:szCs w:val="26"/>
        </w:rPr>
        <w:t>).</w:t>
      </w:r>
    </w:p>
    <w:p w14:paraId="160528A2" w14:textId="05738DF9" w:rsidR="00F14D5E" w:rsidRDefault="00F14D5E" w:rsidP="002E11E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14D5E" w14:paraId="07DE8FE8" w14:textId="77777777" w:rsidTr="002E11EC">
        <w:trPr>
          <w:tblHeader/>
        </w:trPr>
        <w:tc>
          <w:tcPr>
            <w:tcW w:w="5000" w:type="pct"/>
            <w:tcBorders>
              <w:top w:val="single" w:sz="6" w:space="0" w:color="78A22F"/>
              <w:left w:val="nil"/>
              <w:bottom w:val="nil"/>
              <w:right w:val="nil"/>
            </w:tcBorders>
            <w:shd w:val="clear" w:color="auto" w:fill="auto"/>
          </w:tcPr>
          <w:p w14:paraId="644A0CEB" w14:textId="7E1A9C5E" w:rsidR="00F14D5E" w:rsidRPr="00784A05" w:rsidRDefault="00F14D5E" w:rsidP="00F14D5E">
            <w:pPr>
              <w:pStyle w:val="TableTitle"/>
            </w:pPr>
            <w:r>
              <w:rPr>
                <w:b w:val="0"/>
              </w:rPr>
              <w:t>Table 15.</w:t>
            </w:r>
            <w:r w:rsidR="002358A7">
              <w:rPr>
                <w:b w:val="0"/>
                <w:noProof/>
              </w:rPr>
              <w:t>1</w:t>
            </w:r>
            <w:r>
              <w:tab/>
            </w:r>
            <w:r w:rsidRPr="006F1C52">
              <w:t xml:space="preserve">Total </w:t>
            </w:r>
            <w:r w:rsidRPr="007019D5">
              <w:t xml:space="preserve">estimated expenditure per </w:t>
            </w:r>
            <w:r>
              <w:t xml:space="preserve">NDA </w:t>
            </w:r>
            <w:r w:rsidRPr="007019D5">
              <w:t xml:space="preserve">service user excluding </w:t>
            </w:r>
            <w:r>
              <w:t xml:space="preserve">actual </w:t>
            </w:r>
            <w:r w:rsidRPr="007019D5">
              <w:t>payroll tax</w:t>
            </w:r>
            <w:r w:rsidRPr="006F1C52">
              <w:t xml:space="preserve"> (2015-16 dollars)</w:t>
            </w:r>
            <w:r w:rsidRPr="00380D6E">
              <w:rPr>
                <w:rStyle w:val="NoteLabel"/>
                <w:b/>
              </w:rPr>
              <w:t>a</w:t>
            </w:r>
          </w:p>
        </w:tc>
      </w:tr>
      <w:tr w:rsidR="00F14D5E" w14:paraId="7F27EA7D" w14:textId="77777777" w:rsidTr="002E11E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6"/>
              <w:gridCol w:w="849"/>
              <w:gridCol w:w="851"/>
              <w:gridCol w:w="851"/>
              <w:gridCol w:w="851"/>
              <w:gridCol w:w="849"/>
              <w:gridCol w:w="851"/>
              <w:gridCol w:w="851"/>
              <w:gridCol w:w="1276"/>
            </w:tblGrid>
            <w:tr w:rsidR="002E11EC" w14:paraId="6249A0D9" w14:textId="77777777" w:rsidTr="002E11EC">
              <w:trPr>
                <w:tblHeader/>
              </w:trPr>
              <w:tc>
                <w:tcPr>
                  <w:tcW w:w="750" w:type="pct"/>
                  <w:tcBorders>
                    <w:top w:val="single" w:sz="6" w:space="0" w:color="BFBFBF"/>
                    <w:bottom w:val="single" w:sz="6" w:space="0" w:color="BFBFBF"/>
                  </w:tcBorders>
                  <w:shd w:val="clear" w:color="auto" w:fill="auto"/>
                  <w:tcMar>
                    <w:top w:w="28" w:type="dxa"/>
                  </w:tcMar>
                </w:tcPr>
                <w:p w14:paraId="3DEFCBCF" w14:textId="7E1E158B" w:rsidR="000E2534" w:rsidRDefault="000E2534" w:rsidP="002E11EC">
                  <w:pPr>
                    <w:pStyle w:val="TableColumnHeading"/>
                    <w:ind w:right="28"/>
                  </w:pPr>
                  <w:r>
                    <w:br/>
                    <w:t>NSW</w:t>
                  </w:r>
                </w:p>
              </w:tc>
              <w:tc>
                <w:tcPr>
                  <w:tcW w:w="499" w:type="pct"/>
                  <w:tcBorders>
                    <w:top w:val="single" w:sz="6" w:space="0" w:color="BFBFBF"/>
                    <w:bottom w:val="single" w:sz="6" w:space="0" w:color="BFBFBF"/>
                  </w:tcBorders>
                  <w:shd w:val="clear" w:color="auto" w:fill="auto"/>
                </w:tcPr>
                <w:p w14:paraId="336A9439" w14:textId="37AFE9C8" w:rsidR="000E2534" w:rsidRDefault="000E2534" w:rsidP="002E11EC">
                  <w:pPr>
                    <w:pStyle w:val="TableColumnHeading"/>
                    <w:ind w:right="28"/>
                  </w:pPr>
                  <w:r>
                    <w:br/>
                    <w:t>Vic</w:t>
                  </w:r>
                </w:p>
              </w:tc>
              <w:tc>
                <w:tcPr>
                  <w:tcW w:w="500" w:type="pct"/>
                  <w:tcBorders>
                    <w:top w:val="single" w:sz="6" w:space="0" w:color="BFBFBF"/>
                    <w:bottom w:val="single" w:sz="6" w:space="0" w:color="BFBFBF"/>
                  </w:tcBorders>
                  <w:shd w:val="clear" w:color="auto" w:fill="auto"/>
                </w:tcPr>
                <w:p w14:paraId="1AC52840" w14:textId="5B4B0F3B" w:rsidR="000E2534" w:rsidRDefault="000E2534" w:rsidP="002E11EC">
                  <w:pPr>
                    <w:pStyle w:val="TableColumnHeading"/>
                    <w:ind w:right="28"/>
                  </w:pPr>
                  <w:r>
                    <w:br/>
                    <w:t>Qld</w:t>
                  </w:r>
                </w:p>
              </w:tc>
              <w:tc>
                <w:tcPr>
                  <w:tcW w:w="500" w:type="pct"/>
                  <w:tcBorders>
                    <w:top w:val="single" w:sz="6" w:space="0" w:color="BFBFBF"/>
                    <w:bottom w:val="single" w:sz="6" w:space="0" w:color="BFBFBF"/>
                  </w:tcBorders>
                  <w:shd w:val="clear" w:color="auto" w:fill="auto"/>
                </w:tcPr>
                <w:p w14:paraId="18A5D50D" w14:textId="12FCE254" w:rsidR="000E2534" w:rsidRDefault="000E2534" w:rsidP="002E11EC">
                  <w:pPr>
                    <w:pStyle w:val="TableColumnHeading"/>
                    <w:ind w:right="28"/>
                  </w:pPr>
                  <w:r>
                    <w:br/>
                    <w:t>WA</w:t>
                  </w:r>
                </w:p>
              </w:tc>
              <w:tc>
                <w:tcPr>
                  <w:tcW w:w="500" w:type="pct"/>
                  <w:tcBorders>
                    <w:top w:val="single" w:sz="6" w:space="0" w:color="BFBFBF"/>
                    <w:bottom w:val="single" w:sz="6" w:space="0" w:color="BFBFBF"/>
                  </w:tcBorders>
                  <w:shd w:val="clear" w:color="auto" w:fill="auto"/>
                </w:tcPr>
                <w:p w14:paraId="2CEB173C" w14:textId="3EFB1811" w:rsidR="000E2534" w:rsidRDefault="000E2534" w:rsidP="002E11EC">
                  <w:pPr>
                    <w:pStyle w:val="TableColumnHeading"/>
                    <w:ind w:right="28"/>
                  </w:pPr>
                  <w:r>
                    <w:br/>
                    <w:t>SA</w:t>
                  </w:r>
                </w:p>
              </w:tc>
              <w:tc>
                <w:tcPr>
                  <w:tcW w:w="499" w:type="pct"/>
                  <w:tcBorders>
                    <w:top w:val="single" w:sz="6" w:space="0" w:color="BFBFBF"/>
                    <w:bottom w:val="single" w:sz="6" w:space="0" w:color="BFBFBF"/>
                  </w:tcBorders>
                  <w:shd w:val="clear" w:color="auto" w:fill="auto"/>
                </w:tcPr>
                <w:p w14:paraId="51E72586" w14:textId="6CCEA692" w:rsidR="000E2534" w:rsidRDefault="000E2534" w:rsidP="002E11EC">
                  <w:pPr>
                    <w:pStyle w:val="TableColumnHeading"/>
                    <w:ind w:right="28"/>
                  </w:pPr>
                  <w:r>
                    <w:br/>
                  </w:r>
                  <w:proofErr w:type="spellStart"/>
                  <w:r>
                    <w:t>Tas</w:t>
                  </w:r>
                  <w:proofErr w:type="spellEnd"/>
                </w:p>
              </w:tc>
              <w:tc>
                <w:tcPr>
                  <w:tcW w:w="500" w:type="pct"/>
                  <w:tcBorders>
                    <w:top w:val="single" w:sz="6" w:space="0" w:color="BFBFBF"/>
                    <w:bottom w:val="single" w:sz="6" w:space="0" w:color="BFBFBF"/>
                  </w:tcBorders>
                  <w:shd w:val="clear" w:color="auto" w:fill="auto"/>
                </w:tcPr>
                <w:p w14:paraId="2B975F85" w14:textId="25C6D548" w:rsidR="000E2534" w:rsidRDefault="000E2534" w:rsidP="002E11EC">
                  <w:pPr>
                    <w:pStyle w:val="TableColumnHeading"/>
                    <w:ind w:right="28"/>
                  </w:pPr>
                  <w:r>
                    <w:br/>
                    <w:t>ACT</w:t>
                  </w:r>
                </w:p>
              </w:tc>
              <w:tc>
                <w:tcPr>
                  <w:tcW w:w="500" w:type="pct"/>
                  <w:tcBorders>
                    <w:top w:val="single" w:sz="6" w:space="0" w:color="BFBFBF"/>
                    <w:bottom w:val="single" w:sz="6" w:space="0" w:color="BFBFBF"/>
                  </w:tcBorders>
                  <w:shd w:val="clear" w:color="auto" w:fill="auto"/>
                </w:tcPr>
                <w:p w14:paraId="693842FC" w14:textId="5AF22FB0" w:rsidR="000E2534" w:rsidRDefault="000E2534" w:rsidP="002E11EC">
                  <w:pPr>
                    <w:pStyle w:val="TableColumnHeading"/>
                    <w:ind w:right="28"/>
                  </w:pPr>
                  <w:r>
                    <w:br/>
                    <w:t>NT</w:t>
                  </w:r>
                </w:p>
              </w:tc>
              <w:tc>
                <w:tcPr>
                  <w:tcW w:w="750" w:type="pct"/>
                  <w:tcBorders>
                    <w:top w:val="single" w:sz="6" w:space="0" w:color="BFBFBF"/>
                    <w:bottom w:val="single" w:sz="6" w:space="0" w:color="BFBFBF"/>
                  </w:tcBorders>
                  <w:shd w:val="clear" w:color="auto" w:fill="auto"/>
                </w:tcPr>
                <w:p w14:paraId="5981C404" w14:textId="5D821278" w:rsidR="000E2534" w:rsidRDefault="000E2534" w:rsidP="002E11EC">
                  <w:pPr>
                    <w:pStyle w:val="TableColumnHeading"/>
                    <w:ind w:right="28"/>
                  </w:pPr>
                  <w:proofErr w:type="spellStart"/>
                  <w:r>
                    <w:t>Aust</w:t>
                  </w:r>
                  <w:proofErr w:type="spellEnd"/>
                  <w:r>
                    <w:t xml:space="preserve"> </w:t>
                  </w:r>
                  <w:r>
                    <w:br/>
                    <w:t>(excl. ACT)</w:t>
                  </w:r>
                </w:p>
              </w:tc>
            </w:tr>
            <w:tr w:rsidR="002E11EC" w14:paraId="60066F7C" w14:textId="77777777" w:rsidTr="002E11EC">
              <w:tc>
                <w:tcPr>
                  <w:tcW w:w="750" w:type="pct"/>
                  <w:tcBorders>
                    <w:top w:val="single" w:sz="6" w:space="0" w:color="BFBFBF"/>
                  </w:tcBorders>
                </w:tcPr>
                <w:p w14:paraId="3C4B542E" w14:textId="7D49D1A6" w:rsidR="000E2534" w:rsidRDefault="000E2534" w:rsidP="002E11EC">
                  <w:pPr>
                    <w:pStyle w:val="TableUnitsRow"/>
                    <w:ind w:right="28"/>
                  </w:pPr>
                  <w:r>
                    <w:t>43 174</w:t>
                  </w:r>
                </w:p>
              </w:tc>
              <w:tc>
                <w:tcPr>
                  <w:tcW w:w="499" w:type="pct"/>
                  <w:tcBorders>
                    <w:top w:val="single" w:sz="6" w:space="0" w:color="BFBFBF"/>
                  </w:tcBorders>
                </w:tcPr>
                <w:p w14:paraId="30E94DCA" w14:textId="552D30EB" w:rsidR="000E2534" w:rsidRDefault="000E2534" w:rsidP="002E11EC">
                  <w:pPr>
                    <w:pStyle w:val="TableUnitsRow"/>
                    <w:ind w:right="28"/>
                  </w:pPr>
                  <w:r>
                    <w:t>28 504</w:t>
                  </w:r>
                </w:p>
              </w:tc>
              <w:tc>
                <w:tcPr>
                  <w:tcW w:w="500" w:type="pct"/>
                  <w:tcBorders>
                    <w:top w:val="single" w:sz="6" w:space="0" w:color="BFBFBF"/>
                  </w:tcBorders>
                </w:tcPr>
                <w:p w14:paraId="015A1980" w14:textId="1BFA784E" w:rsidR="000E2534" w:rsidRDefault="000E2534" w:rsidP="002E11EC">
                  <w:pPr>
                    <w:pStyle w:val="TableUnitsRow"/>
                    <w:ind w:right="28"/>
                  </w:pPr>
                  <w:r>
                    <w:t>47 352</w:t>
                  </w:r>
                </w:p>
              </w:tc>
              <w:tc>
                <w:tcPr>
                  <w:tcW w:w="500" w:type="pct"/>
                  <w:tcBorders>
                    <w:top w:val="single" w:sz="6" w:space="0" w:color="BFBFBF"/>
                  </w:tcBorders>
                </w:tcPr>
                <w:p w14:paraId="7890F22D" w14:textId="15751FFA" w:rsidR="000E2534" w:rsidRDefault="000E2534" w:rsidP="002E11EC">
                  <w:pPr>
                    <w:pStyle w:val="TableUnitsRow"/>
                    <w:ind w:right="28"/>
                  </w:pPr>
                  <w:r>
                    <w:t>47 573</w:t>
                  </w:r>
                </w:p>
              </w:tc>
              <w:tc>
                <w:tcPr>
                  <w:tcW w:w="500" w:type="pct"/>
                  <w:tcBorders>
                    <w:top w:val="single" w:sz="6" w:space="0" w:color="BFBFBF"/>
                  </w:tcBorders>
                </w:tcPr>
                <w:p w14:paraId="6BA7AEC5" w14:textId="0AB1F812" w:rsidR="000E2534" w:rsidRDefault="000E2534" w:rsidP="002E11EC">
                  <w:pPr>
                    <w:pStyle w:val="TableUnitsRow"/>
                    <w:ind w:right="28"/>
                  </w:pPr>
                  <w:r>
                    <w:t>37 878</w:t>
                  </w:r>
                </w:p>
              </w:tc>
              <w:tc>
                <w:tcPr>
                  <w:tcW w:w="499" w:type="pct"/>
                  <w:tcBorders>
                    <w:top w:val="single" w:sz="6" w:space="0" w:color="BFBFBF"/>
                  </w:tcBorders>
                </w:tcPr>
                <w:p w14:paraId="1AE89BB4" w14:textId="19D2EE97" w:rsidR="000E2534" w:rsidRDefault="000E2534" w:rsidP="002E11EC">
                  <w:pPr>
                    <w:pStyle w:val="TableUnitsRow"/>
                    <w:ind w:right="28"/>
                  </w:pPr>
                  <w:r>
                    <w:t>31 065</w:t>
                  </w:r>
                </w:p>
              </w:tc>
              <w:tc>
                <w:tcPr>
                  <w:tcW w:w="500" w:type="pct"/>
                  <w:tcBorders>
                    <w:top w:val="single" w:sz="6" w:space="0" w:color="BFBFBF"/>
                  </w:tcBorders>
                </w:tcPr>
                <w:p w14:paraId="68A9FDAA" w14:textId="562FEB14" w:rsidR="000E2534" w:rsidRDefault="002E11EC" w:rsidP="002E11EC">
                  <w:pPr>
                    <w:pStyle w:val="TableUnitsRow"/>
                    <w:ind w:right="28"/>
                  </w:pPr>
                  <w:proofErr w:type="spellStart"/>
                  <w:r>
                    <w:t>n</w:t>
                  </w:r>
                  <w:r w:rsidR="000E2534">
                    <w:t>a</w:t>
                  </w:r>
                  <w:proofErr w:type="spellEnd"/>
                </w:p>
              </w:tc>
              <w:tc>
                <w:tcPr>
                  <w:tcW w:w="500" w:type="pct"/>
                  <w:tcBorders>
                    <w:top w:val="single" w:sz="6" w:space="0" w:color="BFBFBF"/>
                  </w:tcBorders>
                </w:tcPr>
                <w:p w14:paraId="5C754237" w14:textId="3D4EEAC8" w:rsidR="000E2534" w:rsidRDefault="000E2534" w:rsidP="002E11EC">
                  <w:pPr>
                    <w:pStyle w:val="TableUnitsRow"/>
                    <w:ind w:right="28"/>
                  </w:pPr>
                  <w:r>
                    <w:t>35 513</w:t>
                  </w:r>
                </w:p>
              </w:tc>
              <w:tc>
                <w:tcPr>
                  <w:tcW w:w="750" w:type="pct"/>
                  <w:tcBorders>
                    <w:top w:val="single" w:sz="6" w:space="0" w:color="BFBFBF"/>
                  </w:tcBorders>
                </w:tcPr>
                <w:p w14:paraId="5D9CB631" w14:textId="09691142" w:rsidR="000E2534" w:rsidRDefault="000E2534" w:rsidP="002E11EC">
                  <w:pPr>
                    <w:pStyle w:val="TableUnitsRow"/>
                    <w:ind w:right="28"/>
                  </w:pPr>
                  <w:r>
                    <w:t>38 600</w:t>
                  </w:r>
                </w:p>
              </w:tc>
            </w:tr>
          </w:tbl>
          <w:p w14:paraId="7E14CDCB" w14:textId="77777777" w:rsidR="00F14D5E" w:rsidRDefault="00F14D5E" w:rsidP="002E11EC">
            <w:pPr>
              <w:pStyle w:val="Box"/>
            </w:pPr>
          </w:p>
        </w:tc>
      </w:tr>
      <w:tr w:rsidR="00F14D5E" w14:paraId="10D93286" w14:textId="77777777" w:rsidTr="002E11EC">
        <w:tc>
          <w:tcPr>
            <w:tcW w:w="5000" w:type="pct"/>
            <w:tcBorders>
              <w:top w:val="nil"/>
              <w:left w:val="nil"/>
              <w:bottom w:val="nil"/>
              <w:right w:val="nil"/>
            </w:tcBorders>
            <w:shd w:val="clear" w:color="auto" w:fill="auto"/>
          </w:tcPr>
          <w:p w14:paraId="395BC674" w14:textId="29862C60" w:rsidR="00F14D5E" w:rsidRDefault="00F14D5E" w:rsidP="002E11EC">
            <w:pPr>
              <w:pStyle w:val="Note"/>
              <w:rPr>
                <w:i/>
              </w:rPr>
            </w:pPr>
            <w:r w:rsidRPr="008E77FE">
              <w:rPr>
                <w:rStyle w:val="NoteLabel"/>
              </w:rPr>
              <w:t>a</w:t>
            </w:r>
            <w:r>
              <w:t xml:space="preserve"> </w:t>
            </w:r>
            <w:r w:rsidR="000E2534">
              <w:rPr>
                <w:shd w:val="clear" w:color="auto" w:fill="FFFFFF" w:themeFill="background1"/>
              </w:rPr>
              <w:t xml:space="preserve">See box 15.8 and table 15A.71 </w:t>
            </w:r>
            <w:r w:rsidR="000E2534" w:rsidRPr="006F23A3">
              <w:t>for detailed</w:t>
            </w:r>
            <w:r w:rsidR="000E2534" w:rsidRPr="0032221B">
              <w:t xml:space="preserve"> definitions, footnotes and caveats</w:t>
            </w:r>
            <w:r w:rsidR="000E2534" w:rsidRPr="006F23A3">
              <w:t>.</w:t>
            </w:r>
            <w:r w:rsidR="000E2534" w:rsidRPr="00F82615">
              <w:t xml:space="preserve"> </w:t>
            </w:r>
            <w:proofErr w:type="spellStart"/>
            <w:r w:rsidR="000E2534" w:rsidRPr="00175AE2">
              <w:rPr>
                <w:b/>
              </w:rPr>
              <w:t>na</w:t>
            </w:r>
            <w:proofErr w:type="spellEnd"/>
            <w:r w:rsidR="000E2534">
              <w:t xml:space="preserve"> Not available.</w:t>
            </w:r>
          </w:p>
        </w:tc>
      </w:tr>
      <w:tr w:rsidR="00F14D5E" w14:paraId="38F4F97C" w14:textId="77777777" w:rsidTr="002E11EC">
        <w:tc>
          <w:tcPr>
            <w:tcW w:w="5000" w:type="pct"/>
            <w:tcBorders>
              <w:top w:val="nil"/>
              <w:left w:val="nil"/>
              <w:bottom w:val="nil"/>
              <w:right w:val="nil"/>
            </w:tcBorders>
            <w:shd w:val="clear" w:color="auto" w:fill="auto"/>
          </w:tcPr>
          <w:p w14:paraId="7774051C" w14:textId="0E575ED7" w:rsidR="00F14D5E" w:rsidRDefault="000E2534" w:rsidP="000E2534">
            <w:pPr>
              <w:pStyle w:val="Source"/>
            </w:pPr>
            <w:r>
              <w:rPr>
                <w:i/>
              </w:rPr>
              <w:t>Source</w:t>
            </w:r>
            <w:r w:rsidR="00F14D5E" w:rsidRPr="00167F06">
              <w:t xml:space="preserve">: </w:t>
            </w:r>
            <w:r w:rsidRPr="006F1C52">
              <w:rPr>
                <w:shd w:val="clear" w:color="auto" w:fill="FFFFFF" w:themeFill="background1"/>
              </w:rPr>
              <w:t>AIHW (unpublished) DS NMDS; State and Territory gover</w:t>
            </w:r>
            <w:r>
              <w:rPr>
                <w:shd w:val="clear" w:color="auto" w:fill="FFFFFF" w:themeFill="background1"/>
              </w:rPr>
              <w:t>nment (unpublished); table 15A.71.</w:t>
            </w:r>
          </w:p>
        </w:tc>
      </w:tr>
      <w:tr w:rsidR="00F14D5E" w14:paraId="7A06598C" w14:textId="77777777" w:rsidTr="002E11EC">
        <w:tc>
          <w:tcPr>
            <w:tcW w:w="5000" w:type="pct"/>
            <w:tcBorders>
              <w:top w:val="nil"/>
              <w:left w:val="nil"/>
              <w:bottom w:val="single" w:sz="6" w:space="0" w:color="78A22F"/>
              <w:right w:val="nil"/>
            </w:tcBorders>
            <w:shd w:val="clear" w:color="auto" w:fill="auto"/>
          </w:tcPr>
          <w:p w14:paraId="2913DCB2" w14:textId="77777777" w:rsidR="00F14D5E" w:rsidRDefault="00F14D5E" w:rsidP="002E11EC">
            <w:pPr>
              <w:pStyle w:val="Box"/>
              <w:spacing w:before="0" w:line="120" w:lineRule="exact"/>
            </w:pPr>
          </w:p>
        </w:tc>
      </w:tr>
      <w:tr w:rsidR="00F14D5E" w:rsidRPr="000863A5" w14:paraId="6914F3A4" w14:textId="77777777" w:rsidTr="002E11EC">
        <w:tc>
          <w:tcPr>
            <w:tcW w:w="5000" w:type="pct"/>
            <w:tcBorders>
              <w:top w:val="single" w:sz="6" w:space="0" w:color="78A22F"/>
              <w:left w:val="nil"/>
              <w:bottom w:val="nil"/>
              <w:right w:val="nil"/>
            </w:tcBorders>
          </w:tcPr>
          <w:p w14:paraId="60A65B99" w14:textId="3D1A4DB8" w:rsidR="00F14D5E" w:rsidRPr="00626D32" w:rsidRDefault="00F14D5E" w:rsidP="002E11EC">
            <w:pPr>
              <w:pStyle w:val="BoxSpaceBelow"/>
            </w:pPr>
          </w:p>
        </w:tc>
      </w:tr>
    </w:tbl>
    <w:p w14:paraId="35549045" w14:textId="4AAF7961" w:rsidR="00B80E42" w:rsidRDefault="00A321EB" w:rsidP="00E02BE8">
      <w:pPr>
        <w:pStyle w:val="BodyText"/>
        <w:rPr>
          <w:szCs w:val="26"/>
        </w:rPr>
      </w:pPr>
      <w:r>
        <w:rPr>
          <w:szCs w:val="26"/>
        </w:rPr>
        <w:t>E</w:t>
      </w:r>
      <w:r w:rsidR="00E02BE8" w:rsidRPr="00EE24D3">
        <w:rPr>
          <w:szCs w:val="26"/>
        </w:rPr>
        <w:t xml:space="preserve">stimated annual government expenditure on </w:t>
      </w:r>
      <w:r>
        <w:rPr>
          <w:szCs w:val="26"/>
        </w:rPr>
        <w:t xml:space="preserve">government-provided </w:t>
      </w:r>
      <w:r w:rsidR="00E02BE8" w:rsidRPr="00EE24D3">
        <w:rPr>
          <w:szCs w:val="26"/>
        </w:rPr>
        <w:t>accommodation support services in</w:t>
      </w:r>
      <w:r w:rsidR="00B80E42">
        <w:rPr>
          <w:szCs w:val="26"/>
        </w:rPr>
        <w:t xml:space="preserve"> 2015</w:t>
      </w:r>
      <w:r w:rsidR="00665EFA">
        <w:rPr>
          <w:szCs w:val="26"/>
        </w:rPr>
        <w:noBreakHyphen/>
      </w:r>
      <w:r w:rsidR="00B80E42">
        <w:rPr>
          <w:szCs w:val="26"/>
        </w:rPr>
        <w:t>16 was:</w:t>
      </w:r>
    </w:p>
    <w:p w14:paraId="306780A5" w14:textId="7D83A24C" w:rsidR="001B4468" w:rsidRDefault="00E02BE8" w:rsidP="00B80E42">
      <w:pPr>
        <w:pStyle w:val="ListBullet"/>
      </w:pPr>
      <w:r w:rsidRPr="00EE24D3">
        <w:t>$</w:t>
      </w:r>
      <w:r w:rsidR="00A321EB">
        <w:t xml:space="preserve">333 724 </w:t>
      </w:r>
      <w:r w:rsidRPr="00EE24D3">
        <w:t>per service user</w:t>
      </w:r>
      <w:r w:rsidR="00062EB3">
        <w:t xml:space="preserve"> in </w:t>
      </w:r>
      <w:r w:rsidR="00B80E42" w:rsidRPr="00EE24D3">
        <w:t xml:space="preserve">institutional/residential settings </w:t>
      </w:r>
    </w:p>
    <w:p w14:paraId="3DF634BF" w14:textId="05EC86B9" w:rsidR="00B80E42" w:rsidRDefault="00B80E42" w:rsidP="00B80E42">
      <w:pPr>
        <w:pStyle w:val="ListBullet"/>
      </w:pPr>
      <w:r>
        <w:t xml:space="preserve">$188 195 </w:t>
      </w:r>
      <w:r w:rsidR="001A7EBC">
        <w:t xml:space="preserve">(excluding the ACT) </w:t>
      </w:r>
      <w:r w:rsidR="00B260F8" w:rsidRPr="00342AFB">
        <w:t>per service user</w:t>
      </w:r>
      <w:r w:rsidR="00B260F8">
        <w:t xml:space="preserve"> </w:t>
      </w:r>
      <w:r>
        <w:t>in group homes</w:t>
      </w:r>
    </w:p>
    <w:p w14:paraId="29525609" w14:textId="7162399E" w:rsidR="00B80E42" w:rsidRPr="007162F2" w:rsidRDefault="00B80E42" w:rsidP="00B80E42">
      <w:pPr>
        <w:pStyle w:val="ListBullet"/>
      </w:pPr>
      <w:r>
        <w:t xml:space="preserve">$15 390 </w:t>
      </w:r>
      <w:r w:rsidR="001A7EBC">
        <w:t xml:space="preserve">(excluding the ACT) </w:t>
      </w:r>
      <w:r w:rsidR="00B260F8" w:rsidRPr="00342AFB">
        <w:t>per service user</w:t>
      </w:r>
      <w:r w:rsidR="00B260F8">
        <w:t xml:space="preserve"> </w:t>
      </w:r>
      <w:r>
        <w:t>in other community settings (table</w:t>
      </w:r>
      <w:r w:rsidR="00E13E55">
        <w:t> </w:t>
      </w:r>
      <w:r>
        <w:t xml:space="preserve">15A.67). </w:t>
      </w:r>
    </w:p>
    <w:p w14:paraId="42424392" w14:textId="79DE7F4F" w:rsidR="000C3733" w:rsidRPr="007162F2" w:rsidRDefault="00A71C1A" w:rsidP="00B80E42">
      <w:pPr>
        <w:pStyle w:val="BodyText"/>
      </w:pPr>
      <w:r>
        <w:t>Nationally in 2015</w:t>
      </w:r>
      <w:r w:rsidR="00665EFA">
        <w:noBreakHyphen/>
      </w:r>
      <w:r>
        <w:t xml:space="preserve">16, 6.0 per cent </w:t>
      </w:r>
      <w:r w:rsidR="005C15FB" w:rsidRPr="007162F2">
        <w:t>of total recurrent expenditure</w:t>
      </w:r>
      <w:r>
        <w:t xml:space="preserve"> (excluding payroll tax)</w:t>
      </w:r>
      <w:r w:rsidR="005C15FB" w:rsidRPr="007162F2">
        <w:t xml:space="preserve"> </w:t>
      </w:r>
      <w:r>
        <w:t>was administrative</w:t>
      </w:r>
      <w:r w:rsidR="004514F4">
        <w:t> </w:t>
      </w:r>
      <w:r w:rsidR="0094625B">
        <w:t>(</w:t>
      </w:r>
      <w:r w:rsidR="005C15FB" w:rsidRPr="007162F2">
        <w:t>15A.</w:t>
      </w:r>
      <w:r w:rsidR="00C47E5C" w:rsidRPr="007162F2">
        <w:t>70</w:t>
      </w:r>
      <w:r w:rsidR="0094625B">
        <w:t>)</w:t>
      </w:r>
      <w:r w:rsidR="00B80E42">
        <w:t>.</w:t>
      </w:r>
    </w:p>
    <w:p w14:paraId="041BDAE9" w14:textId="77777777" w:rsidR="000C3733" w:rsidRPr="007162F2" w:rsidRDefault="000C3733" w:rsidP="00A113BE">
      <w:pPr>
        <w:pStyle w:val="Heading3"/>
      </w:pPr>
      <w:r w:rsidRPr="00A113BE">
        <w:t>Outcomes</w:t>
      </w:r>
    </w:p>
    <w:p w14:paraId="3BA9C435" w14:textId="77777777" w:rsidR="000C3733" w:rsidRPr="007162F2" w:rsidRDefault="000C3733" w:rsidP="000C3733">
      <w:pPr>
        <w:pStyle w:val="BodyText"/>
        <w:rPr>
          <w:szCs w:val="26"/>
        </w:rPr>
      </w:pPr>
      <w:r w:rsidRPr="007162F2">
        <w:rPr>
          <w:szCs w:val="26"/>
        </w:rPr>
        <w:t>Outcomes are the impact of services on the status of an indi</w:t>
      </w:r>
      <w:r w:rsidR="00FE34EE" w:rsidRPr="007162F2">
        <w:rPr>
          <w:szCs w:val="26"/>
        </w:rPr>
        <w:t>vidual or group (see chapter 1)</w:t>
      </w:r>
      <w:r w:rsidR="00A344D0">
        <w:rPr>
          <w:szCs w:val="26"/>
        </w:rPr>
        <w:t>.</w:t>
      </w:r>
    </w:p>
    <w:p w14:paraId="7AD8FB7E" w14:textId="77777777" w:rsidR="000C3733" w:rsidRPr="007162F2" w:rsidRDefault="000C3733" w:rsidP="000C3733">
      <w:pPr>
        <w:pStyle w:val="Heading4"/>
        <w:rPr>
          <w:sz w:val="20"/>
        </w:rPr>
      </w:pPr>
      <w:r w:rsidRPr="007162F2">
        <w:lastRenderedPageBreak/>
        <w:t xml:space="preserve">Labour force participation and employment of people with disability </w:t>
      </w:r>
    </w:p>
    <w:p w14:paraId="71351398" w14:textId="1E6AA0F0" w:rsidR="000C3733" w:rsidRPr="00074B5A" w:rsidRDefault="000C3733" w:rsidP="00C47E5C">
      <w:pPr>
        <w:pStyle w:val="BodyText"/>
        <w:jc w:val="left"/>
      </w:pPr>
      <w:r w:rsidRPr="007162F2">
        <w:rPr>
          <w:szCs w:val="26"/>
        </w:rPr>
        <w:t xml:space="preserve">‘Labour force participation and employment of people with disability’ is an indicator of governments’ </w:t>
      </w:r>
      <w:r w:rsidRPr="00074B5A">
        <w:t>objective to help people with disability achieve economic participation</w:t>
      </w:r>
      <w:r w:rsidRPr="00074B5A" w:rsidDel="00717AED">
        <w:t xml:space="preserve"> </w:t>
      </w:r>
      <w:r w:rsidRPr="00074B5A">
        <w:t>(box </w:t>
      </w:r>
      <w:r w:rsidR="007537AA">
        <w:t>15.9</w:t>
      </w:r>
      <w:r w:rsidRPr="00074B5A">
        <w:t>).</w:t>
      </w:r>
    </w:p>
    <w:p w14:paraId="1C3DB41E" w14:textId="3C3C67AC" w:rsidR="000C3733" w:rsidRPr="007162F2" w:rsidRDefault="000C373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C3733" w:rsidRPr="007162F2" w14:paraId="07868B3C" w14:textId="77777777" w:rsidTr="000E2534">
        <w:tc>
          <w:tcPr>
            <w:tcW w:w="8789" w:type="dxa"/>
            <w:tcBorders>
              <w:top w:val="single" w:sz="6" w:space="0" w:color="78A22F"/>
              <w:left w:val="nil"/>
              <w:bottom w:val="nil"/>
              <w:right w:val="nil"/>
            </w:tcBorders>
            <w:shd w:val="clear" w:color="auto" w:fill="F2F2F2"/>
          </w:tcPr>
          <w:p w14:paraId="0633AD28" w14:textId="1E7113FB" w:rsidR="000C3733" w:rsidRPr="007162F2" w:rsidRDefault="000C3733" w:rsidP="0052733D">
            <w:pPr>
              <w:pStyle w:val="BoxTitle"/>
            </w:pPr>
            <w:r w:rsidRPr="007162F2">
              <w:rPr>
                <w:b w:val="0"/>
              </w:rPr>
              <w:t xml:space="preserve">Box </w:t>
            </w:r>
            <w:r w:rsidR="007537AA">
              <w:rPr>
                <w:b w:val="0"/>
              </w:rPr>
              <w:t>15.</w:t>
            </w:r>
            <w:r w:rsidR="0052733D">
              <w:rPr>
                <w:b w:val="0"/>
              </w:rPr>
              <w:t>9</w:t>
            </w:r>
            <w:r w:rsidRPr="007162F2">
              <w:tab/>
              <w:t>Labour force participation and employment of people with disability</w:t>
            </w:r>
          </w:p>
        </w:tc>
      </w:tr>
      <w:tr w:rsidR="000C3733" w:rsidRPr="007162F2" w14:paraId="03D5A992" w14:textId="77777777" w:rsidTr="000E2534">
        <w:tc>
          <w:tcPr>
            <w:tcW w:w="8789" w:type="dxa"/>
            <w:tcBorders>
              <w:top w:val="nil"/>
              <w:left w:val="nil"/>
              <w:bottom w:val="nil"/>
              <w:right w:val="nil"/>
            </w:tcBorders>
            <w:shd w:val="clear" w:color="auto" w:fill="F2F2F2"/>
          </w:tcPr>
          <w:p w14:paraId="4F983D03" w14:textId="77777777" w:rsidR="000C3733" w:rsidRPr="007162F2" w:rsidRDefault="000C3733" w:rsidP="000C3733">
            <w:pPr>
              <w:pStyle w:val="Box"/>
            </w:pPr>
            <w:r w:rsidRPr="007162F2">
              <w:t xml:space="preserve">‘Labour force participation and employment of people with disability’ is defined </w:t>
            </w:r>
            <w:r w:rsidR="00A84A37" w:rsidRPr="007162F2">
              <w:t>by three measures (each by disability status):</w:t>
            </w:r>
            <w:r w:rsidRPr="007162F2">
              <w:t xml:space="preserve"> </w:t>
            </w:r>
          </w:p>
          <w:p w14:paraId="1E69691E" w14:textId="0A77B06B" w:rsidR="000C3733" w:rsidRPr="007162F2" w:rsidRDefault="00A96A18" w:rsidP="000C3733">
            <w:pPr>
              <w:pStyle w:val="BoxListBullet"/>
            </w:pPr>
            <w:r>
              <w:rPr>
                <w:i/>
              </w:rPr>
              <w:t>L</w:t>
            </w:r>
            <w:r w:rsidR="000C3733" w:rsidRPr="007162F2">
              <w:rPr>
                <w:i/>
              </w:rPr>
              <w:t>abour force participation rate</w:t>
            </w:r>
            <w:r w:rsidR="000C3733" w:rsidRPr="007162F2">
              <w:t xml:space="preserve"> defined as </w:t>
            </w:r>
            <w:r w:rsidR="006D00EA" w:rsidRPr="007162F2">
              <w:t xml:space="preserve">the </w:t>
            </w:r>
            <w:r w:rsidR="000C3733" w:rsidRPr="007162F2">
              <w:t>number of pe</w:t>
            </w:r>
            <w:r w:rsidR="006D00EA" w:rsidRPr="007162F2">
              <w:t>ople</w:t>
            </w:r>
            <w:r w:rsidR="000C3733" w:rsidRPr="007162F2">
              <w:t xml:space="preserve"> with disability aged 15–64 years who are in the labour force (employed or unemployed) divided by the number of pe</w:t>
            </w:r>
            <w:r w:rsidR="006D00EA" w:rsidRPr="007162F2">
              <w:t>ople</w:t>
            </w:r>
            <w:r w:rsidR="000C3733" w:rsidRPr="007162F2">
              <w:t xml:space="preserve"> with disability aged 15–64 years</w:t>
            </w:r>
          </w:p>
          <w:p w14:paraId="4CF2733F" w14:textId="5D090B83" w:rsidR="000C3733" w:rsidRPr="007162F2" w:rsidRDefault="00A96A18" w:rsidP="000C3733">
            <w:pPr>
              <w:pStyle w:val="BoxListBullet"/>
            </w:pPr>
            <w:r>
              <w:rPr>
                <w:i/>
              </w:rPr>
              <w:t>E</w:t>
            </w:r>
            <w:r w:rsidR="000C3733" w:rsidRPr="007162F2">
              <w:rPr>
                <w:i/>
              </w:rPr>
              <w:t>mployment–to–population ratio</w:t>
            </w:r>
            <w:r w:rsidR="000C3733" w:rsidRPr="007162F2">
              <w:t xml:space="preserve"> defined as the number of pe</w:t>
            </w:r>
            <w:r w:rsidR="006D00EA" w:rsidRPr="007162F2">
              <w:t>ople</w:t>
            </w:r>
            <w:r w:rsidR="000C3733" w:rsidRPr="007162F2">
              <w:t xml:space="preserve"> with disability aged 15–64 years who are employed divided by the number of pe</w:t>
            </w:r>
            <w:r w:rsidR="006D00EA" w:rsidRPr="007162F2">
              <w:t>ople</w:t>
            </w:r>
            <w:r w:rsidR="000C3733" w:rsidRPr="007162F2">
              <w:t xml:space="preserve"> with disability aged 15–64 years</w:t>
            </w:r>
          </w:p>
          <w:p w14:paraId="0C3C1F71" w14:textId="7E25C01A" w:rsidR="000C3733" w:rsidRPr="007162F2" w:rsidRDefault="00A96A18" w:rsidP="000C3733">
            <w:pPr>
              <w:pStyle w:val="BoxListBullet"/>
            </w:pPr>
            <w:r>
              <w:rPr>
                <w:i/>
              </w:rPr>
              <w:t>U</w:t>
            </w:r>
            <w:r w:rsidR="000C3733" w:rsidRPr="007162F2">
              <w:rPr>
                <w:i/>
              </w:rPr>
              <w:t>nemployment rate</w:t>
            </w:r>
            <w:r w:rsidR="000C3733" w:rsidRPr="007162F2">
              <w:t xml:space="preserve"> defined as the number of pe</w:t>
            </w:r>
            <w:r w:rsidR="006D00EA" w:rsidRPr="007162F2">
              <w:t>ople</w:t>
            </w:r>
            <w:r w:rsidR="000C3733" w:rsidRPr="007162F2">
              <w:t xml:space="preserve"> with disability aged 15–64 years who are unemployed divided by the number of pe</w:t>
            </w:r>
            <w:r w:rsidR="006D00EA" w:rsidRPr="007162F2">
              <w:t>ople</w:t>
            </w:r>
            <w:r w:rsidR="000C3733" w:rsidRPr="007162F2">
              <w:t xml:space="preserve"> with disability aged 15–64 years who are in the labour</w:t>
            </w:r>
            <w:r w:rsidR="005A2F79">
              <w:t xml:space="preserve"> force (employed or unemployed).</w:t>
            </w:r>
          </w:p>
          <w:p w14:paraId="798EE693" w14:textId="77777777" w:rsidR="000C3733" w:rsidRPr="007162F2" w:rsidRDefault="000C3733" w:rsidP="009F5938">
            <w:pPr>
              <w:pStyle w:val="Box"/>
            </w:pPr>
            <w:r w:rsidRPr="007162F2">
              <w:t>High or increasing labour force participation and employment rates and low or decreasing unemployment rates for people with disability are desirable.</w:t>
            </w:r>
          </w:p>
          <w:p w14:paraId="7A307BE7" w14:textId="325539BF" w:rsidR="000C3733" w:rsidRPr="007162F2" w:rsidRDefault="000C3733" w:rsidP="000C3733">
            <w:pPr>
              <w:pStyle w:val="Box"/>
            </w:pPr>
            <w:r w:rsidRPr="00342AFB">
              <w:t xml:space="preserve">This indicator does not </w:t>
            </w:r>
            <w:r w:rsidR="00B56E98" w:rsidRPr="00342AFB">
              <w:t>specify</w:t>
            </w:r>
            <w:r w:rsidRPr="00342AFB">
              <w:t xml:space="preserve"> whether the employment positions are appropriate or fulfilling. </w:t>
            </w:r>
            <w:r w:rsidR="00B56E98" w:rsidRPr="00342AFB">
              <w:t xml:space="preserve">Data </w:t>
            </w:r>
            <w:r w:rsidRPr="00342AFB">
              <w:t>on underem</w:t>
            </w:r>
            <w:r w:rsidR="00B77ACE" w:rsidRPr="00342AFB">
              <w:t xml:space="preserve">ployment </w:t>
            </w:r>
            <w:r w:rsidR="00BB2808" w:rsidRPr="00342AFB">
              <w:t>(see section</w:t>
            </w:r>
            <w:r w:rsidR="004514F4" w:rsidRPr="00342AFB">
              <w:t> </w:t>
            </w:r>
            <w:r w:rsidR="00BB2808" w:rsidRPr="00342AFB">
              <w:t>15.4 for definition)</w:t>
            </w:r>
            <w:r w:rsidR="00EF0CCF" w:rsidRPr="00342AFB">
              <w:t xml:space="preserve"> can be found in table 15A.72</w:t>
            </w:r>
            <w:r w:rsidR="00C47E5C" w:rsidRPr="00342AFB">
              <w:t>.</w:t>
            </w:r>
            <w:r w:rsidRPr="007162F2">
              <w:t xml:space="preserve"> </w:t>
            </w:r>
          </w:p>
          <w:p w14:paraId="310E3957" w14:textId="77777777" w:rsidR="000C3733" w:rsidRPr="007162F2" w:rsidRDefault="000C3733" w:rsidP="000C3733">
            <w:pPr>
              <w:pStyle w:val="Box"/>
            </w:pPr>
            <w:r w:rsidRPr="007162F2">
              <w:t>Data reported for these measures</w:t>
            </w:r>
            <w:r w:rsidRPr="007162F2">
              <w:rPr>
                <w:lang w:eastAsia="en-US"/>
              </w:rPr>
              <w:t xml:space="preserve"> are</w:t>
            </w:r>
            <w:r w:rsidRPr="007162F2">
              <w:t>:</w:t>
            </w:r>
          </w:p>
          <w:p w14:paraId="09BA9227" w14:textId="77777777" w:rsidR="000C3733" w:rsidRPr="007162F2" w:rsidRDefault="000C3733" w:rsidP="000C3733">
            <w:pPr>
              <w:pStyle w:val="BoxListBullet"/>
            </w:pPr>
            <w:r w:rsidRPr="007162F2">
              <w:rPr>
                <w:lang w:eastAsia="en-US"/>
              </w:rPr>
              <w:t xml:space="preserve">comparable across jurisdictions and over time </w:t>
            </w:r>
          </w:p>
          <w:p w14:paraId="5585A9F3" w14:textId="555ADEFE" w:rsidR="000C3733" w:rsidRPr="007162F2" w:rsidRDefault="000C3733" w:rsidP="00AA0BC3">
            <w:pPr>
              <w:pStyle w:val="BoxListBullet"/>
            </w:pPr>
            <w:r w:rsidRPr="007162F2">
              <w:rPr>
                <w:lang w:eastAsia="en-US"/>
              </w:rPr>
              <w:t>complete (subject to caveats) for the current reporting period.</w:t>
            </w:r>
            <w:r w:rsidR="00CA7A86">
              <w:rPr>
                <w:lang w:eastAsia="en-US"/>
              </w:rPr>
              <w:t xml:space="preserve"> </w:t>
            </w:r>
            <w:r w:rsidR="00CA7A86">
              <w:t>All required 20</w:t>
            </w:r>
            <w:r w:rsidR="00CA7A86" w:rsidRPr="007162F2">
              <w:t>15 data are available for all jurisdictions</w:t>
            </w:r>
            <w:r w:rsidR="00CA7A86">
              <w:t>.</w:t>
            </w:r>
          </w:p>
        </w:tc>
      </w:tr>
      <w:tr w:rsidR="000C3733" w:rsidRPr="007162F2" w14:paraId="6F79F6C5" w14:textId="77777777" w:rsidTr="000E2534">
        <w:tc>
          <w:tcPr>
            <w:tcW w:w="8789" w:type="dxa"/>
            <w:tcBorders>
              <w:top w:val="nil"/>
              <w:left w:val="nil"/>
              <w:bottom w:val="single" w:sz="6" w:space="0" w:color="78A22F"/>
              <w:right w:val="nil"/>
            </w:tcBorders>
            <w:shd w:val="clear" w:color="auto" w:fill="F2F2F2"/>
          </w:tcPr>
          <w:p w14:paraId="36D6F4CC" w14:textId="77777777" w:rsidR="000C3733" w:rsidRPr="007162F2" w:rsidRDefault="000C3733">
            <w:pPr>
              <w:pStyle w:val="Box"/>
              <w:spacing w:before="0" w:line="120" w:lineRule="exact"/>
            </w:pPr>
          </w:p>
        </w:tc>
      </w:tr>
      <w:tr w:rsidR="000C3733" w:rsidRPr="007162F2" w14:paraId="63537E8D" w14:textId="77777777" w:rsidTr="000E2534">
        <w:tc>
          <w:tcPr>
            <w:tcW w:w="8789" w:type="dxa"/>
            <w:tcBorders>
              <w:top w:val="single" w:sz="6" w:space="0" w:color="78A22F"/>
              <w:left w:val="nil"/>
              <w:bottom w:val="nil"/>
              <w:right w:val="nil"/>
            </w:tcBorders>
          </w:tcPr>
          <w:p w14:paraId="34FCDA67" w14:textId="74620746" w:rsidR="000C3733" w:rsidRPr="007162F2" w:rsidRDefault="000C3733" w:rsidP="009F5938">
            <w:pPr>
              <w:pStyle w:val="BoxSpaceBelow"/>
            </w:pPr>
          </w:p>
        </w:tc>
      </w:tr>
    </w:tbl>
    <w:p w14:paraId="152ADEF6" w14:textId="16157847" w:rsidR="000C3733" w:rsidRPr="00EE24D3" w:rsidRDefault="00844F49" w:rsidP="00EE24D3">
      <w:pPr>
        <w:pStyle w:val="BodyText"/>
        <w:tabs>
          <w:tab w:val="left" w:pos="6946"/>
        </w:tabs>
        <w:rPr>
          <w:szCs w:val="26"/>
        </w:rPr>
      </w:pPr>
      <w:r>
        <w:rPr>
          <w:szCs w:val="26"/>
        </w:rPr>
        <w:t>F</w:t>
      </w:r>
      <w:r w:rsidR="00B90A93" w:rsidRPr="007162F2">
        <w:rPr>
          <w:szCs w:val="26"/>
        </w:rPr>
        <w:t>or people aged 15–64 years</w:t>
      </w:r>
      <w:r w:rsidR="00F92DB9">
        <w:rPr>
          <w:szCs w:val="26"/>
        </w:rPr>
        <w:t xml:space="preserve"> </w:t>
      </w:r>
      <w:r w:rsidRPr="00EE24D3">
        <w:rPr>
          <w:szCs w:val="26"/>
        </w:rPr>
        <w:t xml:space="preserve">with a profound or severe core activity limitation, </w:t>
      </w:r>
      <w:r w:rsidR="00B90A93" w:rsidRPr="00EE24D3">
        <w:rPr>
          <w:szCs w:val="26"/>
        </w:rPr>
        <w:t xml:space="preserve">the </w:t>
      </w:r>
      <w:r w:rsidR="000C3733" w:rsidRPr="00EE24D3">
        <w:rPr>
          <w:szCs w:val="26"/>
        </w:rPr>
        <w:t xml:space="preserve">labour force participation rate </w:t>
      </w:r>
      <w:r w:rsidR="005D0E89" w:rsidRPr="00EE24D3">
        <w:rPr>
          <w:szCs w:val="26"/>
        </w:rPr>
        <w:t>and the employment</w:t>
      </w:r>
      <w:r w:rsidR="004514F4">
        <w:rPr>
          <w:szCs w:val="26"/>
        </w:rPr>
        <w:noBreakHyphen/>
      </w:r>
      <w:r w:rsidR="005D0E89" w:rsidRPr="00EE24D3">
        <w:rPr>
          <w:szCs w:val="26"/>
        </w:rPr>
        <w:t>to</w:t>
      </w:r>
      <w:r w:rsidR="004514F4">
        <w:rPr>
          <w:szCs w:val="26"/>
        </w:rPr>
        <w:noBreakHyphen/>
      </w:r>
      <w:r w:rsidR="005D0E89" w:rsidRPr="00EE24D3">
        <w:rPr>
          <w:szCs w:val="26"/>
        </w:rPr>
        <w:t xml:space="preserve">population ratio </w:t>
      </w:r>
      <w:r w:rsidR="00F92DB9" w:rsidRPr="00EE24D3">
        <w:rPr>
          <w:szCs w:val="26"/>
        </w:rPr>
        <w:t xml:space="preserve">decreased </w:t>
      </w:r>
      <w:r w:rsidRPr="00EE24D3">
        <w:rPr>
          <w:szCs w:val="26"/>
        </w:rPr>
        <w:t>from</w:t>
      </w:r>
      <w:r w:rsidR="00F92DB9" w:rsidRPr="00EE24D3">
        <w:rPr>
          <w:szCs w:val="26"/>
        </w:rPr>
        <w:t xml:space="preserve"> 2009</w:t>
      </w:r>
      <w:r w:rsidR="004C5E2D" w:rsidRPr="00EE24D3">
        <w:rPr>
          <w:szCs w:val="26"/>
        </w:rPr>
        <w:t xml:space="preserve"> (</w:t>
      </w:r>
      <w:r w:rsidR="00EB4354" w:rsidRPr="00EE24D3">
        <w:rPr>
          <w:szCs w:val="26"/>
        </w:rPr>
        <w:t>31.3</w:t>
      </w:r>
      <w:r w:rsidR="004C5E2D" w:rsidRPr="00EE24D3">
        <w:rPr>
          <w:szCs w:val="26"/>
        </w:rPr>
        <w:t> per cent</w:t>
      </w:r>
      <w:r w:rsidR="00EB4354" w:rsidRPr="00EE24D3">
        <w:rPr>
          <w:szCs w:val="26"/>
        </w:rPr>
        <w:t xml:space="preserve"> and 28.0 per cent respectively</w:t>
      </w:r>
      <w:r w:rsidR="004C5E2D" w:rsidRPr="00EE24D3">
        <w:rPr>
          <w:szCs w:val="26"/>
        </w:rPr>
        <w:t>)</w:t>
      </w:r>
      <w:r w:rsidRPr="00EE24D3">
        <w:rPr>
          <w:szCs w:val="26"/>
        </w:rPr>
        <w:t xml:space="preserve"> to </w:t>
      </w:r>
      <w:r w:rsidR="00F92DB9" w:rsidRPr="00EE24D3">
        <w:rPr>
          <w:szCs w:val="26"/>
        </w:rPr>
        <w:t>2015</w:t>
      </w:r>
      <w:r w:rsidR="000C3733" w:rsidRPr="00EE24D3">
        <w:rPr>
          <w:szCs w:val="26"/>
        </w:rPr>
        <w:t xml:space="preserve"> </w:t>
      </w:r>
      <w:r w:rsidR="004C5E2D" w:rsidRPr="00EE24D3">
        <w:rPr>
          <w:szCs w:val="26"/>
        </w:rPr>
        <w:t>(</w:t>
      </w:r>
      <w:r w:rsidR="00EB4354" w:rsidRPr="00EE24D3">
        <w:rPr>
          <w:szCs w:val="26"/>
        </w:rPr>
        <w:t>25.0</w:t>
      </w:r>
      <w:r w:rsidR="004C5E2D" w:rsidRPr="00EE24D3">
        <w:rPr>
          <w:szCs w:val="26"/>
        </w:rPr>
        <w:t> per cent</w:t>
      </w:r>
      <w:r w:rsidR="00EB4354" w:rsidRPr="00EE24D3">
        <w:rPr>
          <w:szCs w:val="26"/>
        </w:rPr>
        <w:t xml:space="preserve"> </w:t>
      </w:r>
      <w:r w:rsidR="00FB669E" w:rsidRPr="00EE24D3">
        <w:rPr>
          <w:szCs w:val="26"/>
        </w:rPr>
        <w:t xml:space="preserve">and </w:t>
      </w:r>
      <w:r w:rsidR="00EB4354" w:rsidRPr="00EE24D3">
        <w:rPr>
          <w:szCs w:val="26"/>
        </w:rPr>
        <w:t>21.6 per cent respectively</w:t>
      </w:r>
      <w:r w:rsidR="004C5E2D" w:rsidRPr="00EE24D3">
        <w:rPr>
          <w:szCs w:val="26"/>
        </w:rPr>
        <w:t>)</w:t>
      </w:r>
      <w:r w:rsidR="00E8697B" w:rsidRPr="00EE24D3">
        <w:rPr>
          <w:szCs w:val="26"/>
        </w:rPr>
        <w:t xml:space="preserve"> — </w:t>
      </w:r>
      <w:r w:rsidRPr="00EE24D3">
        <w:rPr>
          <w:szCs w:val="26"/>
        </w:rPr>
        <w:t>both by around 6 percentage points</w:t>
      </w:r>
      <w:r w:rsidR="004C5E2D" w:rsidRPr="00EE24D3">
        <w:rPr>
          <w:szCs w:val="26"/>
        </w:rPr>
        <w:t xml:space="preserve"> </w:t>
      </w:r>
      <w:r w:rsidR="000C3733" w:rsidRPr="00EE24D3">
        <w:rPr>
          <w:szCs w:val="26"/>
        </w:rPr>
        <w:t>(figure </w:t>
      </w:r>
      <w:bookmarkStart w:id="26" w:name="OLE_LINK37"/>
      <w:r w:rsidR="000D4BBE" w:rsidRPr="00EE24D3">
        <w:rPr>
          <w:szCs w:val="26"/>
        </w:rPr>
        <w:t>15.1</w:t>
      </w:r>
      <w:bookmarkEnd w:id="26"/>
      <w:r w:rsidR="00B80E42">
        <w:rPr>
          <w:szCs w:val="26"/>
        </w:rPr>
        <w:t>7</w:t>
      </w:r>
      <w:r w:rsidR="000C3733" w:rsidRPr="00EE24D3">
        <w:rPr>
          <w:szCs w:val="26"/>
        </w:rPr>
        <w:t>)</w:t>
      </w:r>
      <w:r w:rsidR="00F92DB9" w:rsidRPr="00EE24D3">
        <w:rPr>
          <w:szCs w:val="26"/>
        </w:rPr>
        <w:t xml:space="preserve">. </w:t>
      </w:r>
    </w:p>
    <w:p w14:paraId="28B840E3" w14:textId="14012D58" w:rsidR="000C3733" w:rsidRPr="00EE24D3" w:rsidRDefault="005D0E89" w:rsidP="00EE24D3">
      <w:pPr>
        <w:pStyle w:val="BodyText"/>
        <w:tabs>
          <w:tab w:val="left" w:pos="6946"/>
        </w:tabs>
        <w:rPr>
          <w:szCs w:val="26"/>
        </w:rPr>
      </w:pPr>
      <w:r>
        <w:rPr>
          <w:szCs w:val="26"/>
        </w:rPr>
        <w:t>T</w:t>
      </w:r>
      <w:r w:rsidR="00B90A93" w:rsidRPr="005D0E89">
        <w:rPr>
          <w:szCs w:val="26"/>
        </w:rPr>
        <w:t>he</w:t>
      </w:r>
      <w:r w:rsidR="00B90A93" w:rsidRPr="00EE24D3">
        <w:rPr>
          <w:szCs w:val="26"/>
        </w:rPr>
        <w:t xml:space="preserve"> </w:t>
      </w:r>
      <w:r w:rsidR="000C3733" w:rsidRPr="00EE24D3">
        <w:rPr>
          <w:szCs w:val="26"/>
        </w:rPr>
        <w:t xml:space="preserve">unemployment rate of </w:t>
      </w:r>
      <w:r w:rsidR="006D00EA" w:rsidRPr="00EE24D3">
        <w:rPr>
          <w:szCs w:val="26"/>
        </w:rPr>
        <w:t>those</w:t>
      </w:r>
      <w:r w:rsidR="000C3733" w:rsidRPr="00EE24D3">
        <w:rPr>
          <w:szCs w:val="26"/>
        </w:rPr>
        <w:t xml:space="preserve"> with a profound or severe core activity limitation</w:t>
      </w:r>
      <w:r w:rsidR="00160161">
        <w:rPr>
          <w:szCs w:val="26"/>
        </w:rPr>
        <w:t xml:space="preserve"> was 13.7 </w:t>
      </w:r>
      <w:r w:rsidR="00844F49" w:rsidRPr="00EE24D3">
        <w:rPr>
          <w:szCs w:val="26"/>
        </w:rPr>
        <w:t>per cent in 2015</w:t>
      </w:r>
      <w:r w:rsidR="00ED05B0" w:rsidRPr="00EE24D3">
        <w:rPr>
          <w:szCs w:val="26"/>
        </w:rPr>
        <w:t xml:space="preserve">; </w:t>
      </w:r>
      <w:r w:rsidR="00844F49" w:rsidRPr="00EE24D3">
        <w:rPr>
          <w:szCs w:val="26"/>
        </w:rPr>
        <w:t xml:space="preserve">not significantly different from </w:t>
      </w:r>
      <w:r w:rsidR="00CB7378" w:rsidRPr="00EE24D3">
        <w:rPr>
          <w:szCs w:val="26"/>
        </w:rPr>
        <w:t xml:space="preserve">2009 </w:t>
      </w:r>
      <w:r w:rsidR="00EB4354" w:rsidRPr="00EE24D3">
        <w:rPr>
          <w:szCs w:val="26"/>
        </w:rPr>
        <w:t>(10.6</w:t>
      </w:r>
      <w:r w:rsidR="004C5E2D" w:rsidRPr="00EE24D3">
        <w:rPr>
          <w:szCs w:val="26"/>
        </w:rPr>
        <w:t xml:space="preserve"> per cent) </w:t>
      </w:r>
      <w:r w:rsidR="00CB7378" w:rsidRPr="00EE24D3">
        <w:rPr>
          <w:szCs w:val="26"/>
        </w:rPr>
        <w:t>and 2012</w:t>
      </w:r>
      <w:r w:rsidR="004C5E2D" w:rsidRPr="00EE24D3">
        <w:rPr>
          <w:szCs w:val="26"/>
        </w:rPr>
        <w:t xml:space="preserve"> (</w:t>
      </w:r>
      <w:r w:rsidR="00EB4354" w:rsidRPr="00EE24D3">
        <w:rPr>
          <w:szCs w:val="26"/>
        </w:rPr>
        <w:t>10.3</w:t>
      </w:r>
      <w:r w:rsidR="004C5E2D" w:rsidRPr="00EE24D3">
        <w:rPr>
          <w:szCs w:val="26"/>
        </w:rPr>
        <w:t> per cent</w:t>
      </w:r>
      <w:r w:rsidR="00844F49" w:rsidRPr="00EE24D3">
        <w:rPr>
          <w:szCs w:val="26"/>
        </w:rPr>
        <w:t>)</w:t>
      </w:r>
      <w:r w:rsidR="004C5E2D" w:rsidRPr="00EE24D3">
        <w:rPr>
          <w:szCs w:val="26"/>
        </w:rPr>
        <w:t xml:space="preserve"> </w:t>
      </w:r>
      <w:r w:rsidR="000C3733" w:rsidRPr="00EE24D3">
        <w:rPr>
          <w:szCs w:val="26"/>
        </w:rPr>
        <w:t>(</w:t>
      </w:r>
      <w:r w:rsidR="004514F4">
        <w:rPr>
          <w:szCs w:val="26"/>
        </w:rPr>
        <w:t>t</w:t>
      </w:r>
      <w:r w:rsidR="000D6FA9" w:rsidRPr="00EE24D3">
        <w:rPr>
          <w:szCs w:val="26"/>
        </w:rPr>
        <w:t>able 15A.75</w:t>
      </w:r>
      <w:r w:rsidR="00074B5A" w:rsidRPr="00EE24D3">
        <w:rPr>
          <w:szCs w:val="26"/>
        </w:rPr>
        <w:t>)</w:t>
      </w:r>
      <w:r w:rsidR="000C3733" w:rsidRPr="00EE24D3">
        <w:rPr>
          <w:szCs w:val="26"/>
        </w:rPr>
        <w:t>.</w:t>
      </w:r>
    </w:p>
    <w:p w14:paraId="3F9DFCD0" w14:textId="3C9681F9" w:rsidR="000C3733" w:rsidRPr="007162F2" w:rsidRDefault="000C3733" w:rsidP="009F5938">
      <w:pPr>
        <w:pStyle w:val="BoxSpaceAbove"/>
      </w:pPr>
      <w:bookmarkStart w:id="27" w:name="_GoBack"/>
      <w:bookmarkEnd w:id="27"/>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C3733" w:rsidRPr="007162F2" w14:paraId="1A9908FE" w14:textId="77777777" w:rsidTr="000E2534">
        <w:trPr>
          <w:tblHeader/>
        </w:trPr>
        <w:tc>
          <w:tcPr>
            <w:tcW w:w="8789" w:type="dxa"/>
            <w:tcBorders>
              <w:top w:val="single" w:sz="6" w:space="0" w:color="78A22F"/>
              <w:left w:val="nil"/>
              <w:bottom w:val="nil"/>
              <w:right w:val="nil"/>
            </w:tcBorders>
            <w:shd w:val="clear" w:color="auto" w:fill="auto"/>
          </w:tcPr>
          <w:p w14:paraId="2AF881D1" w14:textId="15C75D67" w:rsidR="000C3733" w:rsidRPr="007162F2" w:rsidRDefault="000C3733" w:rsidP="00842EE3">
            <w:pPr>
              <w:pStyle w:val="FigureTitle"/>
            </w:pPr>
            <w:r w:rsidRPr="007162F2">
              <w:rPr>
                <w:b w:val="0"/>
              </w:rPr>
              <w:t>Figure</w:t>
            </w:r>
            <w:bookmarkStart w:id="28" w:name="OLE_LINK35"/>
            <w:r w:rsidRPr="007162F2">
              <w:rPr>
                <w:b w:val="0"/>
              </w:rPr>
              <w:t xml:space="preserve"> </w:t>
            </w:r>
            <w:bookmarkStart w:id="29" w:name="OLE_LINK31"/>
            <w:r w:rsidRPr="007162F2">
              <w:rPr>
                <w:b w:val="0"/>
              </w:rPr>
              <w:t>15.</w:t>
            </w:r>
            <w:r w:rsidR="00C37B05">
              <w:rPr>
                <w:b w:val="0"/>
                <w:noProof/>
              </w:rPr>
              <w:t>1</w:t>
            </w:r>
            <w:bookmarkEnd w:id="28"/>
            <w:bookmarkEnd w:id="29"/>
            <w:r w:rsidR="00B80E42">
              <w:rPr>
                <w:b w:val="0"/>
                <w:noProof/>
              </w:rPr>
              <w:t>7</w:t>
            </w:r>
            <w:r w:rsidRPr="007162F2">
              <w:tab/>
            </w:r>
            <w:r w:rsidR="00126DC6" w:rsidRPr="00EE24D3">
              <w:t xml:space="preserve">Labour force participation and employment of people with </w:t>
            </w:r>
            <w:r w:rsidR="00842EE3" w:rsidRPr="00EE24D3">
              <w:t xml:space="preserve">a profound or severe </w:t>
            </w:r>
            <w:r w:rsidR="00126DC6" w:rsidRPr="00EE24D3">
              <w:t>disability</w:t>
            </w:r>
            <w:r w:rsidR="00842EE3" w:rsidRPr="00EE24D3">
              <w:t>, by State/Territory</w:t>
            </w:r>
            <w:r w:rsidR="00842EE3" w:rsidRPr="00EE24D3">
              <w:rPr>
                <w:rStyle w:val="NoteLabel"/>
                <w:b/>
              </w:rPr>
              <w:t>a</w:t>
            </w:r>
            <w:r w:rsidR="00842EE3" w:rsidRPr="00022142">
              <w:rPr>
                <w:rStyle w:val="NoteLabel"/>
                <w:b/>
                <w:shd w:val="clear" w:color="auto" w:fill="BFBFBF" w:themeFill="background1" w:themeFillShade="BF"/>
              </w:rPr>
              <w:t xml:space="preserve"> </w:t>
            </w:r>
          </w:p>
        </w:tc>
      </w:tr>
      <w:tr w:rsidR="000C3733" w:rsidRPr="007162F2" w14:paraId="582DD8D2" w14:textId="77777777" w:rsidTr="000E2534">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0C3733" w:rsidRPr="007162F2" w14:paraId="5C84606F" w14:textId="77777777" w:rsidTr="00523333">
              <w:trPr>
                <w:tblHeader/>
                <w:jc w:val="center"/>
              </w:trPr>
              <w:tc>
                <w:tcPr>
                  <w:tcW w:w="8504" w:type="dxa"/>
                  <w:tcBorders>
                    <w:top w:val="nil"/>
                    <w:bottom w:val="nil"/>
                  </w:tcBorders>
                </w:tcPr>
                <w:p w14:paraId="7BFAB87C" w14:textId="1E4F02C1" w:rsidR="00B90A93" w:rsidRPr="007162F2" w:rsidRDefault="00523333" w:rsidP="00126DC6">
                  <w:pPr>
                    <w:pStyle w:val="Figure"/>
                  </w:pPr>
                  <w:r>
                    <w:rPr>
                      <w:noProof/>
                    </w:rPr>
                    <w:drawing>
                      <wp:inline distT="0" distB="0" distL="0" distR="0" wp14:anchorId="2B4255DF" wp14:editId="11558B13">
                        <wp:extent cx="5396865" cy="2551430"/>
                        <wp:effectExtent l="0" t="0" r="0" b="1270"/>
                        <wp:docPr id="4" name="Chart 4" descr="Labour force participation rate for people with a profound or severe disability aged 15-64 years&#10;&#10;More details can be found within the text surrounding this image. " title="Figure 15.17 Labour force participation and employment of people with a profound or severe disability, by State/Terr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69406C">
                    <w:rPr>
                      <w:noProof/>
                    </w:rPr>
                    <w:drawing>
                      <wp:inline distT="0" distB="0" distL="0" distR="0" wp14:anchorId="3BB591F0" wp14:editId="398BF651">
                        <wp:extent cx="5215890" cy="2418080"/>
                        <wp:effectExtent l="0" t="0" r="3810" b="1270"/>
                        <wp:docPr id="32" name="Picture 32" descr="Employment-to-population ratio for people with a profound or severe disability aged 15-64 years&#10;&#10;More details can be found within the text surrounding this image. " title="Figure 15.17 Labour force participation and employment of people with a profound or severe disability, by State/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15890" cy="2418080"/>
                                </a:xfrm>
                                <a:prstGeom prst="rect">
                                  <a:avLst/>
                                </a:prstGeom>
                                <a:noFill/>
                                <a:ln>
                                  <a:noFill/>
                                </a:ln>
                              </pic:spPr>
                            </pic:pic>
                          </a:graphicData>
                        </a:graphic>
                      </wp:inline>
                    </w:drawing>
                  </w:r>
                </w:p>
              </w:tc>
            </w:tr>
          </w:tbl>
          <w:p w14:paraId="5D747809" w14:textId="77777777" w:rsidR="000C3733" w:rsidRPr="007162F2" w:rsidRDefault="000C3733" w:rsidP="009F5938">
            <w:pPr>
              <w:pStyle w:val="Figure"/>
            </w:pPr>
          </w:p>
        </w:tc>
      </w:tr>
      <w:tr w:rsidR="000C3733" w:rsidRPr="007162F2" w14:paraId="4AF663D9" w14:textId="77777777" w:rsidTr="000E2534">
        <w:tc>
          <w:tcPr>
            <w:tcW w:w="8789" w:type="dxa"/>
            <w:tcBorders>
              <w:top w:val="nil"/>
              <w:left w:val="nil"/>
              <w:bottom w:val="nil"/>
              <w:right w:val="nil"/>
            </w:tcBorders>
            <w:shd w:val="clear" w:color="auto" w:fill="auto"/>
          </w:tcPr>
          <w:p w14:paraId="71E3CB2D" w14:textId="2D23DDB3" w:rsidR="000C3733" w:rsidRPr="007162F2" w:rsidRDefault="000C3733" w:rsidP="001A7EBC">
            <w:pPr>
              <w:pStyle w:val="Note"/>
            </w:pPr>
            <w:r w:rsidRPr="007162F2">
              <w:rPr>
                <w:rStyle w:val="NoteLabel"/>
              </w:rPr>
              <w:t>a</w:t>
            </w:r>
            <w:r w:rsidRPr="007162F2">
              <w:t xml:space="preserve"> See box </w:t>
            </w:r>
            <w:r w:rsidR="007537AA">
              <w:t>15.9</w:t>
            </w:r>
            <w:r w:rsidRPr="007162F2">
              <w:t xml:space="preserve"> and </w:t>
            </w:r>
            <w:r w:rsidR="00171823" w:rsidRPr="007162F2">
              <w:t>tabl</w:t>
            </w:r>
            <w:r w:rsidR="001A7EBC">
              <w:t>e</w:t>
            </w:r>
            <w:r w:rsidR="004514F4">
              <w:t> </w:t>
            </w:r>
            <w:r w:rsidR="00171823" w:rsidRPr="007162F2">
              <w:t>1</w:t>
            </w:r>
            <w:r w:rsidR="00C47E5C" w:rsidRPr="007162F2">
              <w:t>5</w:t>
            </w:r>
            <w:r w:rsidR="00171823" w:rsidRPr="007162F2">
              <w:t>A.</w:t>
            </w:r>
            <w:r w:rsidR="001A7EBC">
              <w:t>73</w:t>
            </w:r>
            <w:r w:rsidR="00171823" w:rsidRPr="007162F2">
              <w:t xml:space="preserve"> </w:t>
            </w:r>
            <w:r w:rsidRPr="007162F2">
              <w:t>for detailed definitions, footnotes and caveats.</w:t>
            </w:r>
          </w:p>
        </w:tc>
      </w:tr>
      <w:tr w:rsidR="000C3733" w:rsidRPr="007162F2" w14:paraId="58E95915" w14:textId="77777777" w:rsidTr="000E2534">
        <w:tc>
          <w:tcPr>
            <w:tcW w:w="8789" w:type="dxa"/>
            <w:tcBorders>
              <w:top w:val="nil"/>
              <w:left w:val="nil"/>
              <w:bottom w:val="nil"/>
              <w:right w:val="nil"/>
            </w:tcBorders>
            <w:shd w:val="clear" w:color="auto" w:fill="auto"/>
          </w:tcPr>
          <w:p w14:paraId="69616840" w14:textId="13364AFC" w:rsidR="000C3733" w:rsidRPr="007162F2" w:rsidRDefault="000C3733" w:rsidP="001A7EBC">
            <w:pPr>
              <w:pStyle w:val="Source"/>
            </w:pPr>
            <w:r w:rsidRPr="007162F2">
              <w:rPr>
                <w:i/>
              </w:rPr>
              <w:t>Source</w:t>
            </w:r>
            <w:r w:rsidRPr="007162F2">
              <w:t xml:space="preserve">: ABS (unpublished) SDAC; </w:t>
            </w:r>
            <w:r w:rsidR="007B548F">
              <w:t xml:space="preserve">table </w:t>
            </w:r>
            <w:r w:rsidR="00C47E5C" w:rsidRPr="007162F2">
              <w:t>15</w:t>
            </w:r>
            <w:r w:rsidR="00171823" w:rsidRPr="007162F2">
              <w:t>A.</w:t>
            </w:r>
            <w:r w:rsidR="001A7EBC">
              <w:t>73</w:t>
            </w:r>
            <w:r w:rsidR="00505204" w:rsidRPr="007162F2">
              <w:t>–</w:t>
            </w:r>
            <w:r w:rsidR="00505204">
              <w:t>74</w:t>
            </w:r>
            <w:r w:rsidR="00C47E5C" w:rsidRPr="007162F2">
              <w:t>.</w:t>
            </w:r>
          </w:p>
        </w:tc>
      </w:tr>
      <w:tr w:rsidR="000C3733" w:rsidRPr="007162F2" w14:paraId="4EB3FA3F" w14:textId="77777777" w:rsidTr="000E2534">
        <w:tc>
          <w:tcPr>
            <w:tcW w:w="8789" w:type="dxa"/>
            <w:tcBorders>
              <w:top w:val="nil"/>
              <w:left w:val="nil"/>
              <w:bottom w:val="single" w:sz="6" w:space="0" w:color="78A22F"/>
              <w:right w:val="nil"/>
            </w:tcBorders>
            <w:shd w:val="clear" w:color="auto" w:fill="auto"/>
          </w:tcPr>
          <w:p w14:paraId="0B0B61CF" w14:textId="77777777" w:rsidR="000C3733" w:rsidRPr="007162F2" w:rsidRDefault="000C3733" w:rsidP="009F5938">
            <w:pPr>
              <w:pStyle w:val="Figurespace"/>
            </w:pPr>
          </w:p>
        </w:tc>
      </w:tr>
      <w:tr w:rsidR="000C3733" w:rsidRPr="007162F2" w14:paraId="715B6609" w14:textId="77777777" w:rsidTr="000E2534">
        <w:tc>
          <w:tcPr>
            <w:tcW w:w="8789" w:type="dxa"/>
            <w:tcBorders>
              <w:top w:val="single" w:sz="6" w:space="0" w:color="78A22F"/>
              <w:left w:val="nil"/>
              <w:bottom w:val="nil"/>
              <w:right w:val="nil"/>
            </w:tcBorders>
          </w:tcPr>
          <w:p w14:paraId="699417A1" w14:textId="683E61F2" w:rsidR="000C3733" w:rsidRPr="007162F2" w:rsidRDefault="000C3733" w:rsidP="009F5938">
            <w:pPr>
              <w:pStyle w:val="BoxSpaceBelow"/>
            </w:pPr>
          </w:p>
        </w:tc>
      </w:tr>
    </w:tbl>
    <w:p w14:paraId="5A664C59" w14:textId="77777777" w:rsidR="00B77ACE" w:rsidRPr="007162F2" w:rsidRDefault="00B77ACE" w:rsidP="00B77ACE">
      <w:pPr>
        <w:pStyle w:val="BodyText"/>
        <w:tabs>
          <w:tab w:val="left" w:pos="6946"/>
        </w:tabs>
      </w:pPr>
      <w:r w:rsidRPr="007162F2">
        <w:t xml:space="preserve">Data by remoteness area and country of birth are available </w:t>
      </w:r>
      <w:r w:rsidR="00C47E5C" w:rsidRPr="007162F2">
        <w:t>in tables </w:t>
      </w:r>
      <w:r w:rsidRPr="007162F2">
        <w:t>1</w:t>
      </w:r>
      <w:r w:rsidR="005A2273" w:rsidRPr="007162F2">
        <w:t>5</w:t>
      </w:r>
      <w:r w:rsidRPr="007162F2">
        <w:t>A</w:t>
      </w:r>
      <w:r w:rsidR="00C47E5C" w:rsidRPr="007162F2">
        <w:t>.76</w:t>
      </w:r>
      <w:r w:rsidRPr="007162F2">
        <w:t>–</w:t>
      </w:r>
      <w:r w:rsidR="00C47E5C" w:rsidRPr="007162F2">
        <w:t>79</w:t>
      </w:r>
      <w:r w:rsidRPr="007162F2">
        <w:t>.</w:t>
      </w:r>
    </w:p>
    <w:p w14:paraId="218BCD86" w14:textId="77777777" w:rsidR="00E435C0" w:rsidRPr="007162F2" w:rsidRDefault="00E435C0" w:rsidP="00E435C0">
      <w:pPr>
        <w:pStyle w:val="Heading4"/>
      </w:pPr>
      <w:r w:rsidRPr="007162F2">
        <w:t xml:space="preserve">Labour force participation of primary carers of people with disability </w:t>
      </w:r>
    </w:p>
    <w:p w14:paraId="0B584355" w14:textId="39405A28" w:rsidR="00E435C0" w:rsidRPr="007162F2" w:rsidRDefault="00E435C0" w:rsidP="00E435C0">
      <w:pPr>
        <w:pStyle w:val="BodyText"/>
        <w:rPr>
          <w:szCs w:val="26"/>
        </w:rPr>
      </w:pPr>
      <w:r w:rsidRPr="007162F2">
        <w:rPr>
          <w:szCs w:val="26"/>
        </w:rPr>
        <w:t xml:space="preserve">‘Labour force participation of primary carers of people with disability’ is an indicator of governments’ objective to </w:t>
      </w:r>
      <w:r w:rsidRPr="007162F2">
        <w:t>help carers of people with disability achieve economic participation</w:t>
      </w:r>
      <w:r w:rsidRPr="007162F2" w:rsidDel="00717AED">
        <w:rPr>
          <w:szCs w:val="26"/>
        </w:rPr>
        <w:t xml:space="preserve"> </w:t>
      </w:r>
      <w:r w:rsidRPr="007162F2">
        <w:t>(box </w:t>
      </w:r>
      <w:r w:rsidR="007537AA">
        <w:t>15.10</w:t>
      </w:r>
      <w:r w:rsidRPr="007162F2">
        <w:t>).</w:t>
      </w:r>
    </w:p>
    <w:p w14:paraId="541BC974" w14:textId="0CE36468" w:rsidR="00E435C0" w:rsidRPr="007162F2" w:rsidRDefault="00E435C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756AD742" w14:textId="77777777" w:rsidTr="000E2534">
        <w:tc>
          <w:tcPr>
            <w:tcW w:w="8789" w:type="dxa"/>
            <w:tcBorders>
              <w:top w:val="single" w:sz="6" w:space="0" w:color="78A22F"/>
              <w:left w:val="nil"/>
              <w:bottom w:val="nil"/>
              <w:right w:val="nil"/>
            </w:tcBorders>
            <w:shd w:val="clear" w:color="auto" w:fill="F2F2F2"/>
          </w:tcPr>
          <w:p w14:paraId="490C3C1C" w14:textId="0099EA7B" w:rsidR="00E435C0" w:rsidRPr="007162F2" w:rsidRDefault="00E435C0" w:rsidP="0052733D">
            <w:pPr>
              <w:pStyle w:val="BoxTitle"/>
            </w:pPr>
            <w:r w:rsidRPr="007162F2">
              <w:rPr>
                <w:b w:val="0"/>
              </w:rPr>
              <w:t xml:space="preserve">Box </w:t>
            </w:r>
            <w:r w:rsidR="007537AA">
              <w:rPr>
                <w:b w:val="0"/>
              </w:rPr>
              <w:t>15.</w:t>
            </w:r>
            <w:r w:rsidR="0052733D">
              <w:rPr>
                <w:b w:val="0"/>
              </w:rPr>
              <w:t>10</w:t>
            </w:r>
            <w:r w:rsidRPr="007162F2">
              <w:tab/>
              <w:t>Labour force participation of primary carers of people with disability</w:t>
            </w:r>
          </w:p>
        </w:tc>
      </w:tr>
      <w:tr w:rsidR="00E435C0" w:rsidRPr="007162F2" w14:paraId="47E34908" w14:textId="77777777" w:rsidTr="000E2534">
        <w:tc>
          <w:tcPr>
            <w:tcW w:w="8789" w:type="dxa"/>
            <w:tcBorders>
              <w:top w:val="nil"/>
              <w:left w:val="nil"/>
              <w:bottom w:val="nil"/>
              <w:right w:val="nil"/>
            </w:tcBorders>
            <w:shd w:val="clear" w:color="auto" w:fill="F2F2F2"/>
          </w:tcPr>
          <w:p w14:paraId="1ED0FE0F" w14:textId="77777777" w:rsidR="00E435C0" w:rsidRPr="007162F2" w:rsidRDefault="00E435C0" w:rsidP="00E435C0">
            <w:pPr>
              <w:pStyle w:val="Box"/>
            </w:pPr>
            <w:r w:rsidRPr="007162F2">
              <w:rPr>
                <w:szCs w:val="26"/>
              </w:rPr>
              <w:t>‘Labour force participation of primary carers of people with disability’ is defined by three measures:</w:t>
            </w:r>
          </w:p>
          <w:p w14:paraId="52AF3B52" w14:textId="0FA31CC7" w:rsidR="00E435C0" w:rsidRPr="007162F2" w:rsidRDefault="00A96A18" w:rsidP="00E435C0">
            <w:pPr>
              <w:pStyle w:val="BoxListBullet"/>
            </w:pPr>
            <w:r>
              <w:rPr>
                <w:i/>
              </w:rPr>
              <w:t>L</w:t>
            </w:r>
            <w:r w:rsidR="00E435C0" w:rsidRPr="007162F2">
              <w:rPr>
                <w:i/>
              </w:rPr>
              <w:t>abour force participation rate</w:t>
            </w:r>
            <w:r w:rsidR="00E435C0" w:rsidRPr="007162F2">
              <w:t xml:space="preserve"> defined as </w:t>
            </w:r>
            <w:r w:rsidR="00AA0BC3" w:rsidRPr="007162F2">
              <w:t xml:space="preserve">the </w:t>
            </w:r>
            <w:r w:rsidR="00E435C0" w:rsidRPr="007162F2">
              <w:t>number of primary carers of pe</w:t>
            </w:r>
            <w:r w:rsidR="00A84A37" w:rsidRPr="007162F2">
              <w:t>ople</w:t>
            </w:r>
            <w:r w:rsidR="00E435C0" w:rsidRPr="007162F2">
              <w:t xml:space="preserve"> with disability aged 15–64 years who are in the labour force (employed or unemployed) divided by the number of</w:t>
            </w:r>
            <w:r w:rsidR="00AA0BC3" w:rsidRPr="007162F2">
              <w:t xml:space="preserve"> primary carers of</w:t>
            </w:r>
            <w:r w:rsidR="00E435C0" w:rsidRPr="007162F2">
              <w:t xml:space="preserve"> pe</w:t>
            </w:r>
            <w:r w:rsidR="00A84A37" w:rsidRPr="007162F2">
              <w:t>ople</w:t>
            </w:r>
            <w:r w:rsidR="00E435C0" w:rsidRPr="007162F2">
              <w:t xml:space="preserve"> with disability aged 15–64 years</w:t>
            </w:r>
          </w:p>
          <w:p w14:paraId="2783A9A2" w14:textId="73A59FBC" w:rsidR="00E435C0" w:rsidRPr="007162F2" w:rsidRDefault="00A96A18" w:rsidP="00E435C0">
            <w:pPr>
              <w:pStyle w:val="BoxListBullet"/>
            </w:pPr>
            <w:r>
              <w:rPr>
                <w:i/>
              </w:rPr>
              <w:t>E</w:t>
            </w:r>
            <w:r w:rsidR="00E435C0" w:rsidRPr="007162F2">
              <w:rPr>
                <w:i/>
              </w:rPr>
              <w:t>mployment–to–population ratio</w:t>
            </w:r>
            <w:r w:rsidR="00E435C0" w:rsidRPr="007162F2">
              <w:t xml:space="preserve"> defined as the number </w:t>
            </w:r>
            <w:r w:rsidR="001C377B" w:rsidRPr="007162F2">
              <w:t>primary carers of people with disability aged 15–64 years</w:t>
            </w:r>
            <w:r w:rsidR="00E435C0" w:rsidRPr="007162F2">
              <w:t xml:space="preserve"> who are employed divided by the number of primary carers of pe</w:t>
            </w:r>
            <w:r w:rsidR="00A84A37" w:rsidRPr="007162F2">
              <w:t>ople</w:t>
            </w:r>
            <w:r w:rsidR="00E435C0" w:rsidRPr="007162F2">
              <w:t xml:space="preserve"> with disability aged 15–64 years</w:t>
            </w:r>
          </w:p>
          <w:p w14:paraId="010F7476" w14:textId="7E9655FE" w:rsidR="00E435C0" w:rsidRPr="007162F2" w:rsidRDefault="00A96A18" w:rsidP="00E435C0">
            <w:pPr>
              <w:pStyle w:val="BoxListBullet"/>
            </w:pPr>
            <w:r>
              <w:rPr>
                <w:i/>
              </w:rPr>
              <w:t>U</w:t>
            </w:r>
            <w:r w:rsidR="00E435C0" w:rsidRPr="007162F2">
              <w:rPr>
                <w:i/>
              </w:rPr>
              <w:t>nemployment rate</w:t>
            </w:r>
            <w:r w:rsidR="00E435C0" w:rsidRPr="007162F2">
              <w:t xml:space="preserve"> defined as the number of primary carers of pe</w:t>
            </w:r>
            <w:r w:rsidR="00A84A37" w:rsidRPr="007162F2">
              <w:t>ople</w:t>
            </w:r>
            <w:r w:rsidR="00E435C0" w:rsidRPr="007162F2">
              <w:t xml:space="preserve"> with disability aged 15–64 years who are unemployed divided by the number of primary carers of pe</w:t>
            </w:r>
            <w:r w:rsidR="00A84A37" w:rsidRPr="007162F2">
              <w:t>ople</w:t>
            </w:r>
            <w:r w:rsidR="00E435C0" w:rsidRPr="007162F2">
              <w:t xml:space="preserve"> with disability aged 15–64 years who are in the labour</w:t>
            </w:r>
            <w:r w:rsidR="005A2F79">
              <w:t xml:space="preserve"> force (employed or unemployed).</w:t>
            </w:r>
          </w:p>
          <w:p w14:paraId="48F386B8" w14:textId="77777777" w:rsidR="00E435C0" w:rsidRPr="007162F2" w:rsidRDefault="00E435C0" w:rsidP="00E435C0">
            <w:pPr>
              <w:pStyle w:val="Box"/>
            </w:pPr>
            <w:r w:rsidRPr="007162F2">
              <w:t>High or increasing labour force participation and employment rates and low or decreasing unemployment rates for carers of people with disability are desirable.</w:t>
            </w:r>
          </w:p>
          <w:p w14:paraId="41840EFF" w14:textId="0929FC05" w:rsidR="00E435C0" w:rsidRPr="007162F2" w:rsidRDefault="00E435C0" w:rsidP="00E435C0">
            <w:pPr>
              <w:pStyle w:val="Box"/>
            </w:pPr>
            <w:r w:rsidRPr="007162F2">
              <w:t>This indicator does not provide information on whether the participation in the labour force is fulfilling. Information on the rate of underem</w:t>
            </w:r>
            <w:r w:rsidR="00C47E5C" w:rsidRPr="007162F2">
              <w:t>ployment can be found in table 15A.80</w:t>
            </w:r>
            <w:r w:rsidR="00703478">
              <w:t xml:space="preserve"> (see section 15.4 for definition)</w:t>
            </w:r>
            <w:r w:rsidR="00703478" w:rsidRPr="007162F2">
              <w:t>.</w:t>
            </w:r>
          </w:p>
          <w:p w14:paraId="02401CE4" w14:textId="77777777" w:rsidR="00E435C0" w:rsidRPr="007162F2" w:rsidRDefault="00E435C0" w:rsidP="00E435C0">
            <w:pPr>
              <w:pStyle w:val="Box"/>
            </w:pPr>
            <w:r w:rsidRPr="007162F2">
              <w:t>Data reported for this measure are:</w:t>
            </w:r>
          </w:p>
          <w:p w14:paraId="70A0F88B" w14:textId="77777777" w:rsidR="00E435C0" w:rsidRPr="007162F2" w:rsidRDefault="00E435C0" w:rsidP="00E435C0">
            <w:pPr>
              <w:pStyle w:val="BoxListBullet"/>
            </w:pPr>
            <w:r w:rsidRPr="007162F2">
              <w:rPr>
                <w:lang w:eastAsia="en-US"/>
              </w:rPr>
              <w:t xml:space="preserve">comparable across jurisdictions and over time </w:t>
            </w:r>
          </w:p>
          <w:p w14:paraId="6A6BE2A8" w14:textId="2A1B391D" w:rsidR="00E435C0" w:rsidRPr="007162F2" w:rsidRDefault="00E435C0" w:rsidP="00E435C0">
            <w:pPr>
              <w:pStyle w:val="BoxListBullet"/>
            </w:pPr>
            <w:r w:rsidRPr="007162F2">
              <w:rPr>
                <w:lang w:eastAsia="en-US"/>
              </w:rPr>
              <w:t>complete (subject to caveats) for the current reporting period.</w:t>
            </w:r>
            <w:r w:rsidR="00CA7A86">
              <w:rPr>
                <w:lang w:eastAsia="en-US"/>
              </w:rPr>
              <w:t xml:space="preserve"> </w:t>
            </w:r>
            <w:r w:rsidR="00CA7A86">
              <w:t>All required 20</w:t>
            </w:r>
            <w:r w:rsidR="00CA7A86" w:rsidRPr="007162F2">
              <w:t>15 data are available for all jurisdictions</w:t>
            </w:r>
            <w:r w:rsidR="00CA7A86">
              <w:t>.</w:t>
            </w:r>
          </w:p>
        </w:tc>
      </w:tr>
      <w:tr w:rsidR="00E435C0" w:rsidRPr="007162F2" w14:paraId="3B3CB45C" w14:textId="77777777" w:rsidTr="000E2534">
        <w:tc>
          <w:tcPr>
            <w:tcW w:w="8789" w:type="dxa"/>
            <w:tcBorders>
              <w:top w:val="nil"/>
              <w:left w:val="nil"/>
              <w:bottom w:val="single" w:sz="6" w:space="0" w:color="78A22F"/>
              <w:right w:val="nil"/>
            </w:tcBorders>
            <w:shd w:val="clear" w:color="auto" w:fill="F2F2F2"/>
          </w:tcPr>
          <w:p w14:paraId="7575975D" w14:textId="77777777" w:rsidR="00E435C0" w:rsidRPr="007162F2" w:rsidRDefault="00E435C0">
            <w:pPr>
              <w:pStyle w:val="Box"/>
              <w:spacing w:before="0" w:line="120" w:lineRule="exact"/>
            </w:pPr>
          </w:p>
        </w:tc>
      </w:tr>
      <w:tr w:rsidR="00E435C0" w:rsidRPr="007162F2" w14:paraId="0721AB6A" w14:textId="77777777" w:rsidTr="000E2534">
        <w:tc>
          <w:tcPr>
            <w:tcW w:w="8789" w:type="dxa"/>
            <w:tcBorders>
              <w:top w:val="single" w:sz="6" w:space="0" w:color="78A22F"/>
              <w:left w:val="nil"/>
              <w:bottom w:val="nil"/>
              <w:right w:val="nil"/>
            </w:tcBorders>
          </w:tcPr>
          <w:p w14:paraId="22E004B7" w14:textId="0A8FB1CA" w:rsidR="00E435C0" w:rsidRPr="007162F2" w:rsidRDefault="00E435C0" w:rsidP="009F5938">
            <w:pPr>
              <w:pStyle w:val="BoxSpaceBelow"/>
            </w:pPr>
          </w:p>
        </w:tc>
      </w:tr>
    </w:tbl>
    <w:p w14:paraId="633C1DE9" w14:textId="750EA01A" w:rsidR="002042CE" w:rsidRPr="00EE24D3" w:rsidRDefault="00F97FAA" w:rsidP="00EE24D3">
      <w:pPr>
        <w:pStyle w:val="BodyText"/>
        <w:rPr>
          <w:szCs w:val="26"/>
        </w:rPr>
      </w:pPr>
      <w:r>
        <w:rPr>
          <w:szCs w:val="26"/>
        </w:rPr>
        <w:t>Nationally</w:t>
      </w:r>
      <w:r w:rsidR="008E6C69">
        <w:rPr>
          <w:szCs w:val="26"/>
        </w:rPr>
        <w:t xml:space="preserve"> in 2015</w:t>
      </w:r>
      <w:r>
        <w:rPr>
          <w:szCs w:val="26"/>
        </w:rPr>
        <w:t xml:space="preserve">, the </w:t>
      </w:r>
      <w:r w:rsidRPr="00EE24D3">
        <w:rPr>
          <w:szCs w:val="26"/>
        </w:rPr>
        <w:t xml:space="preserve">labour force participation rate and employment–to–population ratio for primary carers of people with disability aged 15–64 years </w:t>
      </w:r>
      <w:r w:rsidR="002042CE" w:rsidRPr="00EE24D3">
        <w:rPr>
          <w:szCs w:val="26"/>
        </w:rPr>
        <w:t xml:space="preserve">was </w:t>
      </w:r>
      <w:r w:rsidR="00E8697B" w:rsidRPr="00EE24D3">
        <w:rPr>
          <w:szCs w:val="26"/>
        </w:rPr>
        <w:t>57.0 per cent and 51.4 </w:t>
      </w:r>
      <w:r w:rsidR="002042CE" w:rsidRPr="00EE24D3">
        <w:rPr>
          <w:szCs w:val="26"/>
        </w:rPr>
        <w:t>per</w:t>
      </w:r>
      <w:r w:rsidR="00E8697B" w:rsidRPr="00EE24D3">
        <w:rPr>
          <w:szCs w:val="26"/>
        </w:rPr>
        <w:t> </w:t>
      </w:r>
      <w:r w:rsidR="002042CE" w:rsidRPr="00EE24D3">
        <w:rPr>
          <w:szCs w:val="26"/>
        </w:rPr>
        <w:t xml:space="preserve">cent respectively; these proportions </w:t>
      </w:r>
      <w:r w:rsidR="00ED05B0" w:rsidRPr="00EE24D3">
        <w:rPr>
          <w:szCs w:val="26"/>
        </w:rPr>
        <w:t>are not significantly different</w:t>
      </w:r>
      <w:r w:rsidR="002042CE" w:rsidRPr="00EE24D3">
        <w:rPr>
          <w:szCs w:val="26"/>
        </w:rPr>
        <w:t xml:space="preserve"> from 2012 (52.8</w:t>
      </w:r>
      <w:r w:rsidR="00E8697B" w:rsidRPr="00EE24D3">
        <w:rPr>
          <w:szCs w:val="26"/>
        </w:rPr>
        <w:t> per </w:t>
      </w:r>
      <w:r w:rsidR="002042CE" w:rsidRPr="00EE24D3">
        <w:rPr>
          <w:szCs w:val="26"/>
        </w:rPr>
        <w:t>cent and 47.6</w:t>
      </w:r>
      <w:r w:rsidR="00E8697B" w:rsidRPr="00EE24D3">
        <w:rPr>
          <w:szCs w:val="26"/>
        </w:rPr>
        <w:t> per </w:t>
      </w:r>
      <w:r w:rsidR="002042CE" w:rsidRPr="00EE24D3">
        <w:rPr>
          <w:szCs w:val="26"/>
        </w:rPr>
        <w:t>cent respectively) (figure</w:t>
      </w:r>
      <w:r w:rsidR="004514F4">
        <w:rPr>
          <w:szCs w:val="26"/>
        </w:rPr>
        <w:t> </w:t>
      </w:r>
      <w:r w:rsidR="00B80E42">
        <w:t>15.18</w:t>
      </w:r>
      <w:r w:rsidR="002042CE" w:rsidRPr="00EE24D3">
        <w:rPr>
          <w:szCs w:val="26"/>
        </w:rPr>
        <w:t>).</w:t>
      </w:r>
    </w:p>
    <w:p w14:paraId="31B9A733" w14:textId="626229DD" w:rsidR="00E435C0" w:rsidRDefault="004F69AF" w:rsidP="00EE24D3">
      <w:pPr>
        <w:pStyle w:val="BodyText"/>
        <w:rPr>
          <w:szCs w:val="26"/>
        </w:rPr>
      </w:pPr>
      <w:r>
        <w:rPr>
          <w:szCs w:val="26"/>
        </w:rPr>
        <w:t>Nationally, t</w:t>
      </w:r>
      <w:r w:rsidR="00F97FAA" w:rsidRPr="00EE24D3">
        <w:rPr>
          <w:szCs w:val="26"/>
        </w:rPr>
        <w:t>he unemployment rate for primary carers of people with disability aged 15–64 years</w:t>
      </w:r>
      <w:r w:rsidR="00ED05B0" w:rsidRPr="00EE24D3">
        <w:rPr>
          <w:szCs w:val="26"/>
        </w:rPr>
        <w:t xml:space="preserve"> was 10.5 per cent in 2015; similar to 2012 </w:t>
      </w:r>
      <w:r w:rsidR="00FE64C5" w:rsidRPr="00EE24D3">
        <w:rPr>
          <w:szCs w:val="26"/>
        </w:rPr>
        <w:t>(9.2</w:t>
      </w:r>
      <w:r w:rsidR="004C5E2D" w:rsidRPr="00EE24D3">
        <w:rPr>
          <w:szCs w:val="26"/>
        </w:rPr>
        <w:t> per cent)</w:t>
      </w:r>
      <w:r w:rsidRPr="00EE24D3">
        <w:rPr>
          <w:szCs w:val="26"/>
        </w:rPr>
        <w:t xml:space="preserve"> (table 15A.88).</w:t>
      </w:r>
    </w:p>
    <w:p w14:paraId="46661791" w14:textId="5B704071" w:rsidR="000E2534" w:rsidRPr="007162F2" w:rsidRDefault="000E2534" w:rsidP="00EE24D3">
      <w:pPr>
        <w:pStyle w:val="BodyText"/>
        <w:rPr>
          <w:szCs w:val="26"/>
        </w:rPr>
      </w:pPr>
      <w:r w:rsidRPr="007162F2">
        <w:t>Additional data disaggregated by special needs groups are available in tables 15A.84–88.</w:t>
      </w:r>
    </w:p>
    <w:p w14:paraId="3A501104" w14:textId="45A45B37" w:rsidR="00E435C0" w:rsidRPr="007162F2" w:rsidRDefault="00E435C0"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010CFF38" w14:textId="77777777" w:rsidTr="000E2534">
        <w:trPr>
          <w:tblHeader/>
        </w:trPr>
        <w:tc>
          <w:tcPr>
            <w:tcW w:w="8789" w:type="dxa"/>
            <w:tcBorders>
              <w:top w:val="single" w:sz="6" w:space="0" w:color="78A22F"/>
              <w:left w:val="nil"/>
              <w:bottom w:val="nil"/>
              <w:right w:val="nil"/>
            </w:tcBorders>
            <w:shd w:val="clear" w:color="auto" w:fill="auto"/>
          </w:tcPr>
          <w:p w14:paraId="2CA996DA" w14:textId="254E0FC6" w:rsidR="00E435C0" w:rsidRPr="007162F2" w:rsidRDefault="00E435C0" w:rsidP="007F6F12">
            <w:pPr>
              <w:pStyle w:val="FigureTitle"/>
            </w:pPr>
            <w:r w:rsidRPr="007162F2">
              <w:rPr>
                <w:b w:val="0"/>
              </w:rPr>
              <w:t xml:space="preserve">Figure </w:t>
            </w:r>
            <w:bookmarkStart w:id="30" w:name="OLE_LINK30"/>
            <w:r w:rsidRPr="007162F2">
              <w:rPr>
                <w:b w:val="0"/>
              </w:rPr>
              <w:t>15.</w:t>
            </w:r>
            <w:bookmarkEnd w:id="30"/>
            <w:r w:rsidR="00B80E42">
              <w:rPr>
                <w:b w:val="0"/>
                <w:noProof/>
              </w:rPr>
              <w:t>18</w:t>
            </w:r>
            <w:r w:rsidRPr="007162F2">
              <w:tab/>
            </w:r>
            <w:r w:rsidRPr="007025AD">
              <w:t>Labour force participation</w:t>
            </w:r>
            <w:r w:rsidR="007F6F12" w:rsidRPr="007025AD">
              <w:t xml:space="preserve"> and employment</w:t>
            </w:r>
            <w:r w:rsidRPr="007025AD">
              <w:t xml:space="preserve"> </w:t>
            </w:r>
            <w:r w:rsidR="007F382E" w:rsidRPr="007025AD">
              <w:t xml:space="preserve">for </w:t>
            </w:r>
            <w:r w:rsidR="007F6F12" w:rsidRPr="007025AD">
              <w:t xml:space="preserve">primary carers of </w:t>
            </w:r>
            <w:r w:rsidR="007F382E" w:rsidRPr="007025AD">
              <w:t xml:space="preserve">people </w:t>
            </w:r>
            <w:r w:rsidR="007F6F12" w:rsidRPr="007025AD">
              <w:t xml:space="preserve">with disability </w:t>
            </w:r>
            <w:r w:rsidR="007F382E" w:rsidRPr="007025AD">
              <w:t>aged 15–64 years</w:t>
            </w:r>
            <w:r w:rsidR="004E63BB" w:rsidRPr="007025AD">
              <w:t>, by State/Territory</w:t>
            </w:r>
            <w:r w:rsidRPr="007025AD">
              <w:rPr>
                <w:rStyle w:val="NoteLabel"/>
                <w:b/>
              </w:rPr>
              <w:t>a</w:t>
            </w:r>
            <w:r w:rsidR="007E287D">
              <w:rPr>
                <w:rStyle w:val="NoteLabel"/>
                <w:b/>
              </w:rPr>
              <w:t>, b</w:t>
            </w:r>
          </w:p>
        </w:tc>
      </w:tr>
      <w:tr w:rsidR="00E435C0" w:rsidRPr="007162F2" w14:paraId="39765561" w14:textId="77777777" w:rsidTr="000E2534">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435C0" w:rsidRPr="007162F2" w14:paraId="4A0463E6" w14:textId="77777777" w:rsidTr="00523333">
              <w:trPr>
                <w:tblHeader/>
                <w:jc w:val="center"/>
              </w:trPr>
              <w:tc>
                <w:tcPr>
                  <w:tcW w:w="8504" w:type="dxa"/>
                  <w:tcBorders>
                    <w:top w:val="nil"/>
                    <w:bottom w:val="nil"/>
                  </w:tcBorders>
                </w:tcPr>
                <w:p w14:paraId="6AA7A889" w14:textId="1796D47A" w:rsidR="00A84A37" w:rsidRDefault="0069406C" w:rsidP="00CC1753">
                  <w:pPr>
                    <w:pStyle w:val="Figure"/>
                  </w:pPr>
                  <w:r>
                    <w:rPr>
                      <w:noProof/>
                    </w:rPr>
                    <w:drawing>
                      <wp:inline distT="0" distB="0" distL="0" distR="0" wp14:anchorId="44AC66ED" wp14:editId="093455EC">
                        <wp:extent cx="5215890" cy="2303780"/>
                        <wp:effectExtent l="0" t="0" r="3810" b="1270"/>
                        <wp:docPr id="33" name="Picture 33" descr="Labour force participation rate for primary carers&#10;&#10;More details can be found within the text surrounding this image. " title="Figure 15.18 Labour force participation and employment for primary carers of people with disability aged 15–64 years, by State/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15890" cy="2303780"/>
                                </a:xfrm>
                                <a:prstGeom prst="rect">
                                  <a:avLst/>
                                </a:prstGeom>
                                <a:noFill/>
                                <a:ln>
                                  <a:noFill/>
                                </a:ln>
                              </pic:spPr>
                            </pic:pic>
                          </a:graphicData>
                        </a:graphic>
                      </wp:inline>
                    </w:drawing>
                  </w:r>
                </w:p>
                <w:p w14:paraId="3CF97B85" w14:textId="0A665E05" w:rsidR="00F97FAA" w:rsidRPr="007162F2" w:rsidRDefault="00523333" w:rsidP="00CC1753">
                  <w:pPr>
                    <w:pStyle w:val="Figure"/>
                  </w:pPr>
                  <w:r>
                    <w:rPr>
                      <w:noProof/>
                    </w:rPr>
                    <w:drawing>
                      <wp:inline distT="0" distB="0" distL="0" distR="0" wp14:anchorId="1431A3A3" wp14:editId="74470680">
                        <wp:extent cx="5202331" cy="2164102"/>
                        <wp:effectExtent l="0" t="0" r="0" b="7620"/>
                        <wp:docPr id="10" name="Chart 10" descr="Employment-to-population ratio for primary carers&#10;&#10;More details can be found within the text surrounding this image. " title="Figure 15.18 Labour force participation and employment for primary carers of people with disability aged 15–64 years, by State/Terr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14:paraId="25794C71" w14:textId="77777777" w:rsidR="00E435C0" w:rsidRPr="007162F2" w:rsidRDefault="00E435C0" w:rsidP="009F5938">
            <w:pPr>
              <w:pStyle w:val="Figure"/>
            </w:pPr>
          </w:p>
        </w:tc>
      </w:tr>
      <w:tr w:rsidR="007162F2" w:rsidRPr="007162F2" w14:paraId="6B727885" w14:textId="77777777" w:rsidTr="000E2534">
        <w:tc>
          <w:tcPr>
            <w:tcW w:w="8789" w:type="dxa"/>
            <w:tcBorders>
              <w:top w:val="nil"/>
              <w:left w:val="nil"/>
              <w:bottom w:val="nil"/>
              <w:right w:val="nil"/>
            </w:tcBorders>
            <w:shd w:val="clear" w:color="auto" w:fill="auto"/>
          </w:tcPr>
          <w:p w14:paraId="0BB64B46" w14:textId="4910D1D1" w:rsidR="00E435C0" w:rsidRPr="007162F2" w:rsidRDefault="00E435C0" w:rsidP="007E287D">
            <w:pPr>
              <w:pStyle w:val="BoxListNumber"/>
              <w:numPr>
                <w:ilvl w:val="0"/>
                <w:numId w:val="0"/>
              </w:numPr>
            </w:pPr>
            <w:r w:rsidRPr="007162F2">
              <w:rPr>
                <w:rStyle w:val="NoteLabel"/>
              </w:rPr>
              <w:t>a</w:t>
            </w:r>
            <w:r w:rsidRPr="007162F2">
              <w:t xml:space="preserve"> See box </w:t>
            </w:r>
            <w:r w:rsidR="007537AA">
              <w:t>15.10</w:t>
            </w:r>
            <w:r w:rsidRPr="007162F2">
              <w:t xml:space="preserve"> and </w:t>
            </w:r>
            <w:r w:rsidR="007B548F">
              <w:t xml:space="preserve">tables </w:t>
            </w:r>
            <w:r w:rsidRPr="007162F2">
              <w:t>1</w:t>
            </w:r>
            <w:r w:rsidR="00C47E5C" w:rsidRPr="007162F2">
              <w:t>5</w:t>
            </w:r>
            <w:r w:rsidRPr="007162F2">
              <w:t>A.</w:t>
            </w:r>
            <w:r w:rsidR="00C47E5C" w:rsidRPr="007162F2">
              <w:t>81</w:t>
            </w:r>
            <w:r w:rsidR="00436AEA" w:rsidRPr="007162F2">
              <w:t>–</w:t>
            </w:r>
            <w:r w:rsidR="00436AEA">
              <w:t>82</w:t>
            </w:r>
            <w:r w:rsidRPr="007162F2">
              <w:t xml:space="preserve"> for detailed definitions, footnotes and caveats.</w:t>
            </w:r>
            <w:r w:rsidR="005E2B19">
              <w:t xml:space="preserve"> </w:t>
            </w:r>
            <w:r w:rsidR="005E2B19" w:rsidRPr="007E287D">
              <w:rPr>
                <w:rStyle w:val="NoteLabel"/>
              </w:rPr>
              <w:t>b</w:t>
            </w:r>
            <w:r w:rsidR="005E2B19">
              <w:t xml:space="preserve"> Results were not published for SA, Tasmania, the ACT and the NT</w:t>
            </w:r>
            <w:r w:rsidR="007E287D">
              <w:t xml:space="preserve"> for employment-to-population ratios in 2009</w:t>
            </w:r>
            <w:r w:rsidR="005E2B19">
              <w:t xml:space="preserve"> due to small numbers</w:t>
            </w:r>
            <w:r w:rsidR="007E287D">
              <w:t>.</w:t>
            </w:r>
          </w:p>
        </w:tc>
      </w:tr>
      <w:tr w:rsidR="007162F2" w:rsidRPr="007162F2" w14:paraId="3F064388" w14:textId="77777777" w:rsidTr="000E2534">
        <w:tc>
          <w:tcPr>
            <w:tcW w:w="8789" w:type="dxa"/>
            <w:tcBorders>
              <w:top w:val="nil"/>
              <w:left w:val="nil"/>
              <w:bottom w:val="nil"/>
              <w:right w:val="nil"/>
            </w:tcBorders>
            <w:shd w:val="clear" w:color="auto" w:fill="auto"/>
          </w:tcPr>
          <w:p w14:paraId="21867A15" w14:textId="5014E396" w:rsidR="00E435C0" w:rsidRPr="007162F2" w:rsidRDefault="00E435C0" w:rsidP="00C47E5C">
            <w:pPr>
              <w:pStyle w:val="Source"/>
            </w:pPr>
            <w:r w:rsidRPr="007162F2">
              <w:rPr>
                <w:i/>
              </w:rPr>
              <w:t>Source</w:t>
            </w:r>
            <w:r w:rsidRPr="007162F2">
              <w:t xml:space="preserve">: ABS (unpublished) SDAC; </w:t>
            </w:r>
            <w:r w:rsidR="007B548F">
              <w:t xml:space="preserve">tables </w:t>
            </w:r>
            <w:r w:rsidRPr="007162F2">
              <w:t>1</w:t>
            </w:r>
            <w:r w:rsidR="00C47E5C" w:rsidRPr="007162F2">
              <w:t>5</w:t>
            </w:r>
            <w:r w:rsidRPr="007162F2">
              <w:t>A.</w:t>
            </w:r>
            <w:r w:rsidR="00C47E5C" w:rsidRPr="007162F2">
              <w:t>81</w:t>
            </w:r>
            <w:r w:rsidR="00436AEA" w:rsidRPr="007162F2">
              <w:t>–</w:t>
            </w:r>
            <w:r w:rsidR="00436AEA">
              <w:t>82</w:t>
            </w:r>
            <w:r w:rsidR="00B77ACE" w:rsidRPr="007162F2">
              <w:t>.</w:t>
            </w:r>
          </w:p>
        </w:tc>
      </w:tr>
      <w:tr w:rsidR="00E435C0" w:rsidRPr="007162F2" w14:paraId="7D4F2C6D" w14:textId="77777777" w:rsidTr="000E2534">
        <w:tc>
          <w:tcPr>
            <w:tcW w:w="8789" w:type="dxa"/>
            <w:tcBorders>
              <w:top w:val="nil"/>
              <w:left w:val="nil"/>
              <w:bottom w:val="single" w:sz="6" w:space="0" w:color="78A22F"/>
              <w:right w:val="nil"/>
            </w:tcBorders>
            <w:shd w:val="clear" w:color="auto" w:fill="auto"/>
          </w:tcPr>
          <w:p w14:paraId="6E599251" w14:textId="77777777" w:rsidR="00E435C0" w:rsidRPr="007162F2" w:rsidRDefault="00E435C0" w:rsidP="009F5938">
            <w:pPr>
              <w:pStyle w:val="Figurespace"/>
            </w:pPr>
          </w:p>
        </w:tc>
      </w:tr>
      <w:tr w:rsidR="00E435C0" w:rsidRPr="007162F2" w14:paraId="796A7EFA" w14:textId="77777777" w:rsidTr="000E2534">
        <w:tc>
          <w:tcPr>
            <w:tcW w:w="8789" w:type="dxa"/>
            <w:tcBorders>
              <w:top w:val="single" w:sz="6" w:space="0" w:color="78A22F"/>
              <w:left w:val="nil"/>
              <w:bottom w:val="nil"/>
              <w:right w:val="nil"/>
            </w:tcBorders>
          </w:tcPr>
          <w:p w14:paraId="61684D4D" w14:textId="4D4C15BC" w:rsidR="00E435C0" w:rsidRPr="007162F2" w:rsidRDefault="00E435C0" w:rsidP="009F5938">
            <w:pPr>
              <w:pStyle w:val="BoxSpaceBelow"/>
            </w:pPr>
          </w:p>
        </w:tc>
      </w:tr>
    </w:tbl>
    <w:p w14:paraId="6D799A7A" w14:textId="77777777" w:rsidR="00E435C0" w:rsidRPr="007162F2" w:rsidRDefault="00E435C0" w:rsidP="00E435C0">
      <w:pPr>
        <w:pStyle w:val="Heading4"/>
      </w:pPr>
      <w:r w:rsidRPr="007162F2">
        <w:t>Social participation of people with disability</w:t>
      </w:r>
    </w:p>
    <w:p w14:paraId="6D2827DD" w14:textId="10667234" w:rsidR="00E435C0" w:rsidRPr="007162F2" w:rsidRDefault="00E435C0" w:rsidP="00E435C0">
      <w:pPr>
        <w:pStyle w:val="BodyText"/>
        <w:rPr>
          <w:szCs w:val="26"/>
        </w:rPr>
      </w:pPr>
      <w:r w:rsidRPr="007162F2">
        <w:t xml:space="preserve">‘Social participation of people with disability’ is an indicator of governments’ </w:t>
      </w:r>
      <w:r w:rsidRPr="007162F2">
        <w:rPr>
          <w:szCs w:val="26"/>
        </w:rPr>
        <w:t xml:space="preserve">objective to </w:t>
      </w:r>
      <w:r w:rsidRPr="007162F2">
        <w:t>help people with disability achieve social participation</w:t>
      </w:r>
      <w:r w:rsidRPr="007162F2" w:rsidDel="00717AED">
        <w:rPr>
          <w:szCs w:val="26"/>
        </w:rPr>
        <w:t xml:space="preserve"> </w:t>
      </w:r>
      <w:r w:rsidRPr="007162F2">
        <w:t>(box </w:t>
      </w:r>
      <w:r w:rsidR="007537AA">
        <w:t>15.11</w:t>
      </w:r>
      <w:r w:rsidRPr="007162F2">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1176C162" w14:textId="77777777" w:rsidTr="000E2534">
        <w:tc>
          <w:tcPr>
            <w:tcW w:w="8789" w:type="dxa"/>
            <w:tcBorders>
              <w:top w:val="single" w:sz="6" w:space="0" w:color="78A22F"/>
              <w:left w:val="nil"/>
              <w:bottom w:val="nil"/>
              <w:right w:val="nil"/>
            </w:tcBorders>
            <w:shd w:val="clear" w:color="auto" w:fill="F2F2F2"/>
          </w:tcPr>
          <w:p w14:paraId="43222F20" w14:textId="2C1E8A54" w:rsidR="00E435C0" w:rsidRPr="007162F2" w:rsidRDefault="00E435C0" w:rsidP="0052733D">
            <w:pPr>
              <w:pStyle w:val="BoxTitle"/>
            </w:pPr>
            <w:r w:rsidRPr="007162F2">
              <w:rPr>
                <w:b w:val="0"/>
              </w:rPr>
              <w:lastRenderedPageBreak/>
              <w:t xml:space="preserve">Box </w:t>
            </w:r>
            <w:r w:rsidR="007537AA">
              <w:rPr>
                <w:b w:val="0"/>
              </w:rPr>
              <w:t>15.</w:t>
            </w:r>
            <w:r w:rsidR="0052733D">
              <w:rPr>
                <w:b w:val="0"/>
              </w:rPr>
              <w:t>11</w:t>
            </w:r>
            <w:r w:rsidRPr="007162F2">
              <w:tab/>
              <w:t>Social participation of people with disability</w:t>
            </w:r>
          </w:p>
        </w:tc>
      </w:tr>
      <w:tr w:rsidR="00E435C0" w:rsidRPr="007162F2" w14:paraId="07F44874" w14:textId="77777777" w:rsidTr="000E2534">
        <w:tc>
          <w:tcPr>
            <w:tcW w:w="8789" w:type="dxa"/>
            <w:tcBorders>
              <w:top w:val="nil"/>
              <w:left w:val="nil"/>
              <w:bottom w:val="nil"/>
              <w:right w:val="nil"/>
            </w:tcBorders>
            <w:shd w:val="clear" w:color="auto" w:fill="F2F2F2"/>
          </w:tcPr>
          <w:p w14:paraId="13E58F84" w14:textId="77777777" w:rsidR="00E435C0" w:rsidRPr="007162F2" w:rsidRDefault="00E435C0" w:rsidP="00E435C0">
            <w:pPr>
              <w:pStyle w:val="Box"/>
            </w:pPr>
            <w:r w:rsidRPr="007162F2">
              <w:t>‘Social participation of people with disability’ is defined by three measures</w:t>
            </w:r>
            <w:r w:rsidR="00A84A37" w:rsidRPr="007162F2">
              <w:t xml:space="preserve">: </w:t>
            </w:r>
          </w:p>
          <w:p w14:paraId="68BF764B" w14:textId="165189CD" w:rsidR="00E435C0" w:rsidRPr="007162F2" w:rsidRDefault="00A96A18" w:rsidP="00E435C0">
            <w:pPr>
              <w:pStyle w:val="BoxListBullet"/>
            </w:pPr>
            <w:r>
              <w:t>T</w:t>
            </w:r>
            <w:r w:rsidR="00E435C0" w:rsidRPr="007162F2">
              <w:t>he proportion of people with disability aged 15–64 years who have had face</w:t>
            </w:r>
            <w:r w:rsidR="004514F4">
              <w:noBreakHyphen/>
            </w:r>
            <w:r w:rsidR="00E435C0" w:rsidRPr="007162F2">
              <w:t>to</w:t>
            </w:r>
            <w:r w:rsidR="004514F4">
              <w:noBreakHyphen/>
            </w:r>
            <w:r w:rsidR="00E435C0" w:rsidRPr="007162F2">
              <w:t>face contact with ex</w:t>
            </w:r>
            <w:r w:rsidR="004514F4">
              <w:noBreakHyphen/>
            </w:r>
            <w:r w:rsidR="00E435C0" w:rsidRPr="007162F2">
              <w:t>household family or friends in the previous week</w:t>
            </w:r>
          </w:p>
          <w:p w14:paraId="142A160E" w14:textId="762B3C2C" w:rsidR="00E435C0" w:rsidRPr="007162F2" w:rsidRDefault="00A96A18" w:rsidP="00E435C0">
            <w:pPr>
              <w:pStyle w:val="BoxListBullet"/>
            </w:pPr>
            <w:r>
              <w:t>T</w:t>
            </w:r>
            <w:r w:rsidR="00E435C0" w:rsidRPr="007162F2">
              <w:t>he proportion of people with disability aged 15–64 years who travelled to a social activity in the last two weeks</w:t>
            </w:r>
          </w:p>
          <w:p w14:paraId="2D9CE5C3" w14:textId="558113C7" w:rsidR="00E435C0" w:rsidRPr="007162F2" w:rsidRDefault="00A96A18" w:rsidP="00E435C0">
            <w:pPr>
              <w:pStyle w:val="BoxListBullet"/>
            </w:pPr>
            <w:r>
              <w:t>T</w:t>
            </w:r>
            <w:r w:rsidR="00E435C0" w:rsidRPr="007162F2">
              <w:t>he proportion of people with disability aged 5–64 years who report the main reason for not leaving home as often as they would like is their disability or condition.</w:t>
            </w:r>
          </w:p>
          <w:p w14:paraId="77273909" w14:textId="77777777" w:rsidR="00E435C0" w:rsidRPr="007162F2" w:rsidRDefault="00E435C0" w:rsidP="00E435C0">
            <w:pPr>
              <w:pStyle w:val="Box"/>
            </w:pPr>
            <w:r w:rsidRPr="007162F2">
              <w:t xml:space="preserve">A high or increasing proportion of people with disability who participate in social or community activities reflects greater inclusion in the community. </w:t>
            </w:r>
          </w:p>
          <w:p w14:paraId="36C40E3F" w14:textId="77777777" w:rsidR="00E435C0" w:rsidRPr="007162F2" w:rsidRDefault="00E435C0" w:rsidP="00E435C0">
            <w:pPr>
              <w:pStyle w:val="Box"/>
            </w:pPr>
            <w:r w:rsidRPr="007162F2">
              <w:t>This indicator does</w:t>
            </w:r>
            <w:r w:rsidRPr="007162F2" w:rsidDel="00217352">
              <w:t xml:space="preserve"> </w:t>
            </w:r>
            <w:r w:rsidRPr="007162F2">
              <w:t xml:space="preserve">not provide information on the degree to which the identified types of social or community activities contribute to people’s quality of life. </w:t>
            </w:r>
          </w:p>
          <w:p w14:paraId="1A636A05" w14:textId="77777777" w:rsidR="00E435C0" w:rsidRPr="007162F2" w:rsidRDefault="00E435C0" w:rsidP="00E435C0">
            <w:pPr>
              <w:pStyle w:val="Box"/>
            </w:pPr>
            <w:r w:rsidRPr="007162F2">
              <w:t>Data reported for this measure are:</w:t>
            </w:r>
          </w:p>
          <w:p w14:paraId="72E70134" w14:textId="77777777" w:rsidR="00E435C0" w:rsidRPr="007162F2" w:rsidRDefault="00E435C0" w:rsidP="00E435C0">
            <w:pPr>
              <w:pStyle w:val="BoxListBullet"/>
            </w:pPr>
            <w:r w:rsidRPr="007162F2">
              <w:rPr>
                <w:lang w:eastAsia="en-US"/>
              </w:rPr>
              <w:t>comparable across jurisdictions and over time</w:t>
            </w:r>
          </w:p>
          <w:p w14:paraId="23261B5B" w14:textId="5BA837DC" w:rsidR="00E435C0" w:rsidRPr="007162F2" w:rsidRDefault="00E435C0" w:rsidP="00E435C0">
            <w:pPr>
              <w:pStyle w:val="BoxListBullet"/>
            </w:pPr>
            <w:r w:rsidRPr="007162F2">
              <w:rPr>
                <w:lang w:eastAsia="en-US"/>
              </w:rPr>
              <w:t>complete (subject to caveats) for the current reporting period.</w:t>
            </w:r>
            <w:r w:rsidR="00341534">
              <w:rPr>
                <w:lang w:eastAsia="en-US"/>
              </w:rPr>
              <w:t xml:space="preserve"> </w:t>
            </w:r>
            <w:r w:rsidR="00341534">
              <w:t>All required 20</w:t>
            </w:r>
            <w:r w:rsidR="00341534" w:rsidRPr="007162F2">
              <w:t>15 data are available for all jurisdictions</w:t>
            </w:r>
            <w:r w:rsidR="00341534">
              <w:t>.</w:t>
            </w:r>
          </w:p>
        </w:tc>
      </w:tr>
      <w:tr w:rsidR="00E435C0" w:rsidRPr="007162F2" w14:paraId="3E9FEB7D" w14:textId="77777777" w:rsidTr="000E2534">
        <w:tc>
          <w:tcPr>
            <w:tcW w:w="8789" w:type="dxa"/>
            <w:tcBorders>
              <w:top w:val="nil"/>
              <w:left w:val="nil"/>
              <w:bottom w:val="single" w:sz="6" w:space="0" w:color="78A22F"/>
              <w:right w:val="nil"/>
            </w:tcBorders>
            <w:shd w:val="clear" w:color="auto" w:fill="F2F2F2"/>
          </w:tcPr>
          <w:p w14:paraId="418C4E2D" w14:textId="77777777" w:rsidR="00E435C0" w:rsidRPr="007162F2" w:rsidRDefault="00E435C0">
            <w:pPr>
              <w:pStyle w:val="Box"/>
              <w:spacing w:before="0" w:line="120" w:lineRule="exact"/>
            </w:pPr>
          </w:p>
        </w:tc>
      </w:tr>
      <w:tr w:rsidR="00E435C0" w:rsidRPr="007162F2" w14:paraId="38291C80" w14:textId="77777777" w:rsidTr="000E2534">
        <w:tc>
          <w:tcPr>
            <w:tcW w:w="8789" w:type="dxa"/>
            <w:tcBorders>
              <w:top w:val="single" w:sz="6" w:space="0" w:color="78A22F"/>
              <w:left w:val="nil"/>
              <w:bottom w:val="nil"/>
              <w:right w:val="nil"/>
            </w:tcBorders>
          </w:tcPr>
          <w:p w14:paraId="1819FDC5" w14:textId="193FC2B0" w:rsidR="00E435C0" w:rsidRPr="007162F2" w:rsidRDefault="00E435C0" w:rsidP="009F5938">
            <w:pPr>
              <w:pStyle w:val="BoxSpaceBelow"/>
            </w:pPr>
          </w:p>
        </w:tc>
      </w:tr>
    </w:tbl>
    <w:p w14:paraId="1C371B3E" w14:textId="0DAA64F8" w:rsidR="00E435C0" w:rsidRPr="007162F2" w:rsidRDefault="00F54CCF" w:rsidP="00EE24D3">
      <w:pPr>
        <w:pStyle w:val="BodyText"/>
        <w:rPr>
          <w:szCs w:val="26"/>
        </w:rPr>
      </w:pPr>
      <w:r>
        <w:rPr>
          <w:szCs w:val="26"/>
        </w:rPr>
        <w:t xml:space="preserve">Social participation outcomes have worsened over time. </w:t>
      </w:r>
    </w:p>
    <w:p w14:paraId="0D263A1C" w14:textId="7F23631F" w:rsidR="00F54CCF" w:rsidRDefault="00937200" w:rsidP="00EE24D3">
      <w:pPr>
        <w:pStyle w:val="ListBullet"/>
      </w:pPr>
      <w:r w:rsidRPr="007162F2">
        <w:rPr>
          <w:szCs w:val="26"/>
        </w:rPr>
        <w:t>Nationally, for people with disability aged 15–64 years</w:t>
      </w:r>
      <w:r>
        <w:t xml:space="preserve">, </w:t>
      </w:r>
      <w:r w:rsidR="00A84A37" w:rsidRPr="007162F2">
        <w:t xml:space="preserve">the proportion </w:t>
      </w:r>
      <w:r w:rsidR="00E435C0" w:rsidRPr="007162F2">
        <w:t xml:space="preserve">with a profound or severe </w:t>
      </w:r>
      <w:r w:rsidR="00A84A37" w:rsidRPr="007162F2">
        <w:t>core activity limitation</w:t>
      </w:r>
      <w:r w:rsidR="00F54CCF">
        <w:t>:</w:t>
      </w:r>
      <w:r w:rsidR="00A84A37" w:rsidRPr="007162F2">
        <w:t xml:space="preserve"> </w:t>
      </w:r>
    </w:p>
    <w:p w14:paraId="1C38936D" w14:textId="61DA2A47" w:rsidR="00F54CCF" w:rsidRPr="007162F2" w:rsidRDefault="00E435C0" w:rsidP="00EE24D3">
      <w:pPr>
        <w:pStyle w:val="ListBullet2"/>
      </w:pPr>
      <w:r w:rsidRPr="007162F2">
        <w:t>who had face</w:t>
      </w:r>
      <w:r w:rsidRPr="007162F2">
        <w:noBreakHyphen/>
        <w:t>to</w:t>
      </w:r>
      <w:r w:rsidRPr="007162F2">
        <w:noBreakHyphen/>
        <w:t>face contact with ex</w:t>
      </w:r>
      <w:r w:rsidRPr="007162F2">
        <w:noBreakHyphen/>
        <w:t xml:space="preserve">household family or friends in the previous week </w:t>
      </w:r>
      <w:r w:rsidR="004C5E2D">
        <w:t xml:space="preserve">decreased </w:t>
      </w:r>
      <w:r w:rsidR="00F54CCF">
        <w:t xml:space="preserve">from </w:t>
      </w:r>
      <w:r w:rsidR="004C5E2D">
        <w:t>72.5 per cent</w:t>
      </w:r>
      <w:r w:rsidR="00F54CCF">
        <w:t xml:space="preserve"> in 2009 to 67.9 per cent in 2015</w:t>
      </w:r>
      <w:r w:rsidR="00F67D56" w:rsidRPr="007162F2">
        <w:t xml:space="preserve"> (table 15A.89)</w:t>
      </w:r>
    </w:p>
    <w:p w14:paraId="30954ED0" w14:textId="022EAA33" w:rsidR="00E435C0" w:rsidRPr="007162F2" w:rsidRDefault="00E435C0" w:rsidP="00EE24D3">
      <w:pPr>
        <w:pStyle w:val="ListBullet2"/>
      </w:pPr>
      <w:r w:rsidRPr="00F54CCF">
        <w:rPr>
          <w:szCs w:val="26"/>
        </w:rPr>
        <w:t xml:space="preserve">who travelled to a social activity </w:t>
      </w:r>
      <w:r w:rsidR="00F54CCF">
        <w:rPr>
          <w:szCs w:val="26"/>
        </w:rPr>
        <w:t>decreased from 88.2 per cent in 2009 to 82.4 p</w:t>
      </w:r>
      <w:r w:rsidR="00DA5373">
        <w:rPr>
          <w:szCs w:val="26"/>
        </w:rPr>
        <w:t>er </w:t>
      </w:r>
      <w:r w:rsidR="00F54CCF">
        <w:rPr>
          <w:szCs w:val="26"/>
        </w:rPr>
        <w:t>cent in 2015</w:t>
      </w:r>
      <w:r w:rsidR="00F54CCF" w:rsidRPr="00F54CCF">
        <w:rPr>
          <w:szCs w:val="26"/>
        </w:rPr>
        <w:t xml:space="preserve"> </w:t>
      </w:r>
      <w:r w:rsidR="00F67D56" w:rsidRPr="007162F2">
        <w:t>(table 15A.90</w:t>
      </w:r>
      <w:r w:rsidR="00D17201" w:rsidRPr="007162F2">
        <w:t>)</w:t>
      </w:r>
    </w:p>
    <w:p w14:paraId="6AFD455F" w14:textId="32A1A012" w:rsidR="00E435C0" w:rsidRPr="007162F2" w:rsidRDefault="00937200" w:rsidP="00EE24D3">
      <w:pPr>
        <w:pStyle w:val="ListBullet"/>
      </w:pPr>
      <w:r>
        <w:t xml:space="preserve">Nationally, for people with disability aged 5–64 years, </w:t>
      </w:r>
      <w:r w:rsidR="004B4FBA">
        <w:t xml:space="preserve">the proportion </w:t>
      </w:r>
      <w:r w:rsidR="00E435C0" w:rsidRPr="007162F2">
        <w:rPr>
          <w:szCs w:val="26"/>
        </w:rPr>
        <w:t>who reported the main reason for not leaving home as often as they would like is</w:t>
      </w:r>
      <w:r w:rsidR="00AA0BC3" w:rsidRPr="007162F2">
        <w:rPr>
          <w:szCs w:val="26"/>
        </w:rPr>
        <w:t xml:space="preserve"> their disability or condition</w:t>
      </w:r>
      <w:r w:rsidR="004B4FBA">
        <w:rPr>
          <w:szCs w:val="26"/>
        </w:rPr>
        <w:t xml:space="preserve"> increased </w:t>
      </w:r>
      <w:r w:rsidR="00F54CCF">
        <w:rPr>
          <w:szCs w:val="26"/>
        </w:rPr>
        <w:t xml:space="preserve">from </w:t>
      </w:r>
      <w:r w:rsidR="004B4FBA">
        <w:rPr>
          <w:szCs w:val="26"/>
        </w:rPr>
        <w:t>12.7 per cent</w:t>
      </w:r>
      <w:r w:rsidR="00F54CCF">
        <w:rPr>
          <w:szCs w:val="26"/>
        </w:rPr>
        <w:t xml:space="preserve"> in 2009 to 15.7 per cent in 2015</w:t>
      </w:r>
      <w:r w:rsidR="000A73EE">
        <w:rPr>
          <w:szCs w:val="26"/>
        </w:rPr>
        <w:t xml:space="preserve"> </w:t>
      </w:r>
      <w:r w:rsidR="00E435C0" w:rsidRPr="007162F2">
        <w:rPr>
          <w:szCs w:val="26"/>
        </w:rPr>
        <w:t>(</w:t>
      </w:r>
      <w:r w:rsidR="00B05082" w:rsidRPr="007162F2">
        <w:rPr>
          <w:szCs w:val="26"/>
        </w:rPr>
        <w:t>table</w:t>
      </w:r>
      <w:r w:rsidR="004514F4">
        <w:rPr>
          <w:szCs w:val="26"/>
        </w:rPr>
        <w:t> </w:t>
      </w:r>
      <w:r w:rsidR="00B05082" w:rsidRPr="007162F2">
        <w:rPr>
          <w:szCs w:val="26"/>
        </w:rPr>
        <w:t>15A.</w:t>
      </w:r>
      <w:r w:rsidR="00F67D56" w:rsidRPr="007162F2">
        <w:rPr>
          <w:szCs w:val="26"/>
        </w:rPr>
        <w:t>91</w:t>
      </w:r>
      <w:r w:rsidR="00E435C0" w:rsidRPr="007162F2">
        <w:rPr>
          <w:szCs w:val="26"/>
        </w:rPr>
        <w:t>).</w:t>
      </w:r>
    </w:p>
    <w:p w14:paraId="115B361D" w14:textId="77777777" w:rsidR="00F67D56" w:rsidRPr="007162F2" w:rsidRDefault="00F67D56" w:rsidP="00F67D56">
      <w:pPr>
        <w:pStyle w:val="BodyText"/>
      </w:pPr>
      <w:r w:rsidRPr="007162F2">
        <w:t>Additional data disaggregated by special needs groups are available in tables 1</w:t>
      </w:r>
      <w:r w:rsidR="005A2273" w:rsidRPr="007162F2">
        <w:t>5</w:t>
      </w:r>
      <w:r w:rsidRPr="007162F2">
        <w:t>A.92–97.</w:t>
      </w:r>
    </w:p>
    <w:p w14:paraId="7337BFE3" w14:textId="2B2381DE" w:rsidR="009F7421" w:rsidRPr="007162F2" w:rsidRDefault="009F7421" w:rsidP="009F7421">
      <w:pPr>
        <w:pStyle w:val="Heading4"/>
      </w:pPr>
      <w:r w:rsidRPr="007162F2">
        <w:t xml:space="preserve">Use of </w:t>
      </w:r>
      <w:r w:rsidR="00887EC9">
        <w:t xml:space="preserve">mainstream </w:t>
      </w:r>
      <w:r w:rsidRPr="007162F2">
        <w:t>services by people with disability</w:t>
      </w:r>
    </w:p>
    <w:p w14:paraId="3CC96100" w14:textId="0C39F98B" w:rsidR="009F7421" w:rsidRDefault="009F7421" w:rsidP="009F7421">
      <w:pPr>
        <w:pStyle w:val="BodyText"/>
      </w:pPr>
      <w:r w:rsidRPr="007162F2">
        <w:t xml:space="preserve">‘Use of </w:t>
      </w:r>
      <w:r w:rsidR="00887EC9">
        <w:t>mainstream</w:t>
      </w:r>
      <w:r w:rsidR="00887EC9" w:rsidRPr="007162F2">
        <w:t xml:space="preserve"> </w:t>
      </w:r>
      <w:r w:rsidRPr="007162F2">
        <w:t xml:space="preserve">services by people with disability’ is an indicator of governments’ objective that people with disability and their </w:t>
      </w:r>
      <w:proofErr w:type="spellStart"/>
      <w:r w:rsidRPr="007162F2">
        <w:t>carers</w:t>
      </w:r>
      <w:proofErr w:type="spellEnd"/>
      <w:r w:rsidRPr="007162F2">
        <w:t xml:space="preserve"> have an enhanced quality of life and enjoy choice and wellbeing (box </w:t>
      </w:r>
      <w:r w:rsidR="007537AA">
        <w:t>15.12</w:t>
      </w:r>
      <w:r w:rsidRPr="007162F2">
        <w:t>).</w:t>
      </w:r>
    </w:p>
    <w:p w14:paraId="1DFA409F" w14:textId="77777777" w:rsidR="005D2606" w:rsidRDefault="005D2606" w:rsidP="009F7421">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D2606" w:rsidRPr="007162F2" w14:paraId="52A9B6D4" w14:textId="77777777" w:rsidTr="000E2534">
        <w:tc>
          <w:tcPr>
            <w:tcW w:w="8789" w:type="dxa"/>
            <w:tcBorders>
              <w:top w:val="single" w:sz="6" w:space="0" w:color="78A22F"/>
              <w:left w:val="nil"/>
              <w:bottom w:val="nil"/>
              <w:right w:val="nil"/>
            </w:tcBorders>
            <w:shd w:val="clear" w:color="auto" w:fill="F2F2F2"/>
          </w:tcPr>
          <w:p w14:paraId="56CB5C88" w14:textId="24764AA4" w:rsidR="005D2606" w:rsidRPr="007162F2" w:rsidRDefault="005D2606" w:rsidP="0052733D">
            <w:pPr>
              <w:pStyle w:val="BoxTitle"/>
            </w:pPr>
            <w:r w:rsidRPr="007162F2">
              <w:rPr>
                <w:b w:val="0"/>
              </w:rPr>
              <w:lastRenderedPageBreak/>
              <w:t xml:space="preserve">Box </w:t>
            </w:r>
            <w:r w:rsidR="007537AA">
              <w:rPr>
                <w:b w:val="0"/>
              </w:rPr>
              <w:t>15.</w:t>
            </w:r>
            <w:r w:rsidR="0052733D">
              <w:rPr>
                <w:b w:val="0"/>
              </w:rPr>
              <w:t>12</w:t>
            </w:r>
            <w:r w:rsidRPr="007162F2">
              <w:tab/>
              <w:t xml:space="preserve">Use of </w:t>
            </w:r>
            <w:r w:rsidR="00887EC9">
              <w:t>mainstream</w:t>
            </w:r>
            <w:r w:rsidR="00887EC9" w:rsidRPr="007162F2">
              <w:t xml:space="preserve"> </w:t>
            </w:r>
            <w:r w:rsidRPr="007162F2">
              <w:t>services by people with disability</w:t>
            </w:r>
          </w:p>
        </w:tc>
      </w:tr>
      <w:tr w:rsidR="005D2606" w:rsidRPr="007162F2" w14:paraId="19B96999" w14:textId="77777777" w:rsidTr="000E2534">
        <w:tc>
          <w:tcPr>
            <w:tcW w:w="8789" w:type="dxa"/>
            <w:tcBorders>
              <w:top w:val="nil"/>
              <w:left w:val="nil"/>
              <w:bottom w:val="nil"/>
              <w:right w:val="nil"/>
            </w:tcBorders>
            <w:shd w:val="clear" w:color="auto" w:fill="F2F2F2"/>
          </w:tcPr>
          <w:p w14:paraId="2BD9CD92" w14:textId="77777777" w:rsidR="00D67A3B" w:rsidRDefault="00D67A3B" w:rsidP="00D67A3B">
            <w:pPr>
              <w:pStyle w:val="Box"/>
            </w:pPr>
            <w:r>
              <w:t xml:space="preserve">‘Use of mainstream services by people with disability’ is defined as the proportion of people with disability who sought to access mainstream services and were able to do so confidently (that is without experiencing difficulty or discrimination). </w:t>
            </w:r>
          </w:p>
          <w:p w14:paraId="5DB03094" w14:textId="77777777" w:rsidR="00D67A3B" w:rsidRDefault="00D67A3B" w:rsidP="00D67A3B">
            <w:pPr>
              <w:pStyle w:val="Box"/>
            </w:pPr>
            <w:r>
              <w:t>High or increasing proportions of people with disability who wanted to access mainstream services, and were able to do so confidently, is desirable.</w:t>
            </w:r>
          </w:p>
          <w:p w14:paraId="53D7D2A8" w14:textId="4B44961A" w:rsidR="005D2606" w:rsidRPr="007162F2" w:rsidRDefault="00D67A3B" w:rsidP="00D67A3B">
            <w:pPr>
              <w:pStyle w:val="Box"/>
            </w:pPr>
            <w:r>
              <w:t>Data are under investigation for reporting against this indicator in future.</w:t>
            </w:r>
          </w:p>
        </w:tc>
      </w:tr>
      <w:tr w:rsidR="005D2606" w:rsidRPr="007162F2" w14:paraId="312F2EE2" w14:textId="77777777" w:rsidTr="000E2534">
        <w:tc>
          <w:tcPr>
            <w:tcW w:w="8789" w:type="dxa"/>
            <w:tcBorders>
              <w:top w:val="nil"/>
              <w:left w:val="nil"/>
              <w:bottom w:val="single" w:sz="6" w:space="0" w:color="78A22F"/>
              <w:right w:val="nil"/>
            </w:tcBorders>
            <w:shd w:val="clear" w:color="auto" w:fill="F2F2F2"/>
          </w:tcPr>
          <w:p w14:paraId="7914E201" w14:textId="77777777" w:rsidR="005D2606" w:rsidRPr="007162F2" w:rsidRDefault="005D2606" w:rsidP="006F4198">
            <w:pPr>
              <w:pStyle w:val="Box"/>
              <w:spacing w:before="0" w:line="120" w:lineRule="exact"/>
            </w:pPr>
          </w:p>
        </w:tc>
      </w:tr>
      <w:tr w:rsidR="005D2606" w:rsidRPr="007162F2" w14:paraId="2EE18D66" w14:textId="77777777" w:rsidTr="000E2534">
        <w:tc>
          <w:tcPr>
            <w:tcW w:w="8789" w:type="dxa"/>
            <w:tcBorders>
              <w:top w:val="single" w:sz="6" w:space="0" w:color="78A22F"/>
              <w:left w:val="nil"/>
              <w:bottom w:val="nil"/>
              <w:right w:val="nil"/>
            </w:tcBorders>
          </w:tcPr>
          <w:p w14:paraId="7A266AF1" w14:textId="77777777" w:rsidR="005D2606" w:rsidRPr="007162F2" w:rsidRDefault="005D2606" w:rsidP="006F4198">
            <w:pPr>
              <w:pStyle w:val="BoxSpaceBelow"/>
            </w:pPr>
          </w:p>
        </w:tc>
      </w:tr>
    </w:tbl>
    <w:p w14:paraId="521BF338" w14:textId="77777777" w:rsidR="00931C51" w:rsidRDefault="00683EC1" w:rsidP="005D2606">
      <w:pPr>
        <w:pStyle w:val="Heading4"/>
      </w:pPr>
      <w:r>
        <w:t>Carer</w:t>
      </w:r>
      <w:r w:rsidR="005D2606" w:rsidRPr="00B4383D">
        <w:t xml:space="preserve"> h</w:t>
      </w:r>
      <w:r w:rsidR="005D2606">
        <w:t>ealth and wellbeing</w:t>
      </w:r>
    </w:p>
    <w:p w14:paraId="58E0EBB0" w14:textId="248C293F" w:rsidR="005D2606" w:rsidRPr="00F10447" w:rsidRDefault="005D2606" w:rsidP="005D2606">
      <w:pPr>
        <w:pStyle w:val="BodyText"/>
        <w:widowControl w:val="0"/>
        <w:rPr>
          <w:szCs w:val="24"/>
        </w:rPr>
      </w:pPr>
      <w:r w:rsidRPr="00F10447">
        <w:t>‘</w:t>
      </w:r>
      <w:r w:rsidR="00683EC1">
        <w:t>Carer</w:t>
      </w:r>
      <w:r w:rsidRPr="00F10447">
        <w:t xml:space="preserve"> health and wellbeing’ is an indicator of governments’ </w:t>
      </w:r>
      <w:r w:rsidRPr="00F10447">
        <w:rPr>
          <w:szCs w:val="24"/>
        </w:rPr>
        <w:t xml:space="preserve">objective that people with disability and their </w:t>
      </w:r>
      <w:proofErr w:type="spellStart"/>
      <w:r w:rsidRPr="00F10447">
        <w:rPr>
          <w:szCs w:val="24"/>
        </w:rPr>
        <w:t>carers</w:t>
      </w:r>
      <w:proofErr w:type="spellEnd"/>
      <w:r w:rsidRPr="00F10447">
        <w:rPr>
          <w:szCs w:val="24"/>
        </w:rPr>
        <w:t xml:space="preserve"> have an enhanced quality of life</w:t>
      </w:r>
      <w:r w:rsidR="00341534">
        <w:rPr>
          <w:szCs w:val="24"/>
        </w:rPr>
        <w:t xml:space="preserve"> and enjoy choice and wellbeing</w:t>
      </w:r>
      <w:r>
        <w:rPr>
          <w:szCs w:val="24"/>
        </w:rPr>
        <w:t xml:space="preserve"> (box 15</w:t>
      </w:r>
      <w:r w:rsidRPr="00F10447">
        <w:rPr>
          <w:szCs w:val="24"/>
        </w:rPr>
        <w:t>.</w:t>
      </w:r>
      <w:r w:rsidR="007537AA">
        <w:rPr>
          <w:szCs w:val="24"/>
        </w:rPr>
        <w:t>13</w:t>
      </w:r>
      <w:r w:rsidRPr="00F10447">
        <w:rPr>
          <w:szCs w:val="24"/>
        </w:rPr>
        <w:t>).</w:t>
      </w:r>
    </w:p>
    <w:p w14:paraId="47BEA657" w14:textId="4D587F09" w:rsidR="005D2606" w:rsidRPr="00D16196" w:rsidRDefault="005D2606" w:rsidP="005D2606">
      <w:pPr>
        <w:pStyle w:val="BodyText"/>
        <w:widowControl w:val="0"/>
        <w:spacing w:before="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D2606" w:rsidRPr="00D16196" w14:paraId="38874A55" w14:textId="77777777" w:rsidTr="000E2534">
        <w:tc>
          <w:tcPr>
            <w:tcW w:w="8789" w:type="dxa"/>
            <w:tcBorders>
              <w:top w:val="single" w:sz="6" w:space="0" w:color="78A22F"/>
              <w:left w:val="nil"/>
              <w:bottom w:val="nil"/>
              <w:right w:val="nil"/>
            </w:tcBorders>
            <w:shd w:val="clear" w:color="auto" w:fill="F2F2F2" w:themeFill="background1" w:themeFillShade="F2"/>
          </w:tcPr>
          <w:p w14:paraId="7800248E" w14:textId="64CC5127" w:rsidR="005D2606" w:rsidRPr="00D16196" w:rsidRDefault="005D2606" w:rsidP="0052733D">
            <w:pPr>
              <w:pStyle w:val="BoxTitle"/>
            </w:pPr>
            <w:r w:rsidRPr="00D16196">
              <w:rPr>
                <w:b w:val="0"/>
              </w:rPr>
              <w:t>Box</w:t>
            </w:r>
            <w:r w:rsidR="007537AA">
              <w:rPr>
                <w:b w:val="0"/>
              </w:rPr>
              <w:t xml:space="preserve"> 15.</w:t>
            </w:r>
            <w:r w:rsidR="0052733D">
              <w:rPr>
                <w:b w:val="0"/>
              </w:rPr>
              <w:t>13</w:t>
            </w:r>
            <w:r w:rsidRPr="00D16196">
              <w:tab/>
            </w:r>
            <w:r w:rsidR="00683EC1">
              <w:t>Carer</w:t>
            </w:r>
            <w:r w:rsidRPr="00B4383D">
              <w:t xml:space="preserve"> h</w:t>
            </w:r>
            <w:r>
              <w:t>ealth and wellbeing</w:t>
            </w:r>
          </w:p>
        </w:tc>
      </w:tr>
      <w:tr w:rsidR="005D2606" w:rsidRPr="00D16196" w14:paraId="796FE127" w14:textId="77777777" w:rsidTr="000E2534">
        <w:trPr>
          <w:cantSplit/>
        </w:trPr>
        <w:tc>
          <w:tcPr>
            <w:tcW w:w="8789" w:type="dxa"/>
            <w:tcBorders>
              <w:top w:val="nil"/>
              <w:left w:val="nil"/>
              <w:bottom w:val="nil"/>
              <w:right w:val="nil"/>
            </w:tcBorders>
            <w:shd w:val="clear" w:color="auto" w:fill="F2F2F2" w:themeFill="background1" w:themeFillShade="F2"/>
          </w:tcPr>
          <w:p w14:paraId="393B6457" w14:textId="49A3472D" w:rsidR="005D2606" w:rsidRDefault="005D2606" w:rsidP="006F4198">
            <w:pPr>
              <w:pStyle w:val="Box"/>
              <w:rPr>
                <w:rFonts w:eastAsiaTheme="minorHAnsi"/>
                <w:lang w:eastAsia="en-US"/>
              </w:rPr>
            </w:pPr>
            <w:r w:rsidRPr="00D16196">
              <w:t>‘</w:t>
            </w:r>
            <w:r w:rsidR="00683EC1">
              <w:t>Carer</w:t>
            </w:r>
            <w:r w:rsidRPr="00B4383D">
              <w:t xml:space="preserve"> h</w:t>
            </w:r>
            <w:r>
              <w:t xml:space="preserve">ealth and wellbeing’ </w:t>
            </w:r>
            <w:r w:rsidRPr="0079093C">
              <w:rPr>
                <w:rFonts w:eastAsiaTheme="minorHAnsi"/>
                <w:lang w:eastAsia="en-US"/>
              </w:rPr>
              <w:t>is defined</w:t>
            </w:r>
            <w:r>
              <w:rPr>
                <w:rFonts w:eastAsiaTheme="minorHAnsi"/>
                <w:lang w:eastAsia="en-US"/>
              </w:rPr>
              <w:t xml:space="preserve"> using two measures:</w:t>
            </w:r>
          </w:p>
          <w:p w14:paraId="36851FB1" w14:textId="77777777" w:rsidR="005D2606" w:rsidRPr="00672ACA" w:rsidRDefault="005D2606" w:rsidP="005D2606">
            <w:pPr>
              <w:pStyle w:val="BoxListBullet"/>
              <w:spacing w:before="120" w:line="280" w:lineRule="atLeast"/>
              <w:rPr>
                <w:rFonts w:eastAsiaTheme="minorHAnsi"/>
                <w:lang w:eastAsia="en-US"/>
              </w:rPr>
            </w:pPr>
            <w:r w:rsidRPr="00672ACA">
              <w:rPr>
                <w:rFonts w:eastAsiaTheme="minorHAnsi"/>
                <w:lang w:eastAsia="en-US"/>
              </w:rPr>
              <w:t xml:space="preserve">the proportion of primary carers of people with disability who feel satisfied with their caring role </w:t>
            </w:r>
          </w:p>
          <w:p w14:paraId="2C1DAB15" w14:textId="77777777" w:rsidR="005D2606" w:rsidRPr="002A3B0E" w:rsidRDefault="005D2606" w:rsidP="005D2606">
            <w:pPr>
              <w:pStyle w:val="BoxListBullet"/>
              <w:spacing w:before="120" w:line="280" w:lineRule="atLeast"/>
            </w:pPr>
            <w:r w:rsidRPr="002A3B0E">
              <w:rPr>
                <w:rFonts w:eastAsiaTheme="minorHAnsi"/>
                <w:lang w:eastAsia="en-US"/>
              </w:rPr>
              <w:t>the proportion of primary carers of people with disability who do not experience negative impacts on their wellbeing due to their caring role</w:t>
            </w:r>
          </w:p>
          <w:p w14:paraId="0939200C" w14:textId="77777777" w:rsidR="005D2606" w:rsidRDefault="005D2606" w:rsidP="006F4198">
            <w:pPr>
              <w:pStyle w:val="Box"/>
            </w:pPr>
            <w:r>
              <w:t xml:space="preserve">A high or increasing rate of carers who feel satisfied with their caring role and who do not experience negative impacts </w:t>
            </w:r>
            <w:r w:rsidRPr="002A3B0E">
              <w:rPr>
                <w:rFonts w:eastAsiaTheme="minorHAnsi"/>
                <w:lang w:eastAsia="en-US"/>
              </w:rPr>
              <w:t>on their wellbeing due to their caring role</w:t>
            </w:r>
            <w:r>
              <w:t xml:space="preserve"> is desirable. </w:t>
            </w:r>
          </w:p>
          <w:p w14:paraId="6F8F108C" w14:textId="77777777" w:rsidR="005D2606" w:rsidRPr="00D16196" w:rsidRDefault="005D2606" w:rsidP="006F4198">
            <w:pPr>
              <w:pStyle w:val="Box"/>
            </w:pPr>
            <w:r w:rsidRPr="00D16196">
              <w:t>Data reported for this indicator are:</w:t>
            </w:r>
          </w:p>
          <w:p w14:paraId="5E7AC0CC" w14:textId="77777777" w:rsidR="005D2606" w:rsidRDefault="005D2606" w:rsidP="005D2606">
            <w:pPr>
              <w:pStyle w:val="BoxListBullet"/>
              <w:spacing w:before="120" w:line="280" w:lineRule="atLeast"/>
            </w:pPr>
            <w:r w:rsidRPr="002A3B0E">
              <w:t xml:space="preserve">comparable across jurisdictions and over time </w:t>
            </w:r>
          </w:p>
          <w:p w14:paraId="2643285B" w14:textId="7F6108F4" w:rsidR="005D2606" w:rsidRPr="00D16196" w:rsidRDefault="005D2606" w:rsidP="005D2606">
            <w:pPr>
              <w:pStyle w:val="BoxListBullet"/>
              <w:spacing w:before="120" w:line="280" w:lineRule="atLeast"/>
            </w:pPr>
            <w:r w:rsidRPr="00D16196">
              <w:t>complete (subject to caveats) for the current reporting period.</w:t>
            </w:r>
            <w:r>
              <w:t xml:space="preserve"> </w:t>
            </w:r>
            <w:r w:rsidR="00341534">
              <w:t>All required 20</w:t>
            </w:r>
            <w:r w:rsidR="00341534" w:rsidRPr="007162F2">
              <w:t>15 data are available for all jurisdictions</w:t>
            </w:r>
            <w:r w:rsidR="00341534">
              <w:t>.</w:t>
            </w:r>
          </w:p>
        </w:tc>
      </w:tr>
      <w:tr w:rsidR="005D2606" w:rsidRPr="00D16196" w14:paraId="0ECCE5B1" w14:textId="77777777" w:rsidTr="000E2534">
        <w:trPr>
          <w:cantSplit/>
        </w:trPr>
        <w:tc>
          <w:tcPr>
            <w:tcW w:w="8789" w:type="dxa"/>
            <w:tcBorders>
              <w:top w:val="nil"/>
              <w:left w:val="nil"/>
              <w:bottom w:val="single" w:sz="6" w:space="0" w:color="78A22F"/>
              <w:right w:val="nil"/>
            </w:tcBorders>
            <w:shd w:val="clear" w:color="auto" w:fill="F2F2F2" w:themeFill="background1" w:themeFillShade="F2"/>
          </w:tcPr>
          <w:p w14:paraId="541D9AEA" w14:textId="77777777" w:rsidR="005D2606" w:rsidRPr="00D16196" w:rsidRDefault="005D2606" w:rsidP="006F4198">
            <w:pPr>
              <w:pStyle w:val="Box"/>
              <w:spacing w:before="0" w:line="120" w:lineRule="exact"/>
            </w:pPr>
          </w:p>
        </w:tc>
      </w:tr>
      <w:tr w:rsidR="005D2606" w:rsidRPr="00D16196" w14:paraId="0B15F75B" w14:textId="77777777" w:rsidTr="000E2534">
        <w:tc>
          <w:tcPr>
            <w:tcW w:w="8789" w:type="dxa"/>
            <w:tcBorders>
              <w:top w:val="single" w:sz="6" w:space="0" w:color="78A22F"/>
              <w:left w:val="nil"/>
              <w:bottom w:val="nil"/>
              <w:right w:val="nil"/>
            </w:tcBorders>
          </w:tcPr>
          <w:p w14:paraId="6594733E" w14:textId="570E51B0" w:rsidR="005D2606" w:rsidRPr="00D16196" w:rsidRDefault="005D2606" w:rsidP="006F4198">
            <w:pPr>
              <w:pStyle w:val="BoxSpaceBelow"/>
            </w:pPr>
          </w:p>
        </w:tc>
      </w:tr>
    </w:tbl>
    <w:p w14:paraId="7AB5B0CF" w14:textId="3F63B1C1" w:rsidR="00CA7A86" w:rsidRDefault="005D5EA3" w:rsidP="00CA7A86">
      <w:pPr>
        <w:pStyle w:val="BodyText"/>
      </w:pPr>
      <w:bookmarkStart w:id="31" w:name="_Toc470167922"/>
      <w:r>
        <w:t>Nationally in 2015, less than one-quarter of primary carers of people with disability were satisfied with their caring role (22.9 per cent</w:t>
      </w:r>
      <w:r w:rsidR="00683EC1">
        <w:t xml:space="preserve"> and</w:t>
      </w:r>
      <w:r>
        <w:t xml:space="preserve"> table 15A.21) and less than half of carers did not experience negative impacts on their wellbeing due to t</w:t>
      </w:r>
      <w:r w:rsidR="00683EC1">
        <w:t>heir caring role (44.4 per cent and</w:t>
      </w:r>
      <w:r>
        <w:t xml:space="preserve"> table 15A.22). Rates of satisfaction and absence of negative impacts on wellbeing were higher for male carers compared </w:t>
      </w:r>
      <w:r w:rsidR="00683EC1">
        <w:t>to female carers (tables 15A.21–</w:t>
      </w:r>
      <w:r>
        <w:t xml:space="preserve">22). </w:t>
      </w:r>
    </w:p>
    <w:p w14:paraId="03B16E34" w14:textId="77777777" w:rsidR="00342AFB" w:rsidRDefault="00342AFB">
      <w:pPr>
        <w:rPr>
          <w:rFonts w:ascii="Arial" w:hAnsi="Arial"/>
          <w:b/>
          <w:sz w:val="32"/>
          <w:szCs w:val="20"/>
        </w:rPr>
      </w:pPr>
      <w:r>
        <w:br w:type="page"/>
      </w:r>
    </w:p>
    <w:p w14:paraId="6A0BC873" w14:textId="301729F5" w:rsidR="00E02BE8" w:rsidRDefault="009F7421" w:rsidP="000E2534">
      <w:pPr>
        <w:pStyle w:val="Heading2"/>
        <w:spacing w:after="240"/>
      </w:pPr>
      <w:r w:rsidRPr="007162F2">
        <w:lastRenderedPageBreak/>
        <w:t>15.</w:t>
      </w:r>
      <w:r w:rsidR="00C37B05">
        <w:rPr>
          <w:noProof/>
        </w:rPr>
        <w:t>4</w:t>
      </w:r>
      <w:r w:rsidRPr="007162F2">
        <w:tab/>
        <w:t>Definitions of key terms</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contains a nested table with data/information."/>
      </w:tblPr>
      <w:tblGrid>
        <w:gridCol w:w="2552"/>
        <w:gridCol w:w="6227"/>
      </w:tblGrid>
      <w:tr w:rsidR="000E2534" w14:paraId="72D4766D" w14:textId="77777777" w:rsidTr="00D110FE">
        <w:tc>
          <w:tcPr>
            <w:tcW w:w="2552" w:type="dxa"/>
          </w:tcPr>
          <w:p w14:paraId="4168F39B" w14:textId="36FB6EFE" w:rsidR="000E2534" w:rsidRPr="000E2534" w:rsidRDefault="000E2534" w:rsidP="000E2534">
            <w:pPr>
              <w:pStyle w:val="TableBodyText"/>
              <w:jc w:val="left"/>
              <w:rPr>
                <w:b/>
              </w:rPr>
            </w:pPr>
            <w:r w:rsidRPr="00507773">
              <w:rPr>
                <w:b/>
              </w:rPr>
              <w:t>Core activities as per the 2015 ABS SDAC</w:t>
            </w:r>
          </w:p>
        </w:tc>
        <w:tc>
          <w:tcPr>
            <w:tcW w:w="6227" w:type="dxa"/>
          </w:tcPr>
          <w:p w14:paraId="72564651" w14:textId="0F7E2A28" w:rsidR="000E2534" w:rsidRDefault="00D110FE" w:rsidP="000E2534">
            <w:pPr>
              <w:pStyle w:val="TableBodyText"/>
              <w:jc w:val="left"/>
            </w:pPr>
            <w:r w:rsidRPr="00507773">
              <w:t>Communication, mobility and self</w:t>
            </w:r>
            <w:r>
              <w:noBreakHyphen/>
            </w:r>
            <w:r w:rsidRPr="00507773">
              <w:t>care.</w:t>
            </w:r>
          </w:p>
        </w:tc>
      </w:tr>
      <w:tr w:rsidR="000E2534" w14:paraId="0C9A0204" w14:textId="77777777" w:rsidTr="00D110FE">
        <w:tc>
          <w:tcPr>
            <w:tcW w:w="2552" w:type="dxa"/>
          </w:tcPr>
          <w:p w14:paraId="5BD02E1B" w14:textId="443510EA" w:rsidR="000E2534" w:rsidRPr="000E2534" w:rsidRDefault="00D110FE" w:rsidP="000E2534">
            <w:pPr>
              <w:pStyle w:val="TableBodyText"/>
              <w:jc w:val="left"/>
              <w:rPr>
                <w:b/>
              </w:rPr>
            </w:pPr>
            <w:r w:rsidRPr="00507773">
              <w:rPr>
                <w:b/>
              </w:rPr>
              <w:t>Disability</w:t>
            </w:r>
          </w:p>
        </w:tc>
        <w:tc>
          <w:tcPr>
            <w:tcW w:w="6227" w:type="dxa"/>
          </w:tcPr>
          <w:p w14:paraId="607A46FB" w14:textId="77777777" w:rsidR="00D110FE" w:rsidRPr="00507773" w:rsidRDefault="00D110FE" w:rsidP="00D110FE">
            <w:pPr>
              <w:pStyle w:val="TableBodyText"/>
              <w:keepNext w:val="0"/>
              <w:jc w:val="left"/>
            </w:pPr>
            <w:r w:rsidRPr="00507773">
              <w:t>The United Nation’s Convention on the Rights of Persons with Disabilities, ratified by Australia on 17</w:t>
            </w:r>
            <w:r>
              <w:t> </w:t>
            </w:r>
            <w:r w:rsidRPr="00507773">
              <w:t xml:space="preserve">July 2008, defines ‘persons with disabilities’ as those who have long term physical, mental, intellectual or sensory impairments which in interaction with various barriers may hinder their full and effective participation in society on an equal basis with others. </w:t>
            </w:r>
          </w:p>
          <w:p w14:paraId="0E0FBB12" w14:textId="77777777" w:rsidR="000E2534" w:rsidRDefault="00D110FE" w:rsidP="00D110FE">
            <w:pPr>
              <w:pStyle w:val="TableBodyText"/>
              <w:jc w:val="left"/>
            </w:pPr>
            <w:r w:rsidRPr="00507773">
              <w:t>The World Health Organisation defines ‘disabilities’ as impairments, activity limitations, and participation restrictions: an impairment is a problem in body function or structure; an activity limitation is a difficulty encountered by an individual in executing a task or action; and a participation restriction is a problem experienced by an individual in involvement in life situations. Disability is a complex phenomenon, reflecting an interaction between features of a person’s body and features of the society in which he or she lives (WHO 2009).</w:t>
            </w:r>
          </w:p>
          <w:p w14:paraId="4F7DDB68" w14:textId="77777777" w:rsidR="00D110FE" w:rsidRDefault="00D110FE" w:rsidP="00D110FE">
            <w:pPr>
              <w:pStyle w:val="TableBodyText"/>
              <w:jc w:val="left"/>
            </w:pPr>
            <w:r w:rsidRPr="00507773">
              <w:t>In the ABS SDAC 2015, a person has a disability if they ‘report they have a limitation, restriction or impairment, which has lasted, or is likely to last, for at least six months and restricts everyday activities. This includes:</w:t>
            </w:r>
          </w:p>
          <w:p w14:paraId="1A0D670D" w14:textId="77777777" w:rsidR="00D110FE" w:rsidRDefault="00D110FE" w:rsidP="00D110FE">
            <w:pPr>
              <w:pStyle w:val="TableBullet"/>
            </w:pPr>
            <w:r w:rsidRPr="00507773">
              <w:t>loss of sight (not corrected by glasses or contact lenses)</w:t>
            </w:r>
          </w:p>
          <w:p w14:paraId="165FD630" w14:textId="77777777" w:rsidR="00D110FE" w:rsidRDefault="00D110FE" w:rsidP="00D110FE">
            <w:pPr>
              <w:pStyle w:val="TableBullet"/>
            </w:pPr>
            <w:r w:rsidRPr="00507773">
              <w:t>loss of hearing where communication is restricted, or an aid to assist with, or substitute for, hearing is used</w:t>
            </w:r>
          </w:p>
          <w:p w14:paraId="5F49EAD1" w14:textId="77777777" w:rsidR="00D110FE" w:rsidRPr="00507773" w:rsidRDefault="00D110FE" w:rsidP="00D110FE">
            <w:pPr>
              <w:pStyle w:val="TableBullet"/>
              <w:keepNext w:val="0"/>
            </w:pPr>
            <w:r w:rsidRPr="00507773">
              <w:t>speech difficulties</w:t>
            </w:r>
          </w:p>
          <w:p w14:paraId="31C23662" w14:textId="77777777" w:rsidR="00D110FE" w:rsidRPr="00507773" w:rsidRDefault="00D110FE" w:rsidP="00D110FE">
            <w:pPr>
              <w:pStyle w:val="TableBullet"/>
              <w:keepNext w:val="0"/>
            </w:pPr>
            <w:r w:rsidRPr="00507773">
              <w:t>shortness of breath or breathing difficulties causing restriction</w:t>
            </w:r>
          </w:p>
          <w:p w14:paraId="02AD1B02" w14:textId="77777777" w:rsidR="00D110FE" w:rsidRPr="00507773" w:rsidRDefault="00D110FE" w:rsidP="00D110FE">
            <w:pPr>
              <w:pStyle w:val="TableBullet"/>
              <w:keepNext w:val="0"/>
            </w:pPr>
            <w:r w:rsidRPr="00507773">
              <w:t>chronic or recurrent pain or discomfort causing restriction</w:t>
            </w:r>
          </w:p>
          <w:p w14:paraId="45F1C131" w14:textId="77777777" w:rsidR="00D110FE" w:rsidRPr="00507773" w:rsidRDefault="00D110FE" w:rsidP="00D110FE">
            <w:pPr>
              <w:pStyle w:val="TableBullet"/>
              <w:keepNext w:val="0"/>
            </w:pPr>
            <w:r w:rsidRPr="00507773">
              <w:t>blackouts, seizures, or loss of consciousness</w:t>
            </w:r>
          </w:p>
          <w:p w14:paraId="668D47BF" w14:textId="77777777" w:rsidR="00D110FE" w:rsidRPr="00507773" w:rsidRDefault="00D110FE" w:rsidP="00D110FE">
            <w:pPr>
              <w:pStyle w:val="TableBullet"/>
              <w:keepNext w:val="0"/>
            </w:pPr>
            <w:r w:rsidRPr="00507773">
              <w:t>difficulty learning or understanding</w:t>
            </w:r>
          </w:p>
          <w:p w14:paraId="55065E26" w14:textId="77777777" w:rsidR="00D110FE" w:rsidRPr="00507773" w:rsidRDefault="00D110FE" w:rsidP="00D110FE">
            <w:pPr>
              <w:pStyle w:val="TableBullet"/>
              <w:keepNext w:val="0"/>
            </w:pPr>
            <w:r w:rsidRPr="00507773">
              <w:t>incomplete use of arms or fingers</w:t>
            </w:r>
          </w:p>
          <w:p w14:paraId="7056C9FE" w14:textId="77777777" w:rsidR="00D110FE" w:rsidRPr="00507773" w:rsidRDefault="00D110FE" w:rsidP="00D110FE">
            <w:pPr>
              <w:pStyle w:val="TableBullet"/>
              <w:keepNext w:val="0"/>
            </w:pPr>
            <w:r w:rsidRPr="00507773">
              <w:t>difficulty gripping or holding things</w:t>
            </w:r>
          </w:p>
          <w:p w14:paraId="6DDE4DAC" w14:textId="77777777" w:rsidR="00D110FE" w:rsidRDefault="00D110FE" w:rsidP="00D110FE">
            <w:pPr>
              <w:pStyle w:val="TableBullet"/>
            </w:pPr>
            <w:r w:rsidRPr="00507773">
              <w:t>incomplete use of feet or legs</w:t>
            </w:r>
          </w:p>
          <w:p w14:paraId="0456AB4F" w14:textId="77777777" w:rsidR="00D110FE" w:rsidRPr="00507773" w:rsidRDefault="00D110FE" w:rsidP="00D110FE">
            <w:pPr>
              <w:pStyle w:val="TableBullet"/>
              <w:keepNext w:val="0"/>
            </w:pPr>
            <w:r w:rsidRPr="00507773">
              <w:t>nervous or emotional condition causing restriction</w:t>
            </w:r>
          </w:p>
          <w:p w14:paraId="0BF6B7DD" w14:textId="77777777" w:rsidR="00D110FE" w:rsidRPr="00507773" w:rsidRDefault="00D110FE" w:rsidP="00D110FE">
            <w:pPr>
              <w:pStyle w:val="TableBullet"/>
              <w:keepNext w:val="0"/>
            </w:pPr>
            <w:r w:rsidRPr="00507773">
              <w:t>restriction in physical activities or in doing physical work</w:t>
            </w:r>
          </w:p>
          <w:p w14:paraId="12F85BAD" w14:textId="77777777" w:rsidR="00D110FE" w:rsidRPr="00507773" w:rsidRDefault="00D110FE" w:rsidP="00D110FE">
            <w:pPr>
              <w:pStyle w:val="TableBullet"/>
              <w:keepNext w:val="0"/>
            </w:pPr>
            <w:r w:rsidRPr="00507773">
              <w:t>disfigurement or deformity</w:t>
            </w:r>
          </w:p>
          <w:p w14:paraId="5CE1ACC6" w14:textId="77777777" w:rsidR="00D110FE" w:rsidRPr="00507773" w:rsidRDefault="00D110FE" w:rsidP="00D110FE">
            <w:pPr>
              <w:pStyle w:val="TableBullet"/>
              <w:keepNext w:val="0"/>
            </w:pPr>
            <w:r w:rsidRPr="00507773">
              <w:t>mental illness or condition requiring help or supervision</w:t>
            </w:r>
          </w:p>
          <w:p w14:paraId="6CD4D953" w14:textId="77777777" w:rsidR="00D110FE" w:rsidRDefault="00D110FE" w:rsidP="00D110FE">
            <w:pPr>
              <w:pStyle w:val="TableBullet"/>
            </w:pPr>
            <w:r w:rsidRPr="00507773">
              <w:t>long term effects of head injury, stroke or other brain damage causing restriction</w:t>
            </w:r>
          </w:p>
          <w:p w14:paraId="083F9EB9" w14:textId="77777777" w:rsidR="00D110FE" w:rsidRDefault="00D110FE" w:rsidP="00D110FE">
            <w:pPr>
              <w:pStyle w:val="TableBullet"/>
            </w:pPr>
            <w:r w:rsidRPr="00507773">
              <w:t>receiving treatment or medication for any other long term conditions or ailments and still being restricted</w:t>
            </w:r>
          </w:p>
          <w:p w14:paraId="63410D03" w14:textId="77777777" w:rsidR="00D110FE" w:rsidRDefault="00D110FE" w:rsidP="00D110FE">
            <w:pPr>
              <w:pStyle w:val="TableBullet"/>
            </w:pPr>
            <w:r w:rsidRPr="00507773">
              <w:t>any other long term conditions resulting in a restriction.</w:t>
            </w:r>
          </w:p>
          <w:p w14:paraId="5C859B0C" w14:textId="519D27B9" w:rsidR="00D110FE" w:rsidRDefault="00D110FE" w:rsidP="00D110FE">
            <w:pPr>
              <w:pStyle w:val="TableBodyText"/>
              <w:jc w:val="left"/>
            </w:pPr>
            <w:r w:rsidRPr="00507773">
              <w:t>The third CSTDA (2003, p.</w:t>
            </w:r>
            <w:r>
              <w:t> </w:t>
            </w:r>
            <w:r w:rsidRPr="00507773">
              <w:t>9) defined ‘people with disabilities’ as those whose disability manifests itself before the age of 65 years and for which they require significant ongoing and/or long term episodic support. For these people, the disability will be attributable to an intellectual, psychiatric, sensory, physical or neurological impairment or acquired brain injury (or some combination of these) which is likely to be permanent and results in substantially reduced capacity in at least one of the following: self</w:t>
            </w:r>
            <w:r>
              <w:noBreakHyphen/>
            </w:r>
            <w:r w:rsidRPr="00507773">
              <w:t>care/management, mobility and communication.</w:t>
            </w:r>
          </w:p>
        </w:tc>
      </w:tr>
      <w:tr w:rsidR="000E2534" w14:paraId="0DC17046" w14:textId="77777777" w:rsidTr="00D110FE">
        <w:tc>
          <w:tcPr>
            <w:tcW w:w="2552" w:type="dxa"/>
          </w:tcPr>
          <w:p w14:paraId="0B4C0117" w14:textId="1B819323" w:rsidR="000E2534" w:rsidRPr="000E2534" w:rsidRDefault="00D110FE" w:rsidP="000E2534">
            <w:pPr>
              <w:pStyle w:val="TableBodyText"/>
              <w:jc w:val="left"/>
              <w:rPr>
                <w:b/>
              </w:rPr>
            </w:pPr>
            <w:r w:rsidRPr="00507773">
              <w:rPr>
                <w:b/>
              </w:rPr>
              <w:t>Employment services</w:t>
            </w:r>
            <w:r w:rsidR="00665EFA">
              <w:rPr>
                <w:b/>
              </w:rPr>
              <w:t xml:space="preserve"> </w:t>
            </w:r>
          </w:p>
        </w:tc>
        <w:tc>
          <w:tcPr>
            <w:tcW w:w="6227" w:type="dxa"/>
          </w:tcPr>
          <w:p w14:paraId="7DD27437" w14:textId="2E7855D6" w:rsidR="000E2534" w:rsidRDefault="00D110FE" w:rsidP="000E2534">
            <w:pPr>
              <w:pStyle w:val="TableBodyText"/>
              <w:jc w:val="left"/>
            </w:pPr>
            <w:r w:rsidRPr="00507773">
              <w:t>Employment services comprise open employment services and supported employment services. Where users of employment services are described without further qualification, this includes people who use either or both open and supported employment services.</w:t>
            </w:r>
          </w:p>
        </w:tc>
      </w:tr>
    </w:tbl>
    <w:p w14:paraId="6115DCC9" w14:textId="7FB89FD0" w:rsidR="009F7421" w:rsidRDefault="009F7421" w:rsidP="009F5938">
      <w:pPr>
        <w:pStyle w:val="BoxSpaceAbove"/>
      </w:pPr>
    </w:p>
    <w:p w14:paraId="6B7D5C92" w14:textId="77777777" w:rsidR="00D110FE" w:rsidRDefault="00D110FE" w:rsidP="009F5938">
      <w:pPr>
        <w:pStyle w:val="BoxSpaceAbove"/>
      </w:pPr>
    </w:p>
    <w:p w14:paraId="507121EB" w14:textId="77777777" w:rsidR="00D110FE" w:rsidRDefault="00D110FE" w:rsidP="009F5938">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
      </w:tblPr>
      <w:tblGrid>
        <w:gridCol w:w="2410"/>
        <w:gridCol w:w="6369"/>
      </w:tblGrid>
      <w:tr w:rsidR="00D110FE" w14:paraId="20CB6497" w14:textId="77777777" w:rsidTr="00D110FE">
        <w:tc>
          <w:tcPr>
            <w:tcW w:w="2410" w:type="dxa"/>
          </w:tcPr>
          <w:p w14:paraId="50EDD50B" w14:textId="7D11BE94" w:rsidR="00D110FE" w:rsidRDefault="00D110FE" w:rsidP="00D110FE">
            <w:pPr>
              <w:pStyle w:val="TableBodyText"/>
              <w:jc w:val="left"/>
            </w:pPr>
          </w:p>
        </w:tc>
        <w:tc>
          <w:tcPr>
            <w:tcW w:w="6369" w:type="dxa"/>
          </w:tcPr>
          <w:p w14:paraId="4F12D6E8" w14:textId="523C798E" w:rsidR="00D110FE" w:rsidRDefault="00D110FE" w:rsidP="00D110FE">
            <w:pPr>
              <w:pStyle w:val="TableBodyText"/>
              <w:jc w:val="left"/>
            </w:pPr>
            <w:r w:rsidRPr="00507773">
              <w:t xml:space="preserve">All open employment services are now included in the Disability Employment Services (DES) program administered by the Department of Social Services (DSS). Disability Employment Services has two parts: Disability Management Services (DMS) is for job seekers with disability, injury or health condition who need assistance to find a job and occasional support to keep a job; and Employment Support Services (ESS) provides assistance to people with permanent disability and who need regular, ongoing support to keep a job. Supported employment services are administered by DSS (formerly </w:t>
            </w:r>
            <w:proofErr w:type="spellStart"/>
            <w:r w:rsidRPr="00507773">
              <w:t>FaHCSIA</w:t>
            </w:r>
            <w:proofErr w:type="spellEnd"/>
            <w:r w:rsidRPr="00507773">
              <w:t>) under the Disability Employment Assistance activity as Australian Disability Enterprises. Australian Disability Enterprises are commercial businesses that provide employment for people with disability in a supportive environment.</w:t>
            </w:r>
          </w:p>
        </w:tc>
      </w:tr>
      <w:tr w:rsidR="00D110FE" w14:paraId="231BD045" w14:textId="77777777" w:rsidTr="00D110FE">
        <w:tc>
          <w:tcPr>
            <w:tcW w:w="2410" w:type="dxa"/>
          </w:tcPr>
          <w:p w14:paraId="644A7C02" w14:textId="646CEACD" w:rsidR="00D110FE" w:rsidRPr="00507773" w:rsidRDefault="00D110FE" w:rsidP="00D110FE">
            <w:pPr>
              <w:pStyle w:val="TableBodyText"/>
              <w:jc w:val="left"/>
            </w:pPr>
            <w:r w:rsidRPr="00507773">
              <w:rPr>
                <w:b/>
              </w:rPr>
              <w:t>Funded agency</w:t>
            </w:r>
          </w:p>
        </w:tc>
        <w:tc>
          <w:tcPr>
            <w:tcW w:w="6369" w:type="dxa"/>
          </w:tcPr>
          <w:p w14:paraId="18843617" w14:textId="413910CE" w:rsidR="00D110FE" w:rsidRDefault="00D110FE" w:rsidP="00D110FE">
            <w:pPr>
              <w:pStyle w:val="TableBodyText"/>
              <w:jc w:val="left"/>
            </w:pPr>
            <w:r w:rsidRPr="00507773">
              <w:t>An organisation that delivers one or more NDA service types (service type outlets). Funded agencies are usually legal entities. They are generally responsible for providing DS NMDS data to jurisdictions. Where a funded agency operates only one service type outlet, the service type outlet and the funded agency are the same entity.</w:t>
            </w:r>
          </w:p>
        </w:tc>
      </w:tr>
      <w:tr w:rsidR="00D110FE" w14:paraId="674B0C47" w14:textId="77777777" w:rsidTr="00D110FE">
        <w:tc>
          <w:tcPr>
            <w:tcW w:w="2410" w:type="dxa"/>
          </w:tcPr>
          <w:p w14:paraId="2993EE33" w14:textId="2AAF77D3" w:rsidR="00D110FE" w:rsidRPr="00507773" w:rsidRDefault="00D110FE" w:rsidP="00D110FE">
            <w:pPr>
              <w:pStyle w:val="TableBodyText"/>
              <w:jc w:val="left"/>
              <w:rPr>
                <w:b/>
              </w:rPr>
            </w:pPr>
            <w:r w:rsidRPr="00507773">
              <w:rPr>
                <w:b/>
              </w:rPr>
              <w:t>Geographic location</w:t>
            </w:r>
          </w:p>
        </w:tc>
        <w:tc>
          <w:tcPr>
            <w:tcW w:w="6369" w:type="dxa"/>
          </w:tcPr>
          <w:p w14:paraId="2B25E190" w14:textId="16284E51" w:rsidR="00D110FE" w:rsidRPr="00507773" w:rsidRDefault="00D110FE" w:rsidP="00D110FE">
            <w:pPr>
              <w:pStyle w:val="TableBodyText"/>
              <w:jc w:val="left"/>
            </w:pPr>
            <w:r w:rsidRPr="00507773">
              <w:t>Geographic location is based on the Australian Statistical Geography Standard of Remoteness Areas, which categorises areas as ‘major cities’, ‘inner regional’, ‘outer regional’, ‘remote’, ‘very remote’ and ‘migratory’. The criteria for Remoteness Areas are based on the Accessibility/Remoteness Index of Australia, which measures the remoteness of a point based on the physical road distance to the nearest urban centre in each</w:t>
            </w:r>
            <w:r w:rsidR="00D849BF">
              <w:t xml:space="preserve"> of five size classes (ABS 2011</w:t>
            </w:r>
            <w:r w:rsidR="009E0A77">
              <w:t>b</w:t>
            </w:r>
            <w:r w:rsidRPr="00507773">
              <w:t>). The ‘outer regional and remote/very remote’ classification used in this Report was derived by adding outer regional, remote and very remote data.</w:t>
            </w:r>
          </w:p>
        </w:tc>
      </w:tr>
      <w:tr w:rsidR="00D110FE" w14:paraId="6561A659" w14:textId="77777777" w:rsidTr="00D110FE">
        <w:tc>
          <w:tcPr>
            <w:tcW w:w="2410" w:type="dxa"/>
          </w:tcPr>
          <w:p w14:paraId="70A17AD9" w14:textId="5E3AE3E3" w:rsidR="00D110FE" w:rsidRPr="00507773" w:rsidRDefault="00D110FE" w:rsidP="00D110FE">
            <w:pPr>
              <w:pStyle w:val="TableBodyText"/>
              <w:jc w:val="left"/>
              <w:rPr>
                <w:b/>
              </w:rPr>
            </w:pPr>
            <w:r w:rsidRPr="00507773">
              <w:rPr>
                <w:b/>
              </w:rPr>
              <w:t xml:space="preserve">Government and </w:t>
            </w:r>
            <w:r w:rsidRPr="00507773">
              <w:rPr>
                <w:b/>
              </w:rPr>
              <w:br/>
              <w:t>non</w:t>
            </w:r>
            <w:r>
              <w:rPr>
                <w:b/>
              </w:rPr>
              <w:noBreakHyphen/>
            </w:r>
            <w:r w:rsidRPr="00507773">
              <w:rPr>
                <w:b/>
              </w:rPr>
              <w:t>government provided services</w:t>
            </w:r>
          </w:p>
        </w:tc>
        <w:tc>
          <w:tcPr>
            <w:tcW w:w="6369" w:type="dxa"/>
          </w:tcPr>
          <w:p w14:paraId="7DF2C44C" w14:textId="0AE3BC6F" w:rsidR="00D110FE" w:rsidRPr="00507773" w:rsidRDefault="00D110FE" w:rsidP="00D110FE">
            <w:pPr>
              <w:pStyle w:val="TableBodyText"/>
              <w:jc w:val="left"/>
            </w:pPr>
            <w:r w:rsidRPr="00507773">
              <w:t>Efficiency indicators are reported for both government and non</w:t>
            </w:r>
            <w:r w:rsidRPr="00507773">
              <w:noBreakHyphen/>
              <w:t>government provided services. Government provision means that a service is both funded and directly provided by a government department, agency or local government. Non</w:t>
            </w:r>
            <w:r w:rsidRPr="00507773">
              <w:noBreakHyphen/>
              <w:t>government provision is a service purchased or part</w:t>
            </w:r>
            <w:r w:rsidRPr="00507773">
              <w:noBreakHyphen/>
              <w:t>funded by a government department or agency, but provided by a non</w:t>
            </w:r>
            <w:r w:rsidRPr="00507773">
              <w:noBreakHyphen/>
              <w:t>government organisation. Non</w:t>
            </w:r>
            <w:r w:rsidRPr="00507773">
              <w:noBreakHyphen/>
              <w:t>government service providers may receive funds from the private sector and the general public in addition to funding, grants and input tax concessions (such as payroll tax exemptions) from governments. Data on funds that</w:t>
            </w:r>
            <w:r>
              <w:t xml:space="preserve"> </w:t>
            </w:r>
            <w:r w:rsidRPr="00507773">
              <w:t>non</w:t>
            </w:r>
            <w:r w:rsidRPr="00507773">
              <w:noBreakHyphen/>
              <w:t>government service providers receive from the private sector and the general public are outside the scope of this Report.</w:t>
            </w:r>
          </w:p>
        </w:tc>
      </w:tr>
      <w:tr w:rsidR="00D110FE" w14:paraId="11175AC4" w14:textId="77777777" w:rsidTr="00D110FE">
        <w:tc>
          <w:tcPr>
            <w:tcW w:w="2410" w:type="dxa"/>
          </w:tcPr>
          <w:p w14:paraId="4118ACF8" w14:textId="416BBD72" w:rsidR="00D110FE" w:rsidRPr="00507773" w:rsidRDefault="00D110FE" w:rsidP="00D110FE">
            <w:pPr>
              <w:pStyle w:val="TableBodyText"/>
              <w:jc w:val="left"/>
              <w:rPr>
                <w:b/>
              </w:rPr>
            </w:pPr>
            <w:r w:rsidRPr="00507773">
              <w:rPr>
                <w:b/>
              </w:rPr>
              <w:t>Informal carer</w:t>
            </w:r>
          </w:p>
        </w:tc>
        <w:tc>
          <w:tcPr>
            <w:tcW w:w="6369" w:type="dxa"/>
          </w:tcPr>
          <w:p w14:paraId="267A7DA1" w14:textId="77777777" w:rsidR="00D110FE" w:rsidRPr="00507773" w:rsidRDefault="00D110FE" w:rsidP="00D110FE">
            <w:pPr>
              <w:pStyle w:val="TableBodyText"/>
              <w:keepNext w:val="0"/>
              <w:jc w:val="left"/>
              <w:rPr>
                <w:rFonts w:cs="Arial"/>
                <w:shd w:val="clear" w:color="auto" w:fill="FFFFFF"/>
              </w:rPr>
            </w:pPr>
            <w:r w:rsidRPr="00507773">
              <w:rPr>
                <w:i/>
              </w:rPr>
              <w:t>ABS informal carer</w:t>
            </w:r>
            <w:r w:rsidRPr="00507773">
              <w:t xml:space="preserve">: </w:t>
            </w:r>
            <w:r w:rsidRPr="00507773">
              <w:rPr>
                <w:rFonts w:cs="Arial"/>
                <w:shd w:val="clear" w:color="auto" w:fill="FFFFFF"/>
              </w:rPr>
              <w:t xml:space="preserve">a </w:t>
            </w:r>
            <w:proofErr w:type="spellStart"/>
            <w:r w:rsidRPr="00507773">
              <w:rPr>
                <w:rFonts w:cs="Arial"/>
                <w:shd w:val="clear" w:color="auto" w:fill="FFFFFF"/>
              </w:rPr>
              <w:t>carer</w:t>
            </w:r>
            <w:proofErr w:type="spellEnd"/>
            <w:r w:rsidRPr="00507773">
              <w:rPr>
                <w:rFonts w:cs="Arial"/>
                <w:shd w:val="clear" w:color="auto" w:fill="FFFFFF"/>
              </w:rPr>
              <w:t xml:space="preserve"> is a person of any age who provides any informal assistance, in terms of help or supervision, to persons with disability or older persons (i.e. aged 65 years and over). The assistance has to be ongoing, or likely to be ongoing, for at least six months. Assistance to a person in a different household relates to ‘everyday activities’, without specific information on the type of activity (ABS 2015).</w:t>
            </w:r>
          </w:p>
          <w:p w14:paraId="66C9FD6E" w14:textId="77777777" w:rsidR="00D110FE" w:rsidRPr="00507773" w:rsidRDefault="00D110FE" w:rsidP="00D110FE">
            <w:pPr>
              <w:pStyle w:val="TableBodyText"/>
              <w:keepNext w:val="0"/>
              <w:jc w:val="left"/>
            </w:pPr>
            <w:r w:rsidRPr="00507773">
              <w:rPr>
                <w:i/>
              </w:rPr>
              <w:t xml:space="preserve">NDA Informal Carer: </w:t>
            </w:r>
            <w:r w:rsidRPr="00507773">
              <w:t xml:space="preserve">See NDA primary carer. </w:t>
            </w:r>
          </w:p>
          <w:p w14:paraId="6E0C4B3C" w14:textId="77777777" w:rsidR="00D110FE" w:rsidRPr="00507773" w:rsidRDefault="00D110FE" w:rsidP="00D110FE">
            <w:pPr>
              <w:pStyle w:val="TableBodyText"/>
              <w:keepNext w:val="0"/>
              <w:jc w:val="left"/>
            </w:pPr>
            <w:r w:rsidRPr="00507773">
              <w:rPr>
                <w:i/>
              </w:rPr>
              <w:t>DS NMDS informal carer</w:t>
            </w:r>
            <w:r w:rsidRPr="00507773">
              <w:t xml:space="preserve">: an informal carer is a person such as a family member, friend or neighbour who provides regular and sustained care and assistance to the person requiring support (AIHW 2012). This includes people who may receive a pension or benefit associated with their caring role, but does not include people, either paid or voluntary, whose services are arranged by a formal service organisation. Informal carers can be defined as primary if they help with one or more of the activities of daily living: </w:t>
            </w:r>
            <w:proofErr w:type="spellStart"/>
            <w:r w:rsidRPr="00507773">
              <w:t>self care</w:t>
            </w:r>
            <w:proofErr w:type="spellEnd"/>
            <w:r w:rsidRPr="00507773">
              <w:t>, mobility or communication.</w:t>
            </w:r>
          </w:p>
          <w:p w14:paraId="6AB08626" w14:textId="68AF3AAD" w:rsidR="00D110FE" w:rsidRPr="00507773" w:rsidRDefault="00D110FE" w:rsidP="00D110FE">
            <w:pPr>
              <w:pStyle w:val="TableBodyText"/>
              <w:jc w:val="left"/>
            </w:pPr>
            <w:r w:rsidRPr="00507773">
              <w:t>See also primary carer.</w:t>
            </w:r>
          </w:p>
        </w:tc>
      </w:tr>
      <w:tr w:rsidR="00D110FE" w14:paraId="0FFCB889" w14:textId="77777777" w:rsidTr="00D110FE">
        <w:tc>
          <w:tcPr>
            <w:tcW w:w="2410" w:type="dxa"/>
          </w:tcPr>
          <w:p w14:paraId="6B760742" w14:textId="568B59DE" w:rsidR="00D110FE" w:rsidRPr="00507773" w:rsidRDefault="00D110FE" w:rsidP="00D110FE">
            <w:pPr>
              <w:pStyle w:val="TableBodyText"/>
              <w:jc w:val="left"/>
              <w:rPr>
                <w:b/>
              </w:rPr>
            </w:pPr>
            <w:r w:rsidRPr="00507773">
              <w:rPr>
                <w:b/>
              </w:rPr>
              <w:t>Labour force participation rate for people with a profound or severe core activity limitation</w:t>
            </w:r>
          </w:p>
        </w:tc>
        <w:tc>
          <w:tcPr>
            <w:tcW w:w="6369" w:type="dxa"/>
          </w:tcPr>
          <w:p w14:paraId="2A0153E8" w14:textId="03BD51B5" w:rsidR="00D110FE" w:rsidRPr="00D110FE" w:rsidRDefault="00D110FE" w:rsidP="00D110FE">
            <w:pPr>
              <w:pStyle w:val="TableBodyText"/>
              <w:keepNext w:val="0"/>
              <w:jc w:val="left"/>
            </w:pPr>
            <w:r w:rsidRPr="00507773">
              <w:t>The total number of people with a profound or severe core activity limitation in the labour force (where the labour force includes employed and unemployed people), divided by the total number of people with a profound or severe core activity limitation who are aged 15–64 years, multiplied by 100.</w:t>
            </w:r>
          </w:p>
        </w:tc>
      </w:tr>
    </w:tbl>
    <w:p w14:paraId="06425E3F" w14:textId="51EBD518" w:rsidR="00D110FE" w:rsidRDefault="00D110FE" w:rsidP="009F5938">
      <w:pPr>
        <w:pStyle w:val="BoxSpaceAbove"/>
      </w:pPr>
    </w:p>
    <w:p w14:paraId="5F5AEBD5" w14:textId="77777777" w:rsidR="00D110FE" w:rsidRDefault="00D110FE">
      <w:pPr>
        <w:rPr>
          <w:szCs w:val="20"/>
        </w:rPr>
      </w:pPr>
      <w:r>
        <w:br w:type="page"/>
      </w:r>
    </w:p>
    <w:p w14:paraId="635F166A" w14:textId="77777777" w:rsidR="00D110FE" w:rsidRDefault="00D110FE" w:rsidP="009F5938">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
      </w:tblPr>
      <w:tblGrid>
        <w:gridCol w:w="2405"/>
        <w:gridCol w:w="6374"/>
      </w:tblGrid>
      <w:tr w:rsidR="00D110FE" w14:paraId="56A6F222" w14:textId="77777777" w:rsidTr="00D110FE">
        <w:tc>
          <w:tcPr>
            <w:tcW w:w="2405" w:type="dxa"/>
          </w:tcPr>
          <w:p w14:paraId="523724EF" w14:textId="77777777" w:rsidR="00D110FE" w:rsidRDefault="00D110FE" w:rsidP="00D110FE">
            <w:pPr>
              <w:pStyle w:val="TableBodyText"/>
              <w:jc w:val="left"/>
            </w:pPr>
          </w:p>
        </w:tc>
        <w:tc>
          <w:tcPr>
            <w:tcW w:w="6374" w:type="dxa"/>
          </w:tcPr>
          <w:p w14:paraId="62038438" w14:textId="77777777" w:rsidR="00D110FE" w:rsidRPr="00507773" w:rsidRDefault="00D110FE" w:rsidP="00D110FE">
            <w:pPr>
              <w:pStyle w:val="TableBodyText"/>
              <w:keepNext w:val="0"/>
              <w:jc w:val="left"/>
            </w:pPr>
            <w:r w:rsidRPr="00507773">
              <w:t>An employed person is a person who, in his or her main job during the remuneration period (reference week):</w:t>
            </w:r>
          </w:p>
          <w:p w14:paraId="3BF44FDB" w14:textId="77777777" w:rsidR="00D110FE" w:rsidRPr="00507773" w:rsidRDefault="00D110FE" w:rsidP="00D110FE">
            <w:pPr>
              <w:pStyle w:val="TableBullet"/>
              <w:keepNext w:val="0"/>
            </w:pPr>
            <w:r w:rsidRPr="00507773">
              <w:t>worked one hour or more for pay, profit, commission or payment in kind in a job or business, or on a farm (includin</w:t>
            </w:r>
            <w:r>
              <w:t>g employees, employers and self</w:t>
            </w:r>
            <w:r>
              <w:noBreakHyphen/>
            </w:r>
            <w:r w:rsidRPr="00507773">
              <w:t>employed people)</w:t>
            </w:r>
          </w:p>
          <w:p w14:paraId="26A85389" w14:textId="77777777" w:rsidR="00D110FE" w:rsidRPr="00507773" w:rsidRDefault="00D110FE" w:rsidP="00D110FE">
            <w:pPr>
              <w:pStyle w:val="TableBullet"/>
              <w:keepNext w:val="0"/>
            </w:pPr>
            <w:r w:rsidRPr="00507773">
              <w:t>worked one hour or more without pay in a family business, or on a farm (excluding people undertaking other unpaid voluntary work), or</w:t>
            </w:r>
          </w:p>
          <w:p w14:paraId="2299737B" w14:textId="77777777" w:rsidR="00D110FE" w:rsidRPr="00507773" w:rsidRDefault="00D110FE" w:rsidP="00D110FE">
            <w:pPr>
              <w:pStyle w:val="TableBullet"/>
              <w:keepNext w:val="0"/>
            </w:pPr>
            <w:r w:rsidRPr="00507773">
              <w:t>was an employer, employee or self</w:t>
            </w:r>
            <w:r>
              <w:noBreakHyphen/>
            </w:r>
            <w:r w:rsidRPr="00507773">
              <w:t>employed person or unpaid family helper who had a job, business or farm, but was not at work.</w:t>
            </w:r>
          </w:p>
          <w:p w14:paraId="2890D0CC" w14:textId="73EFFED0" w:rsidR="00D110FE" w:rsidRDefault="00D110FE" w:rsidP="00D110FE">
            <w:pPr>
              <w:pStyle w:val="TableBodyText"/>
              <w:jc w:val="left"/>
            </w:pPr>
            <w:r w:rsidRPr="00507773">
              <w:t>An unemployed person is a person aged 15–64 years who was not employed during the remuneration period, but was looking for work.</w:t>
            </w:r>
          </w:p>
        </w:tc>
      </w:tr>
      <w:tr w:rsidR="00D110FE" w14:paraId="330CE142" w14:textId="77777777" w:rsidTr="00D110FE">
        <w:tc>
          <w:tcPr>
            <w:tcW w:w="2405" w:type="dxa"/>
          </w:tcPr>
          <w:p w14:paraId="497AB3B3" w14:textId="0ADA8050" w:rsidR="00D110FE" w:rsidRDefault="00D110FE" w:rsidP="00D110FE">
            <w:pPr>
              <w:pStyle w:val="TableBodyText"/>
              <w:jc w:val="left"/>
            </w:pPr>
            <w:r w:rsidRPr="00507773">
              <w:rPr>
                <w:b/>
              </w:rPr>
              <w:t>Mild core activity limitation</w:t>
            </w:r>
          </w:p>
        </w:tc>
        <w:tc>
          <w:tcPr>
            <w:tcW w:w="6374" w:type="dxa"/>
          </w:tcPr>
          <w:p w14:paraId="1EE85349" w14:textId="77777777" w:rsidR="00D110FE" w:rsidRPr="00507773" w:rsidRDefault="00D110FE" w:rsidP="00D110FE">
            <w:pPr>
              <w:pStyle w:val="TableBodyText"/>
              <w:keepNext w:val="0"/>
              <w:jc w:val="left"/>
            </w:pPr>
            <w:r w:rsidRPr="00507773">
              <w:t>The person needs no help and has no difficulty with any of the core activity tasks, but:</w:t>
            </w:r>
          </w:p>
          <w:p w14:paraId="51CFE392" w14:textId="77777777" w:rsidR="00D110FE" w:rsidRPr="00507773" w:rsidRDefault="00D110FE" w:rsidP="00D110FE">
            <w:pPr>
              <w:pStyle w:val="TableBullet"/>
              <w:keepNext w:val="0"/>
            </w:pPr>
            <w:r w:rsidRPr="00507773">
              <w:t>uses aids or equipment, or has one or more of the following limitations</w:t>
            </w:r>
          </w:p>
          <w:p w14:paraId="2F5A3FE4" w14:textId="77777777" w:rsidR="00D110FE" w:rsidRPr="00507773" w:rsidRDefault="00D110FE" w:rsidP="00D110FE">
            <w:pPr>
              <w:pStyle w:val="TableBullet"/>
              <w:keepNext w:val="0"/>
            </w:pPr>
            <w:r w:rsidRPr="00507773">
              <w:t>cannot easily walk 200 metres</w:t>
            </w:r>
          </w:p>
          <w:p w14:paraId="3451DE3A" w14:textId="77777777" w:rsidR="00D110FE" w:rsidRPr="00507773" w:rsidRDefault="00D110FE" w:rsidP="00D110FE">
            <w:pPr>
              <w:pStyle w:val="TableBullet"/>
              <w:keepNext w:val="0"/>
            </w:pPr>
            <w:r w:rsidRPr="00507773">
              <w:t>cannot walk up and down stairs without a handrail</w:t>
            </w:r>
          </w:p>
          <w:p w14:paraId="43C72D17" w14:textId="77777777" w:rsidR="00D110FE" w:rsidRPr="00507773" w:rsidRDefault="00D110FE" w:rsidP="00D110FE">
            <w:pPr>
              <w:pStyle w:val="TableBullet"/>
              <w:keepNext w:val="0"/>
            </w:pPr>
            <w:r w:rsidRPr="00507773">
              <w:t>cannot easily bend to pick up an object from the floor</w:t>
            </w:r>
          </w:p>
          <w:p w14:paraId="4B1992E9" w14:textId="77777777" w:rsidR="00D110FE" w:rsidRPr="00507773" w:rsidRDefault="00D110FE" w:rsidP="00D110FE">
            <w:pPr>
              <w:pStyle w:val="TableBullet"/>
              <w:keepNext w:val="0"/>
            </w:pPr>
            <w:r w:rsidRPr="00507773">
              <w:t>cannot use public transport</w:t>
            </w:r>
          </w:p>
          <w:p w14:paraId="2F25E065" w14:textId="77777777" w:rsidR="00D110FE" w:rsidRPr="00507773" w:rsidRDefault="00D110FE" w:rsidP="00D110FE">
            <w:pPr>
              <w:pStyle w:val="TableBullet"/>
              <w:keepNext w:val="0"/>
            </w:pPr>
            <w:r w:rsidRPr="00507773">
              <w:t>can use public transport, but needs help or supervision</w:t>
            </w:r>
          </w:p>
          <w:p w14:paraId="034CC421" w14:textId="5B1E3DCF" w:rsidR="00D110FE" w:rsidRPr="00507773" w:rsidRDefault="00D110FE" w:rsidP="00D110FE">
            <w:pPr>
              <w:pStyle w:val="TableBullet"/>
            </w:pPr>
            <w:r w:rsidRPr="00507773">
              <w:t>needs no help or supervision, but has difficulty using public transport. (as per the 2015 SDAC).</w:t>
            </w:r>
          </w:p>
        </w:tc>
      </w:tr>
      <w:tr w:rsidR="00D110FE" w14:paraId="7D145744" w14:textId="77777777" w:rsidTr="00D110FE">
        <w:tc>
          <w:tcPr>
            <w:tcW w:w="2405" w:type="dxa"/>
          </w:tcPr>
          <w:p w14:paraId="31EED720" w14:textId="7FCFFD7D" w:rsidR="00D110FE" w:rsidRPr="00507773" w:rsidRDefault="00C03B27" w:rsidP="00D110FE">
            <w:pPr>
              <w:pStyle w:val="TableBodyText"/>
              <w:jc w:val="left"/>
              <w:rPr>
                <w:b/>
              </w:rPr>
            </w:pPr>
            <w:r w:rsidRPr="00507773">
              <w:rPr>
                <w:b/>
              </w:rPr>
              <w:t>Moderate core activity limitation</w:t>
            </w:r>
          </w:p>
        </w:tc>
        <w:tc>
          <w:tcPr>
            <w:tcW w:w="6374" w:type="dxa"/>
          </w:tcPr>
          <w:p w14:paraId="32BFA471" w14:textId="360D2B9D" w:rsidR="00D110FE" w:rsidRPr="00507773" w:rsidRDefault="00C03B27" w:rsidP="00D110FE">
            <w:pPr>
              <w:pStyle w:val="TableBodyText"/>
              <w:keepNext w:val="0"/>
              <w:jc w:val="left"/>
            </w:pPr>
            <w:r w:rsidRPr="00507773">
              <w:t>The person needs no help, but has difficulty with a core activity task (as per the 2015 SDAC).</w:t>
            </w:r>
          </w:p>
        </w:tc>
      </w:tr>
      <w:tr w:rsidR="00C03B27" w14:paraId="4001485C" w14:textId="77777777" w:rsidTr="00D110FE">
        <w:tc>
          <w:tcPr>
            <w:tcW w:w="2405" w:type="dxa"/>
          </w:tcPr>
          <w:p w14:paraId="5B3D5867" w14:textId="16177A34" w:rsidR="00C03B27" w:rsidRPr="00507773" w:rsidRDefault="00C03B27" w:rsidP="00D110FE">
            <w:pPr>
              <w:pStyle w:val="TableBodyText"/>
              <w:jc w:val="left"/>
              <w:rPr>
                <w:b/>
              </w:rPr>
            </w:pPr>
            <w:r w:rsidRPr="00507773">
              <w:rPr>
                <w:b/>
              </w:rPr>
              <w:t>Payroll tax</w:t>
            </w:r>
          </w:p>
        </w:tc>
        <w:tc>
          <w:tcPr>
            <w:tcW w:w="6374" w:type="dxa"/>
          </w:tcPr>
          <w:p w14:paraId="0D1A92E2" w14:textId="77777777" w:rsidR="00C03B27" w:rsidRPr="00507773" w:rsidRDefault="00C03B27" w:rsidP="00C03B27">
            <w:pPr>
              <w:pStyle w:val="TableBodyText"/>
              <w:keepNext w:val="0"/>
              <w:jc w:val="left"/>
            </w:pPr>
            <w:r w:rsidRPr="00507773">
              <w:t xml:space="preserve">A tax levied on employers based on the value of wages and certain supplements paid or payable to, or on behalf of, their employees (SCRCSSP 1999). Payroll tax arrangements for government funded and delivered services differ across jurisdictions. Differences in the treatment of payroll tax can affect the comparability of unit costs across jurisdictions and services. These differences include payroll tax exemptions, marginal tax rates, tax free thresholds and clawback arrangements (see SCRCSSP 1999). </w:t>
            </w:r>
          </w:p>
          <w:p w14:paraId="4F81AF82" w14:textId="77777777" w:rsidR="00C03B27" w:rsidRPr="00507773" w:rsidRDefault="00C03B27" w:rsidP="00C03B27">
            <w:pPr>
              <w:pStyle w:val="TableBodyText"/>
              <w:keepNext w:val="0"/>
              <w:jc w:val="left"/>
            </w:pPr>
            <w:r w:rsidRPr="00507773">
              <w:t>There are two forms of payroll tax reported:</w:t>
            </w:r>
          </w:p>
          <w:p w14:paraId="3D36EC0A" w14:textId="77777777" w:rsidR="00C03B27" w:rsidRPr="00507773" w:rsidRDefault="00C03B27" w:rsidP="00C03B27">
            <w:pPr>
              <w:pStyle w:val="TableBullet"/>
              <w:keepNext w:val="0"/>
            </w:pPr>
            <w:r w:rsidRPr="00507773">
              <w:rPr>
                <w:i/>
              </w:rPr>
              <w:t>actual</w:t>
            </w:r>
            <w:r w:rsidRPr="00507773">
              <w:t xml:space="preserve"> — payroll tax actually paid by non</w:t>
            </w:r>
            <w:r>
              <w:noBreakHyphen/>
            </w:r>
            <w:r w:rsidRPr="00507773">
              <w:t>exempt services</w:t>
            </w:r>
          </w:p>
          <w:p w14:paraId="5B7559C2" w14:textId="7F09FEFD" w:rsidR="00C03B27" w:rsidRPr="00507773" w:rsidRDefault="00C03B27" w:rsidP="00C03B27">
            <w:pPr>
              <w:pStyle w:val="TableBodyText"/>
              <w:keepNext w:val="0"/>
              <w:jc w:val="left"/>
            </w:pPr>
            <w:r w:rsidRPr="00507773">
              <w:rPr>
                <w:i/>
              </w:rPr>
              <w:t>imputed</w:t>
            </w:r>
            <w:r w:rsidRPr="00507773">
              <w:t xml:space="preserve"> — a hypothetical payroll tax amount estimated for exempt services. A jurisdiction’s estimate is based on the cost of salaries and salary related expenses, the payroll tax threshold and the tax rate.</w:t>
            </w:r>
          </w:p>
        </w:tc>
      </w:tr>
      <w:tr w:rsidR="00C03B27" w14:paraId="6176EA7F" w14:textId="77777777" w:rsidTr="00D110FE">
        <w:tc>
          <w:tcPr>
            <w:tcW w:w="2405" w:type="dxa"/>
          </w:tcPr>
          <w:p w14:paraId="3378F1E0" w14:textId="24ED75A9" w:rsidR="00C03B27" w:rsidRPr="00507773" w:rsidRDefault="00C03B27" w:rsidP="00D110FE">
            <w:pPr>
              <w:pStyle w:val="TableBodyText"/>
              <w:jc w:val="left"/>
              <w:rPr>
                <w:b/>
              </w:rPr>
            </w:pPr>
            <w:r w:rsidRPr="00507773">
              <w:rPr>
                <w:b/>
              </w:rPr>
              <w:t>Potential population</w:t>
            </w:r>
            <w:r>
              <w:rPr>
                <w:b/>
              </w:rPr>
              <w:t xml:space="preserve">           </w:t>
            </w:r>
          </w:p>
        </w:tc>
        <w:tc>
          <w:tcPr>
            <w:tcW w:w="6374" w:type="dxa"/>
          </w:tcPr>
          <w:p w14:paraId="6DCAA38A" w14:textId="77777777" w:rsidR="00C03B27" w:rsidRDefault="00C03B27" w:rsidP="00C03B27">
            <w:pPr>
              <w:pStyle w:val="TableBodyText"/>
              <w:keepNext w:val="0"/>
              <w:jc w:val="left"/>
            </w:pPr>
            <w:r w:rsidRPr="00507773">
              <w:t>The ‘potential population’ is the number of people with the potential to require disability support services, including individuals who meet the service eligibility criteria but who do not demand the services. The potential population is the number of people aged 0–64 years (and Aboriginal and Torres Strait Islander people aged 0–49 years) who are most appropriately supported by disability services, require ongoing and/or long term episodic support, have a permanent or chronic impairment, and who have a substantially reduced capacity in one or more core activities.</w:t>
            </w:r>
          </w:p>
          <w:p w14:paraId="11F0C5A5" w14:textId="77777777" w:rsidR="00C03B27" w:rsidRPr="00507773" w:rsidRDefault="00C03B27" w:rsidP="00C03B27">
            <w:pPr>
              <w:pStyle w:val="TableBodyText"/>
              <w:keepNext w:val="0"/>
              <w:jc w:val="left"/>
            </w:pPr>
            <w:r w:rsidRPr="00507773">
              <w:t>For respite services, only those people with a primary carer are included. For supported employment services, only the potential population aged 15–64 years participating in the labour force are included. For open employment services, the potential population is not used; instead, an estimate of all people with a disability and an employment restriction aged 15–64 is used. Where combined employment services denominators or rates are presented, the supported employment potential population is used.</w:t>
            </w:r>
          </w:p>
          <w:p w14:paraId="41E3F691" w14:textId="581A23A5" w:rsidR="00C03B27" w:rsidRPr="00507773" w:rsidRDefault="00C03B27" w:rsidP="00C03B27">
            <w:pPr>
              <w:pStyle w:val="TableBodyText"/>
              <w:keepNext w:val="0"/>
              <w:jc w:val="left"/>
            </w:pPr>
            <w:r w:rsidRPr="00507773">
              <w:t>Potential populations have been estimated for each of the special needs groups (outer regional and remote/very remote areas, Aboriginal and Torres Strait Islander people and people born in a non</w:t>
            </w:r>
            <w:r>
              <w:noBreakHyphen/>
            </w:r>
            <w:r w:rsidRPr="00507773">
              <w:t>English speaking country) and for those outside of the special needs groups (major cities and inner regional areas, non</w:t>
            </w:r>
            <w:r>
              <w:noBreakHyphen/>
            </w:r>
            <w:r w:rsidRPr="00507773">
              <w:t>Indigenous and people born in an English speaking country).</w:t>
            </w:r>
          </w:p>
        </w:tc>
      </w:tr>
    </w:tbl>
    <w:p w14:paraId="3B264904" w14:textId="77777777" w:rsidR="00D110FE" w:rsidRDefault="00D110FE" w:rsidP="00D110FE">
      <w:pPr>
        <w:pStyle w:val="BoxSpaceAbove"/>
      </w:pPr>
    </w:p>
    <w:p w14:paraId="672A9762" w14:textId="77777777"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
      </w:tblPr>
      <w:tblGrid>
        <w:gridCol w:w="2410"/>
        <w:gridCol w:w="6369"/>
      </w:tblGrid>
      <w:tr w:rsidR="00C03B27" w14:paraId="51CD550C" w14:textId="77777777" w:rsidTr="00C03B27">
        <w:tc>
          <w:tcPr>
            <w:tcW w:w="2410" w:type="dxa"/>
          </w:tcPr>
          <w:p w14:paraId="62333F87" w14:textId="6114E789" w:rsidR="00C03B27" w:rsidRDefault="00C03B27" w:rsidP="00C03B27">
            <w:pPr>
              <w:pStyle w:val="TableBodyText"/>
              <w:jc w:val="left"/>
            </w:pPr>
          </w:p>
        </w:tc>
        <w:tc>
          <w:tcPr>
            <w:tcW w:w="6369" w:type="dxa"/>
          </w:tcPr>
          <w:p w14:paraId="6DE43432" w14:textId="77777777" w:rsidR="00C03B27" w:rsidRDefault="00C03B27" w:rsidP="00C03B27">
            <w:pPr>
              <w:pStyle w:val="TableBodyText"/>
              <w:jc w:val="left"/>
            </w:pPr>
            <w:r w:rsidRPr="00507773">
              <w:t>As Aboriginal and Torres Strait Islander people have significantly higher disability prevalence rates and greater representation in some NDA specialist disability services than non</w:t>
            </w:r>
            <w:r>
              <w:noBreakHyphen/>
            </w:r>
            <w:r w:rsidRPr="00507773">
              <w:t>Indigenous people, and there are differences in the share of different jurisdictions’ populations who are Aboriginal and Torres Strait Islander, a further Aboriginal and Torres Strait Islander factor adjustment was undertaken. The Aboriginal and Torres Strait Islander factor was multiplied by the ‘expected current population estimate’ of people in the potential population in each jurisdiction to derive the ‘potential population’.</w:t>
            </w:r>
          </w:p>
          <w:p w14:paraId="691AE790" w14:textId="77777777" w:rsidR="00C03B27" w:rsidRDefault="00C03B27" w:rsidP="00C03B27">
            <w:pPr>
              <w:pStyle w:val="TableBodyText"/>
              <w:jc w:val="left"/>
            </w:pPr>
            <w:r w:rsidRPr="00507773">
              <w:t>The potential populations for 2005</w:t>
            </w:r>
            <w:r>
              <w:noBreakHyphen/>
            </w:r>
            <w:r w:rsidRPr="00507773">
              <w:t>06 to 2006</w:t>
            </w:r>
            <w:r>
              <w:noBreakHyphen/>
            </w:r>
            <w:r w:rsidRPr="00507773">
              <w:t xml:space="preserve">07 were calculated using national age and sex specific rates of severe or profound core activity limitation from the ABS Survey of Disability, Ageing and Carers (SDAC) conducted in 2003. In 2011, the 2009 SDAC was released, and recalculation of the potential population has resulted in a break in series between the 2003 and 2009 surveys. In 2014, the 2012 SDAC was released, and recalculation of the potential population has resulted in a break in series between the 2009 and 2012 surveys. In 2016, the 2015 SDAC was released, and recalculation of the potential population has resulted in a break in series between the 2012 and 2015 surveys. For this report, the potential population was recalculated based on data from the 2015 SDAC, and has been </w:t>
            </w:r>
            <w:proofErr w:type="spellStart"/>
            <w:r w:rsidRPr="00507773">
              <w:t>backcast</w:t>
            </w:r>
            <w:proofErr w:type="spellEnd"/>
            <w:r w:rsidRPr="00507773">
              <w:t xml:space="preserve"> to the 2013</w:t>
            </w:r>
            <w:r>
              <w:noBreakHyphen/>
            </w:r>
            <w:r w:rsidRPr="00507773">
              <w:t>14 year</w:t>
            </w:r>
            <w:r>
              <w:t>.</w:t>
            </w:r>
          </w:p>
          <w:p w14:paraId="77D8EC64" w14:textId="77777777" w:rsidR="00C03B27" w:rsidRPr="00507773" w:rsidRDefault="00C03B27" w:rsidP="00C03B27">
            <w:pPr>
              <w:pStyle w:val="TableBodyText"/>
              <w:keepNext w:val="0"/>
              <w:jc w:val="left"/>
            </w:pPr>
            <w:r w:rsidRPr="00507773">
              <w:t>Data measuring the potential population is not available for each reported year and so has been estimated from several sources based on the following assumptions:</w:t>
            </w:r>
          </w:p>
          <w:p w14:paraId="57F1AEF0" w14:textId="77777777" w:rsidR="00C03B27" w:rsidRPr="00507773" w:rsidRDefault="00C03B27" w:rsidP="00C03B27">
            <w:pPr>
              <w:pStyle w:val="TableBullet"/>
            </w:pPr>
            <w:r w:rsidRPr="00507773">
              <w:t>a) for the purposes of calculation, it is assumed that age</w:t>
            </w:r>
            <w:r>
              <w:noBreakHyphen/>
            </w:r>
            <w:r w:rsidRPr="00507773">
              <w:t>sex specific proportions of the potential population changed smoothly from 2009 to 2012 and then from 2012 to 2015.</w:t>
            </w:r>
          </w:p>
          <w:p w14:paraId="6DD11BB4" w14:textId="77777777" w:rsidR="00C03B27" w:rsidRPr="00507773" w:rsidRDefault="00C03B27" w:rsidP="00C03B27">
            <w:pPr>
              <w:pStyle w:val="TableBullet"/>
              <w:keepNext w:val="0"/>
            </w:pPr>
            <w:r w:rsidRPr="00507773">
              <w:t>b) the assumption that national age</w:t>
            </w:r>
            <w:r>
              <w:noBreakHyphen/>
            </w:r>
            <w:r w:rsidRPr="00507773">
              <w:t>sex specific proportions of the potential population from SDAC 2009, SDAC 2012 and SDAC 2015 apply consistently across states/territories is untested.</w:t>
            </w:r>
          </w:p>
          <w:p w14:paraId="63190478" w14:textId="0A20C586" w:rsidR="00C03B27" w:rsidRDefault="00C03B27" w:rsidP="00C03B27">
            <w:pPr>
              <w:pStyle w:val="TableBodyText"/>
              <w:jc w:val="left"/>
            </w:pPr>
            <w:r w:rsidRPr="00507773">
              <w:t xml:space="preserve">For more information on the method of calculation of the potential population, see </w:t>
            </w:r>
            <w:r>
              <w:t>a</w:t>
            </w:r>
            <w:r w:rsidRPr="00507773">
              <w:t>ppendix</w:t>
            </w:r>
            <w:r>
              <w:t> </w:t>
            </w:r>
            <w:r w:rsidRPr="00507773">
              <w:t>A of SCRGSP 2013.</w:t>
            </w:r>
          </w:p>
        </w:tc>
      </w:tr>
      <w:tr w:rsidR="00C03B27" w14:paraId="6BBD2854" w14:textId="77777777" w:rsidTr="00C03B27">
        <w:tc>
          <w:tcPr>
            <w:tcW w:w="2410" w:type="dxa"/>
          </w:tcPr>
          <w:p w14:paraId="2BA35D25" w14:textId="41528D25" w:rsidR="00C03B27" w:rsidRDefault="00C03B27" w:rsidP="00C03B27">
            <w:pPr>
              <w:pStyle w:val="TableBodyText"/>
              <w:jc w:val="left"/>
            </w:pPr>
            <w:r w:rsidRPr="00507773">
              <w:rPr>
                <w:b/>
              </w:rPr>
              <w:t>Primary carer</w:t>
            </w:r>
          </w:p>
        </w:tc>
        <w:tc>
          <w:tcPr>
            <w:tcW w:w="6369" w:type="dxa"/>
          </w:tcPr>
          <w:p w14:paraId="2E57B1CB" w14:textId="77777777" w:rsidR="00C03B27" w:rsidRDefault="00C03B27" w:rsidP="00C03B27">
            <w:pPr>
              <w:pStyle w:val="TableBodyText"/>
              <w:jc w:val="left"/>
              <w:rPr>
                <w:rFonts w:cs="Arial"/>
                <w:shd w:val="clear" w:color="auto" w:fill="FFFFFF"/>
              </w:rPr>
            </w:pPr>
            <w:r w:rsidRPr="00507773">
              <w:rPr>
                <w:i/>
              </w:rPr>
              <w:t>ABS SDAC primary carer:</w:t>
            </w:r>
            <w:r w:rsidRPr="00507773">
              <w:t xml:space="preserve"> </w:t>
            </w:r>
            <w:r w:rsidRPr="00507773">
              <w:rPr>
                <w:rFonts w:cs="Arial"/>
                <w:shd w:val="clear" w:color="auto" w:fill="FFFFFF"/>
              </w:rPr>
              <w:t>A primary carer is a person who provides the most informal assistance, in terms of help or supervision, to a person with disability with one or more of the core activities of mobility, self</w:t>
            </w:r>
            <w:r>
              <w:rPr>
                <w:rFonts w:cs="Arial"/>
                <w:shd w:val="clear" w:color="auto" w:fill="FFFFFF"/>
              </w:rPr>
              <w:noBreakHyphen/>
            </w:r>
            <w:r w:rsidRPr="00507773">
              <w:rPr>
                <w:rFonts w:cs="Arial"/>
                <w:shd w:val="clear" w:color="auto" w:fill="FFFFFF"/>
              </w:rPr>
              <w:t>care or communication. The assistance has to be ongoing, or likely to be ongoing, for at least six months. In this survey, primary carers only include persons aged 15 years and over. Persons aged 15 to 17 years were only interviewed personally if parental permission was granted.</w:t>
            </w:r>
          </w:p>
          <w:p w14:paraId="6A3853C5" w14:textId="77777777" w:rsidR="00C03B27" w:rsidRDefault="00C03B27" w:rsidP="00C03B27">
            <w:pPr>
              <w:pStyle w:val="TableBodyText"/>
              <w:jc w:val="left"/>
              <w:rPr>
                <w:rFonts w:cs="Arial"/>
                <w:shd w:val="clear" w:color="auto" w:fill="FFFFFF"/>
              </w:rPr>
            </w:pPr>
            <w:r w:rsidRPr="00507773">
              <w:rPr>
                <w:rFonts w:cs="Arial"/>
                <w:shd w:val="clear" w:color="auto" w:fill="FFFFFF"/>
              </w:rPr>
              <w:t>Where the primary carer has more than one recipient of care, the main recipient of care is the one receiving the most help or supervision. A sole recipient is also classed as a main recipient.</w:t>
            </w:r>
          </w:p>
          <w:p w14:paraId="5BDC23DA" w14:textId="77777777" w:rsidR="00C03B27" w:rsidRDefault="00C03B27" w:rsidP="00C03B27">
            <w:pPr>
              <w:pStyle w:val="TableBodyText"/>
              <w:jc w:val="left"/>
              <w:rPr>
                <w:rFonts w:cs="Arial"/>
                <w:shd w:val="clear" w:color="auto" w:fill="FFFFFF"/>
              </w:rPr>
            </w:pPr>
            <w:r w:rsidRPr="00507773">
              <w:rPr>
                <w:rFonts w:cs="Arial"/>
                <w:shd w:val="clear" w:color="auto" w:fill="FFFFFF"/>
              </w:rPr>
              <w:t>Where the care recipient lives in the same household, the assistance is for one or more of the following core and non</w:t>
            </w:r>
            <w:r>
              <w:rPr>
                <w:rFonts w:cs="Arial"/>
                <w:shd w:val="clear" w:color="auto" w:fill="FFFFFF"/>
              </w:rPr>
              <w:noBreakHyphen/>
            </w:r>
            <w:r w:rsidRPr="00507773">
              <w:rPr>
                <w:rFonts w:cs="Arial"/>
                <w:shd w:val="clear" w:color="auto" w:fill="FFFFFF"/>
              </w:rPr>
              <w:t>core activities (cognition/emotion, communication, health care, household chores, meal preparation, mobility, property maintenance, reading or</w:t>
            </w:r>
            <w:r>
              <w:rPr>
                <w:rFonts w:cs="Arial"/>
                <w:shd w:val="clear" w:color="auto" w:fill="FFFFFF"/>
              </w:rPr>
              <w:t xml:space="preserve"> writing, self</w:t>
            </w:r>
            <w:r>
              <w:rPr>
                <w:rFonts w:cs="Arial"/>
                <w:shd w:val="clear" w:color="auto" w:fill="FFFFFF"/>
              </w:rPr>
              <w:noBreakHyphen/>
              <w:t xml:space="preserve">care, transport </w:t>
            </w:r>
            <w:r w:rsidRPr="00507773">
              <w:rPr>
                <w:rFonts w:cs="Arial"/>
                <w:shd w:val="clear" w:color="auto" w:fill="FFFFFF"/>
              </w:rPr>
              <w:t>(ABS 2015).</w:t>
            </w:r>
          </w:p>
          <w:p w14:paraId="696877CA" w14:textId="77777777" w:rsidR="00C03B27" w:rsidRPr="00507773" w:rsidRDefault="00C03B27" w:rsidP="00C03B27">
            <w:pPr>
              <w:pStyle w:val="TableBodyText"/>
              <w:keepNext w:val="0"/>
              <w:jc w:val="left"/>
            </w:pPr>
            <w:r w:rsidRPr="00507773">
              <w:rPr>
                <w:i/>
              </w:rPr>
              <w:t>NDA primary carer</w:t>
            </w:r>
          </w:p>
          <w:p w14:paraId="0D9F21ED" w14:textId="77777777" w:rsidR="00C03B27" w:rsidRPr="00507773" w:rsidRDefault="00C03B27" w:rsidP="00C03B27">
            <w:pPr>
              <w:pStyle w:val="TableBodyText"/>
              <w:keepNext w:val="0"/>
              <w:jc w:val="left"/>
              <w:rPr>
                <w:rFonts w:cs="Arial"/>
                <w:shd w:val="clear" w:color="auto" w:fill="FFFFFF"/>
              </w:rPr>
            </w:pPr>
            <w:r w:rsidRPr="00507773">
              <w:rPr>
                <w:rFonts w:cs="Arial"/>
                <w:shd w:val="clear" w:color="auto" w:fill="FFFFFF"/>
              </w:rPr>
              <w:t>The scope of primary carers is primary carers aged 15</w:t>
            </w:r>
            <w:r>
              <w:rPr>
                <w:rFonts w:cs="Arial"/>
                <w:shd w:val="clear" w:color="auto" w:fill="FFFFFF"/>
              </w:rPr>
              <w:noBreakHyphen/>
            </w:r>
            <w:r w:rsidRPr="00507773">
              <w:rPr>
                <w:rFonts w:cs="Arial"/>
                <w:shd w:val="clear" w:color="auto" w:fill="FFFFFF"/>
              </w:rPr>
              <w:t xml:space="preserve">64 years with: </w:t>
            </w:r>
          </w:p>
          <w:p w14:paraId="2CE52C7C" w14:textId="77777777" w:rsidR="00C03B27" w:rsidRPr="00507773" w:rsidRDefault="00C03B27" w:rsidP="00C03B27">
            <w:pPr>
              <w:pStyle w:val="TableBullet"/>
              <w:keepNext w:val="0"/>
              <w:rPr>
                <w:shd w:val="clear" w:color="auto" w:fill="FFFFFF"/>
              </w:rPr>
            </w:pPr>
            <w:r w:rsidRPr="00507773">
              <w:rPr>
                <w:shd w:val="clear" w:color="auto" w:fill="FFFFFF"/>
              </w:rPr>
              <w:t>a main recipient of care aged 0</w:t>
            </w:r>
            <w:r>
              <w:rPr>
                <w:shd w:val="clear" w:color="auto" w:fill="FFFFFF"/>
              </w:rPr>
              <w:noBreakHyphen/>
            </w:r>
            <w:r w:rsidRPr="00507773">
              <w:rPr>
                <w:shd w:val="clear" w:color="auto" w:fill="FFFFFF"/>
              </w:rPr>
              <w:t xml:space="preserve">64 years, or </w:t>
            </w:r>
          </w:p>
          <w:p w14:paraId="57A363BA" w14:textId="77777777" w:rsidR="00C03B27" w:rsidRPr="00C03B27" w:rsidRDefault="00C03B27" w:rsidP="00C03B27">
            <w:pPr>
              <w:pStyle w:val="TableBullet"/>
            </w:pPr>
            <w:r w:rsidRPr="00507773">
              <w:rPr>
                <w:shd w:val="clear" w:color="auto" w:fill="FFFFFF"/>
              </w:rPr>
              <w:t>a non</w:t>
            </w:r>
            <w:r>
              <w:rPr>
                <w:shd w:val="clear" w:color="auto" w:fill="FFFFFF"/>
              </w:rPr>
              <w:noBreakHyphen/>
            </w:r>
            <w:r w:rsidRPr="00507773">
              <w:rPr>
                <w:shd w:val="clear" w:color="auto" w:fill="FFFFFF"/>
              </w:rPr>
              <w:t>main recipient of care aged 0</w:t>
            </w:r>
            <w:r>
              <w:rPr>
                <w:shd w:val="clear" w:color="auto" w:fill="FFFFFF"/>
              </w:rPr>
              <w:noBreakHyphen/>
            </w:r>
            <w:r w:rsidRPr="00507773">
              <w:rPr>
                <w:shd w:val="clear" w:color="auto" w:fill="FFFFFF"/>
              </w:rPr>
              <w:t>64 years with a profound or severe core activity limitation.</w:t>
            </w:r>
          </w:p>
          <w:p w14:paraId="772BC543" w14:textId="77777777" w:rsidR="00C03B27" w:rsidRDefault="00C03B27" w:rsidP="00C03B27">
            <w:pPr>
              <w:pStyle w:val="TableBodyText"/>
              <w:jc w:val="left"/>
              <w:rPr>
                <w:rFonts w:cs="Arial"/>
                <w:shd w:val="clear" w:color="auto" w:fill="FFFFFF"/>
              </w:rPr>
            </w:pPr>
            <w:r w:rsidRPr="00507773">
              <w:rPr>
                <w:rFonts w:cs="Arial"/>
                <w:shd w:val="clear" w:color="auto" w:fill="FFFFFF"/>
              </w:rPr>
              <w:t>The SDAC collects limited information about non</w:t>
            </w:r>
            <w:r>
              <w:rPr>
                <w:rFonts w:cs="Arial"/>
                <w:shd w:val="clear" w:color="auto" w:fill="FFFFFF"/>
              </w:rPr>
              <w:noBreakHyphen/>
            </w:r>
            <w:r w:rsidRPr="00507773">
              <w:rPr>
                <w:rFonts w:cs="Arial"/>
                <w:shd w:val="clear" w:color="auto" w:fill="FFFFFF"/>
              </w:rPr>
              <w:t>main recipients of care who do not co</w:t>
            </w:r>
            <w:r>
              <w:rPr>
                <w:rFonts w:cs="Arial"/>
                <w:shd w:val="clear" w:color="auto" w:fill="FFFFFF"/>
              </w:rPr>
              <w:noBreakHyphen/>
            </w:r>
            <w:r w:rsidRPr="00507773">
              <w:rPr>
                <w:rFonts w:cs="Arial"/>
                <w:shd w:val="clear" w:color="auto" w:fill="FFFFFF"/>
              </w:rPr>
              <w:t>reside with the carer. As such, the data may exclude some carers who would have otherwise been in scope for the NDA definitions if the same information was available for all recipients of care.</w:t>
            </w:r>
          </w:p>
          <w:p w14:paraId="7C343B89" w14:textId="77777777" w:rsidR="00C03B27" w:rsidRPr="00507773" w:rsidRDefault="00C03B27" w:rsidP="00C03B27">
            <w:pPr>
              <w:pStyle w:val="TableBodyText"/>
              <w:keepNext w:val="0"/>
              <w:jc w:val="left"/>
            </w:pPr>
            <w:r w:rsidRPr="00507773">
              <w:rPr>
                <w:i/>
              </w:rPr>
              <w:t>DS NMDS primary carer:</w:t>
            </w:r>
            <w:r w:rsidRPr="00507773">
              <w:t xml:space="preserve"> an informal carer who assists the person requiring support, in one or more of the following activities of daily living, self</w:t>
            </w:r>
            <w:r>
              <w:noBreakHyphen/>
            </w:r>
            <w:r w:rsidRPr="00507773">
              <w:t>care, mobility or communication.</w:t>
            </w:r>
          </w:p>
          <w:p w14:paraId="3539213E" w14:textId="7ADCE270" w:rsidR="00C03B27" w:rsidRPr="00507773" w:rsidRDefault="00C03B27" w:rsidP="00C03B27">
            <w:pPr>
              <w:pStyle w:val="TableBodyText"/>
              <w:jc w:val="left"/>
            </w:pPr>
            <w:r>
              <w:t>See also informal carer.</w:t>
            </w:r>
          </w:p>
        </w:tc>
      </w:tr>
    </w:tbl>
    <w:p w14:paraId="67FE65DD" w14:textId="48326E48"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
      </w:tblPr>
      <w:tblGrid>
        <w:gridCol w:w="2410"/>
        <w:gridCol w:w="6369"/>
      </w:tblGrid>
      <w:tr w:rsidR="00C03B27" w14:paraId="214FD0C3" w14:textId="77777777" w:rsidTr="00C03B27">
        <w:tc>
          <w:tcPr>
            <w:tcW w:w="2410" w:type="dxa"/>
          </w:tcPr>
          <w:p w14:paraId="411FACDC" w14:textId="2FBEAE9B" w:rsidR="00C03B27" w:rsidRDefault="00C03B27" w:rsidP="00C03B27">
            <w:pPr>
              <w:pStyle w:val="TableBodyText"/>
              <w:jc w:val="left"/>
            </w:pPr>
            <w:r w:rsidRPr="00507773">
              <w:rPr>
                <w:b/>
              </w:rPr>
              <w:t>Primary disability group</w:t>
            </w:r>
          </w:p>
        </w:tc>
        <w:tc>
          <w:tcPr>
            <w:tcW w:w="6369" w:type="dxa"/>
          </w:tcPr>
          <w:p w14:paraId="7737589F" w14:textId="43A11CA9" w:rsidR="00C03B27" w:rsidRDefault="00C03B27" w:rsidP="00C03B27">
            <w:pPr>
              <w:pStyle w:val="TableBodyText"/>
              <w:jc w:val="left"/>
            </w:pPr>
            <w:r w:rsidRPr="00507773">
              <w:t>Disability group that most clearly expresses the experience of disability by a person. The primary disability group can also be considered as the disability group causing the most difficulty to the person (overall difficulty in daily life, not just within the context of the support offered by a particular service).</w:t>
            </w:r>
          </w:p>
        </w:tc>
      </w:tr>
      <w:tr w:rsidR="00C03B27" w14:paraId="4604A64B" w14:textId="77777777" w:rsidTr="00C03B27">
        <w:tc>
          <w:tcPr>
            <w:tcW w:w="2410" w:type="dxa"/>
          </w:tcPr>
          <w:p w14:paraId="0E088C34" w14:textId="458E90BE" w:rsidR="00C03B27" w:rsidRDefault="00C03B27" w:rsidP="00C03B27">
            <w:pPr>
              <w:pStyle w:val="TableBodyText"/>
              <w:jc w:val="left"/>
            </w:pPr>
            <w:r w:rsidRPr="00507773">
              <w:rPr>
                <w:b/>
              </w:rPr>
              <w:t>Profound core activity limitation</w:t>
            </w:r>
          </w:p>
        </w:tc>
        <w:tc>
          <w:tcPr>
            <w:tcW w:w="6369" w:type="dxa"/>
          </w:tcPr>
          <w:p w14:paraId="78F765AD" w14:textId="7C54CD35" w:rsidR="00C03B27" w:rsidRDefault="00C03B27" w:rsidP="00C03B27">
            <w:pPr>
              <w:pStyle w:val="TableBodyText"/>
              <w:jc w:val="left"/>
            </w:pPr>
            <w:r w:rsidRPr="00507773">
              <w:t>The person is unable to do or always needs help with, a core activity task. (as per the 2015 SDAC).</w:t>
            </w:r>
          </w:p>
        </w:tc>
      </w:tr>
      <w:tr w:rsidR="00C03B27" w14:paraId="259EB528" w14:textId="77777777" w:rsidTr="00C03B27">
        <w:tc>
          <w:tcPr>
            <w:tcW w:w="2410" w:type="dxa"/>
          </w:tcPr>
          <w:p w14:paraId="15B8B5C2" w14:textId="4A8BF674" w:rsidR="00C03B27" w:rsidRPr="00507773" w:rsidRDefault="00C03B27" w:rsidP="00C03B27">
            <w:pPr>
              <w:pStyle w:val="TableBodyText"/>
              <w:jc w:val="left"/>
              <w:rPr>
                <w:b/>
              </w:rPr>
            </w:pPr>
            <w:r w:rsidRPr="00507773">
              <w:rPr>
                <w:b/>
              </w:rPr>
              <w:t>Real expenditure</w:t>
            </w:r>
          </w:p>
        </w:tc>
        <w:tc>
          <w:tcPr>
            <w:tcW w:w="6369" w:type="dxa"/>
          </w:tcPr>
          <w:p w14:paraId="6A2196AF" w14:textId="3454FD4D" w:rsidR="00C03B27" w:rsidRPr="00507773" w:rsidRDefault="00C03B27" w:rsidP="00C03B27">
            <w:pPr>
              <w:pStyle w:val="TableBodyText"/>
              <w:jc w:val="left"/>
            </w:pPr>
            <w:r w:rsidRPr="00507773">
              <w:t>Actual expenditure (accrual) adjusted for changes in prices, using the General Government Final Consumption Expenditure (GGFCE) deflator, and expressed in terms of current year dollars.</w:t>
            </w:r>
          </w:p>
        </w:tc>
      </w:tr>
      <w:tr w:rsidR="00C03B27" w14:paraId="449E565E" w14:textId="77777777" w:rsidTr="00C03B27">
        <w:tc>
          <w:tcPr>
            <w:tcW w:w="2410" w:type="dxa"/>
          </w:tcPr>
          <w:p w14:paraId="75169749" w14:textId="7B8F48C2" w:rsidR="00C03B27" w:rsidRPr="00507773" w:rsidRDefault="00C03B27" w:rsidP="00C03B27">
            <w:pPr>
              <w:pStyle w:val="TableBodyText"/>
              <w:jc w:val="left"/>
              <w:rPr>
                <w:b/>
              </w:rPr>
            </w:pPr>
            <w:r w:rsidRPr="00507773">
              <w:rPr>
                <w:b/>
              </w:rPr>
              <w:t>Schooling or employment restriction</w:t>
            </w:r>
          </w:p>
        </w:tc>
        <w:tc>
          <w:tcPr>
            <w:tcW w:w="6369" w:type="dxa"/>
          </w:tcPr>
          <w:p w14:paraId="73599A2D" w14:textId="77777777" w:rsidR="00C03B27" w:rsidRPr="00507773" w:rsidRDefault="00C03B27" w:rsidP="00C03B27">
            <w:pPr>
              <w:pStyle w:val="TableBodyText"/>
              <w:keepNext w:val="0"/>
              <w:jc w:val="left"/>
            </w:pPr>
            <w:r w:rsidRPr="00507773">
              <w:rPr>
                <w:i/>
              </w:rPr>
              <w:t>Schooling restriction:</w:t>
            </w:r>
            <w:r w:rsidRPr="00507773">
              <w:t xml:space="preserve"> as a result of disability, being Unable to attend school, attends a special school, attends special classes at an ordinary school, needs at least one day a week off school on average, has difficulty at school.</w:t>
            </w:r>
          </w:p>
          <w:p w14:paraId="7EB6C486" w14:textId="4F7CB785" w:rsidR="00C03B27" w:rsidRPr="00507773" w:rsidRDefault="00C03B27" w:rsidP="00C03B27">
            <w:pPr>
              <w:pStyle w:val="TableBodyText"/>
              <w:jc w:val="left"/>
            </w:pPr>
            <w:r w:rsidRPr="00507773">
              <w:rPr>
                <w:i/>
              </w:rPr>
              <w:t>Employment restriction:</w:t>
            </w:r>
            <w:r w:rsidRPr="00507773">
              <w:t xml:space="preserve"> as a result of disability, permanently unable to work, restricted in the type of work they can or could do, need, or would need, at least one day a week off work on average, restricted in the number of hours they can, or could, work, requires special equipment, modified work environment or special arrangements, needs ongoing assistance or supervision, would find it difficult to change jobs or get a preferred job, needs assistance from a disability job placement program or agency.</w:t>
            </w:r>
          </w:p>
        </w:tc>
      </w:tr>
      <w:tr w:rsidR="00C03B27" w14:paraId="7BFC159E" w14:textId="77777777" w:rsidTr="00C03B27">
        <w:tc>
          <w:tcPr>
            <w:tcW w:w="2410" w:type="dxa"/>
          </w:tcPr>
          <w:p w14:paraId="207AF95D" w14:textId="44DC3B29" w:rsidR="00C03B27" w:rsidRPr="00507773" w:rsidRDefault="00C03B27" w:rsidP="00C03B27">
            <w:pPr>
              <w:pStyle w:val="TableBodyText"/>
              <w:jc w:val="left"/>
              <w:rPr>
                <w:b/>
              </w:rPr>
            </w:pPr>
            <w:r w:rsidRPr="00507773">
              <w:rPr>
                <w:b/>
              </w:rPr>
              <w:t>Service</w:t>
            </w:r>
          </w:p>
        </w:tc>
        <w:tc>
          <w:tcPr>
            <w:tcW w:w="6369" w:type="dxa"/>
          </w:tcPr>
          <w:p w14:paraId="28BD29DF" w14:textId="6F0CF950" w:rsidR="00C03B27" w:rsidRPr="00507773" w:rsidRDefault="00C03B27" w:rsidP="00C03B27">
            <w:pPr>
              <w:pStyle w:val="TableBodyText"/>
              <w:keepNext w:val="0"/>
              <w:jc w:val="left"/>
              <w:rPr>
                <w:i/>
              </w:rPr>
            </w:pPr>
            <w:r w:rsidRPr="00507773">
              <w:t>A service is a support activity provided to a service user, in accord with the NDA. Services within the scope of the collection are those for which funding has been provided during the specified period by a government organisation operating under the NDA.</w:t>
            </w:r>
          </w:p>
        </w:tc>
      </w:tr>
      <w:tr w:rsidR="00C03B27" w14:paraId="207694E7" w14:textId="77777777" w:rsidTr="00C03B27">
        <w:tc>
          <w:tcPr>
            <w:tcW w:w="2410" w:type="dxa"/>
          </w:tcPr>
          <w:p w14:paraId="61A4029E" w14:textId="5E7D7A60" w:rsidR="00C03B27" w:rsidRPr="00507773" w:rsidRDefault="00C03B27" w:rsidP="00C03B27">
            <w:pPr>
              <w:pStyle w:val="TableBodyText"/>
              <w:jc w:val="left"/>
              <w:rPr>
                <w:b/>
              </w:rPr>
            </w:pPr>
            <w:r w:rsidRPr="00507773">
              <w:rPr>
                <w:b/>
              </w:rPr>
              <w:t>Service type</w:t>
            </w:r>
          </w:p>
        </w:tc>
        <w:tc>
          <w:tcPr>
            <w:tcW w:w="6369" w:type="dxa"/>
          </w:tcPr>
          <w:p w14:paraId="4A7CDE77" w14:textId="77777777" w:rsidR="00C03B27" w:rsidRPr="00507773" w:rsidRDefault="00C03B27" w:rsidP="00C03B27">
            <w:pPr>
              <w:pStyle w:val="TableBodyText"/>
              <w:keepNext w:val="0"/>
              <w:jc w:val="left"/>
            </w:pPr>
            <w:r w:rsidRPr="00507773">
              <w:t xml:space="preserve">The support activity that the service type outlet has been funded to provide under the NDA. The DS NMDS classifies services according to ‘service type’. The service type classification groups services into seven categories: accommodation support; community support; community access; respite; employment; advocacy, information and alternative forms of communication; and other support services. Each of these categories has subcategories. </w:t>
            </w:r>
          </w:p>
          <w:p w14:paraId="336F57EB" w14:textId="77777777" w:rsidR="00C03B27" w:rsidRPr="00507773" w:rsidRDefault="00C03B27" w:rsidP="00C03B27">
            <w:pPr>
              <w:pStyle w:val="TableBodyText"/>
              <w:keepNext w:val="0"/>
              <w:jc w:val="left"/>
            </w:pPr>
            <w:r w:rsidRPr="00507773">
              <w:t>Service user data are not collected for the following NDA specialist disability service types: advocacy, information/referral, combined information/advocacy, mutual support/self</w:t>
            </w:r>
            <w:r>
              <w:noBreakHyphen/>
            </w:r>
            <w:r w:rsidRPr="00507773">
              <w:t>help groups, print disability/alternative formats of communication, research and evaluation, training and development, peak bodies and other support services. In addition, some service types are not required to collect all service user data items. In particular:</w:t>
            </w:r>
          </w:p>
          <w:p w14:paraId="6150DD1D" w14:textId="77777777" w:rsidR="00C03B27" w:rsidRPr="00507773" w:rsidRDefault="00C03B27" w:rsidP="00C03B27">
            <w:pPr>
              <w:pStyle w:val="TableBullet"/>
              <w:keepNext w:val="0"/>
            </w:pPr>
            <w:r w:rsidRPr="00507773">
              <w:t>‘recreation/holiday programs’ (service type 3.02) are required to collect only information related to the statistical linkage key (selected letters of name, date of birth, sex, commencement date and date of last service)</w:t>
            </w:r>
          </w:p>
          <w:p w14:paraId="6C054009" w14:textId="763F7CDF" w:rsidR="00C03B27" w:rsidRPr="00507773" w:rsidRDefault="00C03B27" w:rsidP="00C03B27">
            <w:pPr>
              <w:pStyle w:val="TableBullet"/>
            </w:pPr>
            <w:r w:rsidRPr="00507773">
              <w:t>employment services (service types 5.01 and 5.02) are not required to collect selected informal carer information, including primary status (AIHW</w:t>
            </w:r>
            <w:r>
              <w:t> </w:t>
            </w:r>
            <w:r w:rsidRPr="00507773">
              <w:t>2007).</w:t>
            </w:r>
          </w:p>
        </w:tc>
      </w:tr>
      <w:tr w:rsidR="00C03B27" w14:paraId="4CD7F14E" w14:textId="77777777" w:rsidTr="00C03B27">
        <w:tc>
          <w:tcPr>
            <w:tcW w:w="2410" w:type="dxa"/>
          </w:tcPr>
          <w:p w14:paraId="2FE9A859" w14:textId="67DE6BCB" w:rsidR="00C03B27" w:rsidRPr="00507773" w:rsidRDefault="00C03B27" w:rsidP="00C03B27">
            <w:pPr>
              <w:pStyle w:val="TableBodyText"/>
              <w:jc w:val="left"/>
              <w:rPr>
                <w:b/>
              </w:rPr>
            </w:pPr>
            <w:r w:rsidRPr="00507773">
              <w:rPr>
                <w:b/>
              </w:rPr>
              <w:t>Service type outlet</w:t>
            </w:r>
          </w:p>
        </w:tc>
        <w:tc>
          <w:tcPr>
            <w:tcW w:w="6369" w:type="dxa"/>
          </w:tcPr>
          <w:p w14:paraId="31EC2F1B" w14:textId="461F7C6D" w:rsidR="00C03B27" w:rsidRPr="00507773" w:rsidRDefault="00C03B27" w:rsidP="00C03B27">
            <w:pPr>
              <w:pStyle w:val="TableBodyText"/>
              <w:keepNext w:val="0"/>
              <w:jc w:val="left"/>
            </w:pPr>
            <w:r w:rsidRPr="00507773">
              <w:t>A service type outlet is the unit of the funded agency that delivers a particular NDA service type at or from a discrete location. If a funded agency provides, for example, both accommodation support and respite services, it is counted as two service type outlets. Similarly, if an agency is funded to provide more than one accommodation support service type (for example, group homes and attendant care), then it is providing (and is usually separately funded for) two different service types — that is, there are two service type outlets for the funded agency.</w:t>
            </w:r>
          </w:p>
        </w:tc>
      </w:tr>
      <w:tr w:rsidR="00C03B27" w14:paraId="16283F69" w14:textId="77777777" w:rsidTr="00C03B27">
        <w:tc>
          <w:tcPr>
            <w:tcW w:w="2410" w:type="dxa"/>
          </w:tcPr>
          <w:p w14:paraId="2EE5D3AB" w14:textId="7C4D8D87" w:rsidR="00C03B27" w:rsidRPr="00507773" w:rsidRDefault="00C03B27" w:rsidP="00C03B27">
            <w:pPr>
              <w:pStyle w:val="TableBodyText"/>
              <w:jc w:val="left"/>
              <w:rPr>
                <w:b/>
              </w:rPr>
            </w:pPr>
            <w:r w:rsidRPr="00507773">
              <w:rPr>
                <w:b/>
              </w:rPr>
              <w:t>Service user</w:t>
            </w:r>
          </w:p>
        </w:tc>
        <w:tc>
          <w:tcPr>
            <w:tcW w:w="6369" w:type="dxa"/>
          </w:tcPr>
          <w:p w14:paraId="41F604F0" w14:textId="6F662A58" w:rsidR="00C03B27" w:rsidRPr="00507773" w:rsidRDefault="00C03B27" w:rsidP="00C03B27">
            <w:pPr>
              <w:pStyle w:val="TableBodyText"/>
              <w:keepNext w:val="0"/>
              <w:jc w:val="left"/>
            </w:pPr>
            <w:r w:rsidRPr="00507773">
              <w:t>A service user is a person with disability who receives a NDA specialist disability service. A service user may receive more than one service over a period of time or on a single day.</w:t>
            </w:r>
          </w:p>
        </w:tc>
      </w:tr>
      <w:tr w:rsidR="00C03B27" w14:paraId="509E4E82" w14:textId="77777777" w:rsidTr="00C03B27">
        <w:tc>
          <w:tcPr>
            <w:tcW w:w="2410" w:type="dxa"/>
          </w:tcPr>
          <w:p w14:paraId="0F7BFD18" w14:textId="2C015CE9" w:rsidR="00C03B27" w:rsidRPr="00507773" w:rsidRDefault="00C03B27" w:rsidP="00C03B27">
            <w:pPr>
              <w:pStyle w:val="TableBodyText"/>
              <w:jc w:val="left"/>
              <w:rPr>
                <w:b/>
              </w:rPr>
            </w:pPr>
            <w:r w:rsidRPr="00507773">
              <w:rPr>
                <w:b/>
              </w:rPr>
              <w:t>Severe core activity limitation</w:t>
            </w:r>
          </w:p>
        </w:tc>
        <w:tc>
          <w:tcPr>
            <w:tcW w:w="6369" w:type="dxa"/>
          </w:tcPr>
          <w:p w14:paraId="22A9368C" w14:textId="686D5EA5" w:rsidR="00C03B27" w:rsidRPr="00507773" w:rsidRDefault="00C03B27" w:rsidP="00C03B27">
            <w:pPr>
              <w:pStyle w:val="TableBodyText"/>
              <w:keepNext w:val="0"/>
              <w:jc w:val="left"/>
            </w:pPr>
            <w:r w:rsidRPr="00507773">
              <w:t>The person sometimes needs help with a core activity task, and/or has difficulty understanding or being understood by family or friends, or can communicate more easily using sign language or other non</w:t>
            </w:r>
            <w:r>
              <w:noBreakHyphen/>
            </w:r>
            <w:r w:rsidRPr="00507773">
              <w:t>spoken forms of communication. (as per the SDAC 2015).</w:t>
            </w:r>
          </w:p>
        </w:tc>
      </w:tr>
    </w:tbl>
    <w:p w14:paraId="1DF89E94" w14:textId="46D4D474" w:rsidR="00C03B27" w:rsidRDefault="00C03B27" w:rsidP="00C03B2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
      </w:tblPr>
      <w:tblGrid>
        <w:gridCol w:w="2410"/>
        <w:gridCol w:w="6369"/>
      </w:tblGrid>
      <w:tr w:rsidR="00C03B27" w14:paraId="2CD1295C" w14:textId="77777777" w:rsidTr="00C03B27">
        <w:tc>
          <w:tcPr>
            <w:tcW w:w="2410" w:type="dxa"/>
          </w:tcPr>
          <w:p w14:paraId="7E6BB421" w14:textId="532647BE" w:rsidR="00C03B27" w:rsidRPr="00C03B27" w:rsidRDefault="00C03B27" w:rsidP="00C03B27">
            <w:pPr>
              <w:pStyle w:val="TableBodyText"/>
              <w:jc w:val="left"/>
              <w:rPr>
                <w:b/>
              </w:rPr>
            </w:pPr>
            <w:r w:rsidRPr="00C03B27">
              <w:rPr>
                <w:b/>
              </w:rPr>
              <w:lastRenderedPageBreak/>
              <w:t>Specialist psychiatric disability services</w:t>
            </w:r>
          </w:p>
        </w:tc>
        <w:tc>
          <w:tcPr>
            <w:tcW w:w="6369" w:type="dxa"/>
          </w:tcPr>
          <w:p w14:paraId="04EA5525" w14:textId="6EB22E36" w:rsidR="00C03B27" w:rsidRDefault="00C03B27" w:rsidP="00C03B27">
            <w:pPr>
              <w:pStyle w:val="TableBodyText"/>
              <w:jc w:val="left"/>
            </w:pPr>
            <w:r w:rsidRPr="00507773">
              <w:t>Data for specialist psychiatric disability services are excluded to improve the comparability of data across jurisdictions. People with psychiatric disability may use a range of NDA specialist disability service types. In some jurisdictions (Victoria and Queensland), specialist psychiatric disability services are funded specifically to provide such support</w:t>
            </w:r>
            <w:r>
              <w:t xml:space="preserve"> (AIHW 2015). Nationally in 2015</w:t>
            </w:r>
            <w:r>
              <w:noBreakHyphen/>
              <w:t>16, 9238</w:t>
            </w:r>
            <w:r w:rsidRPr="00507773">
              <w:t xml:space="preserve"> people used only specialist psychiatric disability services (AIHW unpublished). Data for these services are included in other publications on</w:t>
            </w:r>
            <w:r>
              <w:t xml:space="preserve"> the DS NMDS, such as AIHW (2017</w:t>
            </w:r>
            <w:r w:rsidRPr="00507773">
              <w:t>). Therefore, service user data for Victoria, Queensland, and Australia in this chapter will differ from other publications.</w:t>
            </w:r>
          </w:p>
        </w:tc>
      </w:tr>
      <w:tr w:rsidR="00C03B27" w14:paraId="0972ECD1" w14:textId="77777777" w:rsidTr="00C03B27">
        <w:tc>
          <w:tcPr>
            <w:tcW w:w="2410" w:type="dxa"/>
          </w:tcPr>
          <w:p w14:paraId="6F2C7BBF" w14:textId="35D75AC2" w:rsidR="00C03B27" w:rsidRPr="00C03B27" w:rsidRDefault="00C03B27" w:rsidP="00C03B27">
            <w:pPr>
              <w:pStyle w:val="TableBodyText"/>
              <w:jc w:val="left"/>
              <w:rPr>
                <w:b/>
              </w:rPr>
            </w:pPr>
            <w:r w:rsidRPr="00507773">
              <w:rPr>
                <w:b/>
              </w:rPr>
              <w:t>Statistical linkage key</w:t>
            </w:r>
          </w:p>
        </w:tc>
        <w:tc>
          <w:tcPr>
            <w:tcW w:w="6369" w:type="dxa"/>
          </w:tcPr>
          <w:p w14:paraId="1894399D" w14:textId="570DE321" w:rsidR="00C03B27" w:rsidRDefault="00C03B27" w:rsidP="00C03B27">
            <w:pPr>
              <w:pStyle w:val="TableBodyText"/>
              <w:jc w:val="left"/>
            </w:pPr>
            <w:r w:rsidRPr="00507773">
              <w:t xml:space="preserve">For information on the DS NMDS statistical linkage key see the DS NMDS data quality statement </w:t>
            </w:r>
            <w:r w:rsidR="005769BF" w:rsidRPr="005769BF">
              <w:t>http://meteor.aihw.gov.au/content/index.phtml/</w:t>
            </w:r>
            <w:r w:rsidR="005769BF">
              <w:t xml:space="preserve"> </w:t>
            </w:r>
            <w:proofErr w:type="spellStart"/>
            <w:r w:rsidRPr="00507773">
              <w:t>itemId</w:t>
            </w:r>
            <w:proofErr w:type="spellEnd"/>
            <w:r w:rsidRPr="00507773">
              <w:t>/518043</w:t>
            </w:r>
          </w:p>
        </w:tc>
      </w:tr>
      <w:tr w:rsidR="00C03B27" w14:paraId="66C7F9DB" w14:textId="77777777" w:rsidTr="00C03B27">
        <w:tc>
          <w:tcPr>
            <w:tcW w:w="2410" w:type="dxa"/>
          </w:tcPr>
          <w:p w14:paraId="18F3CAEC" w14:textId="11A74E2D" w:rsidR="00C03B27" w:rsidRPr="00C03B27" w:rsidRDefault="005769BF" w:rsidP="00C03B27">
            <w:pPr>
              <w:pStyle w:val="TableBodyText"/>
              <w:jc w:val="left"/>
              <w:rPr>
                <w:b/>
              </w:rPr>
            </w:pPr>
            <w:r w:rsidRPr="00507773">
              <w:rPr>
                <w:b/>
              </w:rPr>
              <w:t>Underemployment</w:t>
            </w:r>
          </w:p>
        </w:tc>
        <w:tc>
          <w:tcPr>
            <w:tcW w:w="6369" w:type="dxa"/>
          </w:tcPr>
          <w:p w14:paraId="5BBC6DAA" w14:textId="1ECEAF42" w:rsidR="00C03B27" w:rsidRDefault="005769BF" w:rsidP="00C03B27">
            <w:pPr>
              <w:pStyle w:val="TableBodyText"/>
              <w:jc w:val="left"/>
            </w:pPr>
            <w:r w:rsidRPr="00507773">
              <w:t>Underemployed people are defined as persons with disability aged 15–64 years who are employed and usually work less than 35 hours per week, who wanted to work more hours and would be able to start work with more hours in the next 4 weeks.</w:t>
            </w:r>
          </w:p>
        </w:tc>
      </w:tr>
      <w:tr w:rsidR="005769BF" w14:paraId="5B76E624" w14:textId="77777777" w:rsidTr="00C03B27">
        <w:tc>
          <w:tcPr>
            <w:tcW w:w="2410" w:type="dxa"/>
          </w:tcPr>
          <w:p w14:paraId="1DEE4A97" w14:textId="5CC6B9C2" w:rsidR="005769BF" w:rsidRPr="00507773" w:rsidRDefault="005769BF" w:rsidP="00C03B27">
            <w:pPr>
              <w:pStyle w:val="TableBodyText"/>
              <w:jc w:val="left"/>
              <w:rPr>
                <w:b/>
              </w:rPr>
            </w:pPr>
            <w:r w:rsidRPr="00507773">
              <w:rPr>
                <w:b/>
              </w:rPr>
              <w:t>Users of NDA accommodation support services</w:t>
            </w:r>
          </w:p>
        </w:tc>
        <w:tc>
          <w:tcPr>
            <w:tcW w:w="6369" w:type="dxa"/>
          </w:tcPr>
          <w:p w14:paraId="59B04C95" w14:textId="7624CBBD" w:rsidR="005769BF" w:rsidRPr="00507773" w:rsidRDefault="005769BF" w:rsidP="00C03B27">
            <w:pPr>
              <w:pStyle w:val="TableBodyText"/>
              <w:jc w:val="left"/>
            </w:pPr>
            <w:r w:rsidRPr="00507773">
              <w:t xml:space="preserve">People using one or more accommodation support services that correspond to the following DS NMDS service types: 1.01 large </w:t>
            </w:r>
            <w:proofErr w:type="spellStart"/>
            <w:r w:rsidRPr="00507773">
              <w:t>residentials</w:t>
            </w:r>
            <w:proofErr w:type="spellEnd"/>
            <w:r w:rsidRPr="00507773">
              <w:t xml:space="preserve">/institutions (more than 20 places); 1.02 small </w:t>
            </w:r>
            <w:proofErr w:type="spellStart"/>
            <w:r w:rsidRPr="00507773">
              <w:t>residentials</w:t>
            </w:r>
            <w:proofErr w:type="spellEnd"/>
            <w:r w:rsidRPr="00507773">
              <w:t>/institutions (7–20 places); 1.03 hostels; 1.04 group homes (usually less than seven places); 1.05 attendant care/personal care; 1.06 in home accommodation support; 1.07 alternative family placement; and 1.08 other accommodation support.</w:t>
            </w:r>
          </w:p>
        </w:tc>
      </w:tr>
      <w:tr w:rsidR="005769BF" w14:paraId="56612095" w14:textId="77777777" w:rsidTr="00C03B27">
        <w:tc>
          <w:tcPr>
            <w:tcW w:w="2410" w:type="dxa"/>
          </w:tcPr>
          <w:p w14:paraId="0AEF5072" w14:textId="672BDF0D" w:rsidR="005769BF" w:rsidRPr="00507773" w:rsidRDefault="005769BF" w:rsidP="00C03B27">
            <w:pPr>
              <w:pStyle w:val="TableBodyText"/>
              <w:jc w:val="left"/>
              <w:rPr>
                <w:b/>
              </w:rPr>
            </w:pPr>
            <w:r w:rsidRPr="00507773">
              <w:rPr>
                <w:b/>
              </w:rPr>
              <w:t>Users of NDA community access services</w:t>
            </w:r>
          </w:p>
        </w:tc>
        <w:tc>
          <w:tcPr>
            <w:tcW w:w="6369" w:type="dxa"/>
          </w:tcPr>
          <w:p w14:paraId="19EDE46E" w14:textId="66516FAC" w:rsidR="005769BF" w:rsidRPr="00507773" w:rsidRDefault="005769BF" w:rsidP="00C03B27">
            <w:pPr>
              <w:pStyle w:val="TableBodyText"/>
              <w:jc w:val="left"/>
            </w:pPr>
            <w:r w:rsidRPr="00507773">
              <w:t>People using one or more services that correspond to the following DS NMDS service types: 3.01 learning and life skills development; 3.02 recreation/holiday programs; and 3.03 other community access.</w:t>
            </w:r>
          </w:p>
        </w:tc>
      </w:tr>
      <w:tr w:rsidR="005769BF" w14:paraId="1C58172C" w14:textId="77777777" w:rsidTr="00C03B27">
        <w:tc>
          <w:tcPr>
            <w:tcW w:w="2410" w:type="dxa"/>
          </w:tcPr>
          <w:p w14:paraId="16C6C8AF" w14:textId="2E9FC40D" w:rsidR="005769BF" w:rsidRPr="00507773" w:rsidRDefault="005769BF" w:rsidP="00C03B27">
            <w:pPr>
              <w:pStyle w:val="TableBodyText"/>
              <w:jc w:val="left"/>
              <w:rPr>
                <w:b/>
              </w:rPr>
            </w:pPr>
            <w:r w:rsidRPr="00507773">
              <w:rPr>
                <w:b/>
              </w:rPr>
              <w:t>Users of NDA community support services</w:t>
            </w:r>
          </w:p>
        </w:tc>
        <w:tc>
          <w:tcPr>
            <w:tcW w:w="6369" w:type="dxa"/>
          </w:tcPr>
          <w:p w14:paraId="630D9D4A" w14:textId="0DE1586C" w:rsidR="005769BF" w:rsidRPr="00507773" w:rsidRDefault="005769BF" w:rsidP="00C03B27">
            <w:pPr>
              <w:pStyle w:val="TableBodyText"/>
              <w:jc w:val="left"/>
            </w:pPr>
            <w:r w:rsidRPr="00507773">
              <w:t>People using one or more services that correspond to the following DS NMDS service types: 2.01 therapy support for individuals; 2.02 early childhood intervention; 2.03 behaviour/specialist intervention; 2.04 counselling; 2.05 regional resource and support teams; 2.06 case management, local coordination and development; and 2.07 other community support.</w:t>
            </w:r>
          </w:p>
        </w:tc>
      </w:tr>
      <w:tr w:rsidR="005769BF" w14:paraId="399EF75F" w14:textId="77777777" w:rsidTr="00C03B27">
        <w:tc>
          <w:tcPr>
            <w:tcW w:w="2410" w:type="dxa"/>
          </w:tcPr>
          <w:p w14:paraId="7AA28326" w14:textId="009D97CF" w:rsidR="005769BF" w:rsidRPr="00507773" w:rsidRDefault="005769BF" w:rsidP="00C03B27">
            <w:pPr>
              <w:pStyle w:val="TableBodyText"/>
              <w:jc w:val="left"/>
              <w:rPr>
                <w:b/>
              </w:rPr>
            </w:pPr>
            <w:r w:rsidRPr="00507773">
              <w:rPr>
                <w:b/>
              </w:rPr>
              <w:t>Users of NDA employment services</w:t>
            </w:r>
          </w:p>
        </w:tc>
        <w:tc>
          <w:tcPr>
            <w:tcW w:w="6369" w:type="dxa"/>
          </w:tcPr>
          <w:p w14:paraId="478E4FFA" w14:textId="77607E54" w:rsidR="005769BF" w:rsidRPr="00507773" w:rsidRDefault="005769BF" w:rsidP="00C03B27">
            <w:pPr>
              <w:pStyle w:val="TableBodyText"/>
              <w:jc w:val="left"/>
            </w:pPr>
            <w:r w:rsidRPr="00507773">
              <w:t>People using one or more services that correspond to the following DS NMDS service types: 5.01 open employment and 5.02 supported empl</w:t>
            </w:r>
            <w:r>
              <w:t>oyment.</w:t>
            </w:r>
          </w:p>
        </w:tc>
      </w:tr>
      <w:tr w:rsidR="005769BF" w14:paraId="1D4FA714" w14:textId="77777777" w:rsidTr="00C03B27">
        <w:tc>
          <w:tcPr>
            <w:tcW w:w="2410" w:type="dxa"/>
          </w:tcPr>
          <w:p w14:paraId="2374C591" w14:textId="2B5DF649" w:rsidR="005769BF" w:rsidRPr="00507773" w:rsidRDefault="005769BF" w:rsidP="00C03B27">
            <w:pPr>
              <w:pStyle w:val="TableBodyText"/>
              <w:jc w:val="left"/>
              <w:rPr>
                <w:b/>
              </w:rPr>
            </w:pPr>
            <w:r w:rsidRPr="00507773">
              <w:rPr>
                <w:b/>
              </w:rPr>
              <w:t>Users of NDA respite services</w:t>
            </w:r>
          </w:p>
        </w:tc>
        <w:tc>
          <w:tcPr>
            <w:tcW w:w="6369" w:type="dxa"/>
          </w:tcPr>
          <w:p w14:paraId="51CC1508" w14:textId="73CA6226" w:rsidR="005769BF" w:rsidRPr="00507773" w:rsidRDefault="005769BF" w:rsidP="00C03B27">
            <w:pPr>
              <w:pStyle w:val="TableBodyText"/>
              <w:jc w:val="left"/>
            </w:pPr>
            <w:r w:rsidRPr="00507773">
              <w:t>People using one or more services that correspond to the following DS NMDS service types: 4.01 own home respite; 4.02 centre based respite/respite homes; 4.03 host family respite/peer support respite; 4.04 flexible/combination respite; and 4.05 other respite</w:t>
            </w:r>
          </w:p>
        </w:tc>
      </w:tr>
    </w:tbl>
    <w:p w14:paraId="45146683" w14:textId="6A0E3561" w:rsidR="00BF134E" w:rsidRPr="007162F2" w:rsidRDefault="009F7421" w:rsidP="009F7421">
      <w:pPr>
        <w:pStyle w:val="Heading2"/>
      </w:pPr>
      <w:bookmarkStart w:id="32" w:name="_Toc470167923"/>
      <w:r w:rsidRPr="007162F2">
        <w:t>15.</w:t>
      </w:r>
      <w:r w:rsidR="00C37B05">
        <w:rPr>
          <w:noProof/>
        </w:rPr>
        <w:t>5</w:t>
      </w:r>
      <w:r w:rsidRPr="007162F2">
        <w:tab/>
        <w:t>References</w:t>
      </w:r>
      <w:bookmarkEnd w:id="32"/>
    </w:p>
    <w:p w14:paraId="4EB13524" w14:textId="77777777" w:rsidR="00295E70" w:rsidRDefault="00295E70" w:rsidP="009F7421">
      <w:pPr>
        <w:pStyle w:val="Reference"/>
      </w:pPr>
    </w:p>
    <w:p w14:paraId="67F29826" w14:textId="77777777" w:rsidR="004F1A42" w:rsidRPr="007162F2" w:rsidRDefault="004F1A42" w:rsidP="004F1A42">
      <w:pPr>
        <w:pStyle w:val="Reference"/>
      </w:pPr>
      <w:r w:rsidRPr="007162F2">
        <w:t xml:space="preserve">ABS (Australian Bureau of Statistics) 2011a, </w:t>
      </w:r>
      <w:r w:rsidRPr="007162F2">
        <w:rPr>
          <w:i/>
        </w:rPr>
        <w:t>Disability, Ageing and Carers Australia: Summary of Findings 2009,</w:t>
      </w:r>
      <w:r>
        <w:t xml:space="preserve"> Cat. no. </w:t>
      </w:r>
      <w:r w:rsidRPr="007162F2">
        <w:t xml:space="preserve">4430.0, Canberra. </w:t>
      </w:r>
    </w:p>
    <w:p w14:paraId="60C3D447" w14:textId="77777777" w:rsidR="004F1A42" w:rsidRPr="007162F2" w:rsidRDefault="004F1A42" w:rsidP="004F1A42">
      <w:pPr>
        <w:pStyle w:val="Reference"/>
      </w:pPr>
      <w:r w:rsidRPr="007162F2">
        <w:t xml:space="preserve">—— 2011b, </w:t>
      </w:r>
      <w:r w:rsidRPr="007162F2">
        <w:rPr>
          <w:i/>
        </w:rPr>
        <w:t xml:space="preserve">Australian Statistical Geography Standard (ASGS): Volume 5 </w:t>
      </w:r>
      <w:r w:rsidRPr="007162F2">
        <w:rPr>
          <w:i/>
        </w:rPr>
        <w:noBreakHyphen/>
        <w:t xml:space="preserve"> Remoteness Structure</w:t>
      </w:r>
      <w:r>
        <w:t>, Cat. no. </w:t>
      </w:r>
      <w:r w:rsidRPr="007162F2">
        <w:t xml:space="preserve">1270.0.55.005, Canberra. </w:t>
      </w:r>
    </w:p>
    <w:p w14:paraId="53B385E7" w14:textId="77777777" w:rsidR="004F1A42" w:rsidRPr="007162F2" w:rsidRDefault="004F1A42" w:rsidP="004F1A42">
      <w:pPr>
        <w:pStyle w:val="Reference"/>
      </w:pPr>
      <w:r w:rsidRPr="007162F2">
        <w:t xml:space="preserve">—— 2013, </w:t>
      </w:r>
      <w:r w:rsidRPr="007162F2">
        <w:rPr>
          <w:i/>
        </w:rPr>
        <w:t>Disability, Ageing and Carers Australia: Summary of Findings 2012,</w:t>
      </w:r>
      <w:r>
        <w:t xml:space="preserve"> Cat. </w:t>
      </w:r>
      <w:r w:rsidRPr="007162F2">
        <w:t>no.</w:t>
      </w:r>
      <w:r>
        <w:t> </w:t>
      </w:r>
      <w:r w:rsidRPr="007162F2">
        <w:t xml:space="preserve">4430.0, Canberra. </w:t>
      </w:r>
    </w:p>
    <w:p w14:paraId="2924CE27" w14:textId="77777777" w:rsidR="004F1A42" w:rsidRPr="007162F2" w:rsidRDefault="004F1A42" w:rsidP="004F1A42">
      <w:pPr>
        <w:pStyle w:val="Reference"/>
      </w:pPr>
      <w:r w:rsidRPr="007162F2">
        <w:t xml:space="preserve">—— 2016, </w:t>
      </w:r>
      <w:r w:rsidRPr="007162F2">
        <w:rPr>
          <w:i/>
        </w:rPr>
        <w:t>Disability, Ageing and Carers Australia: Summary of Findings 2015,</w:t>
      </w:r>
      <w:r>
        <w:t xml:space="preserve"> Cat. </w:t>
      </w:r>
      <w:r w:rsidRPr="007162F2">
        <w:t>no.</w:t>
      </w:r>
      <w:r>
        <w:t> </w:t>
      </w:r>
      <w:r w:rsidRPr="007162F2">
        <w:t xml:space="preserve">4430.0, Canberra. </w:t>
      </w:r>
    </w:p>
    <w:p w14:paraId="1770C87B" w14:textId="390E0452" w:rsidR="009F7421" w:rsidRPr="007162F2" w:rsidRDefault="009F7421" w:rsidP="009F7421">
      <w:pPr>
        <w:pStyle w:val="Reference"/>
      </w:pPr>
      <w:r w:rsidRPr="007162F2">
        <w:lastRenderedPageBreak/>
        <w:t xml:space="preserve">AIHW (Australian Institute of Health and Welfare) 2007, </w:t>
      </w:r>
      <w:r w:rsidRPr="007162F2">
        <w:rPr>
          <w:i/>
        </w:rPr>
        <w:t>Disability Support Services 2005</w:t>
      </w:r>
      <w:r w:rsidRPr="007162F2">
        <w:rPr>
          <w:i/>
        </w:rPr>
        <w:noBreakHyphen/>
        <w:t>06: National Data on Services Provided under the CSTDA/NDA</w:t>
      </w:r>
      <w:r w:rsidR="005769BF">
        <w:t>, Cat. </w:t>
      </w:r>
      <w:r w:rsidRPr="007162F2">
        <w:t>no.</w:t>
      </w:r>
      <w:r w:rsidR="005769BF">
        <w:t> </w:t>
      </w:r>
      <w:r w:rsidRPr="007162F2">
        <w:t>DIS</w:t>
      </w:r>
      <w:r w:rsidR="005769BF">
        <w:t> </w:t>
      </w:r>
      <w:r w:rsidRPr="007162F2">
        <w:t>51, Canberra.</w:t>
      </w:r>
    </w:p>
    <w:p w14:paraId="5CC7DD0A" w14:textId="77777777" w:rsidR="009F7421" w:rsidRPr="007162F2" w:rsidRDefault="009F7421" w:rsidP="009F7421">
      <w:pPr>
        <w:pStyle w:val="Reference"/>
      </w:pPr>
      <w:r w:rsidRPr="007162F2">
        <w:t xml:space="preserve">—— 2012, </w:t>
      </w:r>
      <w:r w:rsidRPr="007162F2">
        <w:rPr>
          <w:i/>
        </w:rPr>
        <w:t>Disability support services 2010</w:t>
      </w:r>
      <w:r w:rsidRPr="007162F2">
        <w:rPr>
          <w:i/>
        </w:rPr>
        <w:noBreakHyphen/>
        <w:t>11: Services provided under the National Disability Agreement.</w:t>
      </w:r>
      <w:r w:rsidRPr="007162F2">
        <w:t xml:space="preserve"> DIS 60. Canberra.</w:t>
      </w:r>
    </w:p>
    <w:p w14:paraId="5DD9C883" w14:textId="38FDDC41" w:rsidR="009F7421" w:rsidRPr="007162F2" w:rsidRDefault="000B7A76" w:rsidP="009F7421">
      <w:pPr>
        <w:pStyle w:val="Reference"/>
      </w:pPr>
      <w:r>
        <w:t>—— 2017</w:t>
      </w:r>
      <w:r w:rsidR="009F7421" w:rsidRPr="007162F2">
        <w:t xml:space="preserve">, </w:t>
      </w:r>
      <w:r w:rsidR="009F7421" w:rsidRPr="007162F2">
        <w:rPr>
          <w:i/>
        </w:rPr>
        <w:t>Disability support services: Services provided under the Na</w:t>
      </w:r>
      <w:r>
        <w:rPr>
          <w:i/>
        </w:rPr>
        <w:t>tional Disability Agreement 2015</w:t>
      </w:r>
      <w:r>
        <w:rPr>
          <w:i/>
        </w:rPr>
        <w:noBreakHyphen/>
        <w:t>16 [Accessed 26</w:t>
      </w:r>
      <w:r w:rsidR="004514F4">
        <w:rPr>
          <w:i/>
        </w:rPr>
        <w:t> </w:t>
      </w:r>
      <w:r>
        <w:rPr>
          <w:i/>
        </w:rPr>
        <w:t>September 2017</w:t>
      </w:r>
      <w:r w:rsidR="009F7421" w:rsidRPr="007162F2">
        <w:rPr>
          <w:i/>
        </w:rPr>
        <w:t>]</w:t>
      </w:r>
    </w:p>
    <w:p w14:paraId="754D8A09" w14:textId="77777777" w:rsidR="00295E70" w:rsidRDefault="00295E70" w:rsidP="00295E70">
      <w:pPr>
        <w:pStyle w:val="Reference"/>
      </w:pPr>
      <w:r>
        <w:t xml:space="preserve">Australian Government 2017, </w:t>
      </w:r>
      <w:r w:rsidRPr="0058239C">
        <w:rPr>
          <w:i/>
        </w:rPr>
        <w:t>Department of Social Services Annual Report 2016</w:t>
      </w:r>
      <w:r w:rsidRPr="0058239C">
        <w:rPr>
          <w:i/>
        </w:rPr>
        <w:noBreakHyphen/>
        <w:t>17</w:t>
      </w:r>
      <w:r>
        <w:t xml:space="preserve">, </w:t>
      </w:r>
      <w:r w:rsidRPr="00AC7F72">
        <w:t>https://www.dss.gov.au/publications-articles/corporate-publications/annual-reports/dss-annual-report-2016-17-0</w:t>
      </w:r>
      <w:r>
        <w:t xml:space="preserve"> </w:t>
      </w:r>
      <w:r w:rsidRPr="007162F2">
        <w:t>(accessed 15 November 201</w:t>
      </w:r>
      <w:r>
        <w:t>7</w:t>
      </w:r>
      <w:r w:rsidRPr="007162F2">
        <w:t>)</w:t>
      </w:r>
    </w:p>
    <w:p w14:paraId="06EE2994" w14:textId="77777777" w:rsidR="009F7421" w:rsidRPr="007162F2" w:rsidRDefault="009F7421" w:rsidP="009F7421">
      <w:pPr>
        <w:pStyle w:val="Reference"/>
      </w:pPr>
      <w:r w:rsidRPr="007162F2">
        <w:t xml:space="preserve">CSTDA (Commonwealth State/Territory Disability Agreement) 2003, </w:t>
      </w:r>
      <w:r w:rsidRPr="007162F2">
        <w:rPr>
          <w:i/>
        </w:rPr>
        <w:t>Agreement between the Commonwealth of Australia and the States and Territories of Australia in Relation to Disability Services,</w:t>
      </w:r>
      <w:r w:rsidRPr="007162F2">
        <w:t xml:space="preserve"> Australian Government Department of Family and Community Services, Canberra.</w:t>
      </w:r>
    </w:p>
    <w:p w14:paraId="79BDBA06" w14:textId="4E2FC96A" w:rsidR="009F7421" w:rsidRDefault="009F7421" w:rsidP="009F7421">
      <w:pPr>
        <w:pStyle w:val="Reference"/>
      </w:pPr>
      <w:r w:rsidRPr="007162F2">
        <w:t xml:space="preserve">COAG (Council of Australian Governments) 2012, </w:t>
      </w:r>
      <w:r w:rsidRPr="007162F2">
        <w:rPr>
          <w:i/>
        </w:rPr>
        <w:t>National Disability Agreement</w:t>
      </w:r>
      <w:r w:rsidRPr="007162F2">
        <w:t xml:space="preserve">, </w:t>
      </w:r>
      <w:r w:rsidR="00B10E98" w:rsidRPr="00B10E98">
        <w:t>www.federalfinancialrelations.gov.au/content/npa/national_agreements/national-disability-agreement.rtf</w:t>
      </w:r>
      <w:r w:rsidRPr="007162F2">
        <w:t xml:space="preserve"> (accessed </w:t>
      </w:r>
      <w:r w:rsidR="00B10E98">
        <w:t>8</w:t>
      </w:r>
      <w:r w:rsidRPr="007162F2">
        <w:t> </w:t>
      </w:r>
      <w:r w:rsidR="00B10E98">
        <w:t>Dec</w:t>
      </w:r>
      <w:r w:rsidRPr="007162F2">
        <w:t>ember 201</w:t>
      </w:r>
      <w:r w:rsidR="00B10E98">
        <w:t>7</w:t>
      </w:r>
      <w:r w:rsidRPr="007162F2">
        <w:t>).</w:t>
      </w:r>
    </w:p>
    <w:p w14:paraId="52289156" w14:textId="7B47059F" w:rsidR="00154396" w:rsidRDefault="009F7421" w:rsidP="009F7421">
      <w:pPr>
        <w:pStyle w:val="Reference"/>
        <w:rPr>
          <w:i/>
        </w:rPr>
      </w:pPr>
      <w:r w:rsidRPr="007162F2">
        <w:t xml:space="preserve">NDIA (National Disability Insurance Agency) NDIA, </w:t>
      </w:r>
      <w:r w:rsidRPr="00342AFB">
        <w:t>2016</w:t>
      </w:r>
      <w:r w:rsidR="008B6791" w:rsidRPr="007162F2">
        <w:t>,</w:t>
      </w:r>
      <w:r w:rsidRPr="007162F2">
        <w:t xml:space="preserve"> </w:t>
      </w:r>
      <w:r w:rsidR="00154396" w:rsidRPr="007162F2">
        <w:t xml:space="preserve">NDIA Website — Governance </w:t>
      </w:r>
      <w:r w:rsidR="00154396" w:rsidRPr="00154396">
        <w:t>www.ndis.gov.au/about-us/governance.html</w:t>
      </w:r>
      <w:r w:rsidR="00154396">
        <w:t xml:space="preserve"> </w:t>
      </w:r>
      <w:r w:rsidR="00154396" w:rsidRPr="00B10E98">
        <w:t>[</w:t>
      </w:r>
      <w:r w:rsidR="00B10E98" w:rsidRPr="00B10E98">
        <w:t>8 December 2017</w:t>
      </w:r>
      <w:r w:rsidR="00154396" w:rsidRPr="00B10E98">
        <w:t>]</w:t>
      </w:r>
    </w:p>
    <w:p w14:paraId="001EBAB9" w14:textId="58795ABB" w:rsidR="00154396" w:rsidRPr="007162F2" w:rsidRDefault="00154396" w:rsidP="00154396">
      <w:pPr>
        <w:pStyle w:val="Reference"/>
      </w:pPr>
      <w:r w:rsidRPr="007162F2">
        <w:t>—— </w:t>
      </w:r>
      <w:r>
        <w:t>201</w:t>
      </w:r>
      <w:r w:rsidR="00964B9A">
        <w:t>7</w:t>
      </w:r>
      <w:r>
        <w:t xml:space="preserve">, </w:t>
      </w:r>
      <w:r w:rsidRPr="007162F2">
        <w:rPr>
          <w:i/>
        </w:rPr>
        <w:t>Quarterly Report to COAG Disability Reform Council, 30</w:t>
      </w:r>
      <w:r>
        <w:rPr>
          <w:i/>
        </w:rPr>
        <w:t> </w:t>
      </w:r>
      <w:r w:rsidRPr="007162F2">
        <w:rPr>
          <w:i/>
        </w:rPr>
        <w:t>Jun</w:t>
      </w:r>
      <w:r w:rsidR="004C4016">
        <w:rPr>
          <w:i/>
        </w:rPr>
        <w:t>e 2017</w:t>
      </w:r>
      <w:r w:rsidRPr="007162F2">
        <w:t xml:space="preserve"> www.ndis.gov.au/about-us/information-publications-and-reports/qua</w:t>
      </w:r>
      <w:r w:rsidR="004C4016">
        <w:t>rterly-reports.html (Accessed 12</w:t>
      </w:r>
      <w:r>
        <w:t> </w:t>
      </w:r>
      <w:r w:rsidR="004C4016">
        <w:t>September 2017</w:t>
      </w:r>
      <w:r w:rsidRPr="007162F2">
        <w:t>)</w:t>
      </w:r>
    </w:p>
    <w:p w14:paraId="443F049E" w14:textId="77777777" w:rsidR="009F7421" w:rsidRPr="007162F2" w:rsidRDefault="009F7421" w:rsidP="009F7421">
      <w:pPr>
        <w:pStyle w:val="Reference"/>
      </w:pPr>
      <w:r w:rsidRPr="007162F2">
        <w:t xml:space="preserve">SCRCSSP (Steering Committee for the Review of Commonwealth/State Service Provision) 1999, </w:t>
      </w:r>
      <w:r w:rsidRPr="007162F2">
        <w:rPr>
          <w:i/>
          <w:iCs/>
        </w:rPr>
        <w:t>Payroll Tax in the Costing of Government Services</w:t>
      </w:r>
      <w:r w:rsidRPr="007162F2">
        <w:t xml:space="preserve">, </w:t>
      </w:r>
      <w:proofErr w:type="spellStart"/>
      <w:r w:rsidRPr="007162F2">
        <w:t>AusInfo</w:t>
      </w:r>
      <w:proofErr w:type="spellEnd"/>
      <w:r w:rsidRPr="007162F2">
        <w:t>, Canberra.</w:t>
      </w:r>
    </w:p>
    <w:p w14:paraId="633C56A4" w14:textId="77777777" w:rsidR="00D644D4" w:rsidRPr="007162F2" w:rsidRDefault="00D644D4" w:rsidP="00D644D4">
      <w:pPr>
        <w:pStyle w:val="Reference"/>
      </w:pPr>
      <w:r w:rsidRPr="007162F2">
        <w:t xml:space="preserve">SCRGSP (Steering Committee for the Review of Government Service Provision) 2013, </w:t>
      </w:r>
      <w:r w:rsidRPr="007162F2">
        <w:rPr>
          <w:i/>
        </w:rPr>
        <w:t>National Agreement performance information 2012</w:t>
      </w:r>
      <w:r>
        <w:rPr>
          <w:i/>
        </w:rPr>
        <w:noBreakHyphen/>
      </w:r>
      <w:r w:rsidRPr="007162F2">
        <w:rPr>
          <w:i/>
        </w:rPr>
        <w:t>13 — National Disability Agreement</w:t>
      </w:r>
      <w:r w:rsidRPr="007162F2">
        <w:t>, Productivity Commission, Canberra.</w:t>
      </w:r>
    </w:p>
    <w:p w14:paraId="522C4ACD" w14:textId="07EF208E" w:rsidR="009F7421" w:rsidRPr="009F7421" w:rsidRDefault="009F7421" w:rsidP="00C80F61">
      <w:pPr>
        <w:pStyle w:val="Reference"/>
      </w:pPr>
      <w:r w:rsidRPr="007162F2">
        <w:t xml:space="preserve">WHO (World Health Organisation) 2009, </w:t>
      </w:r>
      <w:r w:rsidRPr="007162F2">
        <w:rPr>
          <w:i/>
        </w:rPr>
        <w:t>Disabilities</w:t>
      </w:r>
      <w:r w:rsidRPr="007162F2">
        <w:t>, Health topics, Geneva, www.who.int/topics/disabilities/en/ (accessed 13 October 2009).</w:t>
      </w:r>
      <w:r w:rsidR="00C80F61">
        <w:t xml:space="preserve"> </w:t>
      </w:r>
    </w:p>
    <w:sectPr w:rsidR="009F7421" w:rsidRPr="009F7421" w:rsidSect="00BB37F8">
      <w:headerReference w:type="even" r:id="rId40"/>
      <w:headerReference w:type="default" r:id="rId41"/>
      <w:footerReference w:type="even" r:id="rId42"/>
      <w:footerReference w:type="default" r:id="rId4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D08B4" w14:textId="77777777" w:rsidR="0037621B" w:rsidRDefault="0037621B">
      <w:r>
        <w:separator/>
      </w:r>
    </w:p>
  </w:endnote>
  <w:endnote w:type="continuationSeparator" w:id="0">
    <w:p w14:paraId="0CD72D6E" w14:textId="77777777" w:rsidR="0037621B" w:rsidRDefault="0037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7621B" w14:paraId="13205612" w14:textId="77777777" w:rsidTr="005F48ED">
      <w:trPr>
        <w:trHeight w:hRule="exact" w:val="567"/>
      </w:trPr>
      <w:tc>
        <w:tcPr>
          <w:tcW w:w="510" w:type="dxa"/>
        </w:tcPr>
        <w:p w14:paraId="59EF4207" w14:textId="460A11DE" w:rsidR="0037621B" w:rsidRPr="00A24443" w:rsidRDefault="0037621B" w:rsidP="0019293B">
          <w:pPr>
            <w:pStyle w:val="Footer"/>
            <w:tabs>
              <w:tab w:val="left" w:pos="0"/>
            </w:tabs>
            <w:ind w:right="0"/>
            <w:rPr>
              <w:rStyle w:val="PageNumbe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B2EF0">
            <w:rPr>
              <w:rStyle w:val="PageNumber"/>
              <w:caps w:val="0"/>
              <w:noProof/>
            </w:rPr>
            <w:t>2</w:t>
          </w:r>
          <w:r w:rsidRPr="00A24443">
            <w:rPr>
              <w:rStyle w:val="PageNumber"/>
              <w:caps w:val="0"/>
            </w:rPr>
            <w:fldChar w:fldCharType="end"/>
          </w:r>
        </w:p>
      </w:tc>
      <w:tc>
        <w:tcPr>
          <w:tcW w:w="7767" w:type="dxa"/>
        </w:tcPr>
        <w:p w14:paraId="4AC4F8E2" w14:textId="318827C5" w:rsidR="0037621B" w:rsidRPr="0013739A" w:rsidRDefault="0037621B" w:rsidP="0013739A">
          <w:pPr>
            <w:pStyle w:val="Footer"/>
            <w:rPr>
              <w:rFonts w:cs="Arial"/>
            </w:rPr>
          </w:pPr>
          <w:r>
            <w:rPr>
              <w:rFonts w:cs="Arial"/>
            </w:rPr>
            <w:t>Report on Government Services 2018</w:t>
          </w:r>
          <w:bookmarkStart w:id="33" w:name="DraftReportEven"/>
          <w:bookmarkEnd w:id="33"/>
        </w:p>
      </w:tc>
      <w:tc>
        <w:tcPr>
          <w:tcW w:w="510" w:type="dxa"/>
        </w:tcPr>
        <w:p w14:paraId="018CD6FD" w14:textId="77777777" w:rsidR="0037621B" w:rsidRDefault="0037621B" w:rsidP="0019293B">
          <w:pPr>
            <w:pStyle w:val="Footer"/>
          </w:pPr>
        </w:p>
      </w:tc>
    </w:tr>
  </w:tbl>
  <w:p w14:paraId="5A929FD2" w14:textId="77777777" w:rsidR="0037621B" w:rsidRDefault="0037621B" w:rsidP="0019293B">
    <w:pPr>
      <w:pStyle w:val="FooterEnd"/>
    </w:pPr>
  </w:p>
  <w:p w14:paraId="09381E6E" w14:textId="77777777" w:rsidR="0037621B" w:rsidRDefault="0037621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7621B" w14:paraId="54A2A6CC" w14:textId="77777777" w:rsidTr="005F48ED">
      <w:trPr>
        <w:trHeight w:hRule="exact" w:val="567"/>
      </w:trPr>
      <w:tc>
        <w:tcPr>
          <w:tcW w:w="510" w:type="dxa"/>
        </w:tcPr>
        <w:p w14:paraId="19BAC28F" w14:textId="77777777" w:rsidR="0037621B" w:rsidRDefault="0037621B">
          <w:pPr>
            <w:pStyle w:val="Footer"/>
            <w:ind w:right="360" w:firstLine="360"/>
          </w:pPr>
        </w:p>
      </w:tc>
      <w:tc>
        <w:tcPr>
          <w:tcW w:w="7767" w:type="dxa"/>
        </w:tcPr>
        <w:p w14:paraId="2CC6B7F9" w14:textId="7EE41F1D" w:rsidR="0037621B" w:rsidRPr="00BA5B14" w:rsidRDefault="0037621B" w:rsidP="0013739A">
          <w:pPr>
            <w:pStyle w:val="Footer"/>
            <w:jc w:val="right"/>
            <w:rPr>
              <w:rFonts w:cs="Arial"/>
            </w:rPr>
          </w:pPr>
          <w:r>
            <w:rPr>
              <w:rFonts w:cs="Arial"/>
            </w:rPr>
            <w:t>Services for people with disability</w:t>
          </w:r>
        </w:p>
      </w:tc>
      <w:tc>
        <w:tcPr>
          <w:tcW w:w="510" w:type="dxa"/>
        </w:tcPr>
        <w:p w14:paraId="5E8CA4FF" w14:textId="50829546" w:rsidR="0037621B" w:rsidRPr="00A24443" w:rsidRDefault="0037621B">
          <w:pPr>
            <w:pStyle w:val="Footer"/>
            <w:jc w:val="right"/>
            <w:rP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B2EF0">
            <w:rPr>
              <w:rStyle w:val="PageNumber"/>
              <w:caps w:val="0"/>
              <w:noProof/>
            </w:rPr>
            <w:t>1</w:t>
          </w:r>
          <w:r w:rsidRPr="00A24443">
            <w:rPr>
              <w:rStyle w:val="PageNumber"/>
              <w:caps w:val="0"/>
            </w:rPr>
            <w:fldChar w:fldCharType="end"/>
          </w:r>
        </w:p>
      </w:tc>
    </w:tr>
  </w:tbl>
  <w:p w14:paraId="7EE5C9FB" w14:textId="77777777" w:rsidR="0037621B" w:rsidRDefault="0037621B">
    <w:pPr>
      <w:pStyle w:val="FooterEnd"/>
    </w:pPr>
  </w:p>
  <w:p w14:paraId="06DD1F7C" w14:textId="77777777" w:rsidR="0037621B" w:rsidRDefault="0037621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DC15C" w14:textId="77777777" w:rsidR="0037621B" w:rsidRDefault="0037621B">
      <w:r>
        <w:separator/>
      </w:r>
    </w:p>
  </w:footnote>
  <w:footnote w:type="continuationSeparator" w:id="0">
    <w:p w14:paraId="671CF834" w14:textId="77777777" w:rsidR="0037621B" w:rsidRDefault="0037621B">
      <w:r>
        <w:continuationSeparator/>
      </w:r>
    </w:p>
  </w:footnote>
  <w:footnote w:id="1">
    <w:p w14:paraId="417E2A1D" w14:textId="61864EA9" w:rsidR="0037621B" w:rsidRDefault="0037621B" w:rsidP="005703EB">
      <w:pPr>
        <w:pStyle w:val="FootnoteText"/>
      </w:pPr>
      <w:r w:rsidRPr="00A95DEE">
        <w:rPr>
          <w:rStyle w:val="FootnoteReference"/>
        </w:rPr>
        <w:footnoteRef/>
      </w:r>
      <w:r w:rsidRPr="00A95DEE">
        <w:tab/>
      </w:r>
      <w:r w:rsidRPr="00353465">
        <w:t>Both the National Disability Insurance Agency (NDIA) and WA Government operated trials in WA from 1 July 2014 until 30 June 2017 (this chapter includes the WA Government operated NDIS trial sites in the NDA service user and expenditure data). The bilateral agreement between WA and the Commonwealth Governments signed in January 2017 agreed to the WA Government rolling out the NDIS across WA from 1 July 2017. On 12 December 2017, the WA and Commonwealth Governments announced they had reached an agreement to bring Western Australia into the nationally-delivered National Disability Insurance Scheme (NDIS). This agreement replaces the agreement signed in January 2017 by the previous Western Australian Government. Under the new agreement the NDIA will assume responsibility for rolling out the NDIS in WA from 1 July 2018 with full roll out by 2020.</w:t>
      </w:r>
    </w:p>
  </w:footnote>
  <w:footnote w:id="2">
    <w:p w14:paraId="03AE6835" w14:textId="06BAD689" w:rsidR="0037621B" w:rsidRDefault="0037621B" w:rsidP="00B61C6F">
      <w:pPr>
        <w:pStyle w:val="FootnoteText"/>
      </w:pPr>
      <w:r>
        <w:rPr>
          <w:rStyle w:val="FootnoteReference"/>
        </w:rPr>
        <w:footnoteRef/>
      </w:r>
      <w:r>
        <w:tab/>
      </w:r>
      <w:r w:rsidRPr="00F41D36">
        <w:t>201</w:t>
      </w:r>
      <w:r>
        <w:t>6-17</w:t>
      </w:r>
      <w:r w:rsidRPr="00F41D36">
        <w:t xml:space="preserve"> data were not available for this Report.</w:t>
      </w:r>
    </w:p>
  </w:footnote>
  <w:footnote w:id="3">
    <w:p w14:paraId="6F0F5070" w14:textId="00519400" w:rsidR="0037621B" w:rsidRDefault="0037621B">
      <w:pPr>
        <w:pStyle w:val="FootnoteText"/>
      </w:pPr>
      <w:r>
        <w:rPr>
          <w:rStyle w:val="FootnoteReference"/>
        </w:rPr>
        <w:footnoteRef/>
      </w:r>
      <w:r>
        <w:tab/>
        <w:t>Except for WA, for which basic community care services continued to be delivered under HACC as a joint Australian and WA State governments’ funded program. The Victorian Government assumed full funding and management responsibilities from 1 July 2016 through the HACC Program for Younger People.</w:t>
      </w:r>
    </w:p>
  </w:footnote>
  <w:footnote w:id="4">
    <w:p w14:paraId="40D70C65" w14:textId="25924645" w:rsidR="0037621B" w:rsidRDefault="0037621B">
      <w:pPr>
        <w:pStyle w:val="FootnoteText"/>
      </w:pPr>
      <w:r>
        <w:rPr>
          <w:rStyle w:val="FootnoteReference"/>
        </w:rPr>
        <w:footnoteRef/>
      </w:r>
      <w:r>
        <w:tab/>
        <w:t>With the exception of WA. See footnote 3.</w:t>
      </w:r>
    </w:p>
  </w:footnote>
  <w:footnote w:id="5">
    <w:p w14:paraId="0802A6DC" w14:textId="099B14BA" w:rsidR="0037621B" w:rsidRDefault="0037621B">
      <w:pPr>
        <w:pStyle w:val="FootnoteText"/>
      </w:pPr>
      <w:r>
        <w:rPr>
          <w:rStyle w:val="FootnoteReference"/>
        </w:rPr>
        <w:footnoteRef/>
      </w:r>
      <w:r>
        <w:tab/>
        <w:t>Committed support is the amount allocated to specific plans – not all committed support in a plan is used by a participant. Utilisation of committed support is not yet known for 2016-17, but the NDIA has indicated it is tracking lower than 2015-16 when it was 76 per cent (NDIA 2017).</w:t>
      </w:r>
    </w:p>
  </w:footnote>
  <w:footnote w:id="6">
    <w:p w14:paraId="54E06AC8" w14:textId="02B5DAE5" w:rsidR="0037621B" w:rsidRDefault="0037621B" w:rsidP="009B613B">
      <w:pPr>
        <w:pStyle w:val="FootnoteText"/>
      </w:pPr>
      <w:r>
        <w:rPr>
          <w:rStyle w:val="FootnoteReference"/>
        </w:rPr>
        <w:footnoteRef/>
      </w:r>
      <w:r>
        <w:tab/>
      </w:r>
      <w:r w:rsidRPr="00342AFB">
        <w:t xml:space="preserve">These data differ to those reported in figure 15.1 as they are over the full financial year, rather than point in time as at 30 June 2016. </w:t>
      </w:r>
      <w:r w:rsidRPr="00072395">
        <w:t>201</w:t>
      </w:r>
      <w:r>
        <w:t>6</w:t>
      </w:r>
      <w:r w:rsidRPr="00072395">
        <w:noBreakHyphen/>
        <w:t>1</w:t>
      </w:r>
      <w:r>
        <w:t xml:space="preserve">7 data were not available for this Report. </w:t>
      </w:r>
    </w:p>
  </w:footnote>
  <w:footnote w:id="7">
    <w:p w14:paraId="2DD69420" w14:textId="3F254107" w:rsidR="0037621B" w:rsidRDefault="0037621B" w:rsidP="00E3783F">
      <w:pPr>
        <w:pStyle w:val="FootnoteText"/>
      </w:pPr>
      <w:r>
        <w:rPr>
          <w:rStyle w:val="FootnoteReference"/>
        </w:rPr>
        <w:footnoteRef/>
      </w:r>
      <w:r>
        <w:tab/>
      </w:r>
      <w:r w:rsidRPr="00342AFB">
        <w:t>The 89 610 NDIS participants, as at 30 June 2017 with approved plans, includes only active participants. Inactive participants are those who have exited the Scheme. As at 30 June 2017, 1,028 participants with approved plans have exited the Scheme (NDIA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7621B" w14:paraId="3205EC0D" w14:textId="77777777">
      <w:tc>
        <w:tcPr>
          <w:tcW w:w="2155" w:type="dxa"/>
          <w:tcBorders>
            <w:top w:val="single" w:sz="24" w:space="0" w:color="auto"/>
          </w:tcBorders>
        </w:tcPr>
        <w:p w14:paraId="3CA57845" w14:textId="77777777" w:rsidR="0037621B" w:rsidRDefault="0037621B" w:rsidP="0019293B">
          <w:pPr>
            <w:pStyle w:val="HeaderEven"/>
          </w:pPr>
        </w:p>
      </w:tc>
      <w:tc>
        <w:tcPr>
          <w:tcW w:w="6634" w:type="dxa"/>
          <w:tcBorders>
            <w:top w:val="single" w:sz="6" w:space="0" w:color="auto"/>
          </w:tcBorders>
        </w:tcPr>
        <w:p w14:paraId="3303C0BD" w14:textId="77777777" w:rsidR="0037621B" w:rsidRDefault="0037621B" w:rsidP="0019293B">
          <w:pPr>
            <w:pStyle w:val="HeaderEven"/>
          </w:pPr>
        </w:p>
      </w:tc>
    </w:tr>
  </w:tbl>
  <w:p w14:paraId="283D7CF3" w14:textId="77777777" w:rsidR="0037621B" w:rsidRDefault="0037621B" w:rsidP="0019293B">
    <w:pPr>
      <w:pStyle w:val="HeaderEnd"/>
    </w:pPr>
  </w:p>
  <w:p w14:paraId="4AE6F3FA" w14:textId="77777777" w:rsidR="0037621B" w:rsidRDefault="0037621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7621B" w14:paraId="38D7ED44" w14:textId="77777777">
      <w:tc>
        <w:tcPr>
          <w:tcW w:w="6634" w:type="dxa"/>
          <w:tcBorders>
            <w:top w:val="single" w:sz="6" w:space="0" w:color="auto"/>
          </w:tcBorders>
        </w:tcPr>
        <w:p w14:paraId="2547DBFD" w14:textId="77777777" w:rsidR="0037621B" w:rsidRDefault="0037621B" w:rsidP="00E669E2">
          <w:pPr>
            <w:pStyle w:val="HeaderOdd"/>
          </w:pPr>
        </w:p>
      </w:tc>
      <w:tc>
        <w:tcPr>
          <w:tcW w:w="2155" w:type="dxa"/>
          <w:tcBorders>
            <w:top w:val="single" w:sz="24" w:space="0" w:color="auto"/>
          </w:tcBorders>
        </w:tcPr>
        <w:p w14:paraId="50CF3959" w14:textId="77777777" w:rsidR="0037621B" w:rsidRDefault="0037621B" w:rsidP="00E669E2">
          <w:pPr>
            <w:pStyle w:val="HeaderOdd"/>
          </w:pPr>
        </w:p>
      </w:tc>
    </w:tr>
  </w:tbl>
  <w:p w14:paraId="4EB60CB0" w14:textId="77777777" w:rsidR="0037621B" w:rsidRDefault="0037621B" w:rsidP="00E669E2">
    <w:pPr>
      <w:pStyle w:val="HeaderEnd"/>
    </w:pPr>
  </w:p>
  <w:p w14:paraId="3249E6A7" w14:textId="77777777" w:rsidR="0037621B" w:rsidRDefault="0037621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8DD01AE"/>
    <w:multiLevelType w:val="hybridMultilevel"/>
    <w:tmpl w:val="9416A6EC"/>
    <w:lvl w:ilvl="0" w:tplc="89A86E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5"/>
  </w:num>
  <w:num w:numId="4">
    <w:abstractNumId w:val="4"/>
  </w:num>
  <w:num w:numId="5">
    <w:abstractNumId w:val="20"/>
  </w:num>
  <w:num w:numId="6">
    <w:abstractNumId w:val="17"/>
  </w:num>
  <w:num w:numId="7">
    <w:abstractNumId w:val="8"/>
  </w:num>
  <w:num w:numId="8">
    <w:abstractNumId w:val="16"/>
  </w:num>
  <w:num w:numId="9">
    <w:abstractNumId w:val="7"/>
  </w:num>
  <w:num w:numId="10">
    <w:abstractNumId w:val="6"/>
  </w:num>
  <w:num w:numId="11">
    <w:abstractNumId w:val="10"/>
  </w:num>
  <w:num w:numId="12">
    <w:abstractNumId w:val="11"/>
  </w:num>
  <w:num w:numId="13">
    <w:abstractNumId w:val="5"/>
  </w:num>
  <w:num w:numId="14">
    <w:abstractNumId w:val="18"/>
  </w:num>
  <w:num w:numId="15">
    <w:abstractNumId w:val="21"/>
  </w:num>
  <w:num w:numId="16">
    <w:abstractNumId w:val="14"/>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
  </w:num>
  <w:num w:numId="23">
    <w:abstractNumId w:val="12"/>
  </w:num>
  <w:num w:numId="24">
    <w:abstractNumId w:val="12"/>
  </w:num>
  <w:num w:numId="25">
    <w:abstractNumId w:val="12"/>
  </w:num>
  <w:num w:numId="26">
    <w:abstractNumId w:val="16"/>
  </w:num>
  <w:num w:numId="27">
    <w:abstractNumId w:val="15"/>
  </w:num>
  <w:num w:numId="28">
    <w:abstractNumId w:val="15"/>
  </w:num>
  <w:num w:numId="29">
    <w:abstractNumId w:val="15"/>
  </w:num>
  <w:num w:numId="30">
    <w:abstractNumId w:val="12"/>
  </w:num>
  <w:num w:numId="31">
    <w:abstractNumId w:val="12"/>
  </w:num>
  <w:num w:numId="32">
    <w:abstractNumId w:val="15"/>
  </w:num>
  <w:num w:numId="33">
    <w:abstractNumId w:val="12"/>
  </w:num>
  <w:num w:numId="34">
    <w:abstractNumId w:val="12"/>
  </w:num>
  <w:num w:numId="35">
    <w:abstractNumId w:val="13"/>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ervices for people with disability"/>
    <w:docVar w:name="ShortReportTitle" w:val="Report on Government Services 2018"/>
  </w:docVars>
  <w:rsids>
    <w:rsidRoot w:val="00825EA8"/>
    <w:rsid w:val="00001910"/>
    <w:rsid w:val="0001066B"/>
    <w:rsid w:val="0001094D"/>
    <w:rsid w:val="0002017E"/>
    <w:rsid w:val="00021333"/>
    <w:rsid w:val="00022142"/>
    <w:rsid w:val="000227D5"/>
    <w:rsid w:val="000237EF"/>
    <w:rsid w:val="000245AA"/>
    <w:rsid w:val="0002537D"/>
    <w:rsid w:val="00032DDE"/>
    <w:rsid w:val="0003664B"/>
    <w:rsid w:val="0004111F"/>
    <w:rsid w:val="0004698D"/>
    <w:rsid w:val="00046DC4"/>
    <w:rsid w:val="00053143"/>
    <w:rsid w:val="0005414E"/>
    <w:rsid w:val="00054C09"/>
    <w:rsid w:val="00055077"/>
    <w:rsid w:val="00055709"/>
    <w:rsid w:val="000565B3"/>
    <w:rsid w:val="0005720B"/>
    <w:rsid w:val="00062254"/>
    <w:rsid w:val="00062EB3"/>
    <w:rsid w:val="00066973"/>
    <w:rsid w:val="0007150B"/>
    <w:rsid w:val="0007410E"/>
    <w:rsid w:val="00074B5A"/>
    <w:rsid w:val="000770AE"/>
    <w:rsid w:val="000859ED"/>
    <w:rsid w:val="000938F5"/>
    <w:rsid w:val="00095663"/>
    <w:rsid w:val="00096E55"/>
    <w:rsid w:val="00097555"/>
    <w:rsid w:val="0009783E"/>
    <w:rsid w:val="000A367F"/>
    <w:rsid w:val="000A3CA7"/>
    <w:rsid w:val="000A73EE"/>
    <w:rsid w:val="000B1022"/>
    <w:rsid w:val="000B1C3F"/>
    <w:rsid w:val="000B30F1"/>
    <w:rsid w:val="000B601B"/>
    <w:rsid w:val="000B7A76"/>
    <w:rsid w:val="000C207E"/>
    <w:rsid w:val="000C3733"/>
    <w:rsid w:val="000C3897"/>
    <w:rsid w:val="000C45AA"/>
    <w:rsid w:val="000C6FF0"/>
    <w:rsid w:val="000C79B1"/>
    <w:rsid w:val="000D41E9"/>
    <w:rsid w:val="000D4BBE"/>
    <w:rsid w:val="000D5573"/>
    <w:rsid w:val="000D6FA9"/>
    <w:rsid w:val="000D7005"/>
    <w:rsid w:val="000E2534"/>
    <w:rsid w:val="000E572C"/>
    <w:rsid w:val="000E5C8B"/>
    <w:rsid w:val="000E717A"/>
    <w:rsid w:val="000F0035"/>
    <w:rsid w:val="000F04E7"/>
    <w:rsid w:val="000F060A"/>
    <w:rsid w:val="000F2383"/>
    <w:rsid w:val="000F4202"/>
    <w:rsid w:val="000F420B"/>
    <w:rsid w:val="000F539C"/>
    <w:rsid w:val="000F7E95"/>
    <w:rsid w:val="001063E8"/>
    <w:rsid w:val="00110116"/>
    <w:rsid w:val="0011467D"/>
    <w:rsid w:val="001148B3"/>
    <w:rsid w:val="00114AE1"/>
    <w:rsid w:val="0011670D"/>
    <w:rsid w:val="00120072"/>
    <w:rsid w:val="00123829"/>
    <w:rsid w:val="001252A6"/>
    <w:rsid w:val="001252D2"/>
    <w:rsid w:val="00126DC6"/>
    <w:rsid w:val="00126EB8"/>
    <w:rsid w:val="00127408"/>
    <w:rsid w:val="001274D4"/>
    <w:rsid w:val="001274D8"/>
    <w:rsid w:val="001325A6"/>
    <w:rsid w:val="001363AA"/>
    <w:rsid w:val="00136EA5"/>
    <w:rsid w:val="00136F5B"/>
    <w:rsid w:val="0013739A"/>
    <w:rsid w:val="00137A5B"/>
    <w:rsid w:val="001416F8"/>
    <w:rsid w:val="00142165"/>
    <w:rsid w:val="001438A7"/>
    <w:rsid w:val="00150B61"/>
    <w:rsid w:val="00154396"/>
    <w:rsid w:val="00160161"/>
    <w:rsid w:val="00162434"/>
    <w:rsid w:val="00163BD2"/>
    <w:rsid w:val="00171823"/>
    <w:rsid w:val="00173311"/>
    <w:rsid w:val="00174CA4"/>
    <w:rsid w:val="00175AE2"/>
    <w:rsid w:val="001804AA"/>
    <w:rsid w:val="00182F38"/>
    <w:rsid w:val="00183E82"/>
    <w:rsid w:val="00184BED"/>
    <w:rsid w:val="00185124"/>
    <w:rsid w:val="00186346"/>
    <w:rsid w:val="001878BB"/>
    <w:rsid w:val="001913CD"/>
    <w:rsid w:val="00191AE0"/>
    <w:rsid w:val="0019293B"/>
    <w:rsid w:val="0019426B"/>
    <w:rsid w:val="001A5F5A"/>
    <w:rsid w:val="001A6531"/>
    <w:rsid w:val="001A6A4B"/>
    <w:rsid w:val="001A7EBC"/>
    <w:rsid w:val="001B0FBA"/>
    <w:rsid w:val="001B2B1B"/>
    <w:rsid w:val="001B2EF0"/>
    <w:rsid w:val="001B4468"/>
    <w:rsid w:val="001B7A13"/>
    <w:rsid w:val="001C0865"/>
    <w:rsid w:val="001C0AED"/>
    <w:rsid w:val="001C0FFC"/>
    <w:rsid w:val="001C377B"/>
    <w:rsid w:val="001C3ABA"/>
    <w:rsid w:val="001C5111"/>
    <w:rsid w:val="001D7269"/>
    <w:rsid w:val="001E7BE8"/>
    <w:rsid w:val="001F0248"/>
    <w:rsid w:val="001F2D96"/>
    <w:rsid w:val="001F35C1"/>
    <w:rsid w:val="001F3EB3"/>
    <w:rsid w:val="001F4F86"/>
    <w:rsid w:val="001F722A"/>
    <w:rsid w:val="00201AAE"/>
    <w:rsid w:val="00202C2C"/>
    <w:rsid w:val="00203050"/>
    <w:rsid w:val="002042CE"/>
    <w:rsid w:val="00210A0D"/>
    <w:rsid w:val="00210C45"/>
    <w:rsid w:val="002134BE"/>
    <w:rsid w:val="002135AB"/>
    <w:rsid w:val="002144BE"/>
    <w:rsid w:val="00215C84"/>
    <w:rsid w:val="002161FC"/>
    <w:rsid w:val="00222071"/>
    <w:rsid w:val="00222C9A"/>
    <w:rsid w:val="00226D94"/>
    <w:rsid w:val="00231325"/>
    <w:rsid w:val="002358A7"/>
    <w:rsid w:val="00237A5E"/>
    <w:rsid w:val="00240B3A"/>
    <w:rsid w:val="00242279"/>
    <w:rsid w:val="00243997"/>
    <w:rsid w:val="0024516C"/>
    <w:rsid w:val="00245C82"/>
    <w:rsid w:val="002461F0"/>
    <w:rsid w:val="0025356F"/>
    <w:rsid w:val="00253955"/>
    <w:rsid w:val="00255EB2"/>
    <w:rsid w:val="002570C2"/>
    <w:rsid w:val="0026545C"/>
    <w:rsid w:val="00271187"/>
    <w:rsid w:val="002724BA"/>
    <w:rsid w:val="00276C04"/>
    <w:rsid w:val="00281B25"/>
    <w:rsid w:val="00283745"/>
    <w:rsid w:val="0028444B"/>
    <w:rsid w:val="002908DD"/>
    <w:rsid w:val="002915BB"/>
    <w:rsid w:val="00291B40"/>
    <w:rsid w:val="002924B6"/>
    <w:rsid w:val="00295E70"/>
    <w:rsid w:val="002A2775"/>
    <w:rsid w:val="002A43A0"/>
    <w:rsid w:val="002A4673"/>
    <w:rsid w:val="002A752A"/>
    <w:rsid w:val="002B1F59"/>
    <w:rsid w:val="002B2B09"/>
    <w:rsid w:val="002B4008"/>
    <w:rsid w:val="002C0D05"/>
    <w:rsid w:val="002C1F7B"/>
    <w:rsid w:val="002C439F"/>
    <w:rsid w:val="002C44D0"/>
    <w:rsid w:val="002C5525"/>
    <w:rsid w:val="002C5D8F"/>
    <w:rsid w:val="002D0C42"/>
    <w:rsid w:val="002D0E8E"/>
    <w:rsid w:val="002D6391"/>
    <w:rsid w:val="002E11EC"/>
    <w:rsid w:val="002E3BFA"/>
    <w:rsid w:val="002E5C75"/>
    <w:rsid w:val="002F2288"/>
    <w:rsid w:val="002F2715"/>
    <w:rsid w:val="002F3A65"/>
    <w:rsid w:val="0030058C"/>
    <w:rsid w:val="00300D4B"/>
    <w:rsid w:val="00301189"/>
    <w:rsid w:val="0030184D"/>
    <w:rsid w:val="00301E4A"/>
    <w:rsid w:val="00305F6D"/>
    <w:rsid w:val="0030719E"/>
    <w:rsid w:val="003107A7"/>
    <w:rsid w:val="003121F4"/>
    <w:rsid w:val="003134C6"/>
    <w:rsid w:val="0031606A"/>
    <w:rsid w:val="003168B8"/>
    <w:rsid w:val="00322D16"/>
    <w:rsid w:val="00322D64"/>
    <w:rsid w:val="00323B3E"/>
    <w:rsid w:val="00323E09"/>
    <w:rsid w:val="0032656D"/>
    <w:rsid w:val="00333932"/>
    <w:rsid w:val="00336C44"/>
    <w:rsid w:val="00341534"/>
    <w:rsid w:val="00342AFB"/>
    <w:rsid w:val="003518AA"/>
    <w:rsid w:val="00351BA0"/>
    <w:rsid w:val="00352165"/>
    <w:rsid w:val="00353182"/>
    <w:rsid w:val="00353465"/>
    <w:rsid w:val="003565D9"/>
    <w:rsid w:val="003602E1"/>
    <w:rsid w:val="00363E6D"/>
    <w:rsid w:val="00365040"/>
    <w:rsid w:val="00367885"/>
    <w:rsid w:val="0037026F"/>
    <w:rsid w:val="00371240"/>
    <w:rsid w:val="00371F37"/>
    <w:rsid w:val="00373E9F"/>
    <w:rsid w:val="00374731"/>
    <w:rsid w:val="00375C65"/>
    <w:rsid w:val="003760AE"/>
    <w:rsid w:val="0037621B"/>
    <w:rsid w:val="00376C6F"/>
    <w:rsid w:val="00376E59"/>
    <w:rsid w:val="00377EC1"/>
    <w:rsid w:val="00377F13"/>
    <w:rsid w:val="00380340"/>
    <w:rsid w:val="003827B2"/>
    <w:rsid w:val="003919F9"/>
    <w:rsid w:val="003920CF"/>
    <w:rsid w:val="003949D9"/>
    <w:rsid w:val="003952A5"/>
    <w:rsid w:val="00396278"/>
    <w:rsid w:val="0039783B"/>
    <w:rsid w:val="003A0296"/>
    <w:rsid w:val="003B23C2"/>
    <w:rsid w:val="003B6D12"/>
    <w:rsid w:val="003C0C87"/>
    <w:rsid w:val="003C133E"/>
    <w:rsid w:val="003C2134"/>
    <w:rsid w:val="003C3103"/>
    <w:rsid w:val="003C38B5"/>
    <w:rsid w:val="003C4DB4"/>
    <w:rsid w:val="003C5D99"/>
    <w:rsid w:val="003C663E"/>
    <w:rsid w:val="003C6C84"/>
    <w:rsid w:val="003D1087"/>
    <w:rsid w:val="003D3A1F"/>
    <w:rsid w:val="003D4796"/>
    <w:rsid w:val="003E12D3"/>
    <w:rsid w:val="003E2F59"/>
    <w:rsid w:val="003E746B"/>
    <w:rsid w:val="003F0789"/>
    <w:rsid w:val="003F096D"/>
    <w:rsid w:val="003F6E0A"/>
    <w:rsid w:val="00401882"/>
    <w:rsid w:val="00402BDC"/>
    <w:rsid w:val="00405786"/>
    <w:rsid w:val="004100C8"/>
    <w:rsid w:val="00410952"/>
    <w:rsid w:val="00411DBD"/>
    <w:rsid w:val="00412207"/>
    <w:rsid w:val="00412ACE"/>
    <w:rsid w:val="0041371D"/>
    <w:rsid w:val="004145D2"/>
    <w:rsid w:val="00425CEF"/>
    <w:rsid w:val="00426CB4"/>
    <w:rsid w:val="00427FAB"/>
    <w:rsid w:val="004310B8"/>
    <w:rsid w:val="00431249"/>
    <w:rsid w:val="00431868"/>
    <w:rsid w:val="00434C19"/>
    <w:rsid w:val="00436AEA"/>
    <w:rsid w:val="00436C65"/>
    <w:rsid w:val="00440974"/>
    <w:rsid w:val="00443C0A"/>
    <w:rsid w:val="00444F2B"/>
    <w:rsid w:val="004466AF"/>
    <w:rsid w:val="00450810"/>
    <w:rsid w:val="00450E7B"/>
    <w:rsid w:val="004514F4"/>
    <w:rsid w:val="00452ECC"/>
    <w:rsid w:val="004536A3"/>
    <w:rsid w:val="004574F8"/>
    <w:rsid w:val="00460F20"/>
    <w:rsid w:val="00462C59"/>
    <w:rsid w:val="00470737"/>
    <w:rsid w:val="00471E11"/>
    <w:rsid w:val="00474822"/>
    <w:rsid w:val="00477144"/>
    <w:rsid w:val="00477569"/>
    <w:rsid w:val="00482C73"/>
    <w:rsid w:val="00483109"/>
    <w:rsid w:val="00491380"/>
    <w:rsid w:val="00493308"/>
    <w:rsid w:val="0049459F"/>
    <w:rsid w:val="00496CC3"/>
    <w:rsid w:val="004A38DD"/>
    <w:rsid w:val="004A402E"/>
    <w:rsid w:val="004A46C2"/>
    <w:rsid w:val="004A515B"/>
    <w:rsid w:val="004A51D5"/>
    <w:rsid w:val="004A77A5"/>
    <w:rsid w:val="004B2E4A"/>
    <w:rsid w:val="004B43AE"/>
    <w:rsid w:val="004B4FBA"/>
    <w:rsid w:val="004B5386"/>
    <w:rsid w:val="004B5DD5"/>
    <w:rsid w:val="004B7720"/>
    <w:rsid w:val="004B79D8"/>
    <w:rsid w:val="004B7B20"/>
    <w:rsid w:val="004C30ED"/>
    <w:rsid w:val="004C4016"/>
    <w:rsid w:val="004C4AB8"/>
    <w:rsid w:val="004C5E2D"/>
    <w:rsid w:val="004C68FC"/>
    <w:rsid w:val="004C7BDB"/>
    <w:rsid w:val="004D247E"/>
    <w:rsid w:val="004D3F2B"/>
    <w:rsid w:val="004D49E6"/>
    <w:rsid w:val="004D5675"/>
    <w:rsid w:val="004D6161"/>
    <w:rsid w:val="004E03DF"/>
    <w:rsid w:val="004E63BB"/>
    <w:rsid w:val="004F1809"/>
    <w:rsid w:val="004F1925"/>
    <w:rsid w:val="004F1A42"/>
    <w:rsid w:val="004F38FB"/>
    <w:rsid w:val="004F4CCA"/>
    <w:rsid w:val="004F69AF"/>
    <w:rsid w:val="004F7CB5"/>
    <w:rsid w:val="00504A94"/>
    <w:rsid w:val="00505204"/>
    <w:rsid w:val="00507773"/>
    <w:rsid w:val="005116EB"/>
    <w:rsid w:val="005165DC"/>
    <w:rsid w:val="00517795"/>
    <w:rsid w:val="005204AC"/>
    <w:rsid w:val="0052187D"/>
    <w:rsid w:val="00523333"/>
    <w:rsid w:val="00523639"/>
    <w:rsid w:val="0052733D"/>
    <w:rsid w:val="00531525"/>
    <w:rsid w:val="00531FE5"/>
    <w:rsid w:val="00533DFC"/>
    <w:rsid w:val="00540178"/>
    <w:rsid w:val="005402FA"/>
    <w:rsid w:val="005444B0"/>
    <w:rsid w:val="0054456D"/>
    <w:rsid w:val="005478AB"/>
    <w:rsid w:val="005536B5"/>
    <w:rsid w:val="005553B2"/>
    <w:rsid w:val="0056501F"/>
    <w:rsid w:val="005703EB"/>
    <w:rsid w:val="00572791"/>
    <w:rsid w:val="005729BD"/>
    <w:rsid w:val="00572B9C"/>
    <w:rsid w:val="00573437"/>
    <w:rsid w:val="00573BE3"/>
    <w:rsid w:val="0057488B"/>
    <w:rsid w:val="005769BF"/>
    <w:rsid w:val="00580154"/>
    <w:rsid w:val="0058151B"/>
    <w:rsid w:val="0058239C"/>
    <w:rsid w:val="00583519"/>
    <w:rsid w:val="00583C39"/>
    <w:rsid w:val="00586A90"/>
    <w:rsid w:val="00587F28"/>
    <w:rsid w:val="005909CF"/>
    <w:rsid w:val="00591E71"/>
    <w:rsid w:val="00597D90"/>
    <w:rsid w:val="005A0D41"/>
    <w:rsid w:val="005A2273"/>
    <w:rsid w:val="005A2F79"/>
    <w:rsid w:val="005A3424"/>
    <w:rsid w:val="005A40D4"/>
    <w:rsid w:val="005A418A"/>
    <w:rsid w:val="005A7B1E"/>
    <w:rsid w:val="005B1557"/>
    <w:rsid w:val="005B236A"/>
    <w:rsid w:val="005B30C5"/>
    <w:rsid w:val="005B5126"/>
    <w:rsid w:val="005C15FB"/>
    <w:rsid w:val="005D0E89"/>
    <w:rsid w:val="005D2606"/>
    <w:rsid w:val="005D329F"/>
    <w:rsid w:val="005D5EA3"/>
    <w:rsid w:val="005D5F9B"/>
    <w:rsid w:val="005E2793"/>
    <w:rsid w:val="005E2B19"/>
    <w:rsid w:val="005E50AB"/>
    <w:rsid w:val="005F0ED6"/>
    <w:rsid w:val="005F1371"/>
    <w:rsid w:val="005F48ED"/>
    <w:rsid w:val="005F5C8C"/>
    <w:rsid w:val="00601617"/>
    <w:rsid w:val="00606E78"/>
    <w:rsid w:val="00606F94"/>
    <w:rsid w:val="00607BF1"/>
    <w:rsid w:val="00610327"/>
    <w:rsid w:val="006123D5"/>
    <w:rsid w:val="00621E1C"/>
    <w:rsid w:val="006233CB"/>
    <w:rsid w:val="00624BD7"/>
    <w:rsid w:val="00630D4D"/>
    <w:rsid w:val="00632A74"/>
    <w:rsid w:val="00632EE1"/>
    <w:rsid w:val="00634CCC"/>
    <w:rsid w:val="0063592D"/>
    <w:rsid w:val="00640588"/>
    <w:rsid w:val="0064779C"/>
    <w:rsid w:val="00647AC8"/>
    <w:rsid w:val="00652B13"/>
    <w:rsid w:val="00654D42"/>
    <w:rsid w:val="00656EFC"/>
    <w:rsid w:val="00661A87"/>
    <w:rsid w:val="006628A1"/>
    <w:rsid w:val="00662990"/>
    <w:rsid w:val="00665EFA"/>
    <w:rsid w:val="00666E02"/>
    <w:rsid w:val="00670FC7"/>
    <w:rsid w:val="006744C7"/>
    <w:rsid w:val="00680D74"/>
    <w:rsid w:val="006817EF"/>
    <w:rsid w:val="00683EC1"/>
    <w:rsid w:val="006870C0"/>
    <w:rsid w:val="0069406C"/>
    <w:rsid w:val="006A0289"/>
    <w:rsid w:val="006A2A6D"/>
    <w:rsid w:val="006A4655"/>
    <w:rsid w:val="006A6147"/>
    <w:rsid w:val="006B2B3C"/>
    <w:rsid w:val="006B4ADF"/>
    <w:rsid w:val="006B596F"/>
    <w:rsid w:val="006B63CE"/>
    <w:rsid w:val="006C1B09"/>
    <w:rsid w:val="006C1B75"/>
    <w:rsid w:val="006C1D81"/>
    <w:rsid w:val="006C2615"/>
    <w:rsid w:val="006C268B"/>
    <w:rsid w:val="006C2DEF"/>
    <w:rsid w:val="006C4025"/>
    <w:rsid w:val="006C471A"/>
    <w:rsid w:val="006C7038"/>
    <w:rsid w:val="006D00EA"/>
    <w:rsid w:val="006D2DAF"/>
    <w:rsid w:val="006E1602"/>
    <w:rsid w:val="006E278D"/>
    <w:rsid w:val="006E379C"/>
    <w:rsid w:val="006E67B8"/>
    <w:rsid w:val="006E73EF"/>
    <w:rsid w:val="006E7CB4"/>
    <w:rsid w:val="006E7DE4"/>
    <w:rsid w:val="006F0472"/>
    <w:rsid w:val="006F0DC4"/>
    <w:rsid w:val="006F1C52"/>
    <w:rsid w:val="006F4198"/>
    <w:rsid w:val="006F4BFA"/>
    <w:rsid w:val="007013E9"/>
    <w:rsid w:val="007019D5"/>
    <w:rsid w:val="007025AD"/>
    <w:rsid w:val="00703478"/>
    <w:rsid w:val="00705E92"/>
    <w:rsid w:val="0070771B"/>
    <w:rsid w:val="007079C9"/>
    <w:rsid w:val="00714D4D"/>
    <w:rsid w:val="007162F2"/>
    <w:rsid w:val="007225A6"/>
    <w:rsid w:val="00723E76"/>
    <w:rsid w:val="00723EF2"/>
    <w:rsid w:val="007266D3"/>
    <w:rsid w:val="00732029"/>
    <w:rsid w:val="00732416"/>
    <w:rsid w:val="00734F1A"/>
    <w:rsid w:val="007354C8"/>
    <w:rsid w:val="00736BC1"/>
    <w:rsid w:val="007378E5"/>
    <w:rsid w:val="007431F9"/>
    <w:rsid w:val="00744D66"/>
    <w:rsid w:val="00746F20"/>
    <w:rsid w:val="00747050"/>
    <w:rsid w:val="00747696"/>
    <w:rsid w:val="007537AA"/>
    <w:rsid w:val="00753927"/>
    <w:rsid w:val="007604BB"/>
    <w:rsid w:val="00760ECC"/>
    <w:rsid w:val="0076325D"/>
    <w:rsid w:val="00765A2B"/>
    <w:rsid w:val="007675B4"/>
    <w:rsid w:val="00772909"/>
    <w:rsid w:val="007731B3"/>
    <w:rsid w:val="0077471F"/>
    <w:rsid w:val="00780B9E"/>
    <w:rsid w:val="00784B53"/>
    <w:rsid w:val="00785232"/>
    <w:rsid w:val="00790AF5"/>
    <w:rsid w:val="00792C2B"/>
    <w:rsid w:val="0079701E"/>
    <w:rsid w:val="0079719C"/>
    <w:rsid w:val="00797713"/>
    <w:rsid w:val="007A0007"/>
    <w:rsid w:val="007A21EB"/>
    <w:rsid w:val="007A6800"/>
    <w:rsid w:val="007A6AE1"/>
    <w:rsid w:val="007B0DA3"/>
    <w:rsid w:val="007B1252"/>
    <w:rsid w:val="007B1A93"/>
    <w:rsid w:val="007B3F67"/>
    <w:rsid w:val="007B43E9"/>
    <w:rsid w:val="007B46BB"/>
    <w:rsid w:val="007B548F"/>
    <w:rsid w:val="007B5BA0"/>
    <w:rsid w:val="007B608A"/>
    <w:rsid w:val="007B6DBA"/>
    <w:rsid w:val="007C36C9"/>
    <w:rsid w:val="007C5C0F"/>
    <w:rsid w:val="007D36EA"/>
    <w:rsid w:val="007D6401"/>
    <w:rsid w:val="007D73AE"/>
    <w:rsid w:val="007E01E4"/>
    <w:rsid w:val="007E287D"/>
    <w:rsid w:val="007E294F"/>
    <w:rsid w:val="007E3952"/>
    <w:rsid w:val="007E7A12"/>
    <w:rsid w:val="007F382E"/>
    <w:rsid w:val="007F54E6"/>
    <w:rsid w:val="007F64DA"/>
    <w:rsid w:val="007F6F12"/>
    <w:rsid w:val="007F7107"/>
    <w:rsid w:val="00800D4C"/>
    <w:rsid w:val="00802E2D"/>
    <w:rsid w:val="0081030F"/>
    <w:rsid w:val="00812F4A"/>
    <w:rsid w:val="00813ADA"/>
    <w:rsid w:val="00814813"/>
    <w:rsid w:val="008156B7"/>
    <w:rsid w:val="0082087D"/>
    <w:rsid w:val="00821BB6"/>
    <w:rsid w:val="008232FA"/>
    <w:rsid w:val="00825EA8"/>
    <w:rsid w:val="00827492"/>
    <w:rsid w:val="00832698"/>
    <w:rsid w:val="00835771"/>
    <w:rsid w:val="00842933"/>
    <w:rsid w:val="00842EE3"/>
    <w:rsid w:val="00843560"/>
    <w:rsid w:val="00844F49"/>
    <w:rsid w:val="00846FB4"/>
    <w:rsid w:val="008576F4"/>
    <w:rsid w:val="0086082C"/>
    <w:rsid w:val="00864ADC"/>
    <w:rsid w:val="00865C53"/>
    <w:rsid w:val="008729AB"/>
    <w:rsid w:val="00880153"/>
    <w:rsid w:val="00880F97"/>
    <w:rsid w:val="0088133A"/>
    <w:rsid w:val="00883E85"/>
    <w:rsid w:val="00887EC9"/>
    <w:rsid w:val="00891F27"/>
    <w:rsid w:val="00892617"/>
    <w:rsid w:val="0089285E"/>
    <w:rsid w:val="00892B64"/>
    <w:rsid w:val="0089436C"/>
    <w:rsid w:val="00897619"/>
    <w:rsid w:val="008A0926"/>
    <w:rsid w:val="008A247A"/>
    <w:rsid w:val="008A4329"/>
    <w:rsid w:val="008B4920"/>
    <w:rsid w:val="008B5A48"/>
    <w:rsid w:val="008B6791"/>
    <w:rsid w:val="008C2B6C"/>
    <w:rsid w:val="008D2260"/>
    <w:rsid w:val="008D2938"/>
    <w:rsid w:val="008D365C"/>
    <w:rsid w:val="008D3885"/>
    <w:rsid w:val="008D73D2"/>
    <w:rsid w:val="008D7622"/>
    <w:rsid w:val="008D7CB4"/>
    <w:rsid w:val="008E1219"/>
    <w:rsid w:val="008E3B6C"/>
    <w:rsid w:val="008E6AB9"/>
    <w:rsid w:val="008E6C69"/>
    <w:rsid w:val="008F0629"/>
    <w:rsid w:val="008F23F5"/>
    <w:rsid w:val="008F2643"/>
    <w:rsid w:val="008F39AA"/>
    <w:rsid w:val="008F7A7C"/>
    <w:rsid w:val="009014A1"/>
    <w:rsid w:val="009016EB"/>
    <w:rsid w:val="009021A6"/>
    <w:rsid w:val="00902830"/>
    <w:rsid w:val="009030BF"/>
    <w:rsid w:val="00903B52"/>
    <w:rsid w:val="0091032F"/>
    <w:rsid w:val="00910E5F"/>
    <w:rsid w:val="00913CC3"/>
    <w:rsid w:val="00914368"/>
    <w:rsid w:val="009237A4"/>
    <w:rsid w:val="00924EEC"/>
    <w:rsid w:val="00925FEC"/>
    <w:rsid w:val="00931076"/>
    <w:rsid w:val="0093125A"/>
    <w:rsid w:val="00931C51"/>
    <w:rsid w:val="009326E0"/>
    <w:rsid w:val="009345D9"/>
    <w:rsid w:val="00934B15"/>
    <w:rsid w:val="00937200"/>
    <w:rsid w:val="00937FFB"/>
    <w:rsid w:val="00940C87"/>
    <w:rsid w:val="00942B62"/>
    <w:rsid w:val="0094625B"/>
    <w:rsid w:val="009530FE"/>
    <w:rsid w:val="0095323B"/>
    <w:rsid w:val="00956A0C"/>
    <w:rsid w:val="00956BD9"/>
    <w:rsid w:val="00962489"/>
    <w:rsid w:val="009624B4"/>
    <w:rsid w:val="00964B9A"/>
    <w:rsid w:val="00967A89"/>
    <w:rsid w:val="00967CD3"/>
    <w:rsid w:val="00970643"/>
    <w:rsid w:val="00980162"/>
    <w:rsid w:val="00983398"/>
    <w:rsid w:val="00990BF7"/>
    <w:rsid w:val="00990C2C"/>
    <w:rsid w:val="00991133"/>
    <w:rsid w:val="009959A1"/>
    <w:rsid w:val="009A2131"/>
    <w:rsid w:val="009A5171"/>
    <w:rsid w:val="009A6A6F"/>
    <w:rsid w:val="009A7179"/>
    <w:rsid w:val="009B09E1"/>
    <w:rsid w:val="009B613B"/>
    <w:rsid w:val="009D25CE"/>
    <w:rsid w:val="009D4C4F"/>
    <w:rsid w:val="009D6939"/>
    <w:rsid w:val="009E032F"/>
    <w:rsid w:val="009E0A77"/>
    <w:rsid w:val="009E1844"/>
    <w:rsid w:val="009E414E"/>
    <w:rsid w:val="009E4376"/>
    <w:rsid w:val="009E6A23"/>
    <w:rsid w:val="009F0D1B"/>
    <w:rsid w:val="009F252C"/>
    <w:rsid w:val="009F5938"/>
    <w:rsid w:val="009F5BBD"/>
    <w:rsid w:val="009F696D"/>
    <w:rsid w:val="009F6BC6"/>
    <w:rsid w:val="009F7421"/>
    <w:rsid w:val="009F74EF"/>
    <w:rsid w:val="00A02826"/>
    <w:rsid w:val="00A06BD9"/>
    <w:rsid w:val="00A113BE"/>
    <w:rsid w:val="00A12434"/>
    <w:rsid w:val="00A15D5A"/>
    <w:rsid w:val="00A17328"/>
    <w:rsid w:val="00A211AD"/>
    <w:rsid w:val="00A2198A"/>
    <w:rsid w:val="00A238D8"/>
    <w:rsid w:val="00A23A20"/>
    <w:rsid w:val="00A24443"/>
    <w:rsid w:val="00A24636"/>
    <w:rsid w:val="00A25A87"/>
    <w:rsid w:val="00A26488"/>
    <w:rsid w:val="00A268B9"/>
    <w:rsid w:val="00A2703A"/>
    <w:rsid w:val="00A321EB"/>
    <w:rsid w:val="00A33DFF"/>
    <w:rsid w:val="00A344D0"/>
    <w:rsid w:val="00A35115"/>
    <w:rsid w:val="00A36D9A"/>
    <w:rsid w:val="00A4027D"/>
    <w:rsid w:val="00A417EB"/>
    <w:rsid w:val="00A451DC"/>
    <w:rsid w:val="00A51F2B"/>
    <w:rsid w:val="00A5319D"/>
    <w:rsid w:val="00A554AB"/>
    <w:rsid w:val="00A560D2"/>
    <w:rsid w:val="00A57062"/>
    <w:rsid w:val="00A60B8B"/>
    <w:rsid w:val="00A64984"/>
    <w:rsid w:val="00A65F92"/>
    <w:rsid w:val="00A67781"/>
    <w:rsid w:val="00A71C1A"/>
    <w:rsid w:val="00A73688"/>
    <w:rsid w:val="00A761F9"/>
    <w:rsid w:val="00A84A37"/>
    <w:rsid w:val="00A92B53"/>
    <w:rsid w:val="00A94FA6"/>
    <w:rsid w:val="00A95DEE"/>
    <w:rsid w:val="00A96A18"/>
    <w:rsid w:val="00AA0BC3"/>
    <w:rsid w:val="00AA1677"/>
    <w:rsid w:val="00AA1F4C"/>
    <w:rsid w:val="00AA49A0"/>
    <w:rsid w:val="00AA54E2"/>
    <w:rsid w:val="00AA6710"/>
    <w:rsid w:val="00AB0527"/>
    <w:rsid w:val="00AB0681"/>
    <w:rsid w:val="00AC360D"/>
    <w:rsid w:val="00AC3A15"/>
    <w:rsid w:val="00AC5766"/>
    <w:rsid w:val="00AC6201"/>
    <w:rsid w:val="00AC7F72"/>
    <w:rsid w:val="00AD077C"/>
    <w:rsid w:val="00AD520B"/>
    <w:rsid w:val="00AD6305"/>
    <w:rsid w:val="00AD792D"/>
    <w:rsid w:val="00AE1A17"/>
    <w:rsid w:val="00AE3BCC"/>
    <w:rsid w:val="00AE69AA"/>
    <w:rsid w:val="00AF1DA8"/>
    <w:rsid w:val="00AF24CC"/>
    <w:rsid w:val="00AF31CD"/>
    <w:rsid w:val="00B00B12"/>
    <w:rsid w:val="00B03721"/>
    <w:rsid w:val="00B05082"/>
    <w:rsid w:val="00B10E98"/>
    <w:rsid w:val="00B17E59"/>
    <w:rsid w:val="00B222EE"/>
    <w:rsid w:val="00B260F8"/>
    <w:rsid w:val="00B319AE"/>
    <w:rsid w:val="00B32E65"/>
    <w:rsid w:val="00B345FE"/>
    <w:rsid w:val="00B37893"/>
    <w:rsid w:val="00B37BDE"/>
    <w:rsid w:val="00B425C3"/>
    <w:rsid w:val="00B4373D"/>
    <w:rsid w:val="00B440AD"/>
    <w:rsid w:val="00B479BB"/>
    <w:rsid w:val="00B53E7E"/>
    <w:rsid w:val="00B5666D"/>
    <w:rsid w:val="00B566AC"/>
    <w:rsid w:val="00B56E98"/>
    <w:rsid w:val="00B61C6F"/>
    <w:rsid w:val="00B6342E"/>
    <w:rsid w:val="00B7113F"/>
    <w:rsid w:val="00B7140B"/>
    <w:rsid w:val="00B72602"/>
    <w:rsid w:val="00B75DDC"/>
    <w:rsid w:val="00B77ACE"/>
    <w:rsid w:val="00B80E42"/>
    <w:rsid w:val="00B85950"/>
    <w:rsid w:val="00B90589"/>
    <w:rsid w:val="00B90A93"/>
    <w:rsid w:val="00B90F37"/>
    <w:rsid w:val="00B96088"/>
    <w:rsid w:val="00B96A41"/>
    <w:rsid w:val="00BA2BCF"/>
    <w:rsid w:val="00BA5B14"/>
    <w:rsid w:val="00BA73B6"/>
    <w:rsid w:val="00BA767D"/>
    <w:rsid w:val="00BA7E27"/>
    <w:rsid w:val="00BB2603"/>
    <w:rsid w:val="00BB2639"/>
    <w:rsid w:val="00BB2808"/>
    <w:rsid w:val="00BB37F8"/>
    <w:rsid w:val="00BB4FCD"/>
    <w:rsid w:val="00BB70A5"/>
    <w:rsid w:val="00BC04E9"/>
    <w:rsid w:val="00BC0FC7"/>
    <w:rsid w:val="00BC48C5"/>
    <w:rsid w:val="00BC62A2"/>
    <w:rsid w:val="00BD13EA"/>
    <w:rsid w:val="00BD3550"/>
    <w:rsid w:val="00BD362B"/>
    <w:rsid w:val="00BD68AE"/>
    <w:rsid w:val="00BE0DA5"/>
    <w:rsid w:val="00BE12C5"/>
    <w:rsid w:val="00BE1C19"/>
    <w:rsid w:val="00BE3808"/>
    <w:rsid w:val="00BE61F3"/>
    <w:rsid w:val="00BF134E"/>
    <w:rsid w:val="00BF16C8"/>
    <w:rsid w:val="00BF51D1"/>
    <w:rsid w:val="00BF6360"/>
    <w:rsid w:val="00BF6FF3"/>
    <w:rsid w:val="00C01529"/>
    <w:rsid w:val="00C02B2F"/>
    <w:rsid w:val="00C034E1"/>
    <w:rsid w:val="00C03B27"/>
    <w:rsid w:val="00C03B88"/>
    <w:rsid w:val="00C062E9"/>
    <w:rsid w:val="00C07B64"/>
    <w:rsid w:val="00C07EDC"/>
    <w:rsid w:val="00C10AA4"/>
    <w:rsid w:val="00C1346F"/>
    <w:rsid w:val="00C13721"/>
    <w:rsid w:val="00C14FE4"/>
    <w:rsid w:val="00C154AE"/>
    <w:rsid w:val="00C20CAC"/>
    <w:rsid w:val="00C2117E"/>
    <w:rsid w:val="00C2627E"/>
    <w:rsid w:val="00C30181"/>
    <w:rsid w:val="00C3066D"/>
    <w:rsid w:val="00C33849"/>
    <w:rsid w:val="00C3410B"/>
    <w:rsid w:val="00C358EA"/>
    <w:rsid w:val="00C37B05"/>
    <w:rsid w:val="00C45637"/>
    <w:rsid w:val="00C47837"/>
    <w:rsid w:val="00C47E5C"/>
    <w:rsid w:val="00C51A00"/>
    <w:rsid w:val="00C52416"/>
    <w:rsid w:val="00C543F4"/>
    <w:rsid w:val="00C55324"/>
    <w:rsid w:val="00C553B5"/>
    <w:rsid w:val="00C6291C"/>
    <w:rsid w:val="00C633CB"/>
    <w:rsid w:val="00C640A6"/>
    <w:rsid w:val="00C664CD"/>
    <w:rsid w:val="00C70422"/>
    <w:rsid w:val="00C70EA8"/>
    <w:rsid w:val="00C71AA4"/>
    <w:rsid w:val="00C736B7"/>
    <w:rsid w:val="00C80F61"/>
    <w:rsid w:val="00C81B0A"/>
    <w:rsid w:val="00C81D4A"/>
    <w:rsid w:val="00C83A87"/>
    <w:rsid w:val="00C8762C"/>
    <w:rsid w:val="00C9112E"/>
    <w:rsid w:val="00C92037"/>
    <w:rsid w:val="00C92F05"/>
    <w:rsid w:val="00C93171"/>
    <w:rsid w:val="00CA00F9"/>
    <w:rsid w:val="00CA2961"/>
    <w:rsid w:val="00CA7A86"/>
    <w:rsid w:val="00CB50D7"/>
    <w:rsid w:val="00CB5EE8"/>
    <w:rsid w:val="00CB7177"/>
    <w:rsid w:val="00CB7378"/>
    <w:rsid w:val="00CB7CED"/>
    <w:rsid w:val="00CC070F"/>
    <w:rsid w:val="00CC0820"/>
    <w:rsid w:val="00CC1753"/>
    <w:rsid w:val="00CC1998"/>
    <w:rsid w:val="00CC228D"/>
    <w:rsid w:val="00CC3869"/>
    <w:rsid w:val="00CC4946"/>
    <w:rsid w:val="00CC5449"/>
    <w:rsid w:val="00CC5BFC"/>
    <w:rsid w:val="00CC5E89"/>
    <w:rsid w:val="00CC64A1"/>
    <w:rsid w:val="00CC76AB"/>
    <w:rsid w:val="00CE0B4D"/>
    <w:rsid w:val="00CF1184"/>
    <w:rsid w:val="00CF14BF"/>
    <w:rsid w:val="00CF3B11"/>
    <w:rsid w:val="00CF47F6"/>
    <w:rsid w:val="00D00296"/>
    <w:rsid w:val="00D01D74"/>
    <w:rsid w:val="00D05E3A"/>
    <w:rsid w:val="00D07B22"/>
    <w:rsid w:val="00D110FE"/>
    <w:rsid w:val="00D17201"/>
    <w:rsid w:val="00D2206A"/>
    <w:rsid w:val="00D270A4"/>
    <w:rsid w:val="00D3138D"/>
    <w:rsid w:val="00D31FE9"/>
    <w:rsid w:val="00D32EBF"/>
    <w:rsid w:val="00D34E1B"/>
    <w:rsid w:val="00D3512C"/>
    <w:rsid w:val="00D36253"/>
    <w:rsid w:val="00D376BA"/>
    <w:rsid w:val="00D434A0"/>
    <w:rsid w:val="00D45634"/>
    <w:rsid w:val="00D460D3"/>
    <w:rsid w:val="00D509E2"/>
    <w:rsid w:val="00D51043"/>
    <w:rsid w:val="00D54F18"/>
    <w:rsid w:val="00D5568A"/>
    <w:rsid w:val="00D611DE"/>
    <w:rsid w:val="00D61A7B"/>
    <w:rsid w:val="00D6279A"/>
    <w:rsid w:val="00D63D73"/>
    <w:rsid w:val="00D64452"/>
    <w:rsid w:val="00D644D4"/>
    <w:rsid w:val="00D64682"/>
    <w:rsid w:val="00D6499E"/>
    <w:rsid w:val="00D66E1E"/>
    <w:rsid w:val="00D67A3B"/>
    <w:rsid w:val="00D70689"/>
    <w:rsid w:val="00D70696"/>
    <w:rsid w:val="00D725E3"/>
    <w:rsid w:val="00D75722"/>
    <w:rsid w:val="00D762C9"/>
    <w:rsid w:val="00D76B1D"/>
    <w:rsid w:val="00D775A2"/>
    <w:rsid w:val="00D80CF5"/>
    <w:rsid w:val="00D849BF"/>
    <w:rsid w:val="00D92DD6"/>
    <w:rsid w:val="00D97043"/>
    <w:rsid w:val="00DA1FBB"/>
    <w:rsid w:val="00DA5373"/>
    <w:rsid w:val="00DA5BBA"/>
    <w:rsid w:val="00DA7AB6"/>
    <w:rsid w:val="00DB26D2"/>
    <w:rsid w:val="00DB67C9"/>
    <w:rsid w:val="00DC0C95"/>
    <w:rsid w:val="00DC20A2"/>
    <w:rsid w:val="00DC4F0B"/>
    <w:rsid w:val="00DD09FD"/>
    <w:rsid w:val="00DD13C6"/>
    <w:rsid w:val="00DD6580"/>
    <w:rsid w:val="00DE3A5B"/>
    <w:rsid w:val="00DE758B"/>
    <w:rsid w:val="00E008BE"/>
    <w:rsid w:val="00E01D7F"/>
    <w:rsid w:val="00E02BE8"/>
    <w:rsid w:val="00E0400A"/>
    <w:rsid w:val="00E05C03"/>
    <w:rsid w:val="00E1062F"/>
    <w:rsid w:val="00E1196E"/>
    <w:rsid w:val="00E128FA"/>
    <w:rsid w:val="00E13E55"/>
    <w:rsid w:val="00E1573D"/>
    <w:rsid w:val="00E15CB7"/>
    <w:rsid w:val="00E17C72"/>
    <w:rsid w:val="00E200F5"/>
    <w:rsid w:val="00E20A31"/>
    <w:rsid w:val="00E21FC6"/>
    <w:rsid w:val="00E34C55"/>
    <w:rsid w:val="00E3783F"/>
    <w:rsid w:val="00E431A9"/>
    <w:rsid w:val="00E435C0"/>
    <w:rsid w:val="00E441E9"/>
    <w:rsid w:val="00E5162F"/>
    <w:rsid w:val="00E55124"/>
    <w:rsid w:val="00E5580F"/>
    <w:rsid w:val="00E64FF2"/>
    <w:rsid w:val="00E669E2"/>
    <w:rsid w:val="00E67863"/>
    <w:rsid w:val="00E7027D"/>
    <w:rsid w:val="00E7429D"/>
    <w:rsid w:val="00E74313"/>
    <w:rsid w:val="00E74693"/>
    <w:rsid w:val="00E76135"/>
    <w:rsid w:val="00E80E3B"/>
    <w:rsid w:val="00E82289"/>
    <w:rsid w:val="00E82784"/>
    <w:rsid w:val="00E82F4F"/>
    <w:rsid w:val="00E83169"/>
    <w:rsid w:val="00E852CC"/>
    <w:rsid w:val="00E864DF"/>
    <w:rsid w:val="00E8697B"/>
    <w:rsid w:val="00E86EFD"/>
    <w:rsid w:val="00E8713B"/>
    <w:rsid w:val="00E87B10"/>
    <w:rsid w:val="00E909A4"/>
    <w:rsid w:val="00E97B63"/>
    <w:rsid w:val="00EA018A"/>
    <w:rsid w:val="00EA0AFE"/>
    <w:rsid w:val="00EA30A0"/>
    <w:rsid w:val="00EA53FA"/>
    <w:rsid w:val="00EB0FBE"/>
    <w:rsid w:val="00EB2CC3"/>
    <w:rsid w:val="00EB4354"/>
    <w:rsid w:val="00EB50ED"/>
    <w:rsid w:val="00EB6D85"/>
    <w:rsid w:val="00EC2844"/>
    <w:rsid w:val="00EC36E7"/>
    <w:rsid w:val="00EC50B0"/>
    <w:rsid w:val="00EC5500"/>
    <w:rsid w:val="00EC78C5"/>
    <w:rsid w:val="00ED05B0"/>
    <w:rsid w:val="00ED07C4"/>
    <w:rsid w:val="00ED0AC7"/>
    <w:rsid w:val="00ED18F8"/>
    <w:rsid w:val="00ED5549"/>
    <w:rsid w:val="00ED7446"/>
    <w:rsid w:val="00EE24D3"/>
    <w:rsid w:val="00EE6EDA"/>
    <w:rsid w:val="00EE7221"/>
    <w:rsid w:val="00EE778E"/>
    <w:rsid w:val="00EF0CCF"/>
    <w:rsid w:val="00EF2700"/>
    <w:rsid w:val="00EF5FCB"/>
    <w:rsid w:val="00EF6719"/>
    <w:rsid w:val="00EF6C6C"/>
    <w:rsid w:val="00F00E0F"/>
    <w:rsid w:val="00F03337"/>
    <w:rsid w:val="00F056FC"/>
    <w:rsid w:val="00F0632F"/>
    <w:rsid w:val="00F069AE"/>
    <w:rsid w:val="00F0751B"/>
    <w:rsid w:val="00F07AEA"/>
    <w:rsid w:val="00F1036B"/>
    <w:rsid w:val="00F10476"/>
    <w:rsid w:val="00F135D8"/>
    <w:rsid w:val="00F138C3"/>
    <w:rsid w:val="00F14D5E"/>
    <w:rsid w:val="00F172ED"/>
    <w:rsid w:val="00F17CF4"/>
    <w:rsid w:val="00F21D1C"/>
    <w:rsid w:val="00F23F6D"/>
    <w:rsid w:val="00F26B9F"/>
    <w:rsid w:val="00F31299"/>
    <w:rsid w:val="00F3534A"/>
    <w:rsid w:val="00F35BFB"/>
    <w:rsid w:val="00F36ACC"/>
    <w:rsid w:val="00F41D36"/>
    <w:rsid w:val="00F51609"/>
    <w:rsid w:val="00F53B7B"/>
    <w:rsid w:val="00F53FA6"/>
    <w:rsid w:val="00F54CCF"/>
    <w:rsid w:val="00F55C25"/>
    <w:rsid w:val="00F62908"/>
    <w:rsid w:val="00F650ED"/>
    <w:rsid w:val="00F67D56"/>
    <w:rsid w:val="00F73727"/>
    <w:rsid w:val="00F745F8"/>
    <w:rsid w:val="00F766A7"/>
    <w:rsid w:val="00F80E40"/>
    <w:rsid w:val="00F81006"/>
    <w:rsid w:val="00F85325"/>
    <w:rsid w:val="00F92DB9"/>
    <w:rsid w:val="00F94172"/>
    <w:rsid w:val="00F95756"/>
    <w:rsid w:val="00F979BC"/>
    <w:rsid w:val="00F97FAA"/>
    <w:rsid w:val="00FA18A7"/>
    <w:rsid w:val="00FA2F4F"/>
    <w:rsid w:val="00FA64E8"/>
    <w:rsid w:val="00FB087E"/>
    <w:rsid w:val="00FB22A8"/>
    <w:rsid w:val="00FB41B7"/>
    <w:rsid w:val="00FB5293"/>
    <w:rsid w:val="00FB60B0"/>
    <w:rsid w:val="00FB669E"/>
    <w:rsid w:val="00FB6973"/>
    <w:rsid w:val="00FB6D3F"/>
    <w:rsid w:val="00FC3E20"/>
    <w:rsid w:val="00FC7151"/>
    <w:rsid w:val="00FC7298"/>
    <w:rsid w:val="00FD22B1"/>
    <w:rsid w:val="00FD330C"/>
    <w:rsid w:val="00FD33F1"/>
    <w:rsid w:val="00FD3566"/>
    <w:rsid w:val="00FE34EE"/>
    <w:rsid w:val="00FE5397"/>
    <w:rsid w:val="00FE64C5"/>
    <w:rsid w:val="00FE6AD6"/>
    <w:rsid w:val="00FE7B54"/>
    <w:rsid w:val="00FF02B9"/>
    <w:rsid w:val="00FF08A1"/>
    <w:rsid w:val="00FF1803"/>
    <w:rsid w:val="00FF3F53"/>
    <w:rsid w:val="00FF5620"/>
    <w:rsid w:val="00FF5A76"/>
    <w:rsid w:val="00FF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5FE24DFB"/>
  <w15:docId w15:val="{47E137B1-0BF9-4E1D-98A9-3A41061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825EA8"/>
    <w:rPr>
      <w:kern w:val="28"/>
      <w:szCs w:val="26"/>
      <w:lang w:eastAsia="en-US"/>
    </w:rPr>
  </w:style>
  <w:style w:type="character" w:customStyle="1" w:styleId="FootnoteTextChar">
    <w:name w:val="Footnote Text Char"/>
    <w:basedOn w:val="DefaultParagraphFont"/>
    <w:link w:val="FootnoteText"/>
    <w:rsid w:val="00F41D36"/>
  </w:style>
  <w:style w:type="character" w:customStyle="1" w:styleId="CommentTextChar">
    <w:name w:val="Comment Text Char"/>
    <w:basedOn w:val="DefaultParagraphFont"/>
    <w:link w:val="CommentText"/>
    <w:semiHidden/>
    <w:rsid w:val="009B613B"/>
    <w:rPr>
      <w:szCs w:val="24"/>
    </w:rPr>
  </w:style>
  <w:style w:type="character" w:customStyle="1" w:styleId="BoxChar">
    <w:name w:val="Box Char"/>
    <w:link w:val="Box"/>
    <w:rsid w:val="009B613B"/>
    <w:rPr>
      <w:rFonts w:ascii="Arial" w:hAnsi="Arial"/>
    </w:rPr>
  </w:style>
  <w:style w:type="character" w:customStyle="1" w:styleId="ListBulletChar">
    <w:name w:val="List Bullet Char"/>
    <w:link w:val="ListBullet"/>
    <w:rsid w:val="00BF134E"/>
    <w:rPr>
      <w:sz w:val="24"/>
    </w:rPr>
  </w:style>
  <w:style w:type="character" w:customStyle="1" w:styleId="NoteChar">
    <w:name w:val="Note Char"/>
    <w:link w:val="Note"/>
    <w:rsid w:val="008156B7"/>
    <w:rPr>
      <w:rFonts w:ascii="Arial" w:hAnsi="Arial"/>
      <w:sz w:val="18"/>
    </w:rPr>
  </w:style>
  <w:style w:type="character" w:customStyle="1" w:styleId="SourceChar">
    <w:name w:val="Source Char"/>
    <w:basedOn w:val="NoteChar"/>
    <w:link w:val="Source"/>
    <w:rsid w:val="00F979BC"/>
    <w:rPr>
      <w:rFonts w:ascii="Arial" w:hAnsi="Arial"/>
      <w:sz w:val="18"/>
    </w:rPr>
  </w:style>
  <w:style w:type="character" w:customStyle="1" w:styleId="Heading4Char">
    <w:name w:val="Heading 4 Char"/>
    <w:basedOn w:val="DefaultParagraphFont"/>
    <w:link w:val="Heading4"/>
    <w:rsid w:val="00F17CF4"/>
    <w:rPr>
      <w:rFonts w:ascii="Arial" w:hAnsi="Arial"/>
      <w:sz w:val="24"/>
    </w:rPr>
  </w:style>
  <w:style w:type="character" w:styleId="Hyperlink">
    <w:name w:val="Hyperlink"/>
    <w:uiPriority w:val="99"/>
    <w:rsid w:val="009F7421"/>
    <w:rPr>
      <w:color w:val="0000FF"/>
      <w:u w:val="single"/>
    </w:rPr>
  </w:style>
  <w:style w:type="paragraph" w:styleId="CommentSubject">
    <w:name w:val="annotation subject"/>
    <w:basedOn w:val="CommentText"/>
    <w:next w:val="CommentText"/>
    <w:link w:val="CommentSubjectChar"/>
    <w:rsid w:val="004A51D5"/>
    <w:pPr>
      <w:spacing w:before="0" w:line="240" w:lineRule="auto"/>
      <w:ind w:left="0" w:firstLine="0"/>
    </w:pPr>
    <w:rPr>
      <w:b/>
      <w:bCs/>
      <w:szCs w:val="20"/>
    </w:rPr>
  </w:style>
  <w:style w:type="character" w:customStyle="1" w:styleId="CommentSubjectChar">
    <w:name w:val="Comment Subject Char"/>
    <w:basedOn w:val="CommentTextChar"/>
    <w:link w:val="CommentSubject"/>
    <w:rsid w:val="004A51D5"/>
    <w:rPr>
      <w:b/>
      <w:bCs/>
      <w:szCs w:val="24"/>
    </w:rPr>
  </w:style>
  <w:style w:type="paragraph" w:styleId="Revision">
    <w:name w:val="Revision"/>
    <w:hidden/>
    <w:uiPriority w:val="99"/>
    <w:semiHidden/>
    <w:rsid w:val="004A51D5"/>
    <w:rPr>
      <w:sz w:val="24"/>
      <w:szCs w:val="24"/>
    </w:rPr>
  </w:style>
  <w:style w:type="character" w:customStyle="1" w:styleId="apple-converted-space">
    <w:name w:val="apple-converted-space"/>
    <w:basedOn w:val="DefaultParagraphFont"/>
    <w:rsid w:val="001C377B"/>
  </w:style>
  <w:style w:type="character" w:customStyle="1" w:styleId="BoxListBulletChar">
    <w:name w:val="Box List Bullet Char"/>
    <w:basedOn w:val="BoxChar"/>
    <w:link w:val="BoxListBullet"/>
    <w:rsid w:val="005D2606"/>
    <w:rPr>
      <w:rFonts w:ascii="Arial" w:hAnsi="Arial"/>
    </w:rPr>
  </w:style>
  <w:style w:type="character" w:customStyle="1" w:styleId="BoxTitleChar">
    <w:name w:val="Box Title Char"/>
    <w:basedOn w:val="DefaultParagraphFont"/>
    <w:link w:val="BoxTitle"/>
    <w:rsid w:val="005D2606"/>
    <w:rPr>
      <w:rFonts w:ascii="Arial" w:hAnsi="Arial"/>
      <w:b/>
      <w:sz w:val="24"/>
      <w:szCs w:val="24"/>
    </w:rPr>
  </w:style>
  <w:style w:type="paragraph" w:styleId="ListParagraph">
    <w:name w:val="List Paragraph"/>
    <w:basedOn w:val="Normal"/>
    <w:uiPriority w:val="34"/>
    <w:rsid w:val="002C5D8F"/>
    <w:pPr>
      <w:ind w:left="720"/>
      <w:contextualSpacing/>
    </w:pPr>
  </w:style>
  <w:style w:type="paragraph" w:styleId="EndnoteText">
    <w:name w:val="endnote text"/>
    <w:basedOn w:val="Normal"/>
    <w:link w:val="EndnoteTextChar"/>
    <w:semiHidden/>
    <w:unhideWhenUsed/>
    <w:rsid w:val="007013E9"/>
    <w:rPr>
      <w:sz w:val="20"/>
      <w:szCs w:val="20"/>
    </w:rPr>
  </w:style>
  <w:style w:type="character" w:customStyle="1" w:styleId="EndnoteTextChar">
    <w:name w:val="Endnote Text Char"/>
    <w:basedOn w:val="DefaultParagraphFont"/>
    <w:link w:val="EndnoteText"/>
    <w:semiHidden/>
    <w:rsid w:val="007013E9"/>
  </w:style>
  <w:style w:type="character" w:styleId="EndnoteReference">
    <w:name w:val="endnote reference"/>
    <w:basedOn w:val="DefaultParagraphFont"/>
    <w:semiHidden/>
    <w:unhideWhenUsed/>
    <w:rsid w:val="007013E9"/>
    <w:rPr>
      <w:vertAlign w:val="superscript"/>
    </w:rPr>
  </w:style>
  <w:style w:type="character" w:styleId="FollowedHyperlink">
    <w:name w:val="FollowedHyperlink"/>
    <w:basedOn w:val="DefaultParagraphFont"/>
    <w:semiHidden/>
    <w:unhideWhenUsed/>
    <w:rsid w:val="007A0007"/>
    <w:rPr>
      <w:color w:val="387DD2" w:themeColor="followedHyperlink"/>
      <w:u w:val="single"/>
    </w:rPr>
  </w:style>
  <w:style w:type="character" w:customStyle="1" w:styleId="TableBodyTextChar">
    <w:name w:val="Table Body Text Char"/>
    <w:basedOn w:val="DefaultParagraphFont"/>
    <w:link w:val="TableBodyText"/>
    <w:rsid w:val="006F1C5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217551">
      <w:bodyDiv w:val="1"/>
      <w:marLeft w:val="0"/>
      <w:marRight w:val="0"/>
      <w:marTop w:val="0"/>
      <w:marBottom w:val="0"/>
      <w:divBdr>
        <w:top w:val="none" w:sz="0" w:space="0" w:color="auto"/>
        <w:left w:val="none" w:sz="0" w:space="0" w:color="auto"/>
        <w:bottom w:val="none" w:sz="0" w:space="0" w:color="auto"/>
        <w:right w:val="none" w:sz="0" w:space="0" w:color="auto"/>
      </w:divBdr>
    </w:div>
    <w:div w:id="987634768">
      <w:bodyDiv w:val="1"/>
      <w:marLeft w:val="0"/>
      <w:marRight w:val="0"/>
      <w:marTop w:val="0"/>
      <w:marBottom w:val="0"/>
      <w:divBdr>
        <w:top w:val="none" w:sz="0" w:space="0" w:color="auto"/>
        <w:left w:val="none" w:sz="0" w:space="0" w:color="auto"/>
        <w:bottom w:val="none" w:sz="0" w:space="0" w:color="auto"/>
        <w:right w:val="none" w:sz="0" w:space="0" w:color="auto"/>
      </w:divBdr>
    </w:div>
    <w:div w:id="1140227584">
      <w:bodyDiv w:val="1"/>
      <w:marLeft w:val="0"/>
      <w:marRight w:val="0"/>
      <w:marTop w:val="0"/>
      <w:marBottom w:val="0"/>
      <w:divBdr>
        <w:top w:val="none" w:sz="0" w:space="0" w:color="auto"/>
        <w:left w:val="none" w:sz="0" w:space="0" w:color="auto"/>
        <w:bottom w:val="none" w:sz="0" w:space="0" w:color="auto"/>
        <w:right w:val="none" w:sz="0" w:space="0" w:color="auto"/>
      </w:divBdr>
    </w:div>
    <w:div w:id="175855147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chart" Target="charts/chart4.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chart" Target="charts/chart3.xml"/><Relationship Id="rId38"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1.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3.emf"/><Relationship Id="rId37" Type="http://schemas.openxmlformats.org/officeDocument/2006/relationships/image" Target="media/image25.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chart" Target="charts/chart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chart" Target="charts/chart1.xml"/><Relationship Id="rId30" Type="http://schemas.openxmlformats.org/officeDocument/2006/relationships/image" Target="media/image22.emf"/><Relationship Id="rId35" Type="http://schemas.openxmlformats.org/officeDocument/2006/relationships/image" Target="media/image24.emf"/><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18%20Report\2018%20Charts\Charts%202018.xlsm"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15.8'!$D$6</c:f>
              <c:strCache>
                <c:ptCount val="1"/>
                <c:pt idx="0">
                  <c:v>People born in an English speaking country</c:v>
                </c:pt>
              </c:strCache>
            </c:strRef>
          </c:tx>
          <c:spPr>
            <a:solidFill>
              <a:srgbClr val="265A9A"/>
            </a:solidFill>
            <a:ln>
              <a:solidFill>
                <a:srgbClr val="265A9A"/>
              </a:solidFill>
            </a:ln>
          </c:spPr>
          <c:invertIfNegative val="0"/>
          <c:cat>
            <c:strRef>
              <c:f>'Fig 15.8'!$E$5:$M$5</c:f>
              <c:strCache>
                <c:ptCount val="9"/>
                <c:pt idx="0">
                  <c:v>NSW</c:v>
                </c:pt>
                <c:pt idx="1">
                  <c:v>Vic</c:v>
                </c:pt>
                <c:pt idx="2">
                  <c:v>Qld</c:v>
                </c:pt>
                <c:pt idx="3">
                  <c:v>WA </c:v>
                </c:pt>
                <c:pt idx="4">
                  <c:v>SA</c:v>
                </c:pt>
                <c:pt idx="5">
                  <c:v>Tas</c:v>
                </c:pt>
                <c:pt idx="6">
                  <c:v>ACT</c:v>
                </c:pt>
                <c:pt idx="7">
                  <c:v>NT</c:v>
                </c:pt>
                <c:pt idx="8">
                  <c:v>Aust</c:v>
                </c:pt>
              </c:strCache>
            </c:strRef>
          </c:cat>
          <c:val>
            <c:numRef>
              <c:f>'Fig 15.8'!$E$6:$M$6</c:f>
              <c:numCache>
                <c:formatCode>0.0;\-0.0;"–"</c:formatCode>
                <c:ptCount val="9"/>
                <c:pt idx="0">
                  <c:v>514.11991263102118</c:v>
                </c:pt>
                <c:pt idx="1">
                  <c:v>487.63125412150623</c:v>
                </c:pt>
                <c:pt idx="2">
                  <c:v>536.27569528415961</c:v>
                </c:pt>
                <c:pt idx="3">
                  <c:v>302.55250403877221</c:v>
                </c:pt>
                <c:pt idx="4">
                  <c:v>680.88157195963879</c:v>
                </c:pt>
                <c:pt idx="5">
                  <c:v>527.38402061855675</c:v>
                </c:pt>
                <c:pt idx="6">
                  <c:v>313.88286334056397</c:v>
                </c:pt>
                <c:pt idx="7">
                  <c:v>108.54558438467031</c:v>
                </c:pt>
                <c:pt idx="8">
                  <c:v>484.93850403543155</c:v>
                </c:pt>
              </c:numCache>
            </c:numRef>
          </c:val>
        </c:ser>
        <c:ser>
          <c:idx val="1"/>
          <c:order val="1"/>
          <c:tx>
            <c:strRef>
              <c:f>'Fig 15.8'!$D$7</c:f>
              <c:strCache>
                <c:ptCount val="1"/>
                <c:pt idx="0">
                  <c:v>People born in a non-English speaking country</c:v>
                </c:pt>
              </c:strCache>
            </c:strRef>
          </c:tx>
          <c:spPr>
            <a:solidFill>
              <a:srgbClr val="78A22F"/>
            </a:solidFill>
            <a:ln>
              <a:solidFill>
                <a:srgbClr val="78A22F"/>
              </a:solidFill>
            </a:ln>
          </c:spPr>
          <c:invertIfNegative val="0"/>
          <c:cat>
            <c:strRef>
              <c:f>'Fig 15.8'!$E$5:$M$5</c:f>
              <c:strCache>
                <c:ptCount val="9"/>
                <c:pt idx="0">
                  <c:v>NSW</c:v>
                </c:pt>
                <c:pt idx="1">
                  <c:v>Vic</c:v>
                </c:pt>
                <c:pt idx="2">
                  <c:v>Qld</c:v>
                </c:pt>
                <c:pt idx="3">
                  <c:v>WA </c:v>
                </c:pt>
                <c:pt idx="4">
                  <c:v>SA</c:v>
                </c:pt>
                <c:pt idx="5">
                  <c:v>Tas</c:v>
                </c:pt>
                <c:pt idx="6">
                  <c:v>ACT</c:v>
                </c:pt>
                <c:pt idx="7">
                  <c:v>NT</c:v>
                </c:pt>
                <c:pt idx="8">
                  <c:v>Aust</c:v>
                </c:pt>
              </c:strCache>
            </c:strRef>
          </c:cat>
          <c:val>
            <c:numRef>
              <c:f>'Fig 15.8'!$E$7:$M$7</c:f>
              <c:numCache>
                <c:formatCode>0.0;\-0.0;"–"</c:formatCode>
                <c:ptCount val="9"/>
                <c:pt idx="0">
                  <c:v>469.82734691611614</c:v>
                </c:pt>
                <c:pt idx="1">
                  <c:v>492.04041578832596</c:v>
                </c:pt>
                <c:pt idx="2">
                  <c:v>512.10826210826212</c:v>
                </c:pt>
                <c:pt idx="3">
                  <c:v>227.49675745784694</c:v>
                </c:pt>
                <c:pt idx="4">
                  <c:v>541.54995331465921</c:v>
                </c:pt>
                <c:pt idx="5">
                  <c:v>520.73732718894007</c:v>
                </c:pt>
                <c:pt idx="6">
                  <c:v>182.4712643678161</c:v>
                </c:pt>
                <c:pt idx="7">
                  <c:v>154.69613259668509</c:v>
                </c:pt>
                <c:pt idx="8">
                  <c:v>453.07839918618362</c:v>
                </c:pt>
              </c:numCache>
            </c:numRef>
          </c:val>
        </c:ser>
        <c:dLbls>
          <c:showLegendKey val="0"/>
          <c:showVal val="0"/>
          <c:showCatName val="0"/>
          <c:showSerName val="0"/>
          <c:showPercent val="0"/>
          <c:showBubbleSize val="0"/>
        </c:dLbls>
        <c:gapWidth val="150"/>
        <c:axId val="418155480"/>
        <c:axId val="418152736"/>
      </c:barChart>
      <c:catAx>
        <c:axId val="41815548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8152736"/>
        <c:crosses val="autoZero"/>
        <c:auto val="1"/>
        <c:lblAlgn val="ctr"/>
        <c:lblOffset val="100"/>
        <c:noMultiLvlLbl val="0"/>
      </c:catAx>
      <c:valAx>
        <c:axId val="418152736"/>
        <c:scaling>
          <c:orientation val="minMax"/>
          <c:min val="0"/>
        </c:scaling>
        <c:delete val="0"/>
        <c:axPos val="l"/>
        <c:majorGridlines>
          <c:spPr>
            <a:ln>
              <a:noFill/>
            </a:ln>
          </c:spPr>
        </c:majorGridlines>
        <c:title>
          <c:tx>
            <c:rich>
              <a:bodyPr rot="-5400000" vert="horz"/>
              <a:lstStyle/>
              <a:p>
                <a:pPr>
                  <a:defRPr sz="900">
                    <a:latin typeface="arial"/>
                    <a:ea typeface="arial"/>
                    <a:cs typeface="arial"/>
                  </a:defRPr>
                </a:pPr>
                <a:r>
                  <a:rPr lang="en-AU"/>
                  <a:t>Users/1000 potential population</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8155480"/>
        <c:crosses val="autoZero"/>
        <c:crossBetween val="between"/>
        <c:majorUnit val="200"/>
      </c:valAx>
      <c:spPr>
        <a:noFill/>
        <a:ln>
          <a:noFill/>
        </a:ln>
      </c:spPr>
    </c:plotArea>
    <c:legend>
      <c:legendPos val="b"/>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15.12'!$D$6</c:f>
              <c:strCache>
                <c:ptCount val="1"/>
                <c:pt idx="0">
                  <c:v>2012-13 to 2015-16</c:v>
                </c:pt>
              </c:strCache>
            </c:strRef>
          </c:tx>
          <c:spPr>
            <a:solidFill>
              <a:srgbClr val="78A22F"/>
            </a:solidFill>
            <a:ln>
              <a:solidFill>
                <a:srgbClr val="78A22F"/>
              </a:solidFill>
            </a:ln>
          </c:spPr>
          <c:invertIfNegative val="0"/>
          <c:cat>
            <c:strRef>
              <c:f>'Fig 15.12'!$E$5:$M$5</c:f>
              <c:strCache>
                <c:ptCount val="9"/>
                <c:pt idx="0">
                  <c:v>NSW</c:v>
                </c:pt>
                <c:pt idx="1">
                  <c:v>Vic</c:v>
                </c:pt>
                <c:pt idx="2">
                  <c:v>Qld</c:v>
                </c:pt>
                <c:pt idx="3">
                  <c:v>WA</c:v>
                </c:pt>
                <c:pt idx="4">
                  <c:v>SA</c:v>
                </c:pt>
                <c:pt idx="5">
                  <c:v>Tas</c:v>
                </c:pt>
                <c:pt idx="6">
                  <c:v>ACT</c:v>
                </c:pt>
                <c:pt idx="7">
                  <c:v>NT</c:v>
                </c:pt>
                <c:pt idx="8">
                  <c:v>Aust</c:v>
                </c:pt>
              </c:strCache>
            </c:strRef>
          </c:cat>
          <c:val>
            <c:numRef>
              <c:f>'Fig 15.12'!$E$6:$M$6</c:f>
              <c:numCache>
                <c:formatCode>0.0;\-0.0;"–"</c:formatCode>
                <c:ptCount val="9"/>
                <c:pt idx="0">
                  <c:v>8.7791192245454255</c:v>
                </c:pt>
                <c:pt idx="1">
                  <c:v>8.9677549347247609</c:v>
                </c:pt>
                <c:pt idx="2">
                  <c:v>8.7635430236248499</c:v>
                </c:pt>
                <c:pt idx="3">
                  <c:v>5.1578456274946864</c:v>
                </c:pt>
                <c:pt idx="4">
                  <c:v>9.6979314752978247</c:v>
                </c:pt>
                <c:pt idx="5">
                  <c:v>11.370535363418597</c:v>
                </c:pt>
                <c:pt idx="6">
                  <c:v>4.1333509034850282</c:v>
                </c:pt>
                <c:pt idx="7">
                  <c:v>5.7639369842941477</c:v>
                </c:pt>
                <c:pt idx="8">
                  <c:v>8.4388219685207666</c:v>
                </c:pt>
              </c:numCache>
            </c:numRef>
          </c:val>
        </c:ser>
        <c:ser>
          <c:idx val="1"/>
          <c:order val="1"/>
          <c:tx>
            <c:strRef>
              <c:f>'Fig 15.12'!$D$7</c:f>
              <c:strCache>
                <c:ptCount val="1"/>
                <c:pt idx="0">
                  <c:v>2013-14</c:v>
                </c:pt>
              </c:strCache>
            </c:strRef>
          </c:tx>
          <c:spPr>
            <a:solidFill>
              <a:srgbClr val="78A22F"/>
            </a:solidFill>
            <a:ln>
              <a:solidFill>
                <a:srgbClr val="78A22F"/>
              </a:solidFill>
            </a:ln>
          </c:spPr>
          <c:invertIfNegative val="0"/>
          <c:cat>
            <c:strRef>
              <c:f>'Fig 15.12'!$E$5:$M$5</c:f>
              <c:strCache>
                <c:ptCount val="9"/>
                <c:pt idx="0">
                  <c:v>NSW</c:v>
                </c:pt>
                <c:pt idx="1">
                  <c:v>Vic</c:v>
                </c:pt>
                <c:pt idx="2">
                  <c:v>Qld</c:v>
                </c:pt>
                <c:pt idx="3">
                  <c:v>WA</c:v>
                </c:pt>
                <c:pt idx="4">
                  <c:v>SA</c:v>
                </c:pt>
                <c:pt idx="5">
                  <c:v>Tas</c:v>
                </c:pt>
                <c:pt idx="6">
                  <c:v>ACT</c:v>
                </c:pt>
                <c:pt idx="7">
                  <c:v>NT</c:v>
                </c:pt>
                <c:pt idx="8">
                  <c:v>Aust</c:v>
                </c:pt>
              </c:strCache>
            </c:strRef>
          </c:cat>
          <c:val>
            <c:numRef>
              <c:f>'Fig 15.12'!$E$7:$M$7</c:f>
              <c:numCache>
                <c:formatCode>0.0;\-0.0;"–"</c:formatCode>
                <c:ptCount val="9"/>
                <c:pt idx="0">
                  <c:v>8.5529819245464527</c:v>
                </c:pt>
                <c:pt idx="1">
                  <c:v>8.9976051921864535</c:v>
                </c:pt>
                <c:pt idx="2">
                  <c:v>8.591445252495113</c:v>
                </c:pt>
                <c:pt idx="3">
                  <c:v>4.6111163427345554</c:v>
                </c:pt>
                <c:pt idx="4">
                  <c:v>9.7704811156096341</c:v>
                </c:pt>
                <c:pt idx="5">
                  <c:v>11.631817497403203</c:v>
                </c:pt>
                <c:pt idx="6">
                  <c:v>3.6647786096943813</c:v>
                </c:pt>
                <c:pt idx="7">
                  <c:v>3.3701300514932</c:v>
                </c:pt>
                <c:pt idx="8">
                  <c:v>8.2432228544166861</c:v>
                </c:pt>
              </c:numCache>
            </c:numRef>
          </c:val>
        </c:ser>
        <c:ser>
          <c:idx val="2"/>
          <c:order val="2"/>
          <c:tx>
            <c:strRef>
              <c:f>'Fig 15.12'!$D$8</c:f>
              <c:strCache>
                <c:ptCount val="1"/>
                <c:pt idx="0">
                  <c:v>2014-15</c:v>
                </c:pt>
              </c:strCache>
            </c:strRef>
          </c:tx>
          <c:spPr>
            <a:solidFill>
              <a:srgbClr val="78A22F"/>
            </a:solidFill>
            <a:ln>
              <a:solidFill>
                <a:srgbClr val="78A22F"/>
              </a:solidFill>
            </a:ln>
          </c:spPr>
          <c:invertIfNegative val="0"/>
          <c:cat>
            <c:strRef>
              <c:f>'Fig 15.12'!$E$5:$M$5</c:f>
              <c:strCache>
                <c:ptCount val="9"/>
                <c:pt idx="0">
                  <c:v>NSW</c:v>
                </c:pt>
                <c:pt idx="1">
                  <c:v>Vic</c:v>
                </c:pt>
                <c:pt idx="2">
                  <c:v>Qld</c:v>
                </c:pt>
                <c:pt idx="3">
                  <c:v>WA</c:v>
                </c:pt>
                <c:pt idx="4">
                  <c:v>SA</c:v>
                </c:pt>
                <c:pt idx="5">
                  <c:v>Tas</c:v>
                </c:pt>
                <c:pt idx="6">
                  <c:v>ACT</c:v>
                </c:pt>
                <c:pt idx="7">
                  <c:v>NT</c:v>
                </c:pt>
                <c:pt idx="8">
                  <c:v>Aust</c:v>
                </c:pt>
              </c:strCache>
            </c:strRef>
          </c:cat>
          <c:val>
            <c:numRef>
              <c:f>'Fig 15.12'!$E$8:$M$8</c:f>
              <c:numCache>
                <c:formatCode>0.0;\-0.0;"–"</c:formatCode>
                <c:ptCount val="9"/>
                <c:pt idx="0">
                  <c:v>8.2044032673954863</c:v>
                </c:pt>
                <c:pt idx="1">
                  <c:v>9.3404557127944923</c:v>
                </c:pt>
                <c:pt idx="2">
                  <c:v>8.7771539211610197</c:v>
                </c:pt>
                <c:pt idx="3">
                  <c:v>4.6998565874180835</c:v>
                </c:pt>
                <c:pt idx="4">
                  <c:v>9.9971620711428404</c:v>
                </c:pt>
                <c:pt idx="5">
                  <c:v>11.164175447613085</c:v>
                </c:pt>
                <c:pt idx="6">
                  <c:v>3.5751818663626174</c:v>
                </c:pt>
                <c:pt idx="7">
                  <c:v>3.0767253155856089</c:v>
                </c:pt>
                <c:pt idx="8">
                  <c:v>8.2612741545455801</c:v>
                </c:pt>
              </c:numCache>
            </c:numRef>
          </c:val>
        </c:ser>
        <c:ser>
          <c:idx val="3"/>
          <c:order val="3"/>
          <c:tx>
            <c:strRef>
              <c:f>'Fig 15.12'!$D$9</c:f>
              <c:strCache>
                <c:ptCount val="1"/>
                <c:pt idx="0">
                  <c:v>2015-16</c:v>
                </c:pt>
              </c:strCache>
            </c:strRef>
          </c:tx>
          <c:spPr>
            <a:solidFill>
              <a:srgbClr val="78A22F"/>
            </a:solidFill>
            <a:ln>
              <a:solidFill>
                <a:srgbClr val="78A22F"/>
              </a:solidFill>
            </a:ln>
          </c:spPr>
          <c:invertIfNegative val="0"/>
          <c:cat>
            <c:strRef>
              <c:f>'Fig 15.12'!$E$5:$M$5</c:f>
              <c:strCache>
                <c:ptCount val="9"/>
                <c:pt idx="0">
                  <c:v>NSW</c:v>
                </c:pt>
                <c:pt idx="1">
                  <c:v>Vic</c:v>
                </c:pt>
                <c:pt idx="2">
                  <c:v>Qld</c:v>
                </c:pt>
                <c:pt idx="3">
                  <c:v>WA</c:v>
                </c:pt>
                <c:pt idx="4">
                  <c:v>SA</c:v>
                </c:pt>
                <c:pt idx="5">
                  <c:v>Tas</c:v>
                </c:pt>
                <c:pt idx="6">
                  <c:v>ACT</c:v>
                </c:pt>
                <c:pt idx="7">
                  <c:v>NT</c:v>
                </c:pt>
                <c:pt idx="8">
                  <c:v>Aust</c:v>
                </c:pt>
              </c:strCache>
            </c:strRef>
          </c:cat>
          <c:val>
            <c:numRef>
              <c:f>'Fig 15.12'!$E$9:$M$9</c:f>
              <c:numCache>
                <c:formatCode>0.0;\-0.0;"–"</c:formatCode>
                <c:ptCount val="9"/>
                <c:pt idx="0">
                  <c:v>8.0348118337911671</c:v>
                </c:pt>
                <c:pt idx="1">
                  <c:v>9.9564008707065685</c:v>
                </c:pt>
                <c:pt idx="2">
                  <c:v>9.3541454547104586</c:v>
                </c:pt>
                <c:pt idx="3">
                  <c:v>4.3068928195851361</c:v>
                </c:pt>
                <c:pt idx="4">
                  <c:v>9.7356424457419166</c:v>
                </c:pt>
                <c:pt idx="5">
                  <c:v>10.816973333863213</c:v>
                </c:pt>
                <c:pt idx="6">
                  <c:v>3.4477308373035793</c:v>
                </c:pt>
                <c:pt idx="7">
                  <c:v>2.542801220544586</c:v>
                </c:pt>
                <c:pt idx="8">
                  <c:v>8.3941082222965111</c:v>
                </c:pt>
              </c:numCache>
            </c:numRef>
          </c:val>
        </c:ser>
        <c:ser>
          <c:idx val="4"/>
          <c:order val="4"/>
          <c:tx>
            <c:strRef>
              <c:f>'Fig 15.12'!$D$10</c:f>
              <c:strCache>
                <c:ptCount val="1"/>
                <c:pt idx="0">
                  <c:v>2016-17</c:v>
                </c:pt>
              </c:strCache>
            </c:strRef>
          </c:tx>
          <c:spPr>
            <a:solidFill>
              <a:srgbClr val="265A9A"/>
            </a:solidFill>
            <a:ln>
              <a:solidFill>
                <a:srgbClr val="265A9A"/>
              </a:solidFill>
            </a:ln>
          </c:spPr>
          <c:invertIfNegative val="0"/>
          <c:cat>
            <c:strRef>
              <c:f>'Fig 15.12'!$E$5:$M$5</c:f>
              <c:strCache>
                <c:ptCount val="9"/>
                <c:pt idx="0">
                  <c:v>NSW</c:v>
                </c:pt>
                <c:pt idx="1">
                  <c:v>Vic</c:v>
                </c:pt>
                <c:pt idx="2">
                  <c:v>Qld</c:v>
                </c:pt>
                <c:pt idx="3">
                  <c:v>WA</c:v>
                </c:pt>
                <c:pt idx="4">
                  <c:v>SA</c:v>
                </c:pt>
                <c:pt idx="5">
                  <c:v>Tas</c:v>
                </c:pt>
                <c:pt idx="6">
                  <c:v>ACT</c:v>
                </c:pt>
                <c:pt idx="7">
                  <c:v>NT</c:v>
                </c:pt>
                <c:pt idx="8">
                  <c:v>Aust</c:v>
                </c:pt>
              </c:strCache>
            </c:strRef>
          </c:cat>
          <c:val>
            <c:numRef>
              <c:f>'Fig 15.12'!$E$10:$M$10</c:f>
              <c:numCache>
                <c:formatCode>0.0;\-0.0;"–"</c:formatCode>
                <c:ptCount val="9"/>
                <c:pt idx="0">
                  <c:v>8.4762630979986984</c:v>
                </c:pt>
                <c:pt idx="1">
                  <c:v>10.354547514536323</c:v>
                </c:pt>
                <c:pt idx="2">
                  <c:v>9.8140812825802684</c:v>
                </c:pt>
                <c:pt idx="3">
                  <c:v>4.6179582315613708</c:v>
                </c:pt>
                <c:pt idx="4">
                  <c:v>10.265925142751469</c:v>
                </c:pt>
                <c:pt idx="5">
                  <c:v>11.302209106023938</c:v>
                </c:pt>
                <c:pt idx="6">
                  <c:v>3.6348960675092274</c:v>
                </c:pt>
                <c:pt idx="7">
                  <c:v>2.6309596156042461</c:v>
                </c:pt>
                <c:pt idx="8">
                  <c:v>8.8252230587757534</c:v>
                </c:pt>
              </c:numCache>
            </c:numRef>
          </c:val>
        </c:ser>
        <c:dLbls>
          <c:showLegendKey val="0"/>
          <c:showVal val="0"/>
          <c:showCatName val="0"/>
          <c:showSerName val="0"/>
          <c:showPercent val="0"/>
          <c:showBubbleSize val="0"/>
        </c:dLbls>
        <c:gapWidth val="150"/>
        <c:axId val="418155872"/>
        <c:axId val="418151560"/>
      </c:barChart>
      <c:catAx>
        <c:axId val="4181558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8151560"/>
        <c:crosses val="autoZero"/>
        <c:auto val="1"/>
        <c:lblAlgn val="ctr"/>
        <c:lblOffset val="100"/>
        <c:noMultiLvlLbl val="0"/>
      </c:catAx>
      <c:valAx>
        <c:axId val="418151560"/>
        <c:scaling>
          <c:orientation val="minMax"/>
          <c:max val="12"/>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b="1">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8155872"/>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15.14'!$D$45</c:f>
              <c:strCache>
                <c:ptCount val="1"/>
                <c:pt idx="0">
                  <c:v>2012 </c:v>
                </c:pt>
              </c:strCache>
            </c:strRef>
          </c:tx>
          <c:spPr>
            <a:solidFill>
              <a:srgbClr val="78A22F"/>
            </a:solidFill>
            <a:ln>
              <a:solidFill>
                <a:srgbClr val="78A22F"/>
              </a:solidFill>
            </a:ln>
          </c:spPr>
          <c:invertIfNegative val="0"/>
          <c:errBars>
            <c:errBarType val="both"/>
            <c:errValType val="cust"/>
            <c:noEndCap val="0"/>
            <c:plus>
              <c:numRef>
                <c:f>'Fig 15.14'!$E$52:$M$52</c:f>
                <c:numCache>
                  <c:formatCode>General</c:formatCode>
                  <c:ptCount val="9"/>
                  <c:pt idx="0">
                    <c:v>8.1</c:v>
                  </c:pt>
                  <c:pt idx="1">
                    <c:v>12.8</c:v>
                  </c:pt>
                  <c:pt idx="2">
                    <c:v>14</c:v>
                  </c:pt>
                  <c:pt idx="3">
                    <c:v>19.899999999999999</c:v>
                  </c:pt>
                  <c:pt idx="4">
                    <c:v>14.6</c:v>
                  </c:pt>
                  <c:pt idx="5">
                    <c:v>22.1</c:v>
                  </c:pt>
                  <c:pt idx="6">
                    <c:v>18.2</c:v>
                  </c:pt>
                  <c:pt idx="7">
                    <c:v>0</c:v>
                  </c:pt>
                  <c:pt idx="8">
                    <c:v>5</c:v>
                  </c:pt>
                </c:numCache>
              </c:numRef>
            </c:plus>
            <c:minus>
              <c:numRef>
                <c:f>'Fig 15.14'!$E$52:$M$52</c:f>
                <c:numCache>
                  <c:formatCode>General</c:formatCode>
                  <c:ptCount val="9"/>
                  <c:pt idx="0">
                    <c:v>8.1</c:v>
                  </c:pt>
                  <c:pt idx="1">
                    <c:v>12.8</c:v>
                  </c:pt>
                  <c:pt idx="2">
                    <c:v>14</c:v>
                  </c:pt>
                  <c:pt idx="3">
                    <c:v>19.899999999999999</c:v>
                  </c:pt>
                  <c:pt idx="4">
                    <c:v>14.6</c:v>
                  </c:pt>
                  <c:pt idx="5">
                    <c:v>22.1</c:v>
                  </c:pt>
                  <c:pt idx="6">
                    <c:v>18.2</c:v>
                  </c:pt>
                  <c:pt idx="7">
                    <c:v>0</c:v>
                  </c:pt>
                  <c:pt idx="8">
                    <c:v>5</c:v>
                  </c:pt>
                </c:numCache>
              </c:numRef>
            </c:minus>
            <c:spPr>
              <a:ln>
                <a:solidFill>
                  <a:srgbClr val="BFBFBF"/>
                </a:solidFill>
              </a:ln>
            </c:spPr>
          </c:errBars>
          <c:cat>
            <c:strRef>
              <c:f>'Fig 15.14'!$E$44:$M$44</c:f>
              <c:strCache>
                <c:ptCount val="9"/>
                <c:pt idx="0">
                  <c:v>NSW</c:v>
                </c:pt>
                <c:pt idx="1">
                  <c:v>Vic</c:v>
                </c:pt>
                <c:pt idx="2">
                  <c:v>Qld</c:v>
                </c:pt>
                <c:pt idx="3">
                  <c:v>WA</c:v>
                </c:pt>
                <c:pt idx="4">
                  <c:v>SA</c:v>
                </c:pt>
                <c:pt idx="5">
                  <c:v>Tas</c:v>
                </c:pt>
                <c:pt idx="6">
                  <c:v>ACT</c:v>
                </c:pt>
                <c:pt idx="7">
                  <c:v>NT </c:v>
                </c:pt>
                <c:pt idx="8">
                  <c:v>Aust</c:v>
                </c:pt>
              </c:strCache>
            </c:strRef>
          </c:cat>
          <c:val>
            <c:numRef>
              <c:f>'Fig 15.14'!$E$45:$M$45</c:f>
              <c:numCache>
                <c:formatCode>0.0;\-0.0;"–"</c:formatCode>
                <c:ptCount val="9"/>
                <c:pt idx="0">
                  <c:v>65</c:v>
                </c:pt>
                <c:pt idx="1">
                  <c:v>68.400000000000006</c:v>
                </c:pt>
                <c:pt idx="2">
                  <c:v>74.900000000000006</c:v>
                </c:pt>
                <c:pt idx="3">
                  <c:v>61.4</c:v>
                </c:pt>
                <c:pt idx="4">
                  <c:v>67.3</c:v>
                </c:pt>
                <c:pt idx="5">
                  <c:v>82.5</c:v>
                </c:pt>
                <c:pt idx="6">
                  <c:v>60.2</c:v>
                </c:pt>
                <c:pt idx="7">
                  <c:v>100</c:v>
                </c:pt>
                <c:pt idx="8">
                  <c:v>69</c:v>
                </c:pt>
              </c:numCache>
            </c:numRef>
          </c:val>
        </c:ser>
        <c:ser>
          <c:idx val="1"/>
          <c:order val="1"/>
          <c:tx>
            <c:strRef>
              <c:f>'Fig 15.14'!$D$46</c:f>
              <c:strCache>
                <c:ptCount val="1"/>
                <c:pt idx="0">
                  <c:v>2015 </c:v>
                </c:pt>
              </c:strCache>
            </c:strRef>
          </c:tx>
          <c:spPr>
            <a:solidFill>
              <a:srgbClr val="265A9A"/>
            </a:solidFill>
            <a:ln>
              <a:solidFill>
                <a:srgbClr val="265A9A"/>
              </a:solidFill>
            </a:ln>
          </c:spPr>
          <c:invertIfNegative val="0"/>
          <c:errBars>
            <c:errBarType val="both"/>
            <c:errValType val="cust"/>
            <c:noEndCap val="0"/>
            <c:plus>
              <c:numRef>
                <c:f>'Fig 15.14'!$E$53:$M$53</c:f>
                <c:numCache>
                  <c:formatCode>General</c:formatCode>
                  <c:ptCount val="9"/>
                  <c:pt idx="0">
                    <c:v>10.6</c:v>
                  </c:pt>
                  <c:pt idx="1">
                    <c:v>10.5</c:v>
                  </c:pt>
                  <c:pt idx="2">
                    <c:v>6</c:v>
                  </c:pt>
                  <c:pt idx="3">
                    <c:v>9.1999999999999993</c:v>
                  </c:pt>
                  <c:pt idx="4">
                    <c:v>17.3</c:v>
                  </c:pt>
                  <c:pt idx="5">
                    <c:v>15.7</c:v>
                  </c:pt>
                  <c:pt idx="6">
                    <c:v>23.4</c:v>
                  </c:pt>
                  <c:pt idx="7">
                    <c:v>28.8</c:v>
                  </c:pt>
                  <c:pt idx="8">
                    <c:v>3.8</c:v>
                  </c:pt>
                </c:numCache>
              </c:numRef>
            </c:plus>
            <c:minus>
              <c:numRef>
                <c:f>'Fig 15.14'!$E$53:$M$53</c:f>
                <c:numCache>
                  <c:formatCode>General</c:formatCode>
                  <c:ptCount val="9"/>
                  <c:pt idx="0">
                    <c:v>10.6</c:v>
                  </c:pt>
                  <c:pt idx="1">
                    <c:v>10.5</c:v>
                  </c:pt>
                  <c:pt idx="2">
                    <c:v>6</c:v>
                  </c:pt>
                  <c:pt idx="3">
                    <c:v>9.1999999999999993</c:v>
                  </c:pt>
                  <c:pt idx="4">
                    <c:v>17.3</c:v>
                  </c:pt>
                  <c:pt idx="5">
                    <c:v>15.7</c:v>
                  </c:pt>
                  <c:pt idx="6">
                    <c:v>23.4</c:v>
                  </c:pt>
                  <c:pt idx="7">
                    <c:v>28.8</c:v>
                  </c:pt>
                  <c:pt idx="8">
                    <c:v>3.8</c:v>
                  </c:pt>
                </c:numCache>
              </c:numRef>
            </c:minus>
            <c:spPr>
              <a:ln>
                <a:solidFill>
                  <a:srgbClr val="BFBFBF"/>
                </a:solidFill>
              </a:ln>
            </c:spPr>
          </c:errBars>
          <c:cat>
            <c:strRef>
              <c:f>'Fig 15.14'!$E$44:$M$44</c:f>
              <c:strCache>
                <c:ptCount val="9"/>
                <c:pt idx="0">
                  <c:v>NSW</c:v>
                </c:pt>
                <c:pt idx="1">
                  <c:v>Vic</c:v>
                </c:pt>
                <c:pt idx="2">
                  <c:v>Qld</c:v>
                </c:pt>
                <c:pt idx="3">
                  <c:v>WA</c:v>
                </c:pt>
                <c:pt idx="4">
                  <c:v>SA</c:v>
                </c:pt>
                <c:pt idx="5">
                  <c:v>Tas</c:v>
                </c:pt>
                <c:pt idx="6">
                  <c:v>ACT</c:v>
                </c:pt>
                <c:pt idx="7">
                  <c:v>NT </c:v>
                </c:pt>
                <c:pt idx="8">
                  <c:v>Aust</c:v>
                </c:pt>
              </c:strCache>
            </c:strRef>
          </c:cat>
          <c:val>
            <c:numRef>
              <c:f>'Fig 15.14'!$E$46:$M$46</c:f>
              <c:numCache>
                <c:formatCode>0.0;\-0.0;"–"</c:formatCode>
                <c:ptCount val="9"/>
                <c:pt idx="0">
                  <c:v>74.8</c:v>
                </c:pt>
                <c:pt idx="1">
                  <c:v>72.099999999999994</c:v>
                </c:pt>
                <c:pt idx="2">
                  <c:v>80.400000000000006</c:v>
                </c:pt>
                <c:pt idx="3">
                  <c:v>69.5</c:v>
                </c:pt>
                <c:pt idx="4">
                  <c:v>79.099999999999994</c:v>
                </c:pt>
                <c:pt idx="5">
                  <c:v>70.900000000000006</c:v>
                </c:pt>
                <c:pt idx="6">
                  <c:v>50.9</c:v>
                </c:pt>
                <c:pt idx="7">
                  <c:v>46.5</c:v>
                </c:pt>
                <c:pt idx="8">
                  <c:v>73.400000000000006</c:v>
                </c:pt>
              </c:numCache>
            </c:numRef>
          </c:val>
        </c:ser>
        <c:dLbls>
          <c:showLegendKey val="0"/>
          <c:showVal val="0"/>
          <c:showCatName val="0"/>
          <c:showSerName val="0"/>
          <c:showPercent val="0"/>
          <c:showBubbleSize val="0"/>
        </c:dLbls>
        <c:gapWidth val="150"/>
        <c:axId val="418154696"/>
        <c:axId val="418155088"/>
      </c:barChart>
      <c:catAx>
        <c:axId val="41815469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18155088"/>
        <c:crosses val="autoZero"/>
        <c:auto val="1"/>
        <c:lblAlgn val="ctr"/>
        <c:lblOffset val="100"/>
        <c:noMultiLvlLbl val="0"/>
      </c:catAx>
      <c:valAx>
        <c:axId val="41815508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815469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2810736723103"/>
          <c:y val="4.8128520582332364E-2"/>
          <c:w val="0.82938226138518545"/>
          <c:h val="0.73563231022962228"/>
        </c:manualLayout>
      </c:layout>
      <c:barChart>
        <c:barDir val="col"/>
        <c:grouping val="clustered"/>
        <c:varyColors val="0"/>
        <c:ser>
          <c:idx val="0"/>
          <c:order val="0"/>
          <c:tx>
            <c:strRef>
              <c:f>'Fig 15.15  (2)'!$L$6</c:f>
              <c:strCache>
                <c:ptCount val="1"/>
                <c:pt idx="0">
                  <c:v>2011-12 to 2014-15</c:v>
                </c:pt>
              </c:strCache>
            </c:strRef>
          </c:tx>
          <c:spPr>
            <a:solidFill>
              <a:srgbClr val="78A22F"/>
            </a:solidFill>
            <a:ln>
              <a:solidFill>
                <a:srgbClr val="78A22F"/>
              </a:solidFill>
            </a:ln>
          </c:spPr>
          <c:invertIfNegative val="0"/>
          <c:cat>
            <c:strRef>
              <c:f>'Fig 15.15  (2)'!$M$5:$U$5</c:f>
              <c:strCache>
                <c:ptCount val="9"/>
                <c:pt idx="0">
                  <c:v>NSW</c:v>
                </c:pt>
                <c:pt idx="1">
                  <c:v>Vic</c:v>
                </c:pt>
                <c:pt idx="2">
                  <c:v>Qld</c:v>
                </c:pt>
                <c:pt idx="3">
                  <c:v>WA </c:v>
                </c:pt>
                <c:pt idx="4">
                  <c:v>SA</c:v>
                </c:pt>
                <c:pt idx="5">
                  <c:v>Tas</c:v>
                </c:pt>
                <c:pt idx="6">
                  <c:v>ACT</c:v>
                </c:pt>
                <c:pt idx="7">
                  <c:v>NT</c:v>
                </c:pt>
                <c:pt idx="8">
                  <c:v>Aust</c:v>
                </c:pt>
              </c:strCache>
            </c:strRef>
          </c:cat>
          <c:val>
            <c:numRef>
              <c:f>'Fig 15.15  (2)'!$M$6:$U$6</c:f>
              <c:numCache>
                <c:formatCode>0.0;\-0.0;"–"</c:formatCode>
                <c:ptCount val="9"/>
                <c:pt idx="0">
                  <c:v>125.13840413477476</c:v>
                </c:pt>
                <c:pt idx="1">
                  <c:v>86.796122531053683</c:v>
                </c:pt>
                <c:pt idx="2">
                  <c:v>130.48046582842952</c:v>
                </c:pt>
                <c:pt idx="3">
                  <c:v>123.85942465827395</c:v>
                </c:pt>
                <c:pt idx="4">
                  <c:v>88.752032269077745</c:v>
                </c:pt>
                <c:pt idx="5">
                  <c:v>123.24670460744932</c:v>
                </c:pt>
                <c:pt idx="6">
                  <c:v>131.98791547958214</c:v>
                </c:pt>
                <c:pt idx="7">
                  <c:v>218.24902106785493</c:v>
                </c:pt>
                <c:pt idx="8">
                  <c:v>115.46916648149393</c:v>
                </c:pt>
              </c:numCache>
            </c:numRef>
          </c:val>
        </c:ser>
        <c:ser>
          <c:idx val="1"/>
          <c:order val="1"/>
          <c:tx>
            <c:strRef>
              <c:f>'Fig 15.15  (2)'!$L$7</c:f>
              <c:strCache>
                <c:ptCount val="1"/>
                <c:pt idx="0">
                  <c:v>2012-13</c:v>
                </c:pt>
              </c:strCache>
            </c:strRef>
          </c:tx>
          <c:spPr>
            <a:solidFill>
              <a:srgbClr val="78A22F"/>
            </a:solidFill>
            <a:ln>
              <a:solidFill>
                <a:srgbClr val="78A22F"/>
              </a:solidFill>
            </a:ln>
          </c:spPr>
          <c:invertIfNegative val="0"/>
          <c:cat>
            <c:strRef>
              <c:f>'Fig 15.15  (2)'!$M$5:$U$5</c:f>
              <c:strCache>
                <c:ptCount val="9"/>
                <c:pt idx="0">
                  <c:v>NSW</c:v>
                </c:pt>
                <c:pt idx="1">
                  <c:v>Vic</c:v>
                </c:pt>
                <c:pt idx="2">
                  <c:v>Qld</c:v>
                </c:pt>
                <c:pt idx="3">
                  <c:v>WA </c:v>
                </c:pt>
                <c:pt idx="4">
                  <c:v>SA</c:v>
                </c:pt>
                <c:pt idx="5">
                  <c:v>Tas</c:v>
                </c:pt>
                <c:pt idx="6">
                  <c:v>ACT</c:v>
                </c:pt>
                <c:pt idx="7">
                  <c:v>NT</c:v>
                </c:pt>
                <c:pt idx="8">
                  <c:v>Aust</c:v>
                </c:pt>
              </c:strCache>
            </c:strRef>
          </c:cat>
          <c:val>
            <c:numRef>
              <c:f>'Fig 15.15  (2)'!$M$7:$U$7</c:f>
              <c:numCache>
                <c:formatCode>0.0;\-0.0;"–"</c:formatCode>
                <c:ptCount val="9"/>
                <c:pt idx="0">
                  <c:v>143.32119142215458</c:v>
                </c:pt>
                <c:pt idx="1">
                  <c:v>89.501276697310516</c:v>
                </c:pt>
                <c:pt idx="2">
                  <c:v>142.57443305869833</c:v>
                </c:pt>
                <c:pt idx="3">
                  <c:v>135.19455535902452</c:v>
                </c:pt>
                <c:pt idx="4">
                  <c:v>97.47419129366537</c:v>
                </c:pt>
                <c:pt idx="5">
                  <c:v>127.88232824227154</c:v>
                </c:pt>
                <c:pt idx="6">
                  <c:v>175.04263068676411</c:v>
                </c:pt>
                <c:pt idx="7">
                  <c:v>187.20328352013283</c:v>
                </c:pt>
                <c:pt idx="8">
                  <c:v>126.35565968445586</c:v>
                </c:pt>
              </c:numCache>
            </c:numRef>
          </c:val>
        </c:ser>
        <c:ser>
          <c:idx val="2"/>
          <c:order val="2"/>
          <c:tx>
            <c:strRef>
              <c:f>'Fig 15.15  (2)'!$L$8</c:f>
              <c:strCache>
                <c:ptCount val="1"/>
                <c:pt idx="0">
                  <c:v>2013-14</c:v>
                </c:pt>
              </c:strCache>
            </c:strRef>
          </c:tx>
          <c:spPr>
            <a:solidFill>
              <a:srgbClr val="78A22F"/>
            </a:solidFill>
            <a:ln>
              <a:solidFill>
                <a:srgbClr val="78A22F"/>
              </a:solidFill>
            </a:ln>
          </c:spPr>
          <c:invertIfNegative val="0"/>
          <c:cat>
            <c:strRef>
              <c:f>'Fig 15.15  (2)'!$M$5:$U$5</c:f>
              <c:strCache>
                <c:ptCount val="9"/>
                <c:pt idx="0">
                  <c:v>NSW</c:v>
                </c:pt>
                <c:pt idx="1">
                  <c:v>Vic</c:v>
                </c:pt>
                <c:pt idx="2">
                  <c:v>Qld</c:v>
                </c:pt>
                <c:pt idx="3">
                  <c:v>WA </c:v>
                </c:pt>
                <c:pt idx="4">
                  <c:v>SA</c:v>
                </c:pt>
                <c:pt idx="5">
                  <c:v>Tas</c:v>
                </c:pt>
                <c:pt idx="6">
                  <c:v>ACT</c:v>
                </c:pt>
                <c:pt idx="7">
                  <c:v>NT</c:v>
                </c:pt>
                <c:pt idx="8">
                  <c:v>Aust</c:v>
                </c:pt>
              </c:strCache>
            </c:strRef>
          </c:cat>
          <c:val>
            <c:numRef>
              <c:f>'Fig 15.15  (2)'!$M$8:$U$8</c:f>
              <c:numCache>
                <c:formatCode>0.0;\-0.0;"–"</c:formatCode>
                <c:ptCount val="9"/>
                <c:pt idx="0">
                  <c:v>137.49064143083407</c:v>
                </c:pt>
                <c:pt idx="1">
                  <c:v>94.264987622461732</c:v>
                </c:pt>
                <c:pt idx="2">
                  <c:v>133.8314610184716</c:v>
                </c:pt>
                <c:pt idx="3">
                  <c:v>142.84912893832049</c:v>
                </c:pt>
                <c:pt idx="4">
                  <c:v>97.380896540447111</c:v>
                </c:pt>
                <c:pt idx="5">
                  <c:v>137.80934517431635</c:v>
                </c:pt>
                <c:pt idx="6">
                  <c:v>174.36727904827902</c:v>
                </c:pt>
                <c:pt idx="7">
                  <c:v>247.94936651985992</c:v>
                </c:pt>
                <c:pt idx="8">
                  <c:v>125.99324784517529</c:v>
                </c:pt>
              </c:numCache>
            </c:numRef>
          </c:val>
        </c:ser>
        <c:ser>
          <c:idx val="3"/>
          <c:order val="3"/>
          <c:tx>
            <c:strRef>
              <c:f>'Fig 15.15  (2)'!$L$9</c:f>
              <c:strCache>
                <c:ptCount val="1"/>
                <c:pt idx="0">
                  <c:v>2014-15</c:v>
                </c:pt>
              </c:strCache>
            </c:strRef>
          </c:tx>
          <c:spPr>
            <a:solidFill>
              <a:srgbClr val="78A22F"/>
            </a:solidFill>
            <a:ln>
              <a:solidFill>
                <a:srgbClr val="78A22F"/>
              </a:solidFill>
            </a:ln>
          </c:spPr>
          <c:invertIfNegative val="0"/>
          <c:cat>
            <c:strRef>
              <c:f>'Fig 15.15  (2)'!$M$5:$U$5</c:f>
              <c:strCache>
                <c:ptCount val="9"/>
                <c:pt idx="0">
                  <c:v>NSW</c:v>
                </c:pt>
                <c:pt idx="1">
                  <c:v>Vic</c:v>
                </c:pt>
                <c:pt idx="2">
                  <c:v>Qld</c:v>
                </c:pt>
                <c:pt idx="3">
                  <c:v>WA </c:v>
                </c:pt>
                <c:pt idx="4">
                  <c:v>SA</c:v>
                </c:pt>
                <c:pt idx="5">
                  <c:v>Tas</c:v>
                </c:pt>
                <c:pt idx="6">
                  <c:v>ACT</c:v>
                </c:pt>
                <c:pt idx="7">
                  <c:v>NT</c:v>
                </c:pt>
                <c:pt idx="8">
                  <c:v>Aust</c:v>
                </c:pt>
              </c:strCache>
            </c:strRef>
          </c:cat>
          <c:val>
            <c:numRef>
              <c:f>'Fig 15.15  (2)'!$M$9:$U$9</c:f>
              <c:numCache>
                <c:formatCode>0.0;\-0.0;"–"</c:formatCode>
                <c:ptCount val="9"/>
                <c:pt idx="0">
                  <c:v>161.04336951207137</c:v>
                </c:pt>
                <c:pt idx="1">
                  <c:v>94.021422221780398</c:v>
                </c:pt>
                <c:pt idx="2">
                  <c:v>144.16049054961911</c:v>
                </c:pt>
                <c:pt idx="3">
                  <c:v>166.73181376923921</c:v>
                </c:pt>
                <c:pt idx="4">
                  <c:v>115.14942392608174</c:v>
                </c:pt>
                <c:pt idx="5">
                  <c:v>162.46743018894136</c:v>
                </c:pt>
                <c:pt idx="6">
                  <c:v>441.43000910746815</c:v>
                </c:pt>
                <c:pt idx="7">
                  <c:v>232.43783966355321</c:v>
                </c:pt>
                <c:pt idx="8">
                  <c:v>140.93476411572112</c:v>
                </c:pt>
              </c:numCache>
            </c:numRef>
          </c:val>
        </c:ser>
        <c:ser>
          <c:idx val="4"/>
          <c:order val="4"/>
          <c:tx>
            <c:strRef>
              <c:f>'Fig 15.15  (2)'!$L$10</c:f>
              <c:strCache>
                <c:ptCount val="1"/>
                <c:pt idx="0">
                  <c:v>2015-16</c:v>
                </c:pt>
              </c:strCache>
            </c:strRef>
          </c:tx>
          <c:spPr>
            <a:solidFill>
              <a:srgbClr val="265A9A"/>
            </a:solidFill>
            <a:ln>
              <a:solidFill>
                <a:srgbClr val="265A9A"/>
              </a:solidFill>
            </a:ln>
          </c:spPr>
          <c:invertIfNegative val="0"/>
          <c:cat>
            <c:strRef>
              <c:f>'Fig 15.15  (2)'!$M$5:$U$5</c:f>
              <c:strCache>
                <c:ptCount val="9"/>
                <c:pt idx="0">
                  <c:v>NSW</c:v>
                </c:pt>
                <c:pt idx="1">
                  <c:v>Vic</c:v>
                </c:pt>
                <c:pt idx="2">
                  <c:v>Qld</c:v>
                </c:pt>
                <c:pt idx="3">
                  <c:v>WA </c:v>
                </c:pt>
                <c:pt idx="4">
                  <c:v>SA</c:v>
                </c:pt>
                <c:pt idx="5">
                  <c:v>Tas</c:v>
                </c:pt>
                <c:pt idx="6">
                  <c:v>ACT</c:v>
                </c:pt>
                <c:pt idx="7">
                  <c:v>NT</c:v>
                </c:pt>
                <c:pt idx="8">
                  <c:v>Aust</c:v>
                </c:pt>
              </c:strCache>
            </c:strRef>
          </c:cat>
          <c:val>
            <c:numRef>
              <c:f>'Fig 15.15  (2)'!$M$10:$U$10</c:f>
              <c:numCache>
                <c:formatCode>0.0;\-0.0;"–"</c:formatCode>
                <c:ptCount val="9"/>
                <c:pt idx="0">
                  <c:v>164.28173459545008</c:v>
                </c:pt>
                <c:pt idx="1">
                  <c:v>97.91315920530468</c:v>
                </c:pt>
                <c:pt idx="2">
                  <c:v>149.49825608695653</c:v>
                </c:pt>
                <c:pt idx="3">
                  <c:v>173.29122830023016</c:v>
                </c:pt>
                <c:pt idx="4">
                  <c:v>133.51708588351431</c:v>
                </c:pt>
                <c:pt idx="5">
                  <c:v>167.01630277185501</c:v>
                </c:pt>
                <c:pt idx="6">
                  <c:v>0</c:v>
                </c:pt>
                <c:pt idx="7">
                  <c:v>245.43329411764705</c:v>
                </c:pt>
                <c:pt idx="8">
                  <c:v>145.7961022356404</c:v>
                </c:pt>
              </c:numCache>
            </c:numRef>
          </c:val>
        </c:ser>
        <c:dLbls>
          <c:showLegendKey val="0"/>
          <c:showVal val="0"/>
          <c:showCatName val="0"/>
          <c:showSerName val="0"/>
          <c:showPercent val="0"/>
          <c:showBubbleSize val="0"/>
        </c:dLbls>
        <c:gapWidth val="150"/>
        <c:axId val="418149208"/>
        <c:axId val="421069880"/>
      </c:barChart>
      <c:catAx>
        <c:axId val="41814920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1069880"/>
        <c:crosses val="autoZero"/>
        <c:auto val="1"/>
        <c:lblAlgn val="ctr"/>
        <c:lblOffset val="100"/>
        <c:noMultiLvlLbl val="0"/>
      </c:catAx>
      <c:valAx>
        <c:axId val="421069880"/>
        <c:scaling>
          <c:orientation val="minMax"/>
          <c:max val="45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$'000/user</a:t>
                </a:r>
              </a:p>
              <a:p>
                <a:pPr>
                  <a:defRPr sz="900">
                    <a:latin typeface="arial"/>
                    <a:ea typeface="arial"/>
                    <a:cs typeface="arial"/>
                  </a:defRPr>
                </a:pPr>
                <a:endParaRPr lang="en-AU"/>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18149208"/>
        <c:crosses val="autoZero"/>
        <c:crossBetween val="between"/>
        <c:majorUnit val="1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baseline="0">
                <a:latin typeface="Arial"/>
              </a:defRPr>
            </a:pPr>
            <a:r>
              <a:rPr lang="en-AU" sz="900" b="1" i="0" baseline="0">
                <a:latin typeface="Arial"/>
              </a:rPr>
              <a:t>Labour force participation rate for people with a profound or severe disability aged 15–64 years</a:t>
            </a:r>
          </a:p>
        </c:rich>
      </c:tx>
      <c:layout>
        <c:manualLayout>
          <c:xMode val="edge"/>
          <c:yMode val="edge"/>
          <c:x val="0.10546430564563011"/>
          <c:y val="2.351850763032054E-2"/>
        </c:manualLayout>
      </c:layout>
      <c:overlay val="0"/>
    </c:title>
    <c:autoTitleDeleted val="0"/>
    <c:plotArea>
      <c:layout/>
      <c:barChart>
        <c:barDir val="col"/>
        <c:grouping val="clustered"/>
        <c:varyColors val="0"/>
        <c:ser>
          <c:idx val="0"/>
          <c:order val="0"/>
          <c:tx>
            <c:strRef>
              <c:f>'Fig 15.19'!$A$6</c:f>
              <c:strCache>
                <c:ptCount val="1"/>
                <c:pt idx="0">
                  <c:v>2009 &amp; 2012</c:v>
                </c:pt>
              </c:strCache>
            </c:strRef>
          </c:tx>
          <c:spPr>
            <a:solidFill>
              <a:srgbClr val="78A22F"/>
            </a:solidFill>
            <a:ln>
              <a:solidFill>
                <a:srgbClr val="78A22F"/>
              </a:solidFill>
            </a:ln>
          </c:spPr>
          <c:invertIfNegative val="0"/>
          <c:errBars>
            <c:errBarType val="both"/>
            <c:errValType val="cust"/>
            <c:noEndCap val="0"/>
            <c:plus>
              <c:numRef>
                <c:f>'Fig 15.19'!$B$11:$J$11</c:f>
                <c:numCache>
                  <c:formatCode>General</c:formatCode>
                  <c:ptCount val="9"/>
                  <c:pt idx="0">
                    <c:v>5.4</c:v>
                  </c:pt>
                  <c:pt idx="1">
                    <c:v>5</c:v>
                  </c:pt>
                  <c:pt idx="2">
                    <c:v>6.4</c:v>
                  </c:pt>
                  <c:pt idx="3">
                    <c:v>7.4</c:v>
                  </c:pt>
                  <c:pt idx="4">
                    <c:v>6.7</c:v>
                  </c:pt>
                  <c:pt idx="5">
                    <c:v>7.3</c:v>
                  </c:pt>
                  <c:pt idx="6">
                    <c:v>16.600000000000001</c:v>
                  </c:pt>
                  <c:pt idx="7">
                    <c:v>14.7</c:v>
                  </c:pt>
                  <c:pt idx="8">
                    <c:v>3</c:v>
                  </c:pt>
                </c:numCache>
              </c:numRef>
            </c:plus>
            <c:minus>
              <c:numRef>
                <c:f>'Fig 15.19'!$B$11:$J$11</c:f>
                <c:numCache>
                  <c:formatCode>General</c:formatCode>
                  <c:ptCount val="9"/>
                  <c:pt idx="0">
                    <c:v>5.4</c:v>
                  </c:pt>
                  <c:pt idx="1">
                    <c:v>5</c:v>
                  </c:pt>
                  <c:pt idx="2">
                    <c:v>6.4</c:v>
                  </c:pt>
                  <c:pt idx="3">
                    <c:v>7.4</c:v>
                  </c:pt>
                  <c:pt idx="4">
                    <c:v>6.7</c:v>
                  </c:pt>
                  <c:pt idx="5">
                    <c:v>7.3</c:v>
                  </c:pt>
                  <c:pt idx="6">
                    <c:v>16.600000000000001</c:v>
                  </c:pt>
                  <c:pt idx="7">
                    <c:v>14.7</c:v>
                  </c:pt>
                  <c:pt idx="8">
                    <c:v>3</c:v>
                  </c:pt>
                </c:numCache>
              </c:numRef>
            </c:minus>
            <c:spPr>
              <a:ln>
                <a:solidFill>
                  <a:srgbClr val="BFBFBF"/>
                </a:solidFill>
              </a:ln>
            </c:spPr>
          </c:errBars>
          <c:cat>
            <c:strRef>
              <c:f>'Fig 15.19'!$B$5:$J$5</c:f>
              <c:strCache>
                <c:ptCount val="9"/>
                <c:pt idx="0">
                  <c:v>NSW</c:v>
                </c:pt>
                <c:pt idx="1">
                  <c:v>Vic</c:v>
                </c:pt>
                <c:pt idx="2">
                  <c:v>Qld</c:v>
                </c:pt>
                <c:pt idx="3">
                  <c:v>WA</c:v>
                </c:pt>
                <c:pt idx="4">
                  <c:v>SA</c:v>
                </c:pt>
                <c:pt idx="5">
                  <c:v>Tas</c:v>
                </c:pt>
                <c:pt idx="6">
                  <c:v>ACT</c:v>
                </c:pt>
                <c:pt idx="7">
                  <c:v>NT</c:v>
                </c:pt>
                <c:pt idx="8">
                  <c:v>Aust</c:v>
                </c:pt>
              </c:strCache>
            </c:strRef>
          </c:cat>
          <c:val>
            <c:numRef>
              <c:f>'Fig 15.19'!$B$6:$J$6</c:f>
              <c:numCache>
                <c:formatCode>0.0;\-0.0;"–"</c:formatCode>
                <c:ptCount val="9"/>
                <c:pt idx="0">
                  <c:v>30.6</c:v>
                </c:pt>
                <c:pt idx="1">
                  <c:v>32.4</c:v>
                </c:pt>
                <c:pt idx="2">
                  <c:v>27.3</c:v>
                </c:pt>
                <c:pt idx="3">
                  <c:v>39.200000000000003</c:v>
                </c:pt>
                <c:pt idx="4">
                  <c:v>30</c:v>
                </c:pt>
                <c:pt idx="5">
                  <c:v>25.3</c:v>
                </c:pt>
                <c:pt idx="6">
                  <c:v>51.7</c:v>
                </c:pt>
                <c:pt idx="7">
                  <c:v>45.7</c:v>
                </c:pt>
                <c:pt idx="8">
                  <c:v>31.3</c:v>
                </c:pt>
              </c:numCache>
            </c:numRef>
          </c:val>
        </c:ser>
        <c:ser>
          <c:idx val="1"/>
          <c:order val="1"/>
          <c:tx>
            <c:strRef>
              <c:f>'Fig 15.19'!$A$7</c:f>
              <c:strCache>
                <c:ptCount val="1"/>
                <c:pt idx="0">
                  <c:v>2012 </c:v>
                </c:pt>
              </c:strCache>
            </c:strRef>
          </c:tx>
          <c:spPr>
            <a:solidFill>
              <a:srgbClr val="78A22F"/>
            </a:solidFill>
            <a:ln>
              <a:solidFill>
                <a:srgbClr val="78A22F"/>
              </a:solidFill>
            </a:ln>
          </c:spPr>
          <c:invertIfNegative val="0"/>
          <c:errBars>
            <c:errBarType val="both"/>
            <c:errValType val="cust"/>
            <c:noEndCap val="0"/>
            <c:plus>
              <c:numRef>
                <c:f>'Fig 15.19'!$B$12:$J$12</c:f>
                <c:numCache>
                  <c:formatCode>General</c:formatCode>
                  <c:ptCount val="9"/>
                  <c:pt idx="0">
                    <c:v>4.8</c:v>
                  </c:pt>
                  <c:pt idx="1">
                    <c:v>4.7</c:v>
                  </c:pt>
                  <c:pt idx="2">
                    <c:v>6.9</c:v>
                  </c:pt>
                  <c:pt idx="3">
                    <c:v>9.6999999999999993</c:v>
                  </c:pt>
                  <c:pt idx="4">
                    <c:v>5.2</c:v>
                  </c:pt>
                  <c:pt idx="5">
                    <c:v>7.2</c:v>
                  </c:pt>
                  <c:pt idx="6">
                    <c:v>11.7</c:v>
                  </c:pt>
                  <c:pt idx="7">
                    <c:v>11.9</c:v>
                  </c:pt>
                  <c:pt idx="8">
                    <c:v>2.6</c:v>
                  </c:pt>
                </c:numCache>
              </c:numRef>
            </c:plus>
            <c:minus>
              <c:numRef>
                <c:f>'Fig 15.19'!$B$12:$J$12</c:f>
                <c:numCache>
                  <c:formatCode>General</c:formatCode>
                  <c:ptCount val="9"/>
                  <c:pt idx="0">
                    <c:v>4.8</c:v>
                  </c:pt>
                  <c:pt idx="1">
                    <c:v>4.7</c:v>
                  </c:pt>
                  <c:pt idx="2">
                    <c:v>6.9</c:v>
                  </c:pt>
                  <c:pt idx="3">
                    <c:v>9.6999999999999993</c:v>
                  </c:pt>
                  <c:pt idx="4">
                    <c:v>5.2</c:v>
                  </c:pt>
                  <c:pt idx="5">
                    <c:v>7.2</c:v>
                  </c:pt>
                  <c:pt idx="6">
                    <c:v>11.7</c:v>
                  </c:pt>
                  <c:pt idx="7">
                    <c:v>11.9</c:v>
                  </c:pt>
                  <c:pt idx="8">
                    <c:v>2.6</c:v>
                  </c:pt>
                </c:numCache>
              </c:numRef>
            </c:minus>
            <c:spPr>
              <a:ln>
                <a:solidFill>
                  <a:srgbClr val="BFBFBF"/>
                </a:solidFill>
              </a:ln>
            </c:spPr>
          </c:errBars>
          <c:cat>
            <c:strRef>
              <c:f>'Fig 15.19'!$B$5:$J$5</c:f>
              <c:strCache>
                <c:ptCount val="9"/>
                <c:pt idx="0">
                  <c:v>NSW</c:v>
                </c:pt>
                <c:pt idx="1">
                  <c:v>Vic</c:v>
                </c:pt>
                <c:pt idx="2">
                  <c:v>Qld</c:v>
                </c:pt>
                <c:pt idx="3">
                  <c:v>WA</c:v>
                </c:pt>
                <c:pt idx="4">
                  <c:v>SA</c:v>
                </c:pt>
                <c:pt idx="5">
                  <c:v>Tas</c:v>
                </c:pt>
                <c:pt idx="6">
                  <c:v>ACT</c:v>
                </c:pt>
                <c:pt idx="7">
                  <c:v>NT</c:v>
                </c:pt>
                <c:pt idx="8">
                  <c:v>Aust</c:v>
                </c:pt>
              </c:strCache>
            </c:strRef>
          </c:cat>
          <c:val>
            <c:numRef>
              <c:f>'Fig 15.19'!$B$7:$J$7</c:f>
              <c:numCache>
                <c:formatCode>0.0;\-0.0;"–"</c:formatCode>
                <c:ptCount val="9"/>
                <c:pt idx="0">
                  <c:v>28</c:v>
                </c:pt>
                <c:pt idx="1">
                  <c:v>29</c:v>
                </c:pt>
                <c:pt idx="2">
                  <c:v>32.799999999999997</c:v>
                </c:pt>
                <c:pt idx="3">
                  <c:v>29.6</c:v>
                </c:pt>
                <c:pt idx="4">
                  <c:v>29</c:v>
                </c:pt>
                <c:pt idx="5">
                  <c:v>22.3</c:v>
                </c:pt>
                <c:pt idx="6">
                  <c:v>45</c:v>
                </c:pt>
                <c:pt idx="7">
                  <c:v>48</c:v>
                </c:pt>
                <c:pt idx="8">
                  <c:v>29.7</c:v>
                </c:pt>
              </c:numCache>
            </c:numRef>
          </c:val>
        </c:ser>
        <c:ser>
          <c:idx val="2"/>
          <c:order val="2"/>
          <c:tx>
            <c:strRef>
              <c:f>'Fig 15.19'!$A$8</c:f>
              <c:strCache>
                <c:ptCount val="1"/>
                <c:pt idx="0">
                  <c:v>2015 </c:v>
                </c:pt>
              </c:strCache>
            </c:strRef>
          </c:tx>
          <c:spPr>
            <a:solidFill>
              <a:srgbClr val="265A9A"/>
            </a:solidFill>
            <a:ln>
              <a:solidFill>
                <a:srgbClr val="265A9A"/>
              </a:solidFill>
            </a:ln>
          </c:spPr>
          <c:invertIfNegative val="0"/>
          <c:errBars>
            <c:errBarType val="both"/>
            <c:errValType val="cust"/>
            <c:noEndCap val="0"/>
            <c:plus>
              <c:numRef>
                <c:f>'Fig 15.19'!$B$13:$J$13</c:f>
                <c:numCache>
                  <c:formatCode>General</c:formatCode>
                  <c:ptCount val="9"/>
                  <c:pt idx="0">
                    <c:v>5.7</c:v>
                  </c:pt>
                  <c:pt idx="1">
                    <c:v>6.8</c:v>
                  </c:pt>
                  <c:pt idx="2">
                    <c:v>5.6</c:v>
                  </c:pt>
                  <c:pt idx="3">
                    <c:v>7.7</c:v>
                  </c:pt>
                  <c:pt idx="4">
                    <c:v>7.6</c:v>
                  </c:pt>
                  <c:pt idx="5">
                    <c:v>8.1999999999999993</c:v>
                  </c:pt>
                  <c:pt idx="6">
                    <c:v>13.8</c:v>
                  </c:pt>
                  <c:pt idx="7">
                    <c:v>19.3</c:v>
                  </c:pt>
                  <c:pt idx="8">
                    <c:v>2.6</c:v>
                  </c:pt>
                </c:numCache>
              </c:numRef>
            </c:plus>
            <c:minus>
              <c:numRef>
                <c:f>'Fig 15.19'!$B$13:$J$13</c:f>
                <c:numCache>
                  <c:formatCode>General</c:formatCode>
                  <c:ptCount val="9"/>
                  <c:pt idx="0">
                    <c:v>5.7</c:v>
                  </c:pt>
                  <c:pt idx="1">
                    <c:v>6.8</c:v>
                  </c:pt>
                  <c:pt idx="2">
                    <c:v>5.6</c:v>
                  </c:pt>
                  <c:pt idx="3">
                    <c:v>7.7</c:v>
                  </c:pt>
                  <c:pt idx="4">
                    <c:v>7.6</c:v>
                  </c:pt>
                  <c:pt idx="5">
                    <c:v>8.1999999999999993</c:v>
                  </c:pt>
                  <c:pt idx="6">
                    <c:v>13.8</c:v>
                  </c:pt>
                  <c:pt idx="7">
                    <c:v>19.3</c:v>
                  </c:pt>
                  <c:pt idx="8">
                    <c:v>2.6</c:v>
                  </c:pt>
                </c:numCache>
              </c:numRef>
            </c:minus>
            <c:spPr>
              <a:ln>
                <a:solidFill>
                  <a:srgbClr val="BFBFBF"/>
                </a:solidFill>
              </a:ln>
            </c:spPr>
          </c:errBars>
          <c:cat>
            <c:strRef>
              <c:f>'Fig 15.19'!$B$5:$J$5</c:f>
              <c:strCache>
                <c:ptCount val="9"/>
                <c:pt idx="0">
                  <c:v>NSW</c:v>
                </c:pt>
                <c:pt idx="1">
                  <c:v>Vic</c:v>
                </c:pt>
                <c:pt idx="2">
                  <c:v>Qld</c:v>
                </c:pt>
                <c:pt idx="3">
                  <c:v>WA</c:v>
                </c:pt>
                <c:pt idx="4">
                  <c:v>SA</c:v>
                </c:pt>
                <c:pt idx="5">
                  <c:v>Tas</c:v>
                </c:pt>
                <c:pt idx="6">
                  <c:v>ACT</c:v>
                </c:pt>
                <c:pt idx="7">
                  <c:v>NT</c:v>
                </c:pt>
                <c:pt idx="8">
                  <c:v>Aust</c:v>
                </c:pt>
              </c:strCache>
            </c:strRef>
          </c:cat>
          <c:val>
            <c:numRef>
              <c:f>'Fig 15.19'!$B$8:$J$8</c:f>
              <c:numCache>
                <c:formatCode>0.0;\-0.0;"–"</c:formatCode>
                <c:ptCount val="9"/>
                <c:pt idx="0">
                  <c:v>24.6</c:v>
                </c:pt>
                <c:pt idx="1">
                  <c:v>24.9</c:v>
                </c:pt>
                <c:pt idx="2">
                  <c:v>24.7</c:v>
                </c:pt>
                <c:pt idx="3">
                  <c:v>23</c:v>
                </c:pt>
                <c:pt idx="4">
                  <c:v>27.4</c:v>
                </c:pt>
                <c:pt idx="5">
                  <c:v>28.1</c:v>
                </c:pt>
                <c:pt idx="6">
                  <c:v>37.1</c:v>
                </c:pt>
                <c:pt idx="7">
                  <c:v>61.1</c:v>
                </c:pt>
                <c:pt idx="8">
                  <c:v>25</c:v>
                </c:pt>
              </c:numCache>
            </c:numRef>
          </c:val>
        </c:ser>
        <c:dLbls>
          <c:showLegendKey val="0"/>
          <c:showVal val="0"/>
          <c:showCatName val="0"/>
          <c:showSerName val="0"/>
          <c:showPercent val="0"/>
          <c:showBubbleSize val="0"/>
        </c:dLbls>
        <c:gapWidth val="150"/>
        <c:axId val="421069488"/>
        <c:axId val="421071056"/>
      </c:barChart>
      <c:catAx>
        <c:axId val="4210694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1071056"/>
        <c:crosses val="autoZero"/>
        <c:auto val="1"/>
        <c:lblAlgn val="ctr"/>
        <c:lblOffset val="100"/>
        <c:noMultiLvlLbl val="0"/>
      </c:catAx>
      <c:valAx>
        <c:axId val="421071056"/>
        <c:scaling>
          <c:orientation val="minMax"/>
          <c:max val="8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1069488"/>
        <c:crosses val="autoZero"/>
        <c:crossBetween val="between"/>
        <c:majorUnit val="20"/>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egendEntry>
        <c:idx val="1"/>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000"/>
              <a:t>Employment–to–population ratio for primary carers</a:t>
            </a:r>
          </a:p>
        </c:rich>
      </c:tx>
      <c:overlay val="0"/>
    </c:title>
    <c:autoTitleDeleted val="0"/>
    <c:plotArea>
      <c:layout>
        <c:manualLayout>
          <c:layoutTarget val="inner"/>
          <c:xMode val="edge"/>
          <c:yMode val="edge"/>
          <c:x val="0.12109413447342519"/>
          <c:y val="0.18485915492957747"/>
          <c:w val="0.85449180302657479"/>
          <c:h val="0.5573384532919301"/>
        </c:manualLayout>
      </c:layout>
      <c:barChart>
        <c:barDir val="col"/>
        <c:grouping val="clustered"/>
        <c:varyColors val="0"/>
        <c:ser>
          <c:idx val="0"/>
          <c:order val="0"/>
          <c:tx>
            <c:strRef>
              <c:f>'Fig 15.20.'!$C$32</c:f>
              <c:strCache>
                <c:ptCount val="1"/>
                <c:pt idx="0">
                  <c:v>2009 &amp; 2012</c:v>
                </c:pt>
              </c:strCache>
            </c:strRef>
          </c:tx>
          <c:spPr>
            <a:solidFill>
              <a:srgbClr val="78A22F"/>
            </a:solidFill>
            <a:ln>
              <a:solidFill>
                <a:srgbClr val="78A22F"/>
              </a:solidFill>
            </a:ln>
          </c:spPr>
          <c:invertIfNegative val="0"/>
          <c:errBars>
            <c:errBarType val="both"/>
            <c:errValType val="cust"/>
            <c:noEndCap val="0"/>
            <c:plus>
              <c:numRef>
                <c:f>'Fig 15.20.'!$D$39:$L$39</c:f>
                <c:numCache>
                  <c:formatCode>General</c:formatCode>
                  <c:ptCount val="9"/>
                  <c:pt idx="0">
                    <c:v>5.6</c:v>
                  </c:pt>
                  <c:pt idx="1">
                    <c:v>6.7</c:v>
                  </c:pt>
                  <c:pt idx="2">
                    <c:v>7.9</c:v>
                  </c:pt>
                  <c:pt idx="3">
                    <c:v>11.1</c:v>
                  </c:pt>
                  <c:pt idx="8">
                    <c:v>3.2</c:v>
                  </c:pt>
                </c:numCache>
              </c:numRef>
            </c:plus>
            <c:minus>
              <c:numRef>
                <c:f>'Fig 15.20.'!$D$39:$L$39</c:f>
                <c:numCache>
                  <c:formatCode>General</c:formatCode>
                  <c:ptCount val="9"/>
                  <c:pt idx="0">
                    <c:v>5.6</c:v>
                  </c:pt>
                  <c:pt idx="1">
                    <c:v>6.7</c:v>
                  </c:pt>
                  <c:pt idx="2">
                    <c:v>7.9</c:v>
                  </c:pt>
                  <c:pt idx="3">
                    <c:v>11.1</c:v>
                  </c:pt>
                  <c:pt idx="8">
                    <c:v>3.2</c:v>
                  </c:pt>
                </c:numCache>
              </c:numRef>
            </c:minus>
            <c:spPr>
              <a:ln>
                <a:solidFill>
                  <a:srgbClr val="BFBFBF"/>
                </a:solidFill>
              </a:ln>
            </c:spPr>
          </c:errBars>
          <c:cat>
            <c:strRef>
              <c:f>'Fig 15.20.'!$D$31:$L$31</c:f>
              <c:strCache>
                <c:ptCount val="9"/>
                <c:pt idx="0">
                  <c:v>NSW</c:v>
                </c:pt>
                <c:pt idx="1">
                  <c:v>Vic</c:v>
                </c:pt>
                <c:pt idx="2">
                  <c:v>Qld</c:v>
                </c:pt>
                <c:pt idx="3">
                  <c:v>WA</c:v>
                </c:pt>
                <c:pt idx="4">
                  <c:v>SA</c:v>
                </c:pt>
                <c:pt idx="5">
                  <c:v>Tas</c:v>
                </c:pt>
                <c:pt idx="6">
                  <c:v>ACT</c:v>
                </c:pt>
                <c:pt idx="7">
                  <c:v>NT</c:v>
                </c:pt>
                <c:pt idx="8">
                  <c:v>Aust</c:v>
                </c:pt>
              </c:strCache>
            </c:strRef>
          </c:cat>
          <c:val>
            <c:numRef>
              <c:f>'Fig 15.20.'!$D$32:$L$32</c:f>
              <c:numCache>
                <c:formatCode>0.0</c:formatCode>
                <c:ptCount val="9"/>
                <c:pt idx="0">
                  <c:v>52.6</c:v>
                </c:pt>
                <c:pt idx="1">
                  <c:v>48.6</c:v>
                </c:pt>
                <c:pt idx="2">
                  <c:v>49.1</c:v>
                </c:pt>
                <c:pt idx="3">
                  <c:v>50.3</c:v>
                </c:pt>
                <c:pt idx="8">
                  <c:v>50.7</c:v>
                </c:pt>
              </c:numCache>
            </c:numRef>
          </c:val>
        </c:ser>
        <c:ser>
          <c:idx val="1"/>
          <c:order val="1"/>
          <c:tx>
            <c:strRef>
              <c:f>'Fig 15.20.'!$C$33</c:f>
              <c:strCache>
                <c:ptCount val="1"/>
                <c:pt idx="0">
                  <c:v>2012 </c:v>
                </c:pt>
              </c:strCache>
            </c:strRef>
          </c:tx>
          <c:spPr>
            <a:solidFill>
              <a:srgbClr val="78A22F"/>
            </a:solidFill>
            <a:ln>
              <a:solidFill>
                <a:srgbClr val="78A22F"/>
              </a:solidFill>
            </a:ln>
          </c:spPr>
          <c:invertIfNegative val="0"/>
          <c:errBars>
            <c:errBarType val="both"/>
            <c:errValType val="cust"/>
            <c:noEndCap val="0"/>
            <c:plus>
              <c:numRef>
                <c:f>'Fig 15.20.'!$D$40:$L$40</c:f>
                <c:numCache>
                  <c:formatCode>General</c:formatCode>
                  <c:ptCount val="9"/>
                  <c:pt idx="0">
                    <c:v>7.3</c:v>
                  </c:pt>
                  <c:pt idx="1">
                    <c:v>4.2</c:v>
                  </c:pt>
                  <c:pt idx="2">
                    <c:v>7</c:v>
                  </c:pt>
                  <c:pt idx="3">
                    <c:v>8.8000000000000007</c:v>
                  </c:pt>
                  <c:pt idx="4">
                    <c:v>10.6</c:v>
                  </c:pt>
                  <c:pt idx="5">
                    <c:v>12</c:v>
                  </c:pt>
                  <c:pt idx="6">
                    <c:v>14.9</c:v>
                  </c:pt>
                  <c:pt idx="7">
                    <c:v>22</c:v>
                  </c:pt>
                  <c:pt idx="8">
                    <c:v>2.9</c:v>
                  </c:pt>
                </c:numCache>
              </c:numRef>
            </c:plus>
            <c:minus>
              <c:numRef>
                <c:f>'Fig 15.20.'!$D$40:$L$40</c:f>
                <c:numCache>
                  <c:formatCode>General</c:formatCode>
                  <c:ptCount val="9"/>
                  <c:pt idx="0">
                    <c:v>7.3</c:v>
                  </c:pt>
                  <c:pt idx="1">
                    <c:v>4.2</c:v>
                  </c:pt>
                  <c:pt idx="2">
                    <c:v>7</c:v>
                  </c:pt>
                  <c:pt idx="3">
                    <c:v>8.8000000000000007</c:v>
                  </c:pt>
                  <c:pt idx="4">
                    <c:v>10.6</c:v>
                  </c:pt>
                  <c:pt idx="5">
                    <c:v>12</c:v>
                  </c:pt>
                  <c:pt idx="6">
                    <c:v>14.9</c:v>
                  </c:pt>
                  <c:pt idx="7">
                    <c:v>22</c:v>
                  </c:pt>
                  <c:pt idx="8">
                    <c:v>2.9</c:v>
                  </c:pt>
                </c:numCache>
              </c:numRef>
            </c:minus>
            <c:spPr>
              <a:ln>
                <a:solidFill>
                  <a:srgbClr val="BFBFBF"/>
                </a:solidFill>
              </a:ln>
            </c:spPr>
          </c:errBars>
          <c:cat>
            <c:strRef>
              <c:f>'Fig 15.20.'!$D$31:$L$31</c:f>
              <c:strCache>
                <c:ptCount val="9"/>
                <c:pt idx="0">
                  <c:v>NSW</c:v>
                </c:pt>
                <c:pt idx="1">
                  <c:v>Vic</c:v>
                </c:pt>
                <c:pt idx="2">
                  <c:v>Qld</c:v>
                </c:pt>
                <c:pt idx="3">
                  <c:v>WA</c:v>
                </c:pt>
                <c:pt idx="4">
                  <c:v>SA</c:v>
                </c:pt>
                <c:pt idx="5">
                  <c:v>Tas</c:v>
                </c:pt>
                <c:pt idx="6">
                  <c:v>ACT</c:v>
                </c:pt>
                <c:pt idx="7">
                  <c:v>NT</c:v>
                </c:pt>
                <c:pt idx="8">
                  <c:v>Aust</c:v>
                </c:pt>
              </c:strCache>
            </c:strRef>
          </c:cat>
          <c:val>
            <c:numRef>
              <c:f>'Fig 15.20.'!$D$33:$L$33</c:f>
              <c:numCache>
                <c:formatCode>0.0</c:formatCode>
                <c:ptCount val="9"/>
                <c:pt idx="0">
                  <c:v>45.9</c:v>
                </c:pt>
                <c:pt idx="1">
                  <c:v>45.7</c:v>
                </c:pt>
                <c:pt idx="2">
                  <c:v>52.8</c:v>
                </c:pt>
                <c:pt idx="3">
                  <c:v>53.1</c:v>
                </c:pt>
                <c:pt idx="4">
                  <c:v>50.3</c:v>
                </c:pt>
                <c:pt idx="5">
                  <c:v>46.2</c:v>
                </c:pt>
                <c:pt idx="6">
                  <c:v>61</c:v>
                </c:pt>
                <c:pt idx="7">
                  <c:v>65.400000000000006</c:v>
                </c:pt>
                <c:pt idx="8">
                  <c:v>47.6</c:v>
                </c:pt>
              </c:numCache>
            </c:numRef>
          </c:val>
        </c:ser>
        <c:ser>
          <c:idx val="2"/>
          <c:order val="2"/>
          <c:tx>
            <c:strRef>
              <c:f>'Fig 15.20.'!$C$34</c:f>
              <c:strCache>
                <c:ptCount val="1"/>
                <c:pt idx="0">
                  <c:v>2015 </c:v>
                </c:pt>
              </c:strCache>
            </c:strRef>
          </c:tx>
          <c:spPr>
            <a:solidFill>
              <a:srgbClr val="265A9A"/>
            </a:solidFill>
            <a:ln>
              <a:solidFill>
                <a:srgbClr val="265A9A"/>
              </a:solidFill>
            </a:ln>
          </c:spPr>
          <c:invertIfNegative val="0"/>
          <c:errBars>
            <c:errBarType val="both"/>
            <c:errValType val="cust"/>
            <c:noEndCap val="0"/>
            <c:plus>
              <c:numRef>
                <c:f>'Fig 15.20.'!$D$41:$L$41</c:f>
                <c:numCache>
                  <c:formatCode>General</c:formatCode>
                  <c:ptCount val="9"/>
                  <c:pt idx="0">
                    <c:v>6.1</c:v>
                  </c:pt>
                  <c:pt idx="1">
                    <c:v>8</c:v>
                  </c:pt>
                  <c:pt idx="2">
                    <c:v>7.2</c:v>
                  </c:pt>
                  <c:pt idx="3">
                    <c:v>10.5</c:v>
                  </c:pt>
                  <c:pt idx="4">
                    <c:v>8.8000000000000007</c:v>
                  </c:pt>
                  <c:pt idx="5">
                    <c:v>9.8000000000000007</c:v>
                  </c:pt>
                  <c:pt idx="6">
                    <c:v>14.6</c:v>
                  </c:pt>
                  <c:pt idx="7">
                    <c:v>19.5</c:v>
                  </c:pt>
                  <c:pt idx="8">
                    <c:v>3.4</c:v>
                  </c:pt>
                </c:numCache>
              </c:numRef>
            </c:plus>
            <c:minus>
              <c:numRef>
                <c:f>'Fig 15.20.'!$D$41:$L$41</c:f>
                <c:numCache>
                  <c:formatCode>General</c:formatCode>
                  <c:ptCount val="9"/>
                  <c:pt idx="0">
                    <c:v>6.1</c:v>
                  </c:pt>
                  <c:pt idx="1">
                    <c:v>8</c:v>
                  </c:pt>
                  <c:pt idx="2">
                    <c:v>7.2</c:v>
                  </c:pt>
                  <c:pt idx="3">
                    <c:v>10.5</c:v>
                  </c:pt>
                  <c:pt idx="4">
                    <c:v>8.8000000000000007</c:v>
                  </c:pt>
                  <c:pt idx="5">
                    <c:v>9.8000000000000007</c:v>
                  </c:pt>
                  <c:pt idx="6">
                    <c:v>14.6</c:v>
                  </c:pt>
                  <c:pt idx="7">
                    <c:v>19.5</c:v>
                  </c:pt>
                  <c:pt idx="8">
                    <c:v>3.4</c:v>
                  </c:pt>
                </c:numCache>
              </c:numRef>
            </c:minus>
            <c:spPr>
              <a:ln>
                <a:solidFill>
                  <a:srgbClr val="BFBFBF"/>
                </a:solidFill>
              </a:ln>
            </c:spPr>
          </c:errBars>
          <c:cat>
            <c:strRef>
              <c:f>'Fig 15.20.'!$D$31:$L$31</c:f>
              <c:strCache>
                <c:ptCount val="9"/>
                <c:pt idx="0">
                  <c:v>NSW</c:v>
                </c:pt>
                <c:pt idx="1">
                  <c:v>Vic</c:v>
                </c:pt>
                <c:pt idx="2">
                  <c:v>Qld</c:v>
                </c:pt>
                <c:pt idx="3">
                  <c:v>WA</c:v>
                </c:pt>
                <c:pt idx="4">
                  <c:v>SA</c:v>
                </c:pt>
                <c:pt idx="5">
                  <c:v>Tas</c:v>
                </c:pt>
                <c:pt idx="6">
                  <c:v>ACT</c:v>
                </c:pt>
                <c:pt idx="7">
                  <c:v>NT</c:v>
                </c:pt>
                <c:pt idx="8">
                  <c:v>Aust</c:v>
                </c:pt>
              </c:strCache>
            </c:strRef>
          </c:cat>
          <c:val>
            <c:numRef>
              <c:f>'Fig 15.20.'!$D$34:$L$34</c:f>
              <c:numCache>
                <c:formatCode>0.0</c:formatCode>
                <c:ptCount val="9"/>
                <c:pt idx="0">
                  <c:v>47.6</c:v>
                </c:pt>
                <c:pt idx="1">
                  <c:v>49.1</c:v>
                </c:pt>
                <c:pt idx="2">
                  <c:v>51</c:v>
                </c:pt>
                <c:pt idx="3">
                  <c:v>55</c:v>
                </c:pt>
                <c:pt idx="4">
                  <c:v>46.5</c:v>
                </c:pt>
                <c:pt idx="5">
                  <c:v>53.9</c:v>
                </c:pt>
                <c:pt idx="6">
                  <c:v>67.400000000000006</c:v>
                </c:pt>
                <c:pt idx="7">
                  <c:v>63</c:v>
                </c:pt>
                <c:pt idx="8">
                  <c:v>51.4</c:v>
                </c:pt>
              </c:numCache>
            </c:numRef>
          </c:val>
        </c:ser>
        <c:dLbls>
          <c:showLegendKey val="0"/>
          <c:showVal val="0"/>
          <c:showCatName val="0"/>
          <c:showSerName val="0"/>
          <c:showPercent val="0"/>
          <c:showBubbleSize val="0"/>
        </c:dLbls>
        <c:gapWidth val="150"/>
        <c:axId val="421067920"/>
        <c:axId val="421066744"/>
      </c:barChart>
      <c:catAx>
        <c:axId val="42106792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1066744"/>
        <c:crosses val="autoZero"/>
        <c:auto val="1"/>
        <c:lblAlgn val="ctr"/>
        <c:lblOffset val="100"/>
        <c:noMultiLvlLbl val="0"/>
      </c:catAx>
      <c:valAx>
        <c:axId val="421066744"/>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106792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99DF-F6DD-4003-8938-06E61F1E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69</TotalTime>
  <Pages>40</Pages>
  <Words>11399</Words>
  <Characters>64726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Chapter 15 Services for people with disability - Report on Government Services 2018</vt:lpstr>
    </vt:vector>
  </TitlesOfParts>
  <Company>Productivity Commission</Company>
  <LinksUpToDate>false</LinksUpToDate>
  <CharactersWithSpaces>75974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Services for people with disability - Report on Government Services 2018</dc:title>
  <dc:subject/>
  <dc:creator>Steering Committee for the Review of Government Service Provision</dc:creator>
  <cp:keywords/>
  <dc:description/>
  <cp:lastModifiedBy>Frech, Tanya</cp:lastModifiedBy>
  <cp:revision>11</cp:revision>
  <cp:lastPrinted>2017-12-19T23:12:00Z</cp:lastPrinted>
  <dcterms:created xsi:type="dcterms:W3CDTF">2018-01-03T23:04:00Z</dcterms:created>
  <dcterms:modified xsi:type="dcterms:W3CDTF">2018-01-09T00:36:00Z</dcterms:modified>
</cp:coreProperties>
</file>