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01D" w14:textId="5A26E374" w:rsidR="00A33DFF" w:rsidRDefault="00D04B31" w:rsidP="00D04B31">
      <w:pPr>
        <w:pStyle w:val="Heading1"/>
      </w:pPr>
      <w:bookmarkStart w:id="0" w:name="ChapterNumber"/>
      <w:bookmarkStart w:id="1" w:name="_Toc396142931"/>
      <w:bookmarkStart w:id="2" w:name="_Toc396143029"/>
      <w:bookmarkStart w:id="3" w:name="_Toc435724829"/>
      <w:bookmarkStart w:id="4" w:name="_Toc459884654"/>
      <w:bookmarkStart w:id="5" w:name="_Toc3322815"/>
      <w:r>
        <w:t>18</w:t>
      </w:r>
      <w:bookmarkEnd w:id="0"/>
      <w:r>
        <w:tab/>
      </w:r>
      <w:bookmarkStart w:id="6" w:name="ChapterTitle"/>
      <w:r>
        <w:t>Housin</w:t>
      </w:r>
      <w:bookmarkEnd w:id="6"/>
      <w:r w:rsidR="00E61FAC">
        <w:t>g</w:t>
      </w:r>
      <w:bookmarkEnd w:id="1"/>
      <w:bookmarkEnd w:id="2"/>
      <w:bookmarkEnd w:id="3"/>
      <w:bookmarkEnd w:id="4"/>
      <w:bookmarkEnd w:id="5"/>
      <w:r w:rsidR="007660B2">
        <w:t xml:space="preserve"> interpre</w:t>
      </w:r>
      <w:bookmarkStart w:id="7" w:name="_GoBack"/>
      <w:bookmarkEnd w:id="7"/>
      <w:r w:rsidR="007660B2">
        <w:t>tative material</w:t>
      </w:r>
    </w:p>
    <w:sdt>
      <w:sdtPr>
        <w:rPr>
          <w:rFonts w:asciiTheme="minorHAnsi" w:eastAsiaTheme="minorHAnsi" w:hAnsiTheme="minorHAnsi" w:cstheme="minorBidi"/>
          <w:color w:val="auto"/>
          <w:sz w:val="22"/>
          <w:szCs w:val="22"/>
          <w:lang w:val="en-AU"/>
        </w:rPr>
        <w:id w:val="1283763176"/>
        <w:docPartObj>
          <w:docPartGallery w:val="Table of Contents"/>
          <w:docPartUnique/>
        </w:docPartObj>
      </w:sdtPr>
      <w:sdtEndPr>
        <w:rPr>
          <w:rFonts w:ascii="Arial" w:hAnsi="Arial"/>
          <w:b/>
          <w:bCs/>
          <w:noProof/>
          <w:sz w:val="26"/>
          <w:szCs w:val="26"/>
        </w:rPr>
      </w:sdtEndPr>
      <w:sdtContent>
        <w:p w14:paraId="7EDCCFF1" w14:textId="01A4B1B6" w:rsidR="00AF2E23" w:rsidRDefault="00AF2E23">
          <w:pPr>
            <w:pStyle w:val="TOCHeading"/>
          </w:pPr>
          <w:r>
            <w:t>Contents</w:t>
          </w:r>
        </w:p>
        <w:p w14:paraId="1CD71DFB" w14:textId="77777777" w:rsidR="00AF2E23" w:rsidRDefault="00AF2E23">
          <w:pPr>
            <w:pStyle w:val="TOC1"/>
            <w:rPr>
              <w:rFonts w:asciiTheme="minorHAnsi" w:eastAsiaTheme="minorEastAsia" w:hAnsiTheme="minorHAnsi"/>
              <w:b w:val="0"/>
              <w:noProof/>
              <w:sz w:val="22"/>
              <w:szCs w:val="22"/>
              <w:lang w:eastAsia="en-AU"/>
            </w:rPr>
          </w:pPr>
          <w:r>
            <w:rPr>
              <w:b w:val="0"/>
            </w:rPr>
            <w:fldChar w:fldCharType="begin"/>
          </w:r>
          <w:r>
            <w:rPr>
              <w:b w:val="0"/>
            </w:rPr>
            <w:instrText xml:space="preserve"> TOC \o "1-4" \h \z \u </w:instrText>
          </w:r>
          <w:r>
            <w:rPr>
              <w:b w:val="0"/>
            </w:rPr>
            <w:fldChar w:fldCharType="separate"/>
          </w:r>
          <w:hyperlink w:anchor="_Toc3322815" w:history="1">
            <w:r w:rsidRPr="00C873C6">
              <w:rPr>
                <w:rStyle w:val="Hyperlink"/>
                <w:noProof/>
              </w:rPr>
              <w:t>18</w:t>
            </w:r>
            <w:r>
              <w:rPr>
                <w:rFonts w:asciiTheme="minorHAnsi" w:eastAsiaTheme="minorEastAsia" w:hAnsiTheme="minorHAnsi"/>
                <w:b w:val="0"/>
                <w:noProof/>
                <w:sz w:val="22"/>
                <w:szCs w:val="22"/>
                <w:lang w:eastAsia="en-AU"/>
              </w:rPr>
              <w:tab/>
            </w:r>
            <w:r w:rsidRPr="00C873C6">
              <w:rPr>
                <w:rStyle w:val="Hyperlink"/>
                <w:noProof/>
              </w:rPr>
              <w:t>Housing</w:t>
            </w:r>
            <w:r>
              <w:rPr>
                <w:noProof/>
                <w:webHidden/>
              </w:rPr>
              <w:tab/>
            </w:r>
            <w:r>
              <w:rPr>
                <w:noProof/>
                <w:webHidden/>
              </w:rPr>
              <w:fldChar w:fldCharType="begin"/>
            </w:r>
            <w:r>
              <w:rPr>
                <w:noProof/>
                <w:webHidden/>
              </w:rPr>
              <w:instrText xml:space="preserve"> PAGEREF _Toc3322815 \h </w:instrText>
            </w:r>
            <w:r>
              <w:rPr>
                <w:noProof/>
                <w:webHidden/>
              </w:rPr>
            </w:r>
            <w:r>
              <w:rPr>
                <w:noProof/>
                <w:webHidden/>
              </w:rPr>
              <w:fldChar w:fldCharType="separate"/>
            </w:r>
            <w:r w:rsidR="00F65BC5">
              <w:rPr>
                <w:noProof/>
                <w:webHidden/>
              </w:rPr>
              <w:t>1</w:t>
            </w:r>
            <w:r>
              <w:rPr>
                <w:noProof/>
                <w:webHidden/>
              </w:rPr>
              <w:fldChar w:fldCharType="end"/>
            </w:r>
          </w:hyperlink>
        </w:p>
        <w:p w14:paraId="03A5E820" w14:textId="0B6BD1F4" w:rsidR="00AF2E23" w:rsidRDefault="00F65BC5">
          <w:pPr>
            <w:pStyle w:val="TOC2"/>
            <w:tabs>
              <w:tab w:val="left" w:pos="1320"/>
            </w:tabs>
            <w:rPr>
              <w:rFonts w:asciiTheme="minorHAnsi" w:eastAsiaTheme="minorEastAsia" w:hAnsiTheme="minorHAnsi"/>
              <w:noProof/>
              <w:sz w:val="22"/>
              <w:szCs w:val="22"/>
              <w:lang w:eastAsia="en-AU"/>
            </w:rPr>
          </w:pPr>
          <w:hyperlink w:anchor="_Toc3322816" w:history="1">
            <w:r w:rsidR="00AF2E23" w:rsidRPr="00C873C6">
              <w:rPr>
                <w:rStyle w:val="Hyperlink"/>
                <w:noProof/>
              </w:rPr>
              <w:t>18.</w:t>
            </w:r>
            <w:r w:rsidR="00B8159C">
              <w:rPr>
                <w:rStyle w:val="Hyperlink"/>
                <w:noProof/>
              </w:rPr>
              <w:t>1</w:t>
            </w:r>
            <w:r w:rsidR="00AF2E23">
              <w:rPr>
                <w:rFonts w:asciiTheme="minorHAnsi" w:eastAsiaTheme="minorEastAsia" w:hAnsiTheme="minorHAnsi"/>
                <w:noProof/>
                <w:sz w:val="22"/>
                <w:szCs w:val="22"/>
                <w:lang w:eastAsia="en-AU"/>
              </w:rPr>
              <w:tab/>
            </w:r>
            <w:r w:rsidR="00AF2E23" w:rsidRPr="00C873C6">
              <w:rPr>
                <w:rStyle w:val="Hyperlink"/>
                <w:noProof/>
              </w:rPr>
              <w:t>Key performance indicator results</w:t>
            </w:r>
            <w:r w:rsidR="00AF2E23">
              <w:rPr>
                <w:noProof/>
                <w:webHidden/>
              </w:rPr>
              <w:tab/>
            </w:r>
            <w:r w:rsidR="00AF2E23">
              <w:rPr>
                <w:noProof/>
                <w:webHidden/>
              </w:rPr>
              <w:fldChar w:fldCharType="begin"/>
            </w:r>
            <w:r w:rsidR="00AF2E23">
              <w:rPr>
                <w:noProof/>
                <w:webHidden/>
              </w:rPr>
              <w:instrText xml:space="preserve"> PAGEREF _Toc3322816 \h </w:instrText>
            </w:r>
            <w:r w:rsidR="00AF2E23">
              <w:rPr>
                <w:noProof/>
                <w:webHidden/>
              </w:rPr>
            </w:r>
            <w:r w:rsidR="00AF2E23">
              <w:rPr>
                <w:noProof/>
                <w:webHidden/>
              </w:rPr>
              <w:fldChar w:fldCharType="separate"/>
            </w:r>
            <w:r>
              <w:rPr>
                <w:noProof/>
                <w:webHidden/>
              </w:rPr>
              <w:t>2</w:t>
            </w:r>
            <w:r w:rsidR="00AF2E23">
              <w:rPr>
                <w:noProof/>
                <w:webHidden/>
              </w:rPr>
              <w:fldChar w:fldCharType="end"/>
            </w:r>
          </w:hyperlink>
        </w:p>
        <w:p w14:paraId="0EC6C11C" w14:textId="77777777" w:rsidR="00AF2E23" w:rsidRDefault="00F65BC5">
          <w:pPr>
            <w:pStyle w:val="TOC3"/>
            <w:tabs>
              <w:tab w:val="right" w:pos="8779"/>
            </w:tabs>
            <w:rPr>
              <w:rFonts w:eastAsiaTheme="minorEastAsia"/>
              <w:noProof/>
              <w:lang w:eastAsia="en-AU"/>
            </w:rPr>
          </w:pPr>
          <w:hyperlink w:anchor="_Toc3322817" w:history="1">
            <w:r w:rsidR="00AF2E23" w:rsidRPr="00C873C6">
              <w:rPr>
                <w:rStyle w:val="Hyperlink"/>
                <w:noProof/>
              </w:rPr>
              <w:t>Outputs</w:t>
            </w:r>
            <w:r w:rsidR="00AF2E23">
              <w:rPr>
                <w:noProof/>
                <w:webHidden/>
              </w:rPr>
              <w:tab/>
            </w:r>
            <w:r w:rsidR="00AF2E23">
              <w:rPr>
                <w:noProof/>
                <w:webHidden/>
              </w:rPr>
              <w:fldChar w:fldCharType="begin"/>
            </w:r>
            <w:r w:rsidR="00AF2E23">
              <w:rPr>
                <w:noProof/>
                <w:webHidden/>
              </w:rPr>
              <w:instrText xml:space="preserve"> PAGEREF _Toc3322817 \h </w:instrText>
            </w:r>
            <w:r w:rsidR="00AF2E23">
              <w:rPr>
                <w:noProof/>
                <w:webHidden/>
              </w:rPr>
            </w:r>
            <w:r w:rsidR="00AF2E23">
              <w:rPr>
                <w:noProof/>
                <w:webHidden/>
              </w:rPr>
              <w:fldChar w:fldCharType="separate"/>
            </w:r>
            <w:r>
              <w:rPr>
                <w:noProof/>
                <w:webHidden/>
              </w:rPr>
              <w:t>2</w:t>
            </w:r>
            <w:r w:rsidR="00AF2E23">
              <w:rPr>
                <w:noProof/>
                <w:webHidden/>
              </w:rPr>
              <w:fldChar w:fldCharType="end"/>
            </w:r>
          </w:hyperlink>
        </w:p>
        <w:p w14:paraId="79EB0C76" w14:textId="77777777" w:rsidR="00AF2E23" w:rsidRDefault="00F65BC5">
          <w:pPr>
            <w:pStyle w:val="TOC3"/>
            <w:tabs>
              <w:tab w:val="right" w:pos="8779"/>
            </w:tabs>
            <w:rPr>
              <w:rFonts w:eastAsiaTheme="minorEastAsia"/>
              <w:noProof/>
              <w:lang w:eastAsia="en-AU"/>
            </w:rPr>
          </w:pPr>
          <w:hyperlink w:anchor="_Toc3322818" w:history="1">
            <w:r w:rsidR="00AF2E23" w:rsidRPr="00C873C6">
              <w:rPr>
                <w:rStyle w:val="Hyperlink"/>
                <w:noProof/>
              </w:rPr>
              <w:t>Equity</w:t>
            </w:r>
            <w:r w:rsidR="00AF2E23">
              <w:rPr>
                <w:noProof/>
                <w:webHidden/>
              </w:rPr>
              <w:tab/>
            </w:r>
            <w:r w:rsidR="00AF2E23">
              <w:rPr>
                <w:noProof/>
                <w:webHidden/>
              </w:rPr>
              <w:fldChar w:fldCharType="begin"/>
            </w:r>
            <w:r w:rsidR="00AF2E23">
              <w:rPr>
                <w:noProof/>
                <w:webHidden/>
              </w:rPr>
              <w:instrText xml:space="preserve"> PAGEREF _Toc3322818 \h </w:instrText>
            </w:r>
            <w:r w:rsidR="00AF2E23">
              <w:rPr>
                <w:noProof/>
                <w:webHidden/>
              </w:rPr>
            </w:r>
            <w:r w:rsidR="00AF2E23">
              <w:rPr>
                <w:noProof/>
                <w:webHidden/>
              </w:rPr>
              <w:fldChar w:fldCharType="separate"/>
            </w:r>
            <w:r>
              <w:rPr>
                <w:noProof/>
                <w:webHidden/>
              </w:rPr>
              <w:t>2</w:t>
            </w:r>
            <w:r w:rsidR="00AF2E23">
              <w:rPr>
                <w:noProof/>
                <w:webHidden/>
              </w:rPr>
              <w:fldChar w:fldCharType="end"/>
            </w:r>
          </w:hyperlink>
        </w:p>
        <w:p w14:paraId="4949FB09" w14:textId="77777777" w:rsidR="00AF2E23" w:rsidRDefault="00F65BC5">
          <w:pPr>
            <w:pStyle w:val="TOC4"/>
            <w:tabs>
              <w:tab w:val="right" w:pos="8779"/>
            </w:tabs>
            <w:rPr>
              <w:rFonts w:eastAsiaTheme="minorEastAsia"/>
              <w:noProof/>
              <w:lang w:eastAsia="en-AU"/>
            </w:rPr>
          </w:pPr>
          <w:hyperlink w:anchor="_Toc3322819" w:history="1">
            <w:r w:rsidR="00AF2E23" w:rsidRPr="00C873C6">
              <w:rPr>
                <w:rStyle w:val="Hyperlink"/>
                <w:noProof/>
              </w:rPr>
              <w:t>Access — Priority access to those in greatest need</w:t>
            </w:r>
            <w:r w:rsidR="00AF2E23">
              <w:rPr>
                <w:noProof/>
                <w:webHidden/>
              </w:rPr>
              <w:tab/>
            </w:r>
            <w:r w:rsidR="00AF2E23">
              <w:rPr>
                <w:noProof/>
                <w:webHidden/>
              </w:rPr>
              <w:fldChar w:fldCharType="begin"/>
            </w:r>
            <w:r w:rsidR="00AF2E23">
              <w:rPr>
                <w:noProof/>
                <w:webHidden/>
              </w:rPr>
              <w:instrText xml:space="preserve"> PAGEREF _Toc3322819 \h </w:instrText>
            </w:r>
            <w:r w:rsidR="00AF2E23">
              <w:rPr>
                <w:noProof/>
                <w:webHidden/>
              </w:rPr>
            </w:r>
            <w:r w:rsidR="00AF2E23">
              <w:rPr>
                <w:noProof/>
                <w:webHidden/>
              </w:rPr>
              <w:fldChar w:fldCharType="separate"/>
            </w:r>
            <w:r>
              <w:rPr>
                <w:noProof/>
                <w:webHidden/>
              </w:rPr>
              <w:t>2</w:t>
            </w:r>
            <w:r w:rsidR="00AF2E23">
              <w:rPr>
                <w:noProof/>
                <w:webHidden/>
              </w:rPr>
              <w:fldChar w:fldCharType="end"/>
            </w:r>
          </w:hyperlink>
        </w:p>
        <w:p w14:paraId="36305EF6" w14:textId="77777777" w:rsidR="00AF2E23" w:rsidRDefault="00F65BC5">
          <w:pPr>
            <w:pStyle w:val="TOC4"/>
            <w:tabs>
              <w:tab w:val="right" w:pos="8779"/>
            </w:tabs>
            <w:rPr>
              <w:rFonts w:eastAsiaTheme="minorEastAsia"/>
              <w:noProof/>
              <w:lang w:eastAsia="en-AU"/>
            </w:rPr>
          </w:pPr>
          <w:hyperlink w:anchor="_Toc3322820" w:history="1">
            <w:r w:rsidR="00AF2E23" w:rsidRPr="00C873C6">
              <w:rPr>
                <w:rStyle w:val="Hyperlink"/>
                <w:noProof/>
              </w:rPr>
              <w:t>Access — Special needs</w:t>
            </w:r>
            <w:r w:rsidR="00AF2E23">
              <w:rPr>
                <w:noProof/>
                <w:webHidden/>
              </w:rPr>
              <w:tab/>
            </w:r>
            <w:r w:rsidR="00AF2E23">
              <w:rPr>
                <w:noProof/>
                <w:webHidden/>
              </w:rPr>
              <w:fldChar w:fldCharType="begin"/>
            </w:r>
            <w:r w:rsidR="00AF2E23">
              <w:rPr>
                <w:noProof/>
                <w:webHidden/>
              </w:rPr>
              <w:instrText xml:space="preserve"> PAGEREF _Toc3322820 \h </w:instrText>
            </w:r>
            <w:r w:rsidR="00AF2E23">
              <w:rPr>
                <w:noProof/>
                <w:webHidden/>
              </w:rPr>
            </w:r>
            <w:r w:rsidR="00AF2E23">
              <w:rPr>
                <w:noProof/>
                <w:webHidden/>
              </w:rPr>
              <w:fldChar w:fldCharType="separate"/>
            </w:r>
            <w:r>
              <w:rPr>
                <w:noProof/>
                <w:webHidden/>
              </w:rPr>
              <w:t>3</w:t>
            </w:r>
            <w:r w:rsidR="00AF2E23">
              <w:rPr>
                <w:noProof/>
                <w:webHidden/>
              </w:rPr>
              <w:fldChar w:fldCharType="end"/>
            </w:r>
          </w:hyperlink>
        </w:p>
        <w:p w14:paraId="78B7E346" w14:textId="77777777" w:rsidR="00AF2E23" w:rsidRDefault="00F65BC5">
          <w:pPr>
            <w:pStyle w:val="TOC3"/>
            <w:tabs>
              <w:tab w:val="right" w:pos="8779"/>
            </w:tabs>
            <w:rPr>
              <w:rFonts w:eastAsiaTheme="minorEastAsia"/>
              <w:noProof/>
              <w:lang w:eastAsia="en-AU"/>
            </w:rPr>
          </w:pPr>
          <w:hyperlink w:anchor="_Toc3322821" w:history="1">
            <w:r w:rsidR="00AF2E23" w:rsidRPr="00C873C6">
              <w:rPr>
                <w:rStyle w:val="Hyperlink"/>
                <w:noProof/>
              </w:rPr>
              <w:t>Effectiveness</w:t>
            </w:r>
            <w:r w:rsidR="00AF2E23">
              <w:rPr>
                <w:noProof/>
                <w:webHidden/>
              </w:rPr>
              <w:tab/>
            </w:r>
            <w:r w:rsidR="00AF2E23">
              <w:rPr>
                <w:noProof/>
                <w:webHidden/>
              </w:rPr>
              <w:fldChar w:fldCharType="begin"/>
            </w:r>
            <w:r w:rsidR="00AF2E23">
              <w:rPr>
                <w:noProof/>
                <w:webHidden/>
              </w:rPr>
              <w:instrText xml:space="preserve"> PAGEREF _Toc3322821 \h </w:instrText>
            </w:r>
            <w:r w:rsidR="00AF2E23">
              <w:rPr>
                <w:noProof/>
                <w:webHidden/>
              </w:rPr>
            </w:r>
            <w:r w:rsidR="00AF2E23">
              <w:rPr>
                <w:noProof/>
                <w:webHidden/>
              </w:rPr>
              <w:fldChar w:fldCharType="separate"/>
            </w:r>
            <w:r>
              <w:rPr>
                <w:noProof/>
                <w:webHidden/>
              </w:rPr>
              <w:t>4</w:t>
            </w:r>
            <w:r w:rsidR="00AF2E23">
              <w:rPr>
                <w:noProof/>
                <w:webHidden/>
              </w:rPr>
              <w:fldChar w:fldCharType="end"/>
            </w:r>
          </w:hyperlink>
        </w:p>
        <w:p w14:paraId="4196E173" w14:textId="77777777" w:rsidR="00AF2E23" w:rsidRDefault="00F65BC5">
          <w:pPr>
            <w:pStyle w:val="TOC4"/>
            <w:tabs>
              <w:tab w:val="right" w:pos="8779"/>
            </w:tabs>
            <w:rPr>
              <w:rFonts w:eastAsiaTheme="minorEastAsia"/>
              <w:noProof/>
              <w:lang w:eastAsia="en-AU"/>
            </w:rPr>
          </w:pPr>
          <w:hyperlink w:anchor="_Toc3322822" w:history="1">
            <w:r w:rsidR="00AF2E23" w:rsidRPr="00C873C6">
              <w:rPr>
                <w:rStyle w:val="Hyperlink"/>
                <w:noProof/>
              </w:rPr>
              <w:t>Access — Affordability</w:t>
            </w:r>
            <w:r w:rsidR="00AF2E23">
              <w:rPr>
                <w:noProof/>
                <w:webHidden/>
              </w:rPr>
              <w:tab/>
            </w:r>
            <w:r w:rsidR="00AF2E23">
              <w:rPr>
                <w:noProof/>
                <w:webHidden/>
              </w:rPr>
              <w:fldChar w:fldCharType="begin"/>
            </w:r>
            <w:r w:rsidR="00AF2E23">
              <w:rPr>
                <w:noProof/>
                <w:webHidden/>
              </w:rPr>
              <w:instrText xml:space="preserve"> PAGEREF _Toc3322822 \h </w:instrText>
            </w:r>
            <w:r w:rsidR="00AF2E23">
              <w:rPr>
                <w:noProof/>
                <w:webHidden/>
              </w:rPr>
            </w:r>
            <w:r w:rsidR="00AF2E23">
              <w:rPr>
                <w:noProof/>
                <w:webHidden/>
              </w:rPr>
              <w:fldChar w:fldCharType="separate"/>
            </w:r>
            <w:r>
              <w:rPr>
                <w:noProof/>
                <w:webHidden/>
              </w:rPr>
              <w:t>4</w:t>
            </w:r>
            <w:r w:rsidR="00AF2E23">
              <w:rPr>
                <w:noProof/>
                <w:webHidden/>
              </w:rPr>
              <w:fldChar w:fldCharType="end"/>
            </w:r>
          </w:hyperlink>
        </w:p>
        <w:p w14:paraId="5453DDB4" w14:textId="77777777" w:rsidR="00AF2E23" w:rsidRDefault="00F65BC5">
          <w:pPr>
            <w:pStyle w:val="TOC4"/>
            <w:tabs>
              <w:tab w:val="right" w:pos="8779"/>
            </w:tabs>
            <w:rPr>
              <w:rFonts w:eastAsiaTheme="minorEastAsia"/>
              <w:noProof/>
              <w:lang w:eastAsia="en-AU"/>
            </w:rPr>
          </w:pPr>
          <w:hyperlink w:anchor="_Toc3322823" w:history="1">
            <w:r w:rsidR="00AF2E23" w:rsidRPr="00C873C6">
              <w:rPr>
                <w:rStyle w:val="Hyperlink"/>
                <w:noProof/>
              </w:rPr>
              <w:t>Wait times</w:t>
            </w:r>
            <w:r w:rsidR="00AF2E23">
              <w:rPr>
                <w:noProof/>
                <w:webHidden/>
              </w:rPr>
              <w:tab/>
            </w:r>
            <w:r w:rsidR="00AF2E23">
              <w:rPr>
                <w:noProof/>
                <w:webHidden/>
              </w:rPr>
              <w:fldChar w:fldCharType="begin"/>
            </w:r>
            <w:r w:rsidR="00AF2E23">
              <w:rPr>
                <w:noProof/>
                <w:webHidden/>
              </w:rPr>
              <w:instrText xml:space="preserve"> PAGEREF _Toc3322823 \h </w:instrText>
            </w:r>
            <w:r w:rsidR="00AF2E23">
              <w:rPr>
                <w:noProof/>
                <w:webHidden/>
              </w:rPr>
            </w:r>
            <w:r w:rsidR="00AF2E23">
              <w:rPr>
                <w:noProof/>
                <w:webHidden/>
              </w:rPr>
              <w:fldChar w:fldCharType="separate"/>
            </w:r>
            <w:r>
              <w:rPr>
                <w:noProof/>
                <w:webHidden/>
              </w:rPr>
              <w:t>5</w:t>
            </w:r>
            <w:r w:rsidR="00AF2E23">
              <w:rPr>
                <w:noProof/>
                <w:webHidden/>
              </w:rPr>
              <w:fldChar w:fldCharType="end"/>
            </w:r>
          </w:hyperlink>
        </w:p>
        <w:p w14:paraId="306D35EE" w14:textId="77777777" w:rsidR="00AF2E23" w:rsidRDefault="00F65BC5">
          <w:pPr>
            <w:pStyle w:val="TOC4"/>
            <w:tabs>
              <w:tab w:val="right" w:pos="8779"/>
            </w:tabs>
            <w:rPr>
              <w:rFonts w:eastAsiaTheme="minorEastAsia"/>
              <w:noProof/>
              <w:lang w:eastAsia="en-AU"/>
            </w:rPr>
          </w:pPr>
          <w:hyperlink w:anchor="_Toc3322824" w:history="1">
            <w:r w:rsidR="00AF2E23" w:rsidRPr="00C873C6">
              <w:rPr>
                <w:rStyle w:val="Hyperlink"/>
                <w:noProof/>
              </w:rPr>
              <w:t>Appropriateness — Match of dwelling to household size</w:t>
            </w:r>
            <w:r w:rsidR="00AF2E23">
              <w:rPr>
                <w:noProof/>
                <w:webHidden/>
              </w:rPr>
              <w:tab/>
            </w:r>
            <w:r w:rsidR="00AF2E23">
              <w:rPr>
                <w:noProof/>
                <w:webHidden/>
              </w:rPr>
              <w:fldChar w:fldCharType="begin"/>
            </w:r>
            <w:r w:rsidR="00AF2E23">
              <w:rPr>
                <w:noProof/>
                <w:webHidden/>
              </w:rPr>
              <w:instrText xml:space="preserve"> PAGEREF _Toc3322824 \h </w:instrText>
            </w:r>
            <w:r w:rsidR="00AF2E23">
              <w:rPr>
                <w:noProof/>
                <w:webHidden/>
              </w:rPr>
            </w:r>
            <w:r w:rsidR="00AF2E23">
              <w:rPr>
                <w:noProof/>
                <w:webHidden/>
              </w:rPr>
              <w:fldChar w:fldCharType="separate"/>
            </w:r>
            <w:r>
              <w:rPr>
                <w:noProof/>
                <w:webHidden/>
              </w:rPr>
              <w:t>5</w:t>
            </w:r>
            <w:r w:rsidR="00AF2E23">
              <w:rPr>
                <w:noProof/>
                <w:webHidden/>
              </w:rPr>
              <w:fldChar w:fldCharType="end"/>
            </w:r>
          </w:hyperlink>
        </w:p>
        <w:p w14:paraId="68BAC8BF" w14:textId="77777777" w:rsidR="00AF2E23" w:rsidRDefault="00F65BC5">
          <w:pPr>
            <w:pStyle w:val="TOC4"/>
            <w:tabs>
              <w:tab w:val="right" w:pos="8779"/>
            </w:tabs>
            <w:rPr>
              <w:rFonts w:eastAsiaTheme="minorEastAsia"/>
              <w:noProof/>
              <w:lang w:eastAsia="en-AU"/>
            </w:rPr>
          </w:pPr>
          <w:hyperlink w:anchor="_Toc3322825" w:history="1">
            <w:r w:rsidR="00AF2E23" w:rsidRPr="00C873C6">
              <w:rPr>
                <w:rStyle w:val="Hyperlink"/>
                <w:noProof/>
              </w:rPr>
              <w:t>Appropriateness — Amenity/location</w:t>
            </w:r>
            <w:r w:rsidR="00AF2E23">
              <w:rPr>
                <w:noProof/>
                <w:webHidden/>
              </w:rPr>
              <w:tab/>
            </w:r>
            <w:r w:rsidR="00AF2E23">
              <w:rPr>
                <w:noProof/>
                <w:webHidden/>
              </w:rPr>
              <w:fldChar w:fldCharType="begin"/>
            </w:r>
            <w:r w:rsidR="00AF2E23">
              <w:rPr>
                <w:noProof/>
                <w:webHidden/>
              </w:rPr>
              <w:instrText xml:space="preserve"> PAGEREF _Toc3322825 \h </w:instrText>
            </w:r>
            <w:r w:rsidR="00AF2E23">
              <w:rPr>
                <w:noProof/>
                <w:webHidden/>
              </w:rPr>
            </w:r>
            <w:r w:rsidR="00AF2E23">
              <w:rPr>
                <w:noProof/>
                <w:webHidden/>
              </w:rPr>
              <w:fldChar w:fldCharType="separate"/>
            </w:r>
            <w:r>
              <w:rPr>
                <w:noProof/>
                <w:webHidden/>
              </w:rPr>
              <w:t>6</w:t>
            </w:r>
            <w:r w:rsidR="00AF2E23">
              <w:rPr>
                <w:noProof/>
                <w:webHidden/>
              </w:rPr>
              <w:fldChar w:fldCharType="end"/>
            </w:r>
          </w:hyperlink>
        </w:p>
        <w:p w14:paraId="60B426B2" w14:textId="77777777" w:rsidR="00AF2E23" w:rsidRDefault="00F65BC5">
          <w:pPr>
            <w:pStyle w:val="TOC4"/>
            <w:tabs>
              <w:tab w:val="right" w:pos="8779"/>
            </w:tabs>
            <w:rPr>
              <w:rFonts w:eastAsiaTheme="minorEastAsia"/>
              <w:noProof/>
              <w:lang w:eastAsia="en-AU"/>
            </w:rPr>
          </w:pPr>
          <w:hyperlink w:anchor="_Toc3322826" w:history="1">
            <w:r w:rsidR="00AF2E23" w:rsidRPr="00C873C6">
              <w:rPr>
                <w:rStyle w:val="Hyperlink"/>
                <w:noProof/>
              </w:rPr>
              <w:t>Quality — Dwelling condition</w:t>
            </w:r>
            <w:r w:rsidR="00AF2E23">
              <w:rPr>
                <w:noProof/>
                <w:webHidden/>
              </w:rPr>
              <w:tab/>
            </w:r>
            <w:r w:rsidR="00AF2E23">
              <w:rPr>
                <w:noProof/>
                <w:webHidden/>
              </w:rPr>
              <w:fldChar w:fldCharType="begin"/>
            </w:r>
            <w:r w:rsidR="00AF2E23">
              <w:rPr>
                <w:noProof/>
                <w:webHidden/>
              </w:rPr>
              <w:instrText xml:space="preserve"> PAGEREF _Toc3322826 \h </w:instrText>
            </w:r>
            <w:r w:rsidR="00AF2E23">
              <w:rPr>
                <w:noProof/>
                <w:webHidden/>
              </w:rPr>
            </w:r>
            <w:r w:rsidR="00AF2E23">
              <w:rPr>
                <w:noProof/>
                <w:webHidden/>
              </w:rPr>
              <w:fldChar w:fldCharType="separate"/>
            </w:r>
            <w:r>
              <w:rPr>
                <w:noProof/>
                <w:webHidden/>
              </w:rPr>
              <w:t>7</w:t>
            </w:r>
            <w:r w:rsidR="00AF2E23">
              <w:rPr>
                <w:noProof/>
                <w:webHidden/>
              </w:rPr>
              <w:fldChar w:fldCharType="end"/>
            </w:r>
          </w:hyperlink>
        </w:p>
        <w:p w14:paraId="7A3D564C" w14:textId="77777777" w:rsidR="00AF2E23" w:rsidRDefault="00F65BC5">
          <w:pPr>
            <w:pStyle w:val="TOC4"/>
            <w:tabs>
              <w:tab w:val="right" w:pos="8779"/>
            </w:tabs>
            <w:rPr>
              <w:rFonts w:eastAsiaTheme="minorEastAsia"/>
              <w:noProof/>
              <w:lang w:eastAsia="en-AU"/>
            </w:rPr>
          </w:pPr>
          <w:hyperlink w:anchor="_Toc3322827" w:history="1">
            <w:r w:rsidR="00AF2E23" w:rsidRPr="00C873C6">
              <w:rPr>
                <w:rStyle w:val="Hyperlink"/>
                <w:noProof/>
              </w:rPr>
              <w:t>Perceptions of safety</w:t>
            </w:r>
            <w:r w:rsidR="00AF2E23">
              <w:rPr>
                <w:noProof/>
                <w:webHidden/>
              </w:rPr>
              <w:tab/>
            </w:r>
            <w:r w:rsidR="00AF2E23">
              <w:rPr>
                <w:noProof/>
                <w:webHidden/>
              </w:rPr>
              <w:fldChar w:fldCharType="begin"/>
            </w:r>
            <w:r w:rsidR="00AF2E23">
              <w:rPr>
                <w:noProof/>
                <w:webHidden/>
              </w:rPr>
              <w:instrText xml:space="preserve"> PAGEREF _Toc3322827 \h </w:instrText>
            </w:r>
            <w:r w:rsidR="00AF2E23">
              <w:rPr>
                <w:noProof/>
                <w:webHidden/>
              </w:rPr>
            </w:r>
            <w:r w:rsidR="00AF2E23">
              <w:rPr>
                <w:noProof/>
                <w:webHidden/>
              </w:rPr>
              <w:fldChar w:fldCharType="separate"/>
            </w:r>
            <w:r>
              <w:rPr>
                <w:noProof/>
                <w:webHidden/>
              </w:rPr>
              <w:t>8</w:t>
            </w:r>
            <w:r w:rsidR="00AF2E23">
              <w:rPr>
                <w:noProof/>
                <w:webHidden/>
              </w:rPr>
              <w:fldChar w:fldCharType="end"/>
            </w:r>
          </w:hyperlink>
        </w:p>
        <w:p w14:paraId="1E24A76F" w14:textId="77777777" w:rsidR="00AF2E23" w:rsidRDefault="00F65BC5">
          <w:pPr>
            <w:pStyle w:val="TOC4"/>
            <w:tabs>
              <w:tab w:val="right" w:pos="8779"/>
            </w:tabs>
            <w:rPr>
              <w:rFonts w:eastAsiaTheme="minorEastAsia"/>
              <w:noProof/>
              <w:lang w:eastAsia="en-AU"/>
            </w:rPr>
          </w:pPr>
          <w:hyperlink w:anchor="_Toc3322828" w:history="1">
            <w:r w:rsidR="00AF2E23" w:rsidRPr="00C873C6">
              <w:rPr>
                <w:rStyle w:val="Hyperlink"/>
                <w:noProof/>
              </w:rPr>
              <w:t>Sustainability</w:t>
            </w:r>
            <w:r w:rsidR="00AF2E23">
              <w:rPr>
                <w:noProof/>
                <w:webHidden/>
              </w:rPr>
              <w:tab/>
            </w:r>
            <w:r w:rsidR="00AF2E23">
              <w:rPr>
                <w:noProof/>
                <w:webHidden/>
              </w:rPr>
              <w:fldChar w:fldCharType="begin"/>
            </w:r>
            <w:r w:rsidR="00AF2E23">
              <w:rPr>
                <w:noProof/>
                <w:webHidden/>
              </w:rPr>
              <w:instrText xml:space="preserve"> PAGEREF _Toc3322828 \h </w:instrText>
            </w:r>
            <w:r w:rsidR="00AF2E23">
              <w:rPr>
                <w:noProof/>
                <w:webHidden/>
              </w:rPr>
            </w:r>
            <w:r w:rsidR="00AF2E23">
              <w:rPr>
                <w:noProof/>
                <w:webHidden/>
              </w:rPr>
              <w:fldChar w:fldCharType="separate"/>
            </w:r>
            <w:r>
              <w:rPr>
                <w:noProof/>
                <w:webHidden/>
              </w:rPr>
              <w:t>8</w:t>
            </w:r>
            <w:r w:rsidR="00AF2E23">
              <w:rPr>
                <w:noProof/>
                <w:webHidden/>
              </w:rPr>
              <w:fldChar w:fldCharType="end"/>
            </w:r>
          </w:hyperlink>
        </w:p>
        <w:p w14:paraId="7F3810AE" w14:textId="77777777" w:rsidR="00AF2E23" w:rsidRDefault="00F65BC5">
          <w:pPr>
            <w:pStyle w:val="TOC3"/>
            <w:tabs>
              <w:tab w:val="right" w:pos="8779"/>
            </w:tabs>
            <w:rPr>
              <w:rFonts w:eastAsiaTheme="minorEastAsia"/>
              <w:noProof/>
              <w:lang w:eastAsia="en-AU"/>
            </w:rPr>
          </w:pPr>
          <w:hyperlink w:anchor="_Toc3322829" w:history="1">
            <w:r w:rsidR="00AF2E23" w:rsidRPr="00C873C6">
              <w:rPr>
                <w:rStyle w:val="Hyperlink"/>
                <w:noProof/>
              </w:rPr>
              <w:t>Efficiency</w:t>
            </w:r>
            <w:r w:rsidR="00AF2E23">
              <w:rPr>
                <w:noProof/>
                <w:webHidden/>
              </w:rPr>
              <w:tab/>
            </w:r>
            <w:r w:rsidR="00AF2E23">
              <w:rPr>
                <w:noProof/>
                <w:webHidden/>
              </w:rPr>
              <w:fldChar w:fldCharType="begin"/>
            </w:r>
            <w:r w:rsidR="00AF2E23">
              <w:rPr>
                <w:noProof/>
                <w:webHidden/>
              </w:rPr>
              <w:instrText xml:space="preserve"> PAGEREF _Toc3322829 \h </w:instrText>
            </w:r>
            <w:r w:rsidR="00AF2E23">
              <w:rPr>
                <w:noProof/>
                <w:webHidden/>
              </w:rPr>
            </w:r>
            <w:r w:rsidR="00AF2E23">
              <w:rPr>
                <w:noProof/>
                <w:webHidden/>
              </w:rPr>
              <w:fldChar w:fldCharType="separate"/>
            </w:r>
            <w:r>
              <w:rPr>
                <w:noProof/>
                <w:webHidden/>
              </w:rPr>
              <w:t>9</w:t>
            </w:r>
            <w:r w:rsidR="00AF2E23">
              <w:rPr>
                <w:noProof/>
                <w:webHidden/>
              </w:rPr>
              <w:fldChar w:fldCharType="end"/>
            </w:r>
          </w:hyperlink>
        </w:p>
        <w:p w14:paraId="24E4EEBB" w14:textId="77777777" w:rsidR="00AF2E23" w:rsidRDefault="00F65BC5">
          <w:pPr>
            <w:pStyle w:val="TOC4"/>
            <w:tabs>
              <w:tab w:val="right" w:pos="8779"/>
            </w:tabs>
            <w:rPr>
              <w:rFonts w:eastAsiaTheme="minorEastAsia"/>
              <w:noProof/>
              <w:lang w:eastAsia="en-AU"/>
            </w:rPr>
          </w:pPr>
          <w:hyperlink w:anchor="_Toc3322830" w:history="1">
            <w:r w:rsidR="00AF2E23" w:rsidRPr="00C873C6">
              <w:rPr>
                <w:rStyle w:val="Hyperlink"/>
                <w:noProof/>
              </w:rPr>
              <w:t>Net recurrent cost per dwelling</w:t>
            </w:r>
            <w:r w:rsidR="00AF2E23">
              <w:rPr>
                <w:noProof/>
                <w:webHidden/>
              </w:rPr>
              <w:tab/>
            </w:r>
            <w:r w:rsidR="00AF2E23">
              <w:rPr>
                <w:noProof/>
                <w:webHidden/>
              </w:rPr>
              <w:fldChar w:fldCharType="begin"/>
            </w:r>
            <w:r w:rsidR="00AF2E23">
              <w:rPr>
                <w:noProof/>
                <w:webHidden/>
              </w:rPr>
              <w:instrText xml:space="preserve"> PAGEREF _Toc3322830 \h </w:instrText>
            </w:r>
            <w:r w:rsidR="00AF2E23">
              <w:rPr>
                <w:noProof/>
                <w:webHidden/>
              </w:rPr>
            </w:r>
            <w:r w:rsidR="00AF2E23">
              <w:rPr>
                <w:noProof/>
                <w:webHidden/>
              </w:rPr>
              <w:fldChar w:fldCharType="separate"/>
            </w:r>
            <w:r>
              <w:rPr>
                <w:noProof/>
                <w:webHidden/>
              </w:rPr>
              <w:t>9</w:t>
            </w:r>
            <w:r w:rsidR="00AF2E23">
              <w:rPr>
                <w:noProof/>
                <w:webHidden/>
              </w:rPr>
              <w:fldChar w:fldCharType="end"/>
            </w:r>
          </w:hyperlink>
        </w:p>
        <w:p w14:paraId="7DA737CC" w14:textId="77777777" w:rsidR="00AF2E23" w:rsidRDefault="00F65BC5">
          <w:pPr>
            <w:pStyle w:val="TOC3"/>
            <w:tabs>
              <w:tab w:val="right" w:pos="8779"/>
            </w:tabs>
            <w:rPr>
              <w:rFonts w:eastAsiaTheme="minorEastAsia"/>
              <w:noProof/>
              <w:lang w:eastAsia="en-AU"/>
            </w:rPr>
          </w:pPr>
          <w:hyperlink w:anchor="_Toc3322831" w:history="1">
            <w:r w:rsidR="00AF2E23" w:rsidRPr="00C873C6">
              <w:rPr>
                <w:rStyle w:val="Hyperlink"/>
                <w:noProof/>
              </w:rPr>
              <w:t>Outcomes</w:t>
            </w:r>
            <w:r w:rsidR="00AF2E23">
              <w:rPr>
                <w:noProof/>
                <w:webHidden/>
              </w:rPr>
              <w:tab/>
            </w:r>
            <w:r w:rsidR="00AF2E23">
              <w:rPr>
                <w:noProof/>
                <w:webHidden/>
              </w:rPr>
              <w:fldChar w:fldCharType="begin"/>
            </w:r>
            <w:r w:rsidR="00AF2E23">
              <w:rPr>
                <w:noProof/>
                <w:webHidden/>
              </w:rPr>
              <w:instrText xml:space="preserve"> PAGEREF _Toc3322831 \h </w:instrText>
            </w:r>
            <w:r w:rsidR="00AF2E23">
              <w:rPr>
                <w:noProof/>
                <w:webHidden/>
              </w:rPr>
            </w:r>
            <w:r w:rsidR="00AF2E23">
              <w:rPr>
                <w:noProof/>
                <w:webHidden/>
              </w:rPr>
              <w:fldChar w:fldCharType="separate"/>
            </w:r>
            <w:r>
              <w:rPr>
                <w:noProof/>
                <w:webHidden/>
              </w:rPr>
              <w:t>10</w:t>
            </w:r>
            <w:r w:rsidR="00AF2E23">
              <w:rPr>
                <w:noProof/>
                <w:webHidden/>
              </w:rPr>
              <w:fldChar w:fldCharType="end"/>
            </w:r>
          </w:hyperlink>
        </w:p>
        <w:p w14:paraId="13149256" w14:textId="77777777" w:rsidR="00AF2E23" w:rsidRDefault="00F65BC5">
          <w:pPr>
            <w:pStyle w:val="TOC4"/>
            <w:tabs>
              <w:tab w:val="right" w:pos="8779"/>
            </w:tabs>
            <w:rPr>
              <w:rFonts w:eastAsiaTheme="minorEastAsia"/>
              <w:noProof/>
              <w:lang w:eastAsia="en-AU"/>
            </w:rPr>
          </w:pPr>
          <w:hyperlink w:anchor="_Toc3322832" w:history="1">
            <w:r w:rsidR="00AF2E23" w:rsidRPr="00C873C6">
              <w:rPr>
                <w:rStyle w:val="Hyperlink"/>
                <w:noProof/>
              </w:rPr>
              <w:t>Social and economic participation</w:t>
            </w:r>
            <w:r w:rsidR="00AF2E23">
              <w:rPr>
                <w:noProof/>
                <w:webHidden/>
              </w:rPr>
              <w:tab/>
            </w:r>
            <w:r w:rsidR="00AF2E23">
              <w:rPr>
                <w:noProof/>
                <w:webHidden/>
              </w:rPr>
              <w:fldChar w:fldCharType="begin"/>
            </w:r>
            <w:r w:rsidR="00AF2E23">
              <w:rPr>
                <w:noProof/>
                <w:webHidden/>
              </w:rPr>
              <w:instrText xml:space="preserve"> PAGEREF _Toc3322832 \h </w:instrText>
            </w:r>
            <w:r w:rsidR="00AF2E23">
              <w:rPr>
                <w:noProof/>
                <w:webHidden/>
              </w:rPr>
            </w:r>
            <w:r w:rsidR="00AF2E23">
              <w:rPr>
                <w:noProof/>
                <w:webHidden/>
              </w:rPr>
              <w:fldChar w:fldCharType="separate"/>
            </w:r>
            <w:r>
              <w:rPr>
                <w:noProof/>
                <w:webHidden/>
              </w:rPr>
              <w:t>10</w:t>
            </w:r>
            <w:r w:rsidR="00AF2E23">
              <w:rPr>
                <w:noProof/>
                <w:webHidden/>
              </w:rPr>
              <w:fldChar w:fldCharType="end"/>
            </w:r>
          </w:hyperlink>
        </w:p>
        <w:p w14:paraId="78225A57" w14:textId="4EAC5EEB" w:rsidR="00AF2E23" w:rsidRDefault="00F65BC5" w:rsidP="00497633">
          <w:pPr>
            <w:pStyle w:val="TOC2"/>
            <w:tabs>
              <w:tab w:val="left" w:pos="1320"/>
            </w:tabs>
          </w:pPr>
          <w:hyperlink w:anchor="_Toc3322833" w:history="1">
            <w:r w:rsidR="00AF2E23" w:rsidRPr="00C873C6">
              <w:rPr>
                <w:rStyle w:val="Hyperlink"/>
                <w:noProof/>
              </w:rPr>
              <w:t>18.</w:t>
            </w:r>
            <w:r w:rsidR="00B8159C">
              <w:rPr>
                <w:rStyle w:val="Hyperlink"/>
                <w:noProof/>
              </w:rPr>
              <w:t>2</w:t>
            </w:r>
            <w:r w:rsidR="00AF2E23">
              <w:rPr>
                <w:rFonts w:asciiTheme="minorHAnsi" w:eastAsiaTheme="minorEastAsia" w:hAnsiTheme="minorHAnsi"/>
                <w:noProof/>
                <w:sz w:val="22"/>
                <w:szCs w:val="22"/>
                <w:lang w:eastAsia="en-AU"/>
              </w:rPr>
              <w:tab/>
            </w:r>
            <w:r w:rsidR="00AF2E23" w:rsidRPr="00C873C6">
              <w:rPr>
                <w:rStyle w:val="Hyperlink"/>
                <w:noProof/>
              </w:rPr>
              <w:t>Definitions of key terms</w:t>
            </w:r>
            <w:r w:rsidR="00AF2E23">
              <w:rPr>
                <w:noProof/>
                <w:webHidden/>
              </w:rPr>
              <w:tab/>
            </w:r>
            <w:r w:rsidR="00AF2E23">
              <w:rPr>
                <w:noProof/>
                <w:webHidden/>
              </w:rPr>
              <w:fldChar w:fldCharType="begin"/>
            </w:r>
            <w:r w:rsidR="00AF2E23">
              <w:rPr>
                <w:noProof/>
                <w:webHidden/>
              </w:rPr>
              <w:instrText xml:space="preserve"> PAGEREF _Toc3322833 \h </w:instrText>
            </w:r>
            <w:r w:rsidR="00AF2E23">
              <w:rPr>
                <w:noProof/>
                <w:webHidden/>
              </w:rPr>
            </w:r>
            <w:r w:rsidR="00AF2E23">
              <w:rPr>
                <w:noProof/>
                <w:webHidden/>
              </w:rPr>
              <w:fldChar w:fldCharType="separate"/>
            </w:r>
            <w:r>
              <w:rPr>
                <w:noProof/>
                <w:webHidden/>
              </w:rPr>
              <w:t>10</w:t>
            </w:r>
            <w:r w:rsidR="00AF2E23">
              <w:rPr>
                <w:noProof/>
                <w:webHidden/>
              </w:rPr>
              <w:fldChar w:fldCharType="end"/>
            </w:r>
          </w:hyperlink>
          <w:r w:rsidR="00AF2E23">
            <w:rPr>
              <w:b/>
            </w:rPr>
            <w:fldChar w:fldCharType="end"/>
          </w:r>
        </w:p>
      </w:sdtContent>
    </w:sdt>
    <w:p w14:paraId="1A9DAF0E" w14:textId="378C1C9B" w:rsidR="00497633" w:rsidRDefault="00D4325A" w:rsidP="00333A93">
      <w:pPr>
        <w:pStyle w:val="BodyText"/>
      </w:pPr>
      <w:r w:rsidRPr="00D4325A">
        <w:t xml:space="preserve">The </w:t>
      </w:r>
      <w:r>
        <w:t>housing</w:t>
      </w:r>
      <w:r w:rsidRPr="00D4325A">
        <w:t xml:space="preserve"> interpretative material is supporting material and includes explanations of why indicators have been chosen, and wherever possible, a link to the stated objectives of the service. It includes indicator definitions, technical details defining how the indic</w:t>
      </w:r>
      <w:r w:rsidR="003D03EB">
        <w:t>ator is measured</w:t>
      </w:r>
      <w:r w:rsidRPr="00D4325A">
        <w:t xml:space="preserve"> and guidance on how the indicator is to be interpreted, including caveats and the indicator’s completeness and comparability status.</w:t>
      </w:r>
      <w:r w:rsidR="00AF2E23">
        <w:t xml:space="preserve"> </w:t>
      </w:r>
    </w:p>
    <w:p w14:paraId="1BA40E0D" w14:textId="2E517225" w:rsidR="000F37DD" w:rsidRDefault="001E7CE2" w:rsidP="00333A93">
      <w:pPr>
        <w:pStyle w:val="BodyText"/>
      </w:pPr>
      <w:r w:rsidRPr="001E7CE2">
        <w:t xml:space="preserve">Further information on the Report on Government Services including other reported service areas, the glossary and list of abbreviations is available at </w:t>
      </w:r>
      <w:r w:rsidR="00333A93">
        <w:t>https://www.pc.gov.au/research/</w:t>
      </w:r>
      <w:r w:rsidR="00333A93">
        <w:br/>
        <w:t>ongoing/report</w:t>
      </w:r>
      <w:r w:rsidR="00A02B34">
        <w:noBreakHyphen/>
      </w:r>
      <w:r w:rsidR="00333A93">
        <w:t>on</w:t>
      </w:r>
      <w:r w:rsidR="00A02B34">
        <w:noBreakHyphen/>
      </w:r>
      <w:r w:rsidR="00333A93">
        <w:t>government</w:t>
      </w:r>
      <w:r w:rsidR="00A02B34">
        <w:noBreakHyphen/>
      </w:r>
      <w:r w:rsidR="00333A93">
        <w:t>services</w:t>
      </w:r>
      <w:r w:rsidRPr="00D20472">
        <w:t>.</w:t>
      </w:r>
    </w:p>
    <w:p w14:paraId="322C9D50" w14:textId="2C86495F" w:rsidR="00092D60" w:rsidRDefault="00040F38" w:rsidP="00092D60">
      <w:pPr>
        <w:pStyle w:val="Heading2"/>
      </w:pPr>
      <w:bookmarkStart w:id="8" w:name="_Toc459884657"/>
      <w:bookmarkStart w:id="9" w:name="_Toc3322816"/>
      <w:bookmarkStart w:id="10" w:name="_Toc210006655"/>
      <w:r>
        <w:lastRenderedPageBreak/>
        <w:t>18.</w:t>
      </w:r>
      <w:r w:rsidR="001E25DB">
        <w:rPr>
          <w:noProof/>
        </w:rPr>
        <w:t>1</w:t>
      </w:r>
      <w:r>
        <w:tab/>
      </w:r>
      <w:r w:rsidR="00092D60">
        <w:t>Key performance indicator results</w:t>
      </w:r>
      <w:bookmarkEnd w:id="8"/>
      <w:bookmarkEnd w:id="9"/>
    </w:p>
    <w:p w14:paraId="749BC779" w14:textId="77777777" w:rsidR="000A063D" w:rsidRDefault="00F73FEE" w:rsidP="000A063D">
      <w:pPr>
        <w:pStyle w:val="BodyText"/>
      </w:pPr>
      <w:r>
        <w:t>Different delivery contexts, locations and types of clients can affect the equity, effectiveness and efficiency of social housing services.</w:t>
      </w:r>
    </w:p>
    <w:p w14:paraId="08EE31CF" w14:textId="79C760B7" w:rsidR="00C66F12" w:rsidRDefault="00C66F12" w:rsidP="00C66F12">
      <w:pPr>
        <w:pStyle w:val="BodyText"/>
      </w:pPr>
      <w:r>
        <w:t xml:space="preserve">The comparability of performance indicator results are shaded in indicator interpretation boxes, figures and </w:t>
      </w:r>
      <w:r w:rsidR="006D5CEC">
        <w:t>data</w:t>
      </w:r>
      <w:r>
        <w:t xml:space="preserve"> tables as follows:</w:t>
      </w:r>
    </w:p>
    <w:p w14:paraId="2EE13112" w14:textId="77777777" w:rsidR="00ED6996" w:rsidRDefault="00ED6996" w:rsidP="00ED6996">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10244D3E" w14:textId="77777777" w:rsidR="00ED6996" w:rsidRDefault="00ED6996" w:rsidP="00ED6996">
      <w:pPr>
        <w:pStyle w:val="ListBullet"/>
        <w:numPr>
          <w:ilvl w:val="0"/>
          <w:numId w:val="0"/>
        </w:numPr>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00EE6C6B" w14:textId="5B68A611" w:rsidR="00C66F12" w:rsidRDefault="00C66F12" w:rsidP="00C66F12">
      <w:pPr>
        <w:pStyle w:val="BodyText"/>
      </w:pPr>
      <w:r>
        <w:t xml:space="preserve">The completeness of performance indicator results are shaded in indicator interpretation boxes, figures and </w:t>
      </w:r>
      <w:r w:rsidR="006D5CEC">
        <w:t>data</w:t>
      </w:r>
      <w:r>
        <w:t xml:space="preserve"> tables as follows:</w:t>
      </w:r>
    </w:p>
    <w:p w14:paraId="2041F9B3" w14:textId="77777777" w:rsidR="00ED6996" w:rsidRDefault="00ED6996" w:rsidP="00ED6996">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1E1503D3" w14:textId="77777777" w:rsidR="00ED6996" w:rsidRDefault="00ED6996" w:rsidP="00ED6996">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17405CC1" w14:textId="77777777" w:rsidR="0065490B" w:rsidRPr="009E5CE0" w:rsidRDefault="0065490B" w:rsidP="0065490B">
      <w:pPr>
        <w:pStyle w:val="Heading3"/>
      </w:pPr>
      <w:bookmarkStart w:id="11" w:name="_Toc3322817"/>
      <w:r w:rsidRPr="00C4061D">
        <w:t>Outputs</w:t>
      </w:r>
      <w:bookmarkEnd w:id="11"/>
    </w:p>
    <w:p w14:paraId="1B330BE4" w14:textId="6282AD57" w:rsidR="0065490B" w:rsidRPr="009E5CE0" w:rsidRDefault="0065490B" w:rsidP="0065490B">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006D5CEC" w:rsidRPr="006D5CEC">
        <w:rPr>
          <w:color w:val="000000" w:themeColor="text1"/>
        </w:rPr>
        <w:t>section</w:t>
      </w:r>
      <w:r w:rsidR="007D1214" w:rsidRPr="006D5CEC">
        <w:rPr>
          <w:color w:val="000000" w:themeColor="text1"/>
        </w:rPr>
        <w:t> </w:t>
      </w:r>
      <w:r w:rsidRPr="006D5CEC">
        <w:rPr>
          <w:color w:val="000000" w:themeColor="text1"/>
        </w:rPr>
        <w:t>1</w:t>
      </w:r>
      <w:r w:rsidRPr="009E5CE0">
        <w:rPr>
          <w:color w:val="000000" w:themeColor="text1"/>
        </w:rPr>
        <w:t>).</w:t>
      </w:r>
      <w:r>
        <w:rPr>
          <w:color w:val="000000" w:themeColor="text1"/>
        </w:rPr>
        <w:t xml:space="preserve"> Output information is also critical for equitable, efficient and effective management of government services.</w:t>
      </w:r>
    </w:p>
    <w:p w14:paraId="105BF103" w14:textId="77777777" w:rsidR="00C0136B" w:rsidRPr="00E00B00" w:rsidRDefault="009640BD" w:rsidP="0065490B">
      <w:pPr>
        <w:pStyle w:val="Heading3"/>
      </w:pPr>
      <w:bookmarkStart w:id="12" w:name="_Toc3322818"/>
      <w:r>
        <w:t>Equity</w:t>
      </w:r>
      <w:bookmarkEnd w:id="12"/>
    </w:p>
    <w:p w14:paraId="3239C8FF" w14:textId="77777777" w:rsidR="001477AD" w:rsidRPr="00F34CB2" w:rsidRDefault="00EC5DB3" w:rsidP="006B692D">
      <w:pPr>
        <w:pStyle w:val="Heading4"/>
      </w:pPr>
      <w:bookmarkStart w:id="13" w:name="_Toc3322819"/>
      <w:r>
        <w:t xml:space="preserve">Access — </w:t>
      </w:r>
      <w:r w:rsidR="001477AD" w:rsidRPr="00F34CB2">
        <w:t>Priority access to those in greatest need</w:t>
      </w:r>
      <w:bookmarkEnd w:id="13"/>
    </w:p>
    <w:p w14:paraId="6DE0AE5C" w14:textId="279FC19E" w:rsidR="001477AD" w:rsidRDefault="001477AD" w:rsidP="00796AC0">
      <w:pPr>
        <w:pStyle w:val="BodyText"/>
        <w:spacing w:before="120"/>
      </w:pPr>
      <w:r>
        <w:t>‘Priority access to those in greatest need’ is a</w:t>
      </w:r>
      <w:r w:rsidR="006B3A24">
        <w:t xml:space="preserve"> proxy</w:t>
      </w:r>
      <w:r>
        <w:t xml:space="preserve"> indicator of governments’ objective to provide </w:t>
      </w:r>
      <w:r w:rsidR="00007225">
        <w:t xml:space="preserve">services </w:t>
      </w:r>
      <w:r w:rsidR="00790CB2">
        <w:t>in an equitable manner (box 18.</w:t>
      </w:r>
      <w:r w:rsidR="00497633">
        <w:t>1</w:t>
      </w:r>
      <w:r w:rsidR="006F7A0C">
        <w:t>).</w:t>
      </w:r>
    </w:p>
    <w:p w14:paraId="5F8DE373" w14:textId="7405C662" w:rsidR="00956E84" w:rsidRDefault="00956E84" w:rsidP="001363B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56E84" w14:paraId="1302BA7C" w14:textId="77777777" w:rsidTr="00E21E82">
        <w:tc>
          <w:tcPr>
            <w:tcW w:w="5000" w:type="pct"/>
            <w:tcBorders>
              <w:top w:val="single" w:sz="6" w:space="0" w:color="78A22F"/>
              <w:left w:val="nil"/>
              <w:bottom w:val="nil"/>
              <w:right w:val="nil"/>
            </w:tcBorders>
            <w:shd w:val="clear" w:color="auto" w:fill="F2F2F2" w:themeFill="background1" w:themeFillShade="F2"/>
          </w:tcPr>
          <w:p w14:paraId="615B9F7F" w14:textId="6F1A17CC" w:rsidR="00956E84" w:rsidRDefault="001363B3" w:rsidP="00BB5630">
            <w:pPr>
              <w:pStyle w:val="BoxTitle"/>
            </w:pPr>
            <w:r>
              <w:rPr>
                <w:b w:val="0"/>
              </w:rPr>
              <w:t>Box 1</w:t>
            </w:r>
            <w:r w:rsidR="00BB5630">
              <w:rPr>
                <w:b w:val="0"/>
              </w:rPr>
              <w:t>8</w:t>
            </w:r>
            <w:r>
              <w:rPr>
                <w:b w:val="0"/>
              </w:rPr>
              <w:t>.</w:t>
            </w:r>
            <w:r w:rsidR="00497633">
              <w:rPr>
                <w:b w:val="0"/>
                <w:noProof/>
              </w:rPr>
              <w:t>1</w:t>
            </w:r>
            <w:r w:rsidR="00956E84">
              <w:tab/>
            </w:r>
            <w:r w:rsidR="00956E84" w:rsidRPr="00956E84">
              <w:t>Priority access to those in greatest need</w:t>
            </w:r>
          </w:p>
        </w:tc>
      </w:tr>
      <w:tr w:rsidR="00CF24D7" w14:paraId="38058F31" w14:textId="77777777" w:rsidTr="00E21E82">
        <w:trPr>
          <w:cantSplit/>
        </w:trPr>
        <w:tc>
          <w:tcPr>
            <w:tcW w:w="5000" w:type="pct"/>
            <w:tcBorders>
              <w:top w:val="nil"/>
              <w:left w:val="nil"/>
              <w:bottom w:val="nil"/>
              <w:right w:val="nil"/>
            </w:tcBorders>
            <w:shd w:val="clear" w:color="auto" w:fill="F2F2F2" w:themeFill="background1" w:themeFillShade="F2"/>
          </w:tcPr>
          <w:p w14:paraId="6AB8D760" w14:textId="77777777" w:rsidR="00CF24D7" w:rsidRDefault="00CF24D7" w:rsidP="00A466D6">
            <w:pPr>
              <w:pStyle w:val="Box"/>
            </w:pPr>
            <w:r w:rsidRPr="00956E84">
              <w:t>‘Priority access to those in greatest need’ is defined</w:t>
            </w:r>
            <w:r>
              <w:t xml:space="preserve"> </w:t>
            </w:r>
            <w:r w:rsidR="00D15C5C">
              <w:t xml:space="preserve">as </w:t>
            </w:r>
            <w:r w:rsidRPr="00956E84">
              <w:t xml:space="preserve">the proportion of new </w:t>
            </w:r>
            <w:r>
              <w:t xml:space="preserve">housing </w:t>
            </w:r>
            <w:r w:rsidRPr="00956E84">
              <w:t>allocations that were to households in greatest need</w:t>
            </w:r>
            <w:r w:rsidR="00D15C5C">
              <w:t>.</w:t>
            </w:r>
          </w:p>
          <w:p w14:paraId="502B5DC8" w14:textId="1EDA0393" w:rsidR="00CF24D7" w:rsidRDefault="00CF24D7" w:rsidP="00CF24D7">
            <w:pPr>
              <w:pStyle w:val="Box"/>
            </w:pPr>
            <w:r w:rsidRPr="00956E84">
              <w:t>Greatest need households are defined as</w:t>
            </w:r>
            <w:r w:rsidR="00F33F49">
              <w:t xml:space="preserve"> </w:t>
            </w:r>
            <w:r w:rsidRPr="00956E84">
              <w:t xml:space="preserve">households that at the time of allocation are homeless, in housing inappropriate to </w:t>
            </w:r>
            <w:r w:rsidRPr="005E340A">
              <w:t>their needs, in housing that is adversely affecting their health or placing their life and safety at risk, or</w:t>
            </w:r>
            <w:r>
              <w:t>,</w:t>
            </w:r>
            <w:r w:rsidRPr="005E340A">
              <w:t xml:space="preserve"> have very</w:t>
            </w:r>
            <w:r w:rsidRPr="00956E84">
              <w:t xml:space="preserve"> high rental housing costs.</w:t>
            </w:r>
          </w:p>
          <w:p w14:paraId="2AB9AEAE" w14:textId="5E57D98E" w:rsidR="00CF24D7" w:rsidRPr="00956E84" w:rsidRDefault="00CF24D7" w:rsidP="00CF24D7">
            <w:pPr>
              <w:pStyle w:val="Box"/>
            </w:pPr>
            <w:r>
              <w:t xml:space="preserve">This is a </w:t>
            </w:r>
            <w:r w:rsidRPr="00A87197">
              <w:t>partial proxy</w:t>
            </w:r>
            <w:r>
              <w:t xml:space="preserve"> indicator as information is not provided about the proportion of households on the waiting list that are ‘greatest need’ households</w:t>
            </w:r>
            <w:r w:rsidR="00CD74E8" w:rsidRPr="00CD74E8">
              <w:t xml:space="preserve">. </w:t>
            </w:r>
            <w:r w:rsidR="00C15C34" w:rsidRPr="00C15C34">
              <w:t>Households that are in greatest need are more likely to have members with special needs, and there may be overlap between special needs and greatest need groups (AIHW 2018).</w:t>
            </w:r>
            <w:r w:rsidR="00C15C34">
              <w:t xml:space="preserve"> </w:t>
            </w:r>
            <w:r w:rsidR="00CD74E8" w:rsidRPr="00CD74E8">
              <w:t>A high or increasing proportion, particularly for short timeframes, may indicate a high degree of access for those households in greatest need</w:t>
            </w:r>
            <w:r w:rsidRPr="00956E84">
              <w:t>.</w:t>
            </w:r>
          </w:p>
          <w:p w14:paraId="306F07B4" w14:textId="77777777" w:rsidR="00CF24D7" w:rsidRPr="00956E84" w:rsidRDefault="00CF24D7" w:rsidP="00CF24D7">
            <w:pPr>
              <w:pStyle w:val="Box"/>
            </w:pPr>
            <w:r w:rsidRPr="00956E84">
              <w:t xml:space="preserve">Data for this </w:t>
            </w:r>
            <w:r w:rsidR="00CD74E8">
              <w:t>measure</w:t>
            </w:r>
            <w:r w:rsidRPr="00956E84">
              <w:t xml:space="preserve"> are reported for public housing, SOMIH and community housing</w:t>
            </w:r>
            <w:r>
              <w:t xml:space="preserve"> and</w:t>
            </w:r>
            <w:r w:rsidRPr="00956E84">
              <w:t xml:space="preserve"> are:</w:t>
            </w:r>
          </w:p>
          <w:p w14:paraId="1745B0FE" w14:textId="127C0027" w:rsidR="00CF24D7" w:rsidRPr="00690765" w:rsidRDefault="00EE78CC" w:rsidP="00EE78CC">
            <w:pPr>
              <w:pStyle w:val="BoxListBullet"/>
              <w:numPr>
                <w:ilvl w:val="0"/>
                <w:numId w:val="0"/>
              </w:numPr>
              <w:ind w:left="284"/>
            </w:pPr>
            <w:r w:rsidRPr="00C66F12">
              <w:rPr>
                <w:shd w:val="clear" w:color="auto" w:fill="FCDED3"/>
              </w:rPr>
              <w:t xml:space="preserve">    </w:t>
            </w:r>
            <w:r>
              <w:t xml:space="preserve"> </w:t>
            </w:r>
            <w:r w:rsidR="00514836" w:rsidRPr="00514836">
              <w:t xml:space="preserve">not comparable across public housing, SOMIH and community housing and not comparable across jurisdictions or within some jurisdictions over time (see caveats in </w:t>
            </w:r>
            <w:r w:rsidR="006D5CEC">
              <w:t>data</w:t>
            </w:r>
            <w:r w:rsidR="006D5CEC" w:rsidRPr="00514836">
              <w:t xml:space="preserve"> </w:t>
            </w:r>
            <w:r w:rsidR="00514836" w:rsidRPr="00514836">
              <w:t>tables for specific jurisdictions)</w:t>
            </w:r>
          </w:p>
          <w:p w14:paraId="0EF715A2" w14:textId="7C3727A9" w:rsidR="00CF24D7" w:rsidRPr="00956E84" w:rsidRDefault="00EE78CC" w:rsidP="00514836">
            <w:pPr>
              <w:pStyle w:val="BoxListBullet"/>
              <w:numPr>
                <w:ilvl w:val="0"/>
                <w:numId w:val="0"/>
              </w:numPr>
              <w:ind w:left="284"/>
            </w:pPr>
            <w:r w:rsidRPr="00C66F12">
              <w:rPr>
                <w:shd w:val="clear" w:color="auto" w:fill="FCDED3"/>
              </w:rPr>
              <w:t xml:space="preserve">    </w:t>
            </w:r>
            <w:r>
              <w:t xml:space="preserve"> </w:t>
            </w:r>
            <w:r w:rsidR="00CF24D7" w:rsidRPr="003336F0">
              <w:t xml:space="preserve">incomplete for SOMIH </w:t>
            </w:r>
            <w:r w:rsidR="00FF1C53" w:rsidRPr="003336F0">
              <w:t>and community housing</w:t>
            </w:r>
            <w:r w:rsidR="00D56D26" w:rsidRPr="003336F0">
              <w:t xml:space="preserve"> </w:t>
            </w:r>
            <w:r w:rsidR="00CF24D7" w:rsidRPr="003336F0">
              <w:t>for the current reporting period</w:t>
            </w:r>
            <w:r w:rsidR="00514836">
              <w:t xml:space="preserve"> (</w:t>
            </w:r>
            <w:r w:rsidR="00514836" w:rsidRPr="00514836">
              <w:t xml:space="preserve">complete for public housing). </w:t>
            </w:r>
            <w:r w:rsidR="00CF24D7" w:rsidRPr="003336F0">
              <w:t xml:space="preserve">All required </w:t>
            </w:r>
            <w:r w:rsidR="00E747A5" w:rsidRPr="003336F0">
              <w:t>2017</w:t>
            </w:r>
            <w:r w:rsidR="00A02B34">
              <w:noBreakHyphen/>
            </w:r>
            <w:r w:rsidR="00E747A5" w:rsidRPr="003336F0">
              <w:t xml:space="preserve">18 </w:t>
            </w:r>
            <w:r w:rsidR="00CF24D7" w:rsidRPr="003336F0">
              <w:t xml:space="preserve">data are not available for </w:t>
            </w:r>
            <w:r w:rsidR="00D56D26" w:rsidRPr="003336F0">
              <w:t xml:space="preserve">Tasmania (SOMIH) and the </w:t>
            </w:r>
            <w:r w:rsidR="00D93E07" w:rsidRPr="003336F0">
              <w:t>NT</w:t>
            </w:r>
            <w:r w:rsidR="00D56D26" w:rsidRPr="003336F0">
              <w:t xml:space="preserve"> (community housing and SOMIH)</w:t>
            </w:r>
            <w:r w:rsidR="00CF24D7" w:rsidRPr="003336F0">
              <w:t>.</w:t>
            </w:r>
          </w:p>
        </w:tc>
      </w:tr>
      <w:tr w:rsidR="00882EA8" w14:paraId="3505838A" w14:textId="77777777" w:rsidTr="00E21E82">
        <w:trPr>
          <w:cantSplit/>
        </w:trPr>
        <w:tc>
          <w:tcPr>
            <w:tcW w:w="5000" w:type="pct"/>
            <w:tcBorders>
              <w:top w:val="nil"/>
              <w:left w:val="nil"/>
              <w:bottom w:val="single" w:sz="6" w:space="0" w:color="78A22F"/>
              <w:right w:val="nil"/>
            </w:tcBorders>
            <w:shd w:val="clear" w:color="auto" w:fill="F2F2F2" w:themeFill="background1" w:themeFillShade="F2"/>
          </w:tcPr>
          <w:p w14:paraId="48530C23" w14:textId="77777777" w:rsidR="00882EA8" w:rsidRDefault="00882EA8" w:rsidP="009C4A72">
            <w:pPr>
              <w:pStyle w:val="Box"/>
              <w:spacing w:before="0" w:line="120" w:lineRule="exact"/>
            </w:pPr>
          </w:p>
        </w:tc>
      </w:tr>
      <w:tr w:rsidR="00882EA8" w:rsidRPr="000863A5" w14:paraId="611EA07F" w14:textId="77777777" w:rsidTr="00E21E82">
        <w:tc>
          <w:tcPr>
            <w:tcW w:w="5000" w:type="pct"/>
            <w:tcBorders>
              <w:top w:val="single" w:sz="6" w:space="0" w:color="78A22F"/>
              <w:left w:val="nil"/>
              <w:bottom w:val="nil"/>
              <w:right w:val="nil"/>
            </w:tcBorders>
          </w:tcPr>
          <w:p w14:paraId="2F942365" w14:textId="77777777" w:rsidR="00882EA8" w:rsidRPr="00626D32" w:rsidRDefault="00882EA8" w:rsidP="009C4A72">
            <w:pPr>
              <w:pStyle w:val="BoxSpaceBelow"/>
            </w:pPr>
          </w:p>
        </w:tc>
      </w:tr>
    </w:tbl>
    <w:p w14:paraId="0B9C2742" w14:textId="77777777" w:rsidR="00F76C54" w:rsidRDefault="006F7A0C" w:rsidP="00AF1F34">
      <w:pPr>
        <w:pStyle w:val="Heading4"/>
      </w:pPr>
      <w:bookmarkStart w:id="14" w:name="_Toc3322820"/>
      <w:r>
        <w:t>Access — Special needs</w:t>
      </w:r>
      <w:bookmarkEnd w:id="14"/>
    </w:p>
    <w:p w14:paraId="009ABAAA" w14:textId="16B442F8" w:rsidR="00616646" w:rsidRDefault="00616646" w:rsidP="00616646">
      <w:pPr>
        <w:pStyle w:val="BodyText"/>
      </w:pPr>
      <w:r>
        <w:t xml:space="preserve">Access of ‘special needs’ groups to social housing </w:t>
      </w:r>
      <w:r w:rsidRPr="00A34FFE">
        <w:t>is an indicator of governments’ objective to provide</w:t>
      </w:r>
      <w:r w:rsidR="000A621E">
        <w:t xml:space="preserve"> services in an equitable manner</w:t>
      </w:r>
      <w:r w:rsidRPr="00A34FFE">
        <w:t xml:space="preserve"> </w:t>
      </w:r>
      <w:r w:rsidR="007F2F30">
        <w:t>(box 1</w:t>
      </w:r>
      <w:r w:rsidR="00BB5630">
        <w:t>8</w:t>
      </w:r>
      <w:r w:rsidR="007F2F30">
        <w:t>.</w:t>
      </w:r>
      <w:r w:rsidR="00497633">
        <w:t>2</w:t>
      </w:r>
      <w:r w:rsidRPr="00A34FFE">
        <w:t>).</w:t>
      </w:r>
    </w:p>
    <w:p w14:paraId="27CFFE1E" w14:textId="77777777" w:rsidR="00497633" w:rsidRPr="00DC04F0" w:rsidRDefault="00497633" w:rsidP="00616646">
      <w:pPr>
        <w:pStyle w:val="BodyText"/>
        <w:rPr>
          <w:lang w:eastAsia="en-US"/>
        </w:rPr>
      </w:pPr>
    </w:p>
    <w:p w14:paraId="4AF7BB43" w14:textId="18BE9876" w:rsidR="00616646" w:rsidRDefault="00616646" w:rsidP="0061664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16646" w14:paraId="1FB91E3F" w14:textId="77777777" w:rsidTr="00E21E82">
        <w:tc>
          <w:tcPr>
            <w:tcW w:w="5000" w:type="pct"/>
            <w:tcBorders>
              <w:top w:val="single" w:sz="6" w:space="0" w:color="78A22F"/>
              <w:left w:val="nil"/>
              <w:bottom w:val="nil"/>
              <w:right w:val="nil"/>
            </w:tcBorders>
            <w:shd w:val="clear" w:color="auto" w:fill="F2F2F2" w:themeFill="background1" w:themeFillShade="F2"/>
          </w:tcPr>
          <w:p w14:paraId="1CD7D954" w14:textId="0D7FFD7A" w:rsidR="00616646" w:rsidRDefault="001363B3" w:rsidP="00497633">
            <w:pPr>
              <w:pStyle w:val="BoxTitle"/>
            </w:pPr>
            <w:r>
              <w:rPr>
                <w:b w:val="0"/>
              </w:rPr>
              <w:t>Box 1</w:t>
            </w:r>
            <w:r w:rsidR="00BB5630">
              <w:rPr>
                <w:b w:val="0"/>
              </w:rPr>
              <w:t>8</w:t>
            </w:r>
            <w:r>
              <w:rPr>
                <w:b w:val="0"/>
              </w:rPr>
              <w:t>.</w:t>
            </w:r>
            <w:r w:rsidR="00497633">
              <w:rPr>
                <w:b w:val="0"/>
              </w:rPr>
              <w:t>2</w:t>
            </w:r>
            <w:r w:rsidR="00BF121A">
              <w:tab/>
              <w:t>S</w:t>
            </w:r>
            <w:r w:rsidR="00616646">
              <w:t xml:space="preserve">pecial needs </w:t>
            </w:r>
          </w:p>
        </w:tc>
      </w:tr>
      <w:tr w:rsidR="00616646" w14:paraId="608D9AE3" w14:textId="77777777" w:rsidTr="00E21E82">
        <w:trPr>
          <w:cantSplit/>
        </w:trPr>
        <w:tc>
          <w:tcPr>
            <w:tcW w:w="5000" w:type="pct"/>
            <w:tcBorders>
              <w:top w:val="nil"/>
              <w:left w:val="nil"/>
              <w:bottom w:val="nil"/>
              <w:right w:val="nil"/>
            </w:tcBorders>
            <w:shd w:val="clear" w:color="auto" w:fill="F2F2F2" w:themeFill="background1" w:themeFillShade="F2"/>
          </w:tcPr>
          <w:p w14:paraId="1BCA093E" w14:textId="26592E3E" w:rsidR="00FA0E96" w:rsidRPr="00D03993" w:rsidRDefault="00F76C54" w:rsidP="000A5330">
            <w:pPr>
              <w:pStyle w:val="Box"/>
            </w:pPr>
            <w:r w:rsidRPr="000A5330">
              <w:t>‘</w:t>
            </w:r>
            <w:r w:rsidR="00BF121A" w:rsidRPr="000A5330">
              <w:t>S</w:t>
            </w:r>
            <w:r w:rsidR="00616646" w:rsidRPr="000A5330">
              <w:t>pecial needs</w:t>
            </w:r>
            <w:r w:rsidRPr="000A5330">
              <w:t>’</w:t>
            </w:r>
            <w:r w:rsidR="00616646" w:rsidRPr="000A5330">
              <w:t xml:space="preserve"> is defined as the proportion of new </w:t>
            </w:r>
            <w:r w:rsidR="00261830">
              <w:t>housing allocations that were to</w:t>
            </w:r>
            <w:r w:rsidR="00616646" w:rsidRPr="000A5330">
              <w:t xml:space="preserve"> households with special needs</w:t>
            </w:r>
            <w:r w:rsidR="004E07D1" w:rsidRPr="000A5330">
              <w:t>.</w:t>
            </w:r>
          </w:p>
          <w:p w14:paraId="30D14566" w14:textId="77777777" w:rsidR="004E07D1" w:rsidRPr="000A5330" w:rsidRDefault="004E07D1" w:rsidP="000A5330">
            <w:pPr>
              <w:pStyle w:val="Box"/>
            </w:pPr>
            <w:r w:rsidRPr="000A5330">
              <w:t>Special needs households are defined as households that at the time of allocation have:</w:t>
            </w:r>
          </w:p>
          <w:p w14:paraId="67602488" w14:textId="77777777" w:rsidR="004E07D1" w:rsidRPr="000A5330" w:rsidRDefault="004E07D1" w:rsidP="000A5330">
            <w:pPr>
              <w:pStyle w:val="BoxListBullet"/>
            </w:pPr>
            <w:r w:rsidRPr="000A5330">
              <w:t xml:space="preserve">for public housing and </w:t>
            </w:r>
            <w:r w:rsidR="002017CC" w:rsidRPr="000A5330">
              <w:t xml:space="preserve">community housing </w:t>
            </w:r>
            <w:r w:rsidRPr="000A5330">
              <w:t xml:space="preserve">— a </w:t>
            </w:r>
            <w:r w:rsidR="00DA532F" w:rsidRPr="000A5330">
              <w:t xml:space="preserve">household </w:t>
            </w:r>
            <w:r w:rsidRPr="000A5330">
              <w:t xml:space="preserve">member with disability, a main tenant </w:t>
            </w:r>
            <w:r w:rsidR="00DA532F" w:rsidRPr="000A5330">
              <w:t>aged 24 years or under</w:t>
            </w:r>
            <w:r w:rsidRPr="000A5330">
              <w:t xml:space="preserve">, a main tenant aged 75 </w:t>
            </w:r>
            <w:r w:rsidR="00FC1962" w:rsidRPr="000A5330">
              <w:t xml:space="preserve">years </w:t>
            </w:r>
            <w:r w:rsidRPr="000A5330">
              <w:t xml:space="preserve">or over, </w:t>
            </w:r>
            <w:r w:rsidR="00252DF3" w:rsidRPr="000A5330">
              <w:t>and/</w:t>
            </w:r>
            <w:r w:rsidRPr="000A5330">
              <w:t xml:space="preserve">or </w:t>
            </w:r>
            <w:r w:rsidR="00252DF3" w:rsidRPr="000A5330">
              <w:t>satisfy the Aboriginal and Torres Strait Islander household definition</w:t>
            </w:r>
          </w:p>
          <w:p w14:paraId="6E66645F" w14:textId="77777777" w:rsidR="004E07D1" w:rsidRPr="000A5330" w:rsidRDefault="004E07D1" w:rsidP="000A5330">
            <w:pPr>
              <w:pStyle w:val="BoxListBullet"/>
            </w:pPr>
            <w:r w:rsidRPr="000A5330">
              <w:t xml:space="preserve">for </w:t>
            </w:r>
            <w:r w:rsidR="002017CC" w:rsidRPr="000A5330">
              <w:t xml:space="preserve">SOMIH </w:t>
            </w:r>
            <w:r w:rsidRPr="000A5330">
              <w:t>— a household member with disability</w:t>
            </w:r>
            <w:r w:rsidR="00710A2E" w:rsidRPr="000A5330">
              <w:t>,</w:t>
            </w:r>
            <w:r w:rsidRPr="000A5330">
              <w:t xml:space="preserve"> a principa</w:t>
            </w:r>
            <w:r w:rsidR="00710A2E" w:rsidRPr="000A5330">
              <w:t xml:space="preserve">l tenant aged </w:t>
            </w:r>
            <w:r w:rsidR="002017CC" w:rsidRPr="000A5330">
              <w:t xml:space="preserve">24 years or under </w:t>
            </w:r>
            <w:r w:rsidR="00710A2E" w:rsidRPr="000A5330">
              <w:t>and/or a principal tenant aged 50 years or over.</w:t>
            </w:r>
          </w:p>
          <w:p w14:paraId="69259116" w14:textId="77777777" w:rsidR="00616646" w:rsidRPr="000A5330" w:rsidRDefault="00616646" w:rsidP="000A5330">
            <w:pPr>
              <w:pStyle w:val="Box"/>
            </w:pPr>
            <w:r w:rsidRPr="000A5330">
              <w:t>The proportion of new tenancies with special needs is reported as a proxy for measuring all households with special needs.</w:t>
            </w:r>
            <w:r w:rsidR="00FC5170" w:rsidRPr="000A5330">
              <w:t xml:space="preserve"> </w:t>
            </w:r>
            <w:r w:rsidRPr="000A5330">
              <w:t xml:space="preserve">A high or increasing proportion indicates high </w:t>
            </w:r>
            <w:r w:rsidR="004E07D1" w:rsidRPr="000A5330">
              <w:t xml:space="preserve">or increasing </w:t>
            </w:r>
            <w:r w:rsidRPr="000A5330">
              <w:t>access by special needs households.</w:t>
            </w:r>
          </w:p>
          <w:p w14:paraId="613BED81" w14:textId="77777777" w:rsidR="00616646" w:rsidRPr="000A5330" w:rsidRDefault="00616646" w:rsidP="000A5330">
            <w:pPr>
              <w:pStyle w:val="Box"/>
            </w:pPr>
            <w:r w:rsidRPr="000A5330">
              <w:t xml:space="preserve">Data for this </w:t>
            </w:r>
            <w:r w:rsidR="00945100" w:rsidRPr="000A5330">
              <w:t>measure</w:t>
            </w:r>
            <w:r w:rsidRPr="000A5330">
              <w:t xml:space="preserve"> are reported for public housing, SOMIH and community housing</w:t>
            </w:r>
            <w:r w:rsidR="004926F8" w:rsidRPr="000A5330">
              <w:t xml:space="preserve"> and are:</w:t>
            </w:r>
          </w:p>
          <w:p w14:paraId="53135903" w14:textId="7B543EDE" w:rsidR="00616646" w:rsidRPr="000A5330" w:rsidRDefault="00EE78CC" w:rsidP="00EE78CC">
            <w:pPr>
              <w:pStyle w:val="BoxListBullet"/>
              <w:numPr>
                <w:ilvl w:val="0"/>
                <w:numId w:val="0"/>
              </w:numPr>
              <w:ind w:left="284"/>
            </w:pPr>
            <w:r w:rsidRPr="00EE78CC">
              <w:rPr>
                <w:shd w:val="clear" w:color="auto" w:fill="FCDED3"/>
              </w:rPr>
              <w:t xml:space="preserve">    </w:t>
            </w:r>
            <w:r>
              <w:t xml:space="preserve"> </w:t>
            </w:r>
            <w:r w:rsidR="005E7631" w:rsidRPr="005E7631">
              <w:t xml:space="preserve">not comparable across public housing, SOMIH and community housing and not comparable across jurisdictions or within some jurisdictions over time (see caveats in </w:t>
            </w:r>
            <w:r w:rsidR="006D5CEC">
              <w:t>data</w:t>
            </w:r>
            <w:r w:rsidR="005E7631" w:rsidRPr="005E7631">
              <w:t xml:space="preserve"> tables for specific jurisdictions)</w:t>
            </w:r>
          </w:p>
          <w:p w14:paraId="08CAA0F5" w14:textId="184BBAC7" w:rsidR="00616646" w:rsidRPr="00205635" w:rsidRDefault="00EE78CC" w:rsidP="002E7533">
            <w:pPr>
              <w:pStyle w:val="BoxListBullet"/>
              <w:numPr>
                <w:ilvl w:val="0"/>
                <w:numId w:val="0"/>
              </w:numPr>
              <w:ind w:left="284"/>
            </w:pPr>
            <w:r w:rsidRPr="00EE78CC">
              <w:rPr>
                <w:shd w:val="clear" w:color="auto" w:fill="FCDED3"/>
              </w:rPr>
              <w:t xml:space="preserve">    </w:t>
            </w:r>
            <w:r>
              <w:t xml:space="preserve"> </w:t>
            </w:r>
            <w:r w:rsidR="00616646" w:rsidRPr="000A5330">
              <w:t>incomplete for community housing for the current rep</w:t>
            </w:r>
            <w:r w:rsidR="00D578CD" w:rsidRPr="000A5330">
              <w:t>orting period</w:t>
            </w:r>
            <w:r w:rsidR="00A8450A">
              <w:t xml:space="preserve"> </w:t>
            </w:r>
            <w:r w:rsidR="00A8450A" w:rsidRPr="00A8450A">
              <w:t>(comp</w:t>
            </w:r>
            <w:r w:rsidR="00143B74">
              <w:t>l</w:t>
            </w:r>
            <w:r w:rsidR="00A8450A" w:rsidRPr="00A8450A">
              <w:t>ete for public housing and SOMIH)</w:t>
            </w:r>
            <w:r w:rsidR="00D578CD" w:rsidRPr="000A5330">
              <w:t>. All required</w:t>
            </w:r>
            <w:r w:rsidR="00313B53" w:rsidRPr="000A5330">
              <w:t xml:space="preserve"> </w:t>
            </w:r>
            <w:r w:rsidR="00746442" w:rsidRPr="003336F0">
              <w:t>201</w:t>
            </w:r>
            <w:r w:rsidR="006F406C" w:rsidRPr="003336F0">
              <w:t>7</w:t>
            </w:r>
            <w:r w:rsidR="00DC04F0" w:rsidRPr="003336F0">
              <w:noBreakHyphen/>
            </w:r>
            <w:r w:rsidR="006F406C" w:rsidRPr="003336F0">
              <w:t>18</w:t>
            </w:r>
            <w:r w:rsidR="00313B53" w:rsidRPr="003336F0">
              <w:t xml:space="preserve"> </w:t>
            </w:r>
            <w:r w:rsidR="00A8450A" w:rsidRPr="00A8450A">
              <w:t xml:space="preserve">community housing </w:t>
            </w:r>
            <w:r w:rsidR="00313B53" w:rsidRPr="003336F0">
              <w:t>data</w:t>
            </w:r>
            <w:r w:rsidR="00D578CD" w:rsidRPr="003336F0">
              <w:t xml:space="preserve"> </w:t>
            </w:r>
            <w:r w:rsidR="00616646" w:rsidRPr="000A5330">
              <w:t xml:space="preserve">are not available for the </w:t>
            </w:r>
            <w:r w:rsidR="00F76C54" w:rsidRPr="000A5330">
              <w:t>NT</w:t>
            </w:r>
            <w:r w:rsidR="00616646" w:rsidRPr="000A5330">
              <w:t>.</w:t>
            </w:r>
            <w:r w:rsidR="005D1E07" w:rsidRPr="000A5330">
              <w:t xml:space="preserve"> </w:t>
            </w:r>
          </w:p>
        </w:tc>
      </w:tr>
      <w:tr w:rsidR="00F27A09" w14:paraId="28FB1690" w14:textId="77777777" w:rsidTr="0004201A">
        <w:trPr>
          <w:cantSplit/>
        </w:trPr>
        <w:tc>
          <w:tcPr>
            <w:tcW w:w="5000" w:type="pct"/>
            <w:tcBorders>
              <w:top w:val="nil"/>
              <w:left w:val="nil"/>
              <w:bottom w:val="single" w:sz="6" w:space="0" w:color="78A22F"/>
              <w:right w:val="nil"/>
            </w:tcBorders>
            <w:shd w:val="clear" w:color="auto" w:fill="F2F2F2" w:themeFill="background1" w:themeFillShade="F2"/>
          </w:tcPr>
          <w:p w14:paraId="6DFD498A" w14:textId="77777777" w:rsidR="00F27A09" w:rsidRDefault="00F27A09" w:rsidP="0004201A">
            <w:pPr>
              <w:pStyle w:val="Box"/>
              <w:spacing w:before="0" w:line="120" w:lineRule="exact"/>
            </w:pPr>
          </w:p>
        </w:tc>
      </w:tr>
      <w:tr w:rsidR="00616646" w14:paraId="3334AC81" w14:textId="77777777" w:rsidTr="00F27A09">
        <w:trPr>
          <w:cantSplit/>
        </w:trPr>
        <w:tc>
          <w:tcPr>
            <w:tcW w:w="5000" w:type="pct"/>
            <w:tcBorders>
              <w:top w:val="nil"/>
              <w:left w:val="nil"/>
              <w:bottom w:val="nil"/>
              <w:right w:val="nil"/>
            </w:tcBorders>
            <w:shd w:val="clear" w:color="auto" w:fill="F2F2F2" w:themeFill="background1" w:themeFillShade="F2"/>
          </w:tcPr>
          <w:p w14:paraId="337BE609" w14:textId="77777777" w:rsidR="00616646" w:rsidRDefault="00616646" w:rsidP="00F27A09">
            <w:pPr>
              <w:pStyle w:val="BoxSpaceBelow"/>
            </w:pPr>
          </w:p>
        </w:tc>
      </w:tr>
    </w:tbl>
    <w:p w14:paraId="58BBA520" w14:textId="77777777" w:rsidR="009A5130" w:rsidRPr="003770C0" w:rsidRDefault="00457EC9" w:rsidP="00457EC9">
      <w:pPr>
        <w:pStyle w:val="Heading3"/>
      </w:pPr>
      <w:bookmarkStart w:id="15" w:name="_Toc3322821"/>
      <w:r>
        <w:t>Effectiveness</w:t>
      </w:r>
      <w:bookmarkEnd w:id="15"/>
    </w:p>
    <w:p w14:paraId="31BAA5FA" w14:textId="77777777" w:rsidR="00752966" w:rsidRDefault="00752966" w:rsidP="00752966">
      <w:pPr>
        <w:pStyle w:val="Heading4"/>
      </w:pPr>
      <w:bookmarkStart w:id="16" w:name="_Toc3322822"/>
      <w:r>
        <w:t>Access — Affordability</w:t>
      </w:r>
      <w:bookmarkEnd w:id="16"/>
    </w:p>
    <w:p w14:paraId="607E2A21" w14:textId="687F5D15" w:rsidR="00BF6E24" w:rsidRDefault="00BF6E24" w:rsidP="00BF6E24">
      <w:pPr>
        <w:pStyle w:val="BodyText"/>
      </w:pPr>
      <w:r w:rsidRPr="00DA73E5">
        <w:t xml:space="preserve">‘Affordability’ is an indicator of governments’ objective to provide </w:t>
      </w:r>
      <w:r w:rsidR="00131C1E">
        <w:t xml:space="preserve">services that are </w:t>
      </w:r>
      <w:r w:rsidRPr="00DA73E5">
        <w:t>affordable (box</w:t>
      </w:r>
      <w:r>
        <w:t> 18.</w:t>
      </w:r>
      <w:r w:rsidR="00497633">
        <w:t>3</w:t>
      </w:r>
      <w:r w:rsidRPr="00DA73E5">
        <w:t>).</w:t>
      </w:r>
    </w:p>
    <w:p w14:paraId="68748C88" w14:textId="77777777" w:rsidR="00497633" w:rsidRDefault="00497633">
      <w:pPr>
        <w:pStyle w:val="BoxSpaceAbove"/>
      </w:pPr>
      <w:r>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97633" w14:paraId="698BE941" w14:textId="77777777" w:rsidTr="00ED061E">
        <w:trPr>
          <w:tblHeader/>
        </w:trPr>
        <w:tc>
          <w:tcPr>
            <w:tcW w:w="5000" w:type="pct"/>
            <w:tcBorders>
              <w:top w:val="single" w:sz="6" w:space="0" w:color="78A22F"/>
              <w:left w:val="nil"/>
              <w:bottom w:val="nil"/>
              <w:right w:val="nil"/>
            </w:tcBorders>
            <w:shd w:val="clear" w:color="auto" w:fill="F2F2F2"/>
          </w:tcPr>
          <w:p w14:paraId="5A402302" w14:textId="38C336F3" w:rsidR="00497633" w:rsidRDefault="00497633" w:rsidP="00497633">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18.3</w:t>
            </w:r>
            <w:r>
              <w:tab/>
              <w:t>Affordability</w:t>
            </w:r>
          </w:p>
        </w:tc>
      </w:tr>
      <w:tr w:rsidR="00497633" w14:paraId="4E5117AA" w14:textId="77777777" w:rsidTr="00ED061E">
        <w:tc>
          <w:tcPr>
            <w:tcW w:w="5000" w:type="pct"/>
            <w:tcBorders>
              <w:top w:val="nil"/>
              <w:left w:val="nil"/>
              <w:bottom w:val="nil"/>
              <w:right w:val="nil"/>
            </w:tcBorders>
            <w:shd w:val="clear" w:color="auto" w:fill="F2F2F2"/>
          </w:tcPr>
          <w:p w14:paraId="3C91FE3F" w14:textId="0321E259" w:rsidR="00497633" w:rsidRDefault="00497633" w:rsidP="00ED061E">
            <w:pPr>
              <w:pStyle w:val="Box"/>
            </w:pPr>
            <w:r w:rsidRPr="0022319C">
              <w:t xml:space="preserve">‘Affordability’ is defined as </w:t>
            </w:r>
            <w:r>
              <w:t>the financial capacity of low income households in</w:t>
            </w:r>
            <w:r w:rsidRPr="0022319C">
              <w:t xml:space="preserve"> </w:t>
            </w:r>
            <w:r>
              <w:t xml:space="preserve">social housing </w:t>
            </w:r>
            <w:r w:rsidRPr="0022319C">
              <w:t xml:space="preserve">to </w:t>
            </w:r>
            <w:r>
              <w:t xml:space="preserve">meet rental costs. It is measured as the proportion of </w:t>
            </w:r>
            <w:r w:rsidRPr="00131C1E">
              <w:t>low income social housing households in rental stress</w:t>
            </w:r>
            <w:r>
              <w:t>, where:</w:t>
            </w:r>
          </w:p>
          <w:p w14:paraId="28B6AD44" w14:textId="77777777" w:rsidR="00497633" w:rsidRDefault="00497633" w:rsidP="00497633">
            <w:pPr>
              <w:pStyle w:val="BoxListBullet"/>
            </w:pPr>
            <w:r>
              <w:t>‘rental stress’ is defined as spending more than 30 per cent of gross household income (excluding CRA) on rent</w:t>
            </w:r>
          </w:p>
          <w:p w14:paraId="3780412C" w14:textId="3AC1F662" w:rsidR="00497633" w:rsidRDefault="00497633" w:rsidP="00B8159C">
            <w:pPr>
              <w:pStyle w:val="BoxListBullet"/>
            </w:pPr>
            <w:r>
              <w:t xml:space="preserve">low income households are defined as those in the bottom 40 per cent of equivalised gross household income (see </w:t>
            </w:r>
            <w:r w:rsidRPr="00B8159C">
              <w:t>section 18.</w:t>
            </w:r>
            <w:r w:rsidR="00B8159C">
              <w:t>2</w:t>
            </w:r>
            <w:r>
              <w:t xml:space="preserve"> for further detail). Low income households are more likely to be adversely affected by relatively high housing costs than households with higher disposable incomes (Yates and Gabriel 2006; Yates and Milligan 2007). </w:t>
            </w:r>
          </w:p>
        </w:tc>
      </w:tr>
      <w:tr w:rsidR="00497633" w:rsidRPr="00497633" w14:paraId="2E4CC6A4" w14:textId="77777777" w:rsidTr="00ED061E">
        <w:tc>
          <w:tcPr>
            <w:tcW w:w="5000" w:type="pct"/>
            <w:tcBorders>
              <w:top w:val="nil"/>
              <w:left w:val="nil"/>
              <w:bottom w:val="nil"/>
              <w:right w:val="nil"/>
            </w:tcBorders>
            <w:shd w:val="clear" w:color="auto" w:fill="F2F2F2"/>
          </w:tcPr>
          <w:p w14:paraId="1805B711" w14:textId="74926C85" w:rsidR="00497633" w:rsidRPr="00497633" w:rsidRDefault="00497633" w:rsidP="00497633">
            <w:pPr>
              <w:pStyle w:val="BoxSource"/>
              <w:spacing w:after="120" w:line="240" w:lineRule="auto"/>
              <w:jc w:val="right"/>
            </w:pPr>
            <w:r w:rsidRPr="00497633">
              <w:t>(continued next page)</w:t>
            </w:r>
          </w:p>
        </w:tc>
      </w:tr>
      <w:tr w:rsidR="00497633" w14:paraId="477B9380" w14:textId="77777777" w:rsidTr="00ED061E">
        <w:tc>
          <w:tcPr>
            <w:tcW w:w="5000" w:type="pct"/>
            <w:tcBorders>
              <w:top w:val="nil"/>
              <w:left w:val="nil"/>
              <w:bottom w:val="single" w:sz="6" w:space="0" w:color="78A22F"/>
              <w:right w:val="nil"/>
            </w:tcBorders>
            <w:shd w:val="clear" w:color="auto" w:fill="F2F2F2"/>
          </w:tcPr>
          <w:p w14:paraId="526D55A6" w14:textId="77777777" w:rsidR="00497633" w:rsidRDefault="00497633">
            <w:pPr>
              <w:pStyle w:val="Box"/>
              <w:spacing w:before="0" w:line="120" w:lineRule="exact"/>
            </w:pPr>
          </w:p>
        </w:tc>
      </w:tr>
      <w:tr w:rsidR="00497633" w:rsidRPr="000863A5" w14:paraId="40F87D14" w14:textId="77777777" w:rsidTr="00ED061E">
        <w:trPr>
          <w:hidden/>
        </w:trPr>
        <w:tc>
          <w:tcPr>
            <w:tcW w:w="5000" w:type="pct"/>
            <w:tcBorders>
              <w:top w:val="single" w:sz="6" w:space="0" w:color="78A22F"/>
              <w:left w:val="nil"/>
              <w:bottom w:val="nil"/>
              <w:right w:val="nil"/>
            </w:tcBorders>
          </w:tcPr>
          <w:p w14:paraId="6AD6794D" w14:textId="77777777" w:rsidR="00497633" w:rsidRPr="00626D32" w:rsidRDefault="00497633" w:rsidP="00ED061E">
            <w:pPr>
              <w:pStyle w:val="BoxSpaceBelow"/>
            </w:pPr>
            <w:r w:rsidRPr="00626D32">
              <w:rPr>
                <w:rFonts w:ascii="Times New Roman" w:hAnsi="Times New Roman"/>
                <w:b/>
                <w:vanish/>
                <w:color w:val="FF00FF"/>
              </w:rPr>
              <w:t>Do not delete this ROW as it gives space between the box and what follows it.</w:t>
            </w:r>
          </w:p>
        </w:tc>
      </w:tr>
    </w:tbl>
    <w:p w14:paraId="63232AAC" w14:textId="77777777" w:rsidR="006E571B" w:rsidRDefault="006E571B" w:rsidP="006E571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2E50" w14:paraId="5AA12C3B" w14:textId="77777777" w:rsidTr="00E21E82">
        <w:tc>
          <w:tcPr>
            <w:tcW w:w="5000" w:type="pct"/>
            <w:tcBorders>
              <w:top w:val="single" w:sz="6" w:space="0" w:color="78A22F"/>
              <w:left w:val="nil"/>
              <w:bottom w:val="nil"/>
              <w:right w:val="nil"/>
            </w:tcBorders>
            <w:shd w:val="clear" w:color="auto" w:fill="F2F2F2" w:themeFill="background1" w:themeFillShade="F2"/>
          </w:tcPr>
          <w:p w14:paraId="5728FDE5" w14:textId="791CA3AA" w:rsidR="00F82E50" w:rsidRDefault="00790CB2" w:rsidP="00ED061E">
            <w:pPr>
              <w:pStyle w:val="BoxTitle"/>
            </w:pPr>
            <w:r>
              <w:rPr>
                <w:b w:val="0"/>
              </w:rPr>
              <w:t>Box 18.</w:t>
            </w:r>
            <w:r w:rsidR="00497633">
              <w:rPr>
                <w:b w:val="0"/>
              </w:rPr>
              <w:t>3</w:t>
            </w:r>
            <w:r w:rsidR="00F82E50">
              <w:tab/>
            </w:r>
            <w:r w:rsidR="00B8159C" w:rsidRPr="00B8159C">
              <w:rPr>
                <w:b w:val="0"/>
                <w:sz w:val="18"/>
                <w:szCs w:val="18"/>
              </w:rPr>
              <w:t>(</w:t>
            </w:r>
            <w:r w:rsidR="00ED061E" w:rsidRPr="00ED061E">
              <w:rPr>
                <w:b w:val="0"/>
                <w:sz w:val="18"/>
                <w:szCs w:val="18"/>
              </w:rPr>
              <w:t>continued</w:t>
            </w:r>
            <w:r w:rsidR="00B8159C">
              <w:rPr>
                <w:b w:val="0"/>
                <w:sz w:val="18"/>
                <w:szCs w:val="18"/>
              </w:rPr>
              <w:t>)</w:t>
            </w:r>
          </w:p>
        </w:tc>
      </w:tr>
      <w:tr w:rsidR="00F82E50" w14:paraId="089968C1" w14:textId="77777777" w:rsidTr="00E21E82">
        <w:trPr>
          <w:cantSplit/>
        </w:trPr>
        <w:tc>
          <w:tcPr>
            <w:tcW w:w="5000" w:type="pct"/>
            <w:tcBorders>
              <w:top w:val="nil"/>
              <w:left w:val="nil"/>
              <w:bottom w:val="nil"/>
              <w:right w:val="nil"/>
            </w:tcBorders>
            <w:shd w:val="clear" w:color="auto" w:fill="F2F2F2" w:themeFill="background1" w:themeFillShade="F2"/>
          </w:tcPr>
          <w:p w14:paraId="4CD8707F" w14:textId="77777777" w:rsidR="001924D9" w:rsidRDefault="001924D9" w:rsidP="005A4F93">
            <w:pPr>
              <w:pStyle w:val="Box"/>
            </w:pPr>
            <w:r w:rsidRPr="001924D9">
              <w:t>Rental stress is mitigated through rental subsidies provided to eligible low income social housing households by State and Territory governments. For public housing and SOMIH, rents are generally set at estimated market rates and subsidised for eligible households so that rental costs do not exceed a set proportion of assessable household income (25 per cent in most states and territories) (tables 18A.47–49).</w:t>
            </w:r>
          </w:p>
          <w:p w14:paraId="0ED49D6B" w14:textId="2660A935" w:rsidR="00F82E50" w:rsidRPr="0022319C" w:rsidRDefault="00F82E50" w:rsidP="005A4F93">
            <w:pPr>
              <w:pStyle w:val="Box"/>
            </w:pPr>
            <w:r w:rsidRPr="0022319C">
              <w:t xml:space="preserve">A low or decreasing proportion of </w:t>
            </w:r>
            <w:r>
              <w:t xml:space="preserve">social housing </w:t>
            </w:r>
            <w:r w:rsidRPr="0022319C">
              <w:t xml:space="preserve">households spending more than 30 per cent of their income on rent implies </w:t>
            </w:r>
            <w:r>
              <w:t xml:space="preserve">that social </w:t>
            </w:r>
            <w:r w:rsidRPr="0022319C">
              <w:t xml:space="preserve">housing </w:t>
            </w:r>
            <w:r>
              <w:t xml:space="preserve">is more </w:t>
            </w:r>
            <w:r w:rsidRPr="0022319C">
              <w:t>affordabl</w:t>
            </w:r>
            <w:r>
              <w:t>e</w:t>
            </w:r>
            <w:r w:rsidRPr="0022319C">
              <w:t>.</w:t>
            </w:r>
          </w:p>
          <w:p w14:paraId="0DA7CB58" w14:textId="77777777" w:rsidR="00F82E50" w:rsidRPr="0022319C" w:rsidRDefault="005A11E6" w:rsidP="005A4F93">
            <w:pPr>
              <w:pStyle w:val="Box"/>
            </w:pPr>
            <w:r>
              <w:t xml:space="preserve">Data for this </w:t>
            </w:r>
            <w:r w:rsidR="00C12D32">
              <w:t>measure</w:t>
            </w:r>
            <w:r>
              <w:t xml:space="preserve"> are</w:t>
            </w:r>
            <w:r w:rsidRPr="0022319C">
              <w:t xml:space="preserve"> reported for public housin</w:t>
            </w:r>
            <w:r>
              <w:t>g, SOMIH and community housing and are</w:t>
            </w:r>
            <w:r w:rsidR="00F82E50" w:rsidRPr="0022319C">
              <w:t>:</w:t>
            </w:r>
          </w:p>
          <w:p w14:paraId="5BA94C01" w14:textId="374D44DF" w:rsidR="00F82E50" w:rsidRPr="0022319C" w:rsidRDefault="00EE78CC" w:rsidP="00EE78CC">
            <w:pPr>
              <w:pStyle w:val="BoxListBullet"/>
              <w:numPr>
                <w:ilvl w:val="0"/>
                <w:numId w:val="0"/>
              </w:numPr>
              <w:ind w:left="284"/>
            </w:pPr>
            <w:r w:rsidRPr="00EE78CC">
              <w:rPr>
                <w:shd w:val="clear" w:color="auto" w:fill="FCDED3"/>
              </w:rPr>
              <w:t xml:space="preserve">    </w:t>
            </w:r>
            <w:r>
              <w:t xml:space="preserve"> </w:t>
            </w:r>
            <w:r w:rsidR="00494031" w:rsidRPr="00494031">
              <w:t>not comparable across public housing, SOMIH and community housing, but are comparable across jurisdictions</w:t>
            </w:r>
          </w:p>
          <w:p w14:paraId="08D5AEA3" w14:textId="20F7A832" w:rsidR="00F31504" w:rsidRPr="0022319C" w:rsidRDefault="00EE78CC" w:rsidP="00EB345D">
            <w:pPr>
              <w:pStyle w:val="BoxListBullet"/>
              <w:numPr>
                <w:ilvl w:val="0"/>
                <w:numId w:val="0"/>
              </w:numPr>
              <w:ind w:left="284"/>
            </w:pPr>
            <w:r w:rsidRPr="00EE78CC">
              <w:rPr>
                <w:shd w:val="clear" w:color="auto" w:fill="FCDED3"/>
              </w:rPr>
              <w:t xml:space="preserve">    </w:t>
            </w:r>
            <w:r>
              <w:t xml:space="preserve"> </w:t>
            </w:r>
            <w:r w:rsidR="00F31504">
              <w:t>in</w:t>
            </w:r>
            <w:r w:rsidR="00F82E50" w:rsidRPr="00B5171D">
              <w:t>complete</w:t>
            </w:r>
            <w:r w:rsidR="00F82E50" w:rsidRPr="0022319C">
              <w:t xml:space="preserve"> for the current reporting period</w:t>
            </w:r>
            <w:r w:rsidR="00D4178D">
              <w:t xml:space="preserve"> </w:t>
            </w:r>
            <w:r w:rsidR="00D4178D" w:rsidRPr="00D3749F">
              <w:t xml:space="preserve">for </w:t>
            </w:r>
            <w:r w:rsidR="00EB345D" w:rsidRPr="00494031">
              <w:t xml:space="preserve">SOMIH and </w:t>
            </w:r>
            <w:r w:rsidR="00D4178D" w:rsidRPr="00D3749F">
              <w:t>community housing</w:t>
            </w:r>
            <w:r w:rsidR="00494031">
              <w:t xml:space="preserve"> </w:t>
            </w:r>
            <w:r w:rsidR="00494031" w:rsidRPr="00494031">
              <w:t>(complete for public housing)</w:t>
            </w:r>
            <w:r w:rsidR="00D3749F">
              <w:t xml:space="preserve">. </w:t>
            </w:r>
            <w:r w:rsidR="00F82E50" w:rsidRPr="0022319C">
              <w:t>All required</w:t>
            </w:r>
            <w:r w:rsidR="004F4906">
              <w:t xml:space="preserve"> </w:t>
            </w:r>
            <w:r w:rsidR="00D03FA5">
              <w:t>30 </w:t>
            </w:r>
            <w:r w:rsidR="00D03FA5" w:rsidRPr="003336F0">
              <w:t>June</w:t>
            </w:r>
            <w:r w:rsidR="00A02B34">
              <w:t xml:space="preserve"> </w:t>
            </w:r>
            <w:r w:rsidR="00CE12C5" w:rsidRPr="003336F0">
              <w:t>201</w:t>
            </w:r>
            <w:r w:rsidR="00725196" w:rsidRPr="003336F0">
              <w:t>8</w:t>
            </w:r>
            <w:r w:rsidR="00CB3249" w:rsidRPr="003336F0">
              <w:t> </w:t>
            </w:r>
            <w:r w:rsidR="00F82E50" w:rsidRPr="003336F0">
              <w:t xml:space="preserve">data </w:t>
            </w:r>
            <w:r w:rsidR="00F82E50" w:rsidRPr="0022319C">
              <w:t xml:space="preserve">are </w:t>
            </w:r>
            <w:r w:rsidR="00F31504">
              <w:t xml:space="preserve">not </w:t>
            </w:r>
            <w:r w:rsidR="00F82E50" w:rsidRPr="0022319C">
              <w:t xml:space="preserve">available </w:t>
            </w:r>
            <w:r w:rsidR="002274AD">
              <w:t>for the NT</w:t>
            </w:r>
            <w:r w:rsidR="00D3749F">
              <w:t>.</w:t>
            </w:r>
          </w:p>
        </w:tc>
      </w:tr>
      <w:tr w:rsidR="00FB3CD2" w14:paraId="3E92FA7F" w14:textId="77777777" w:rsidTr="00E21E82">
        <w:tc>
          <w:tcPr>
            <w:tcW w:w="5000" w:type="pct"/>
            <w:tcBorders>
              <w:top w:val="nil"/>
              <w:left w:val="nil"/>
              <w:bottom w:val="single" w:sz="6" w:space="0" w:color="78A22F"/>
              <w:right w:val="nil"/>
            </w:tcBorders>
            <w:shd w:val="clear" w:color="auto" w:fill="F2F2F2"/>
          </w:tcPr>
          <w:p w14:paraId="005456CF" w14:textId="77777777" w:rsidR="00FB3CD2" w:rsidRDefault="00FB3CD2" w:rsidP="002F7229">
            <w:pPr>
              <w:pStyle w:val="Box"/>
              <w:spacing w:before="0" w:line="120" w:lineRule="exact"/>
            </w:pPr>
          </w:p>
        </w:tc>
      </w:tr>
      <w:tr w:rsidR="00FB3CD2" w:rsidRPr="000863A5" w14:paraId="5B701A84" w14:textId="77777777" w:rsidTr="00E21E82">
        <w:tc>
          <w:tcPr>
            <w:tcW w:w="5000" w:type="pct"/>
            <w:tcBorders>
              <w:top w:val="single" w:sz="6" w:space="0" w:color="78A22F"/>
              <w:left w:val="nil"/>
              <w:bottom w:val="nil"/>
              <w:right w:val="nil"/>
            </w:tcBorders>
          </w:tcPr>
          <w:p w14:paraId="27A0B5ED" w14:textId="0FF44B4C" w:rsidR="00FB3CD2" w:rsidRPr="00626D32" w:rsidRDefault="00FB3CD2" w:rsidP="002F7229">
            <w:pPr>
              <w:pStyle w:val="BoxSpaceBelow"/>
            </w:pPr>
          </w:p>
        </w:tc>
      </w:tr>
    </w:tbl>
    <w:p w14:paraId="76B6167D" w14:textId="77777777" w:rsidR="00F82E50" w:rsidRDefault="00F82E50" w:rsidP="00FB3CD2">
      <w:pPr>
        <w:pStyle w:val="BoxSpaceBelow"/>
      </w:pPr>
    </w:p>
    <w:p w14:paraId="16165EBD" w14:textId="77777777" w:rsidR="00E0413D" w:rsidRDefault="00E0413D" w:rsidP="00E21E82">
      <w:pPr>
        <w:pStyle w:val="Heading4"/>
        <w:spacing w:before="300"/>
      </w:pPr>
      <w:bookmarkStart w:id="17" w:name="_Toc3322823"/>
      <w:r w:rsidRPr="00A41BFA">
        <w:t>Wait times</w:t>
      </w:r>
      <w:bookmarkEnd w:id="17"/>
    </w:p>
    <w:p w14:paraId="0EF813B0" w14:textId="046E23DD" w:rsidR="00E0413D" w:rsidRDefault="00E0413D" w:rsidP="00E0413D">
      <w:pPr>
        <w:pStyle w:val="BodyText"/>
      </w:pPr>
      <w:r w:rsidRPr="00D33393">
        <w:t>‘Wait times’ is an indicator of government’s objective to provide services that are timely</w:t>
      </w:r>
      <w:r w:rsidR="00AA3339">
        <w:t xml:space="preserve"> (box</w:t>
      </w:r>
      <w:r w:rsidR="007704AD">
        <w:t> </w:t>
      </w:r>
      <w:r w:rsidR="00AA3339">
        <w:t>18.</w:t>
      </w:r>
      <w:r w:rsidR="00497633">
        <w:t>4</w:t>
      </w:r>
      <w:r w:rsidR="00AA3339">
        <w:t>)</w:t>
      </w:r>
      <w:r w:rsidRPr="00D33393">
        <w:t>.</w:t>
      </w:r>
    </w:p>
    <w:p w14:paraId="5E180C8B" w14:textId="29F957CF" w:rsidR="00E0413D" w:rsidRDefault="00E0413D" w:rsidP="00E21E8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0413D" w14:paraId="102E85A5" w14:textId="77777777" w:rsidTr="000F2514">
        <w:trPr>
          <w:tblHeader/>
        </w:trPr>
        <w:tc>
          <w:tcPr>
            <w:tcW w:w="5000" w:type="pct"/>
            <w:tcBorders>
              <w:top w:val="single" w:sz="6" w:space="0" w:color="78A22F"/>
              <w:left w:val="nil"/>
              <w:bottom w:val="nil"/>
              <w:right w:val="nil"/>
            </w:tcBorders>
            <w:shd w:val="clear" w:color="auto" w:fill="F2F2F2"/>
          </w:tcPr>
          <w:p w14:paraId="5BA626E2" w14:textId="6012590B" w:rsidR="00E0413D" w:rsidRDefault="00E0413D" w:rsidP="00497633">
            <w:pPr>
              <w:pStyle w:val="BoxTitle"/>
            </w:pPr>
            <w:r>
              <w:rPr>
                <w:b w:val="0"/>
              </w:rPr>
              <w:t xml:space="preserve">Box </w:t>
            </w:r>
            <w:r w:rsidR="00AA3339">
              <w:rPr>
                <w:b w:val="0"/>
              </w:rPr>
              <w:t>18.</w:t>
            </w:r>
            <w:r w:rsidR="00497633">
              <w:rPr>
                <w:b w:val="0"/>
                <w:noProof/>
              </w:rPr>
              <w:t>4</w:t>
            </w:r>
            <w:r>
              <w:tab/>
            </w:r>
            <w:r w:rsidRPr="00A41BFA">
              <w:t>Wait times</w:t>
            </w:r>
          </w:p>
        </w:tc>
      </w:tr>
      <w:tr w:rsidR="00E0413D" w14:paraId="425041FA" w14:textId="77777777" w:rsidTr="000F2514">
        <w:tc>
          <w:tcPr>
            <w:tcW w:w="5000" w:type="pct"/>
            <w:tcBorders>
              <w:top w:val="nil"/>
              <w:left w:val="nil"/>
              <w:bottom w:val="nil"/>
              <w:right w:val="nil"/>
            </w:tcBorders>
            <w:shd w:val="clear" w:color="auto" w:fill="F2F2F2"/>
          </w:tcPr>
          <w:p w14:paraId="63C9C0BD" w14:textId="54EC28BA" w:rsidR="00E0413D" w:rsidRDefault="00E0413D" w:rsidP="000F2514">
            <w:pPr>
              <w:pStyle w:val="Box"/>
            </w:pPr>
            <w:r w:rsidRPr="00D33393">
              <w:t xml:space="preserve">‘Wait times’ is defined as the </w:t>
            </w:r>
            <w:r>
              <w:t>proportion</w:t>
            </w:r>
            <w:r w:rsidRPr="00D33393">
              <w:t xml:space="preserve"> of </w:t>
            </w:r>
            <w:r>
              <w:t>households</w:t>
            </w:r>
            <w:r w:rsidRPr="00D33393">
              <w:t xml:space="preserve"> on social housing wait lists who received a housing allocation in the previous 12 months, by the</w:t>
            </w:r>
            <w:r w:rsidR="0033604C">
              <w:t>ir time spent on the wait list.</w:t>
            </w:r>
          </w:p>
          <w:p w14:paraId="4DF3FC89" w14:textId="13B4F256" w:rsidR="00E0413D" w:rsidRPr="00DC04F0" w:rsidRDefault="00E0413D" w:rsidP="0033604C">
            <w:pPr>
              <w:pStyle w:val="Box"/>
              <w:rPr>
                <w:lang w:eastAsia="en-US"/>
              </w:rPr>
            </w:pPr>
            <w:r w:rsidRPr="00DD64C7">
              <w:t xml:space="preserve">A high or increasing percentage </w:t>
            </w:r>
            <w:r>
              <w:t>who spent less time on the wait list is desirable</w:t>
            </w:r>
            <w:r w:rsidR="0071499D">
              <w:t>.</w:t>
            </w:r>
          </w:p>
          <w:p w14:paraId="242BE080" w14:textId="77777777" w:rsidR="00E0413D" w:rsidRDefault="00E0413D" w:rsidP="000F2514">
            <w:pPr>
              <w:pStyle w:val="Box"/>
            </w:pPr>
            <w:r w:rsidRPr="00D33393">
              <w:t>Data are not yet available for reporting against this indicator.</w:t>
            </w:r>
          </w:p>
        </w:tc>
      </w:tr>
      <w:tr w:rsidR="00E0413D" w14:paraId="4313EC2A" w14:textId="77777777" w:rsidTr="000F2514">
        <w:tc>
          <w:tcPr>
            <w:tcW w:w="5000" w:type="pct"/>
            <w:tcBorders>
              <w:top w:val="nil"/>
              <w:left w:val="nil"/>
              <w:bottom w:val="single" w:sz="6" w:space="0" w:color="78A22F"/>
              <w:right w:val="nil"/>
            </w:tcBorders>
            <w:shd w:val="clear" w:color="auto" w:fill="F2F2F2"/>
          </w:tcPr>
          <w:p w14:paraId="1BFFE57F" w14:textId="77777777" w:rsidR="00E0413D" w:rsidRDefault="00E0413D" w:rsidP="000F2514">
            <w:pPr>
              <w:pStyle w:val="Box"/>
              <w:spacing w:before="0" w:line="120" w:lineRule="exact"/>
            </w:pPr>
          </w:p>
        </w:tc>
      </w:tr>
      <w:tr w:rsidR="00E0413D" w:rsidRPr="000863A5" w14:paraId="3AA5C1CD" w14:textId="77777777" w:rsidTr="000F2514">
        <w:tc>
          <w:tcPr>
            <w:tcW w:w="5000" w:type="pct"/>
            <w:tcBorders>
              <w:top w:val="single" w:sz="6" w:space="0" w:color="78A22F"/>
              <w:left w:val="nil"/>
              <w:bottom w:val="nil"/>
              <w:right w:val="nil"/>
            </w:tcBorders>
          </w:tcPr>
          <w:p w14:paraId="6E57D57B" w14:textId="5DAA78B0" w:rsidR="00E0413D" w:rsidRPr="00626D32" w:rsidRDefault="00E0413D" w:rsidP="000F2514">
            <w:pPr>
              <w:pStyle w:val="BoxSpaceBelow"/>
            </w:pPr>
          </w:p>
        </w:tc>
      </w:tr>
    </w:tbl>
    <w:p w14:paraId="0408A187" w14:textId="77777777" w:rsidR="00BF6E24" w:rsidRPr="003430B0" w:rsidRDefault="00BF6E24" w:rsidP="00BF6E24">
      <w:pPr>
        <w:pStyle w:val="Heading4"/>
      </w:pPr>
      <w:bookmarkStart w:id="18" w:name="_Toc3322824"/>
      <w:r>
        <w:t xml:space="preserve">Appropriateness — </w:t>
      </w:r>
      <w:r w:rsidRPr="00BF6E24">
        <w:t>Match of dwelling to household size</w:t>
      </w:r>
      <w:bookmarkEnd w:id="18"/>
    </w:p>
    <w:p w14:paraId="5A297987" w14:textId="794511F1" w:rsidR="00BF6E24" w:rsidRDefault="00BF6E24" w:rsidP="0033604C">
      <w:pPr>
        <w:pStyle w:val="BodyText"/>
      </w:pPr>
      <w:r w:rsidRPr="00DA73E5">
        <w:t xml:space="preserve">‘Match of dwelling to household size’ is an indicator of governments’ objective to provide </w:t>
      </w:r>
      <w:r w:rsidR="004D5C60">
        <w:t>services</w:t>
      </w:r>
      <w:r w:rsidRPr="00DA73E5">
        <w:t xml:space="preserve"> that </w:t>
      </w:r>
      <w:r w:rsidR="004D5C60">
        <w:t>are</w:t>
      </w:r>
      <w:r w:rsidRPr="00DA73E5">
        <w:t xml:space="preserve"> appropriate</w:t>
      </w:r>
      <w:r w:rsidR="00866D08">
        <w:t>,</w:t>
      </w:r>
      <w:r w:rsidR="00866D08" w:rsidRPr="00866D08">
        <w:t xml:space="preserve"> meeting</w:t>
      </w:r>
      <w:r w:rsidRPr="00DA73E5">
        <w:t xml:space="preserve"> the needs of </w:t>
      </w:r>
      <w:r w:rsidR="00866D08" w:rsidRPr="00866D08">
        <w:t xml:space="preserve">individual </w:t>
      </w:r>
      <w:r w:rsidRPr="00DA73E5">
        <w:t>households (box</w:t>
      </w:r>
      <w:r w:rsidR="00646665">
        <w:t> 18.</w:t>
      </w:r>
      <w:r w:rsidR="00497633">
        <w:t>5</w:t>
      </w:r>
      <w:r w:rsidR="00195657">
        <w:t>).</w:t>
      </w:r>
    </w:p>
    <w:p w14:paraId="1A066131" w14:textId="77777777" w:rsidR="00ED061E" w:rsidRPr="00DC04F0" w:rsidRDefault="00ED061E" w:rsidP="0033604C">
      <w:pPr>
        <w:pStyle w:val="BodyText"/>
        <w:rPr>
          <w:lang w:eastAsia="en-US"/>
        </w:rPr>
      </w:pPr>
    </w:p>
    <w:p w14:paraId="042826CF" w14:textId="77777777" w:rsidR="00BF6E24" w:rsidRDefault="00BF6E24" w:rsidP="00BF6E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F6E24" w14:paraId="3859D31E" w14:textId="77777777" w:rsidTr="00E21E82">
        <w:tc>
          <w:tcPr>
            <w:tcW w:w="5000" w:type="pct"/>
            <w:tcBorders>
              <w:top w:val="single" w:sz="6" w:space="0" w:color="78A22F"/>
              <w:left w:val="nil"/>
              <w:bottom w:val="nil"/>
              <w:right w:val="nil"/>
            </w:tcBorders>
            <w:shd w:val="clear" w:color="auto" w:fill="F2F2F2" w:themeFill="background1" w:themeFillShade="F2"/>
          </w:tcPr>
          <w:p w14:paraId="136582DB" w14:textId="2AFC9584" w:rsidR="00BF6E24" w:rsidRDefault="00790CB2" w:rsidP="00497633">
            <w:pPr>
              <w:pStyle w:val="BoxTitle"/>
            </w:pPr>
            <w:r>
              <w:rPr>
                <w:b w:val="0"/>
              </w:rPr>
              <w:t>Box 18.</w:t>
            </w:r>
            <w:r w:rsidR="00497633">
              <w:rPr>
                <w:b w:val="0"/>
                <w:noProof/>
              </w:rPr>
              <w:t>5</w:t>
            </w:r>
            <w:r w:rsidR="00BF6E24">
              <w:tab/>
            </w:r>
            <w:r w:rsidR="00BF6E24" w:rsidRPr="007504E5">
              <w:t>Match of dwelling to household size</w:t>
            </w:r>
          </w:p>
        </w:tc>
      </w:tr>
      <w:tr w:rsidR="00BF6E24" w14:paraId="1D230CEA" w14:textId="77777777" w:rsidTr="00E21E82">
        <w:trPr>
          <w:cantSplit/>
        </w:trPr>
        <w:tc>
          <w:tcPr>
            <w:tcW w:w="5000" w:type="pct"/>
            <w:tcBorders>
              <w:top w:val="nil"/>
              <w:left w:val="nil"/>
              <w:bottom w:val="nil"/>
              <w:right w:val="nil"/>
            </w:tcBorders>
            <w:shd w:val="clear" w:color="auto" w:fill="F2F2F2" w:themeFill="background1" w:themeFillShade="F2"/>
          </w:tcPr>
          <w:p w14:paraId="6904EB48" w14:textId="77777777" w:rsidR="00BF6E24" w:rsidRPr="005E340A" w:rsidRDefault="00BF6E24" w:rsidP="00746E44">
            <w:pPr>
              <w:pStyle w:val="Box"/>
            </w:pPr>
            <w:r w:rsidRPr="005E340A">
              <w:t>‘Match of dwelling to household size’ is defined as the proportion of households that are overcrowded.</w:t>
            </w:r>
          </w:p>
          <w:p w14:paraId="7CC30AA2" w14:textId="355A5744" w:rsidR="00BF6E24" w:rsidRPr="005E340A" w:rsidRDefault="00BF6E24" w:rsidP="00746E44">
            <w:pPr>
              <w:pStyle w:val="Box"/>
            </w:pPr>
            <w:r w:rsidRPr="005E340A">
              <w:t xml:space="preserve">Overcrowding is defined and measured using the Canadian National Occupancy Standard (CNOS) </w:t>
            </w:r>
            <w:r w:rsidR="000C7B80">
              <w:t>with</w:t>
            </w:r>
            <w:r w:rsidRPr="005E340A">
              <w:t xml:space="preserve"> </w:t>
            </w:r>
            <w:r w:rsidR="005F5B8C">
              <w:t xml:space="preserve">households deemed to be </w:t>
            </w:r>
            <w:r w:rsidRPr="005E340A">
              <w:t>overcrowd</w:t>
            </w:r>
            <w:r w:rsidR="005F5B8C">
              <w:t>ed</w:t>
            </w:r>
            <w:r w:rsidRPr="005E340A">
              <w:t xml:space="preserve"> if one or more additional bedrooms are required to meet the standard (see section</w:t>
            </w:r>
            <w:r>
              <w:t> </w:t>
            </w:r>
            <w:r w:rsidRPr="005E340A">
              <w:t>1</w:t>
            </w:r>
            <w:r w:rsidR="002A293E">
              <w:t>8</w:t>
            </w:r>
            <w:r w:rsidRPr="005E340A">
              <w:t>.</w:t>
            </w:r>
            <w:r w:rsidR="00B8159C">
              <w:t>2</w:t>
            </w:r>
            <w:r w:rsidRPr="005E340A">
              <w:t xml:space="preserve"> for CNOS definition). State and Territory housing authorities’ bedroom entitlement policies may differ from the CNOS.</w:t>
            </w:r>
          </w:p>
          <w:p w14:paraId="617BF51E" w14:textId="77777777" w:rsidR="00BF6E24" w:rsidRPr="005E340A" w:rsidRDefault="00BF6E24" w:rsidP="00746E44">
            <w:pPr>
              <w:pStyle w:val="Box"/>
            </w:pPr>
            <w:r w:rsidRPr="005E340A">
              <w:t xml:space="preserve">The </w:t>
            </w:r>
            <w:r w:rsidR="005F5B8C">
              <w:t>CNOS requires knowledge of</w:t>
            </w:r>
            <w:r w:rsidRPr="005E340A">
              <w:t xml:space="preserve"> the age, sex and relationship status of all tenants within a household, as well as the number of bedrooms. </w:t>
            </w:r>
            <w:r w:rsidR="00730262">
              <w:t>H</w:t>
            </w:r>
            <w:r w:rsidRPr="005E340A">
              <w:t xml:space="preserve">ouseholds </w:t>
            </w:r>
            <w:r w:rsidR="00730262">
              <w:t>for which</w:t>
            </w:r>
            <w:r w:rsidR="00730262" w:rsidRPr="005E340A">
              <w:t xml:space="preserve"> </w:t>
            </w:r>
            <w:r w:rsidRPr="005E340A">
              <w:t xml:space="preserve">complete information </w:t>
            </w:r>
            <w:r w:rsidR="00730262">
              <w:t xml:space="preserve">is not </w:t>
            </w:r>
            <w:r w:rsidRPr="005E340A">
              <w:t xml:space="preserve">available are </w:t>
            </w:r>
            <w:r w:rsidR="00730262">
              <w:t>ex</w:t>
            </w:r>
            <w:r w:rsidRPr="005E340A">
              <w:t xml:space="preserve">cluded </w:t>
            </w:r>
            <w:r w:rsidR="00730262">
              <w:t xml:space="preserve">from </w:t>
            </w:r>
            <w:r w:rsidR="000C7B80">
              <w:t xml:space="preserve">data for this </w:t>
            </w:r>
            <w:r w:rsidR="004D5C60" w:rsidRPr="004D5C60">
              <w:t>measure</w:t>
            </w:r>
            <w:r w:rsidRPr="005E340A">
              <w:t>.</w:t>
            </w:r>
          </w:p>
          <w:p w14:paraId="6B775AEF" w14:textId="77777777" w:rsidR="00BF6E24" w:rsidRPr="005E340A" w:rsidRDefault="00BF6E24" w:rsidP="00746E44">
            <w:pPr>
              <w:pStyle w:val="Box"/>
            </w:pPr>
            <w:r w:rsidRPr="005E340A">
              <w:t>Low or decreasing proportions of households in social housing living in overcrowded conditions is desirable.</w:t>
            </w:r>
          </w:p>
          <w:p w14:paraId="5CE87743" w14:textId="59C492F3" w:rsidR="00BF6E24" w:rsidRPr="00DC04F0" w:rsidRDefault="00BF6E24" w:rsidP="0033604C">
            <w:pPr>
              <w:pStyle w:val="Box"/>
              <w:rPr>
                <w:lang w:eastAsia="en-US"/>
              </w:rPr>
            </w:pPr>
            <w:r w:rsidRPr="005E340A">
              <w:t xml:space="preserve">Data for this </w:t>
            </w:r>
            <w:r w:rsidR="00236198" w:rsidRPr="004D5C60">
              <w:t>measure</w:t>
            </w:r>
            <w:r w:rsidR="00236198" w:rsidRPr="005E340A">
              <w:t xml:space="preserve"> </w:t>
            </w:r>
            <w:r w:rsidRPr="005E340A">
              <w:t>are reported for public housing, SOMIH, community housing and ICH</w:t>
            </w:r>
            <w:r w:rsidR="000C7B80">
              <w:t xml:space="preserve"> and are:</w:t>
            </w:r>
          </w:p>
          <w:p w14:paraId="352F6747" w14:textId="06C28965" w:rsidR="00BF6E24" w:rsidRPr="005E340A" w:rsidRDefault="00EE78CC" w:rsidP="00EE78CC">
            <w:pPr>
              <w:pStyle w:val="BoxListBullet"/>
              <w:numPr>
                <w:ilvl w:val="0"/>
                <w:numId w:val="0"/>
              </w:numPr>
              <w:ind w:left="284"/>
            </w:pPr>
            <w:r w:rsidRPr="001211EE">
              <w:rPr>
                <w:shd w:val="clear" w:color="auto" w:fill="FCDED3"/>
              </w:rPr>
              <w:t xml:space="preserve">    </w:t>
            </w:r>
            <w:r>
              <w:t xml:space="preserve"> </w:t>
            </w:r>
            <w:r w:rsidR="00564102" w:rsidRPr="00564102">
              <w:t xml:space="preserve">not comparable across public housing, SOMIH, community housing and ICH, but are comparable </w:t>
            </w:r>
            <w:r w:rsidR="008C7611">
              <w:t xml:space="preserve">(subject to caveats) </w:t>
            </w:r>
            <w:r w:rsidR="00564102" w:rsidRPr="00564102">
              <w:t>across jurisdictions</w:t>
            </w:r>
          </w:p>
          <w:p w14:paraId="0933A3E4" w14:textId="50116DD9" w:rsidR="00BF6E24" w:rsidRPr="005E340A" w:rsidRDefault="00EE78CC" w:rsidP="00F50202">
            <w:pPr>
              <w:pStyle w:val="BoxListBullet"/>
              <w:numPr>
                <w:ilvl w:val="0"/>
                <w:numId w:val="0"/>
              </w:numPr>
              <w:ind w:left="284"/>
            </w:pPr>
            <w:r w:rsidRPr="00C66F12">
              <w:rPr>
                <w:shd w:val="clear" w:color="auto" w:fill="FCDED3"/>
              </w:rPr>
              <w:t xml:space="preserve">    </w:t>
            </w:r>
            <w:r>
              <w:t xml:space="preserve"> </w:t>
            </w:r>
            <w:r w:rsidR="001A3420">
              <w:t>in</w:t>
            </w:r>
            <w:r w:rsidR="00BF6E24" w:rsidRPr="005E340A">
              <w:t>complete</w:t>
            </w:r>
            <w:r w:rsidR="00A522FC">
              <w:t xml:space="preserve"> for the current reporting period</w:t>
            </w:r>
            <w:r w:rsidR="00BF6E24" w:rsidRPr="005E340A">
              <w:t xml:space="preserve"> for</w:t>
            </w:r>
            <w:r w:rsidR="00236198">
              <w:t xml:space="preserve"> </w:t>
            </w:r>
            <w:r w:rsidR="001E1CC2" w:rsidRPr="001E1CC2">
              <w:t>comm</w:t>
            </w:r>
            <w:r w:rsidR="00A7138F">
              <w:t>unity housing</w:t>
            </w:r>
            <w:r w:rsidR="00A522FC">
              <w:t xml:space="preserve"> </w:t>
            </w:r>
            <w:r w:rsidR="00A7138F">
              <w:t xml:space="preserve">(all </w:t>
            </w:r>
            <w:r w:rsidR="00A7138F" w:rsidRPr="003336F0">
              <w:t>required 30 June</w:t>
            </w:r>
            <w:r w:rsidR="00A02B34">
              <w:t xml:space="preserve"> </w:t>
            </w:r>
            <w:r w:rsidR="00725196" w:rsidRPr="003336F0">
              <w:t>2018 </w:t>
            </w:r>
            <w:r w:rsidR="001E1CC2" w:rsidRPr="003336F0">
              <w:t xml:space="preserve">data </w:t>
            </w:r>
            <w:r w:rsidR="001E1CC2" w:rsidRPr="001E1CC2">
              <w:t>were not availa</w:t>
            </w:r>
            <w:r w:rsidR="000E6AE9">
              <w:t>ble for the NT)</w:t>
            </w:r>
            <w:r w:rsidR="00236198">
              <w:t xml:space="preserve"> </w:t>
            </w:r>
            <w:r w:rsidR="00564102">
              <w:t>and</w:t>
            </w:r>
            <w:r w:rsidR="00236198">
              <w:t xml:space="preserve"> </w:t>
            </w:r>
            <w:r w:rsidR="00BF6E24" w:rsidRPr="005E340A">
              <w:t xml:space="preserve">ICH (all </w:t>
            </w:r>
            <w:r w:rsidR="00BF6E24" w:rsidRPr="00D51E02">
              <w:t>required</w:t>
            </w:r>
            <w:r w:rsidR="00A7138F">
              <w:t> </w:t>
            </w:r>
            <w:r w:rsidR="00EE1CCF" w:rsidRPr="00D51E02">
              <w:t>30</w:t>
            </w:r>
            <w:r w:rsidR="00A02B34">
              <w:t> </w:t>
            </w:r>
            <w:r w:rsidR="00EE1CCF" w:rsidRPr="003336F0">
              <w:t>June</w:t>
            </w:r>
            <w:r w:rsidR="00A02B34">
              <w:t xml:space="preserve"> </w:t>
            </w:r>
            <w:r w:rsidR="00725196" w:rsidRPr="003336F0">
              <w:t>2017 </w:t>
            </w:r>
            <w:r w:rsidR="00BF6E24" w:rsidRPr="003336F0">
              <w:t>data were not available</w:t>
            </w:r>
            <w:r w:rsidR="007D1076" w:rsidRPr="003336F0">
              <w:t xml:space="preserve"> for NSW, Tasmania and the NT</w:t>
            </w:r>
            <w:r w:rsidR="00564102" w:rsidRPr="00564102">
              <w:t>), but are complete for public housing and SOMIH (30</w:t>
            </w:r>
            <w:r w:rsidR="00A02B34">
              <w:t> </w:t>
            </w:r>
            <w:r w:rsidR="00564102" w:rsidRPr="00564102">
              <w:t>June 2018).</w:t>
            </w:r>
          </w:p>
        </w:tc>
      </w:tr>
      <w:tr w:rsidR="00BF6E24" w14:paraId="497E895D" w14:textId="77777777" w:rsidTr="00E21E82">
        <w:trPr>
          <w:cantSplit/>
        </w:trPr>
        <w:tc>
          <w:tcPr>
            <w:tcW w:w="5000" w:type="pct"/>
            <w:tcBorders>
              <w:top w:val="nil"/>
              <w:left w:val="nil"/>
              <w:bottom w:val="single" w:sz="6" w:space="0" w:color="78A22F"/>
              <w:right w:val="nil"/>
            </w:tcBorders>
            <w:shd w:val="clear" w:color="auto" w:fill="F2F2F2" w:themeFill="background1" w:themeFillShade="F2"/>
          </w:tcPr>
          <w:p w14:paraId="64B3317E" w14:textId="77777777" w:rsidR="00BF6E24" w:rsidRDefault="00BF6E24" w:rsidP="00746E44">
            <w:pPr>
              <w:pStyle w:val="Box"/>
              <w:spacing w:before="0" w:line="120" w:lineRule="exact"/>
            </w:pPr>
          </w:p>
        </w:tc>
      </w:tr>
      <w:tr w:rsidR="00BF6E24" w:rsidRPr="000863A5" w14:paraId="41ECDC0D" w14:textId="77777777" w:rsidTr="00E21E82">
        <w:tc>
          <w:tcPr>
            <w:tcW w:w="5000" w:type="pct"/>
            <w:tcBorders>
              <w:top w:val="single" w:sz="6" w:space="0" w:color="78A22F"/>
              <w:left w:val="nil"/>
              <w:bottom w:val="nil"/>
              <w:right w:val="nil"/>
            </w:tcBorders>
          </w:tcPr>
          <w:p w14:paraId="16687F6B" w14:textId="77777777" w:rsidR="00BF6E24" w:rsidRPr="00626D32" w:rsidRDefault="00BF6E24" w:rsidP="00746E44">
            <w:pPr>
              <w:pStyle w:val="BoxSpaceBelow"/>
            </w:pPr>
          </w:p>
        </w:tc>
      </w:tr>
    </w:tbl>
    <w:p w14:paraId="0D02E116" w14:textId="77777777" w:rsidR="00BF6E24" w:rsidRPr="00E66BE3" w:rsidRDefault="00BF6E24" w:rsidP="00BF6E24">
      <w:pPr>
        <w:pStyle w:val="Heading4"/>
      </w:pPr>
      <w:bookmarkStart w:id="19" w:name="_Toc3322825"/>
      <w:r>
        <w:t xml:space="preserve">Appropriateness — </w:t>
      </w:r>
      <w:r w:rsidRPr="00E66BE3">
        <w:t>Amenity/location</w:t>
      </w:r>
      <w:bookmarkEnd w:id="19"/>
    </w:p>
    <w:p w14:paraId="4281B5CD" w14:textId="30CDF37C" w:rsidR="003B12B5" w:rsidRDefault="00BF6E24" w:rsidP="0033604C">
      <w:pPr>
        <w:pStyle w:val="BodyText"/>
      </w:pPr>
      <w:r>
        <w:t xml:space="preserve">‘Amenity/location’ is an indicator of governments’ objective to provide </w:t>
      </w:r>
      <w:r w:rsidR="00EA4319">
        <w:t>services</w:t>
      </w:r>
      <w:r>
        <w:t xml:space="preserve"> that </w:t>
      </w:r>
      <w:r w:rsidR="00EA4319">
        <w:t>are</w:t>
      </w:r>
      <w:r>
        <w:t xml:space="preserve"> appropriate</w:t>
      </w:r>
      <w:r w:rsidR="00250E4E">
        <w:t xml:space="preserve">, </w:t>
      </w:r>
      <w:r w:rsidR="00250E4E" w:rsidRPr="00250E4E">
        <w:t xml:space="preserve">meeting </w:t>
      </w:r>
      <w:r>
        <w:t xml:space="preserve">the needs of </w:t>
      </w:r>
      <w:r w:rsidR="00250E4E" w:rsidRPr="00250E4E">
        <w:t xml:space="preserve">individual </w:t>
      </w:r>
      <w:r w:rsidR="00790CB2">
        <w:t>households (box 18.</w:t>
      </w:r>
      <w:r w:rsidR="00497633">
        <w:t>6</w:t>
      </w:r>
      <w:r>
        <w:t>).</w:t>
      </w:r>
    </w:p>
    <w:p w14:paraId="6B192892" w14:textId="77777777" w:rsidR="00ED061E" w:rsidRDefault="00ED061E">
      <w:pPr>
        <w:pStyle w:val="BoxSpaceAbove"/>
      </w:pPr>
      <w:r>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061E" w14:paraId="21CCEB2D" w14:textId="77777777" w:rsidTr="00ED061E">
        <w:trPr>
          <w:tblHeader/>
        </w:trPr>
        <w:tc>
          <w:tcPr>
            <w:tcW w:w="5000" w:type="pct"/>
            <w:tcBorders>
              <w:top w:val="single" w:sz="6" w:space="0" w:color="78A22F"/>
              <w:left w:val="nil"/>
              <w:bottom w:val="nil"/>
              <w:right w:val="nil"/>
            </w:tcBorders>
            <w:shd w:val="clear" w:color="auto" w:fill="F2F2F2"/>
          </w:tcPr>
          <w:p w14:paraId="3F3650F7" w14:textId="04FD72A6" w:rsidR="00ED061E" w:rsidRDefault="00ED061E" w:rsidP="00ED061E">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18.6</w:t>
            </w:r>
            <w:r>
              <w:tab/>
              <w:t>Amenity/location</w:t>
            </w:r>
          </w:p>
        </w:tc>
      </w:tr>
      <w:tr w:rsidR="00ED061E" w14:paraId="7C40A201" w14:textId="77777777" w:rsidTr="00ED061E">
        <w:tc>
          <w:tcPr>
            <w:tcW w:w="5000" w:type="pct"/>
            <w:tcBorders>
              <w:top w:val="nil"/>
              <w:left w:val="nil"/>
              <w:bottom w:val="nil"/>
              <w:right w:val="nil"/>
            </w:tcBorders>
            <w:shd w:val="clear" w:color="auto" w:fill="F2F2F2"/>
          </w:tcPr>
          <w:p w14:paraId="0A13F096" w14:textId="77777777" w:rsidR="00ED061E" w:rsidRPr="003336F0" w:rsidRDefault="00ED061E" w:rsidP="00ED061E">
            <w:pPr>
              <w:pStyle w:val="Box"/>
            </w:pPr>
            <w:r w:rsidRPr="003336F0">
              <w:t>‘Amenity/location’ is defined as the proportion of those households that rate particular aspects of amenity and location as important to their needs, who are in dwellings that meet those needs.</w:t>
            </w:r>
          </w:p>
          <w:p w14:paraId="7252B94D" w14:textId="77777777" w:rsidR="00ED061E" w:rsidRDefault="00ED061E" w:rsidP="00ED061E">
            <w:pPr>
              <w:pStyle w:val="Box"/>
            </w:pPr>
            <w:r w:rsidRPr="003336F0">
              <w:t>‘Amenity’ aspects include size of dwelling, modifications for special needs, ease of access and entry, car parking, yard space and fencing, privacy of home, safety/security of home and safety/security of neighbourhood. ‘Location’ aspects include proximity to facilities and services such as: shops and banking, public transport, parks and recreational facilities, emergency services, medical services and hospitals, child care facilities, education/training facilities, employment/place of work, community and support services, family and friends.</w:t>
            </w:r>
          </w:p>
          <w:p w14:paraId="4D66CFD9" w14:textId="3F0C38A4" w:rsidR="00ED061E" w:rsidRDefault="00ED061E" w:rsidP="00ED061E">
            <w:pPr>
              <w:pStyle w:val="Box"/>
            </w:pPr>
            <w:r>
              <w:t xml:space="preserve">A high or increased proportion of households with amenity and location needs met is desirable. </w:t>
            </w:r>
          </w:p>
        </w:tc>
      </w:tr>
      <w:tr w:rsidR="00ED061E" w:rsidRPr="00ED061E" w14:paraId="035D1517" w14:textId="77777777" w:rsidTr="00ED061E">
        <w:tc>
          <w:tcPr>
            <w:tcW w:w="5000" w:type="pct"/>
            <w:tcBorders>
              <w:top w:val="nil"/>
              <w:left w:val="nil"/>
              <w:bottom w:val="nil"/>
              <w:right w:val="nil"/>
            </w:tcBorders>
            <w:shd w:val="clear" w:color="auto" w:fill="F2F2F2"/>
          </w:tcPr>
          <w:p w14:paraId="5693E8F6" w14:textId="7974846F" w:rsidR="00ED061E" w:rsidRPr="00ED061E" w:rsidRDefault="00ED061E" w:rsidP="00ED061E">
            <w:pPr>
              <w:pStyle w:val="BoxSource"/>
              <w:spacing w:after="120" w:line="240" w:lineRule="auto"/>
              <w:jc w:val="right"/>
            </w:pPr>
            <w:r w:rsidRPr="00ED061E">
              <w:t>(continued next page)</w:t>
            </w:r>
          </w:p>
        </w:tc>
      </w:tr>
      <w:tr w:rsidR="00ED061E" w14:paraId="5C1ED68F" w14:textId="77777777" w:rsidTr="00ED061E">
        <w:tc>
          <w:tcPr>
            <w:tcW w:w="5000" w:type="pct"/>
            <w:tcBorders>
              <w:top w:val="nil"/>
              <w:left w:val="nil"/>
              <w:bottom w:val="single" w:sz="6" w:space="0" w:color="78A22F"/>
              <w:right w:val="nil"/>
            </w:tcBorders>
            <w:shd w:val="clear" w:color="auto" w:fill="F2F2F2"/>
          </w:tcPr>
          <w:p w14:paraId="24FEC02A" w14:textId="77777777" w:rsidR="00ED061E" w:rsidRDefault="00ED061E">
            <w:pPr>
              <w:pStyle w:val="Box"/>
              <w:spacing w:before="0" w:line="120" w:lineRule="exact"/>
            </w:pPr>
          </w:p>
        </w:tc>
      </w:tr>
      <w:tr w:rsidR="00ED061E" w:rsidRPr="000863A5" w14:paraId="5284A3B7" w14:textId="77777777" w:rsidTr="00ED061E">
        <w:trPr>
          <w:hidden/>
        </w:trPr>
        <w:tc>
          <w:tcPr>
            <w:tcW w:w="5000" w:type="pct"/>
            <w:tcBorders>
              <w:top w:val="single" w:sz="6" w:space="0" w:color="78A22F"/>
              <w:left w:val="nil"/>
              <w:bottom w:val="nil"/>
              <w:right w:val="nil"/>
            </w:tcBorders>
          </w:tcPr>
          <w:p w14:paraId="261A1AD8" w14:textId="77777777" w:rsidR="00ED061E" w:rsidRPr="00626D32" w:rsidRDefault="00ED061E" w:rsidP="00ED061E">
            <w:pPr>
              <w:pStyle w:val="BoxSpaceBelow"/>
            </w:pPr>
            <w:r w:rsidRPr="00626D32">
              <w:rPr>
                <w:rFonts w:ascii="Times New Roman" w:hAnsi="Times New Roman"/>
                <w:b/>
                <w:vanish/>
                <w:color w:val="FF00FF"/>
              </w:rPr>
              <w:t>Do not delete this ROW as it gives space between the box and what follows it.</w:t>
            </w:r>
          </w:p>
        </w:tc>
      </w:tr>
    </w:tbl>
    <w:p w14:paraId="2312EF1F" w14:textId="77777777" w:rsidR="00ED061E" w:rsidRPr="00F873B0" w:rsidRDefault="00ED061E" w:rsidP="0033604C">
      <w:pPr>
        <w:pStyle w:val="BodyText"/>
        <w:rPr>
          <w:lang w:eastAsia="en-US"/>
        </w:rPr>
      </w:pPr>
    </w:p>
    <w:p w14:paraId="052844C8" w14:textId="77777777" w:rsidR="00BF6E24" w:rsidRDefault="00BF6E24" w:rsidP="00BF6E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F6E24" w14:paraId="4F53C7E6" w14:textId="77777777" w:rsidTr="006530AE">
        <w:tc>
          <w:tcPr>
            <w:tcW w:w="5000" w:type="pct"/>
            <w:tcBorders>
              <w:top w:val="single" w:sz="6" w:space="0" w:color="78A22F"/>
              <w:left w:val="nil"/>
              <w:bottom w:val="nil"/>
              <w:right w:val="nil"/>
            </w:tcBorders>
            <w:shd w:val="clear" w:color="auto" w:fill="F2F2F2" w:themeFill="background1" w:themeFillShade="F2"/>
          </w:tcPr>
          <w:p w14:paraId="74E34ED2" w14:textId="017ACB0D" w:rsidR="00BF6E24" w:rsidRDefault="00790CB2" w:rsidP="00ED061E">
            <w:pPr>
              <w:pStyle w:val="BoxTitle"/>
            </w:pPr>
            <w:r>
              <w:rPr>
                <w:b w:val="0"/>
              </w:rPr>
              <w:t>Box 18.</w:t>
            </w:r>
            <w:r w:rsidR="00497633">
              <w:rPr>
                <w:b w:val="0"/>
                <w:noProof/>
              </w:rPr>
              <w:t>6</w:t>
            </w:r>
            <w:r w:rsidR="00BF6E24">
              <w:tab/>
            </w:r>
            <w:r w:rsidR="00B8159C">
              <w:rPr>
                <w:b w:val="0"/>
                <w:sz w:val="18"/>
                <w:szCs w:val="18"/>
              </w:rPr>
              <w:t>(c</w:t>
            </w:r>
            <w:r w:rsidR="00ED061E" w:rsidRPr="00ED061E">
              <w:rPr>
                <w:b w:val="0"/>
                <w:sz w:val="18"/>
                <w:szCs w:val="18"/>
              </w:rPr>
              <w:t>ontinued</w:t>
            </w:r>
            <w:r w:rsidR="00B8159C">
              <w:rPr>
                <w:b w:val="0"/>
                <w:sz w:val="18"/>
                <w:szCs w:val="18"/>
              </w:rPr>
              <w:t>)</w:t>
            </w:r>
          </w:p>
        </w:tc>
      </w:tr>
      <w:tr w:rsidR="003336F0" w:rsidRPr="003336F0" w14:paraId="7EE8A061" w14:textId="77777777" w:rsidTr="006530AE">
        <w:trPr>
          <w:cantSplit/>
        </w:trPr>
        <w:tc>
          <w:tcPr>
            <w:tcW w:w="5000" w:type="pct"/>
            <w:tcBorders>
              <w:top w:val="nil"/>
              <w:left w:val="nil"/>
              <w:bottom w:val="nil"/>
              <w:right w:val="nil"/>
            </w:tcBorders>
            <w:shd w:val="clear" w:color="auto" w:fill="F2F2F2" w:themeFill="background1" w:themeFillShade="F2"/>
          </w:tcPr>
          <w:p w14:paraId="3696DD4C" w14:textId="77777777" w:rsidR="00BF6E24" w:rsidRPr="003336F0" w:rsidRDefault="00BF6E24" w:rsidP="00746E44">
            <w:pPr>
              <w:pStyle w:val="Box"/>
            </w:pPr>
            <w:r w:rsidRPr="003336F0">
              <w:t xml:space="preserve">Data for this </w:t>
            </w:r>
            <w:r w:rsidR="00E56EEA" w:rsidRPr="003336F0">
              <w:t>measure</w:t>
            </w:r>
            <w:r w:rsidRPr="003336F0">
              <w:t xml:space="preserve"> are reported for public housing, SOMIH and community housing</w:t>
            </w:r>
            <w:r w:rsidR="00F7770F" w:rsidRPr="003336F0">
              <w:t xml:space="preserve"> (ICH data are not available)</w:t>
            </w:r>
            <w:r w:rsidR="00F02A46" w:rsidRPr="003336F0">
              <w:t xml:space="preserve"> and</w:t>
            </w:r>
            <w:r w:rsidRPr="003336F0">
              <w:t xml:space="preserve"> are:</w:t>
            </w:r>
          </w:p>
          <w:p w14:paraId="2B82C7DE" w14:textId="2F2EB603" w:rsidR="00BF6E24" w:rsidRPr="003336F0" w:rsidRDefault="00EE78CC" w:rsidP="00EE78CC">
            <w:pPr>
              <w:pStyle w:val="BoxListBullet"/>
              <w:numPr>
                <w:ilvl w:val="0"/>
                <w:numId w:val="0"/>
              </w:numPr>
              <w:ind w:left="284"/>
            </w:pPr>
            <w:r w:rsidRPr="00C66F12">
              <w:rPr>
                <w:shd w:val="clear" w:color="auto" w:fill="FCDED3"/>
              </w:rPr>
              <w:t xml:space="preserve">    </w:t>
            </w:r>
            <w:r>
              <w:t xml:space="preserve"> </w:t>
            </w:r>
            <w:r w:rsidR="00BF6E24" w:rsidRPr="003336F0">
              <w:t>not comparable across public housing, SOMIH and community housing due to the different demographic profile</w:t>
            </w:r>
            <w:r w:rsidR="00D557A1" w:rsidRPr="003336F0">
              <w:t>s</w:t>
            </w:r>
            <w:r w:rsidR="00BF6E24" w:rsidRPr="003336F0">
              <w:t xml:space="preserve"> of Aboriginal and Torres Strait Islander tenants and the method of data collection</w:t>
            </w:r>
            <w:r w:rsidR="00D812B8" w:rsidRPr="00D812B8">
              <w:t xml:space="preserve">, but comparable </w:t>
            </w:r>
            <w:r w:rsidR="008C7611">
              <w:t xml:space="preserve">(subject to caveats) </w:t>
            </w:r>
            <w:r w:rsidR="00D812B8" w:rsidRPr="00D812B8">
              <w:t>across jurisdictions and over time from 2014</w:t>
            </w:r>
          </w:p>
          <w:p w14:paraId="533A4EAA" w14:textId="2C01B995" w:rsidR="00F02A46" w:rsidRPr="003336F0" w:rsidRDefault="00EE78CC" w:rsidP="00EE78CC">
            <w:pPr>
              <w:pStyle w:val="BoxListBullet"/>
              <w:numPr>
                <w:ilvl w:val="0"/>
                <w:numId w:val="0"/>
              </w:numPr>
              <w:ind w:left="284"/>
            </w:pPr>
            <w:r w:rsidRPr="00C66F12">
              <w:rPr>
                <w:shd w:val="clear" w:color="auto" w:fill="FCDED3"/>
              </w:rPr>
              <w:t xml:space="preserve">    </w:t>
            </w:r>
            <w:r>
              <w:t xml:space="preserve"> </w:t>
            </w:r>
            <w:r w:rsidR="00D812B8" w:rsidRPr="00D812B8">
              <w:t>incomplete for the current reporting period for community housing and SOMIH (a</w:t>
            </w:r>
            <w:r w:rsidR="00D812B8">
              <w:t>l</w:t>
            </w:r>
            <w:r w:rsidR="00D812B8" w:rsidRPr="00D812B8">
              <w:t>l required 2018 data were not available fo</w:t>
            </w:r>
            <w:r w:rsidR="00590973">
              <w:t>r the NT), but are complete for</w:t>
            </w:r>
            <w:r w:rsidR="00D812B8" w:rsidRPr="00D812B8">
              <w:t xml:space="preserve"> public housing.</w:t>
            </w:r>
          </w:p>
        </w:tc>
      </w:tr>
      <w:tr w:rsidR="003336F0" w:rsidRPr="003336F0" w14:paraId="4A09CA87" w14:textId="77777777" w:rsidTr="006530AE">
        <w:trPr>
          <w:cantSplit/>
        </w:trPr>
        <w:tc>
          <w:tcPr>
            <w:tcW w:w="5000" w:type="pct"/>
            <w:tcBorders>
              <w:top w:val="nil"/>
              <w:left w:val="nil"/>
              <w:bottom w:val="single" w:sz="6" w:space="0" w:color="78A22F"/>
              <w:right w:val="nil"/>
            </w:tcBorders>
            <w:shd w:val="clear" w:color="auto" w:fill="F2F2F2" w:themeFill="background1" w:themeFillShade="F2"/>
          </w:tcPr>
          <w:p w14:paraId="3D5D9429" w14:textId="77777777" w:rsidR="00BF6E24" w:rsidRPr="003336F0" w:rsidRDefault="00BF6E24" w:rsidP="00746E44">
            <w:pPr>
              <w:pStyle w:val="Box"/>
              <w:spacing w:before="0" w:line="120" w:lineRule="exact"/>
            </w:pPr>
          </w:p>
        </w:tc>
      </w:tr>
      <w:tr w:rsidR="003336F0" w:rsidRPr="003336F0" w14:paraId="6F22431C" w14:textId="77777777" w:rsidTr="006530AE">
        <w:tc>
          <w:tcPr>
            <w:tcW w:w="5000" w:type="pct"/>
            <w:tcBorders>
              <w:top w:val="single" w:sz="6" w:space="0" w:color="78A22F"/>
              <w:left w:val="nil"/>
              <w:bottom w:val="nil"/>
              <w:right w:val="nil"/>
            </w:tcBorders>
          </w:tcPr>
          <w:p w14:paraId="74AB6A84" w14:textId="77777777" w:rsidR="00BF6E24" w:rsidRPr="003336F0" w:rsidRDefault="00BF6E24" w:rsidP="00746E44">
            <w:pPr>
              <w:pStyle w:val="BoxSpaceBelow"/>
            </w:pPr>
          </w:p>
        </w:tc>
      </w:tr>
    </w:tbl>
    <w:p w14:paraId="3F0A0D24" w14:textId="77777777" w:rsidR="009A5130" w:rsidRPr="003770C0" w:rsidRDefault="00F76C54" w:rsidP="006B692D">
      <w:pPr>
        <w:pStyle w:val="Heading4"/>
      </w:pPr>
      <w:bookmarkStart w:id="20" w:name="_Toc3322826"/>
      <w:r>
        <w:t xml:space="preserve">Quality — </w:t>
      </w:r>
      <w:r w:rsidR="009A5130" w:rsidRPr="003770C0">
        <w:t>Dwelling condition</w:t>
      </w:r>
      <w:bookmarkEnd w:id="20"/>
    </w:p>
    <w:p w14:paraId="7FA6EAF3" w14:textId="6A68A83D" w:rsidR="008023AD" w:rsidRPr="00DC04F0" w:rsidRDefault="009A5130" w:rsidP="00CC2DE4">
      <w:pPr>
        <w:pStyle w:val="BodyText"/>
        <w:rPr>
          <w:lang w:eastAsia="en-US"/>
        </w:rPr>
      </w:pPr>
      <w:r>
        <w:t>‘Dwelling condition’ is a</w:t>
      </w:r>
      <w:r w:rsidR="00A457A7">
        <w:t xml:space="preserve"> proxy </w:t>
      </w:r>
      <w:r>
        <w:t>indicator of gover</w:t>
      </w:r>
      <w:r w:rsidR="0090458C">
        <w:t xml:space="preserve">nments’ objective to provide </w:t>
      </w:r>
      <w:r w:rsidR="00BB6DF1">
        <w:t xml:space="preserve">services that are high </w:t>
      </w:r>
      <w:r w:rsidR="0090458C">
        <w:t xml:space="preserve">quality </w:t>
      </w:r>
      <w:r>
        <w:t>(box</w:t>
      </w:r>
      <w:r w:rsidR="007D1214">
        <w:t> </w:t>
      </w:r>
      <w:r w:rsidR="00BB5630">
        <w:t>18</w:t>
      </w:r>
      <w:r w:rsidR="00463387">
        <w:t>.</w:t>
      </w:r>
      <w:r w:rsidR="00497633">
        <w:t>7</w:t>
      </w:r>
      <w:r w:rsidR="00B7770E">
        <w:t>).</w:t>
      </w:r>
    </w:p>
    <w:p w14:paraId="41907A6B" w14:textId="2CB9CA39" w:rsidR="008023AD" w:rsidRDefault="008023AD" w:rsidP="00E648C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023AD" w14:paraId="664157FB" w14:textId="77777777" w:rsidTr="006530AE">
        <w:tc>
          <w:tcPr>
            <w:tcW w:w="5000" w:type="pct"/>
            <w:tcBorders>
              <w:top w:val="single" w:sz="6" w:space="0" w:color="78A22F"/>
              <w:left w:val="nil"/>
              <w:bottom w:val="nil"/>
              <w:right w:val="nil"/>
            </w:tcBorders>
            <w:shd w:val="clear" w:color="auto" w:fill="F2F2F2" w:themeFill="background1" w:themeFillShade="F2"/>
          </w:tcPr>
          <w:p w14:paraId="5EB52460" w14:textId="6156189D" w:rsidR="008023AD" w:rsidRDefault="00BB5630" w:rsidP="00497633">
            <w:pPr>
              <w:pStyle w:val="BoxTitle"/>
              <w:tabs>
                <w:tab w:val="left" w:pos="720"/>
                <w:tab w:val="left" w:pos="1440"/>
                <w:tab w:val="left" w:pos="2160"/>
                <w:tab w:val="left" w:pos="2880"/>
                <w:tab w:val="left" w:pos="3600"/>
                <w:tab w:val="left" w:pos="5100"/>
              </w:tabs>
            </w:pPr>
            <w:r>
              <w:rPr>
                <w:b w:val="0"/>
              </w:rPr>
              <w:t xml:space="preserve">Box </w:t>
            </w:r>
            <w:r w:rsidR="00040F38">
              <w:rPr>
                <w:b w:val="0"/>
              </w:rPr>
              <w:t>18.</w:t>
            </w:r>
            <w:r w:rsidR="00497633">
              <w:rPr>
                <w:b w:val="0"/>
                <w:noProof/>
              </w:rPr>
              <w:t>7</w:t>
            </w:r>
            <w:r w:rsidR="008023AD">
              <w:tab/>
            </w:r>
            <w:r w:rsidR="008023AD" w:rsidRPr="008023AD">
              <w:t>Dwelling condition</w:t>
            </w:r>
            <w:r>
              <w:tab/>
            </w:r>
            <w:r>
              <w:tab/>
            </w:r>
          </w:p>
        </w:tc>
      </w:tr>
      <w:tr w:rsidR="008023AD" w14:paraId="3948DE4D" w14:textId="77777777" w:rsidTr="006530AE">
        <w:trPr>
          <w:cantSplit/>
        </w:trPr>
        <w:tc>
          <w:tcPr>
            <w:tcW w:w="5000" w:type="pct"/>
            <w:tcBorders>
              <w:top w:val="nil"/>
              <w:left w:val="nil"/>
              <w:bottom w:val="nil"/>
              <w:right w:val="nil"/>
            </w:tcBorders>
            <w:shd w:val="clear" w:color="auto" w:fill="F2F2F2" w:themeFill="background1" w:themeFillShade="F2"/>
          </w:tcPr>
          <w:p w14:paraId="73D9219B" w14:textId="77777777" w:rsidR="00A74B45" w:rsidRPr="00DC04F0" w:rsidRDefault="008023AD" w:rsidP="008023AD">
            <w:pPr>
              <w:pStyle w:val="Box"/>
              <w:rPr>
                <w:lang w:eastAsia="en-US"/>
              </w:rPr>
            </w:pPr>
            <w:r w:rsidRPr="00B704A4">
              <w:t xml:space="preserve">‘Dwelling condition’ is defined as the proportion of households living in dwellings </w:t>
            </w:r>
            <w:r w:rsidR="00F754E1">
              <w:t>that meet agreed minimum acceptable standard</w:t>
            </w:r>
            <w:r w:rsidR="009C3859">
              <w:t>s</w:t>
            </w:r>
            <w:r w:rsidR="009F2F68" w:rsidRPr="00B704A4">
              <w:t xml:space="preserve">. </w:t>
            </w:r>
            <w:r w:rsidRPr="00B704A4">
              <w:t xml:space="preserve">A dwelling is assessed as </w:t>
            </w:r>
            <w:r w:rsidR="009C3859">
              <w:t>meeting minimum acceptable standards</w:t>
            </w:r>
            <w:r w:rsidR="009C3859" w:rsidRPr="00B704A4">
              <w:t xml:space="preserve"> </w:t>
            </w:r>
            <w:r w:rsidRPr="00B704A4">
              <w:t xml:space="preserve">if it has at least four working facilities (for washing people, for washing clothes/bedding, for storing/preparing food, and </w:t>
            </w:r>
            <w:r w:rsidR="00CC7D17">
              <w:t xml:space="preserve">for removing </w:t>
            </w:r>
            <w:r w:rsidRPr="00B704A4">
              <w:t>sewerage) and not more than two major structural problems.</w:t>
            </w:r>
          </w:p>
          <w:p w14:paraId="6BEB26F3" w14:textId="14F2C1E2" w:rsidR="00A74B45" w:rsidRDefault="00C21EFD" w:rsidP="002C7FDC">
            <w:pPr>
              <w:pStyle w:val="Box"/>
            </w:pPr>
            <w:r w:rsidRPr="00C21EFD">
              <w:t xml:space="preserve">This is a proxy </w:t>
            </w:r>
            <w:r>
              <w:t xml:space="preserve">indicator </w:t>
            </w:r>
            <w:r w:rsidRPr="00C21EFD">
              <w:t xml:space="preserve">of quality </w:t>
            </w:r>
            <w:r>
              <w:t xml:space="preserve">as it </w:t>
            </w:r>
            <w:r w:rsidRPr="00C21EFD">
              <w:t>measure</w:t>
            </w:r>
            <w:r>
              <w:t>s</w:t>
            </w:r>
            <w:r w:rsidRPr="00C21EFD">
              <w:t xml:space="preserve"> the extent to which dwellings conform to agreed minimum standards. </w:t>
            </w:r>
            <w:r w:rsidR="00665C00">
              <w:t xml:space="preserve">The </w:t>
            </w:r>
            <w:r w:rsidR="00F16CF7">
              <w:t>survey collections</w:t>
            </w:r>
            <w:r w:rsidR="00A74B45">
              <w:t xml:space="preserve"> </w:t>
            </w:r>
            <w:r w:rsidR="00665C00">
              <w:t>ask r</w:t>
            </w:r>
            <w:r w:rsidR="005148EB">
              <w:t>espondents</w:t>
            </w:r>
            <w:r w:rsidR="00A74B45">
              <w:t xml:space="preserve"> (</w:t>
            </w:r>
            <w:r w:rsidR="00A74B45" w:rsidRPr="002C7FDC">
              <w:t xml:space="preserve">AIHW </w:t>
            </w:r>
            <w:r w:rsidR="00040505" w:rsidRPr="002C7FDC">
              <w:t>2019</w:t>
            </w:r>
            <w:r w:rsidR="00A74B45" w:rsidRPr="002C7FDC">
              <w:t>):</w:t>
            </w:r>
          </w:p>
          <w:p w14:paraId="37422AFE" w14:textId="77777777" w:rsidR="00A74B45" w:rsidRDefault="005148EB" w:rsidP="00A74B45">
            <w:pPr>
              <w:pStyle w:val="BoxListBullet"/>
            </w:pPr>
            <w:r>
              <w:t xml:space="preserve">which of a list of facilities </w:t>
            </w:r>
            <w:r w:rsidR="00665C00">
              <w:t>is</w:t>
            </w:r>
            <w:r>
              <w:t xml:space="preserve"> present in the</w:t>
            </w:r>
            <w:r w:rsidR="00665C00">
              <w:t>ir</w:t>
            </w:r>
            <w:r>
              <w:t xml:space="preserve"> dwelling and whether </w:t>
            </w:r>
            <w:r w:rsidR="00A74B45">
              <w:t>each is</w:t>
            </w:r>
            <w:r>
              <w:t xml:space="preserve"> in working order</w:t>
            </w:r>
          </w:p>
          <w:p w14:paraId="00782FB7" w14:textId="77777777" w:rsidR="005148EB" w:rsidRPr="00B704A4" w:rsidRDefault="005148EB" w:rsidP="00A74B45">
            <w:pPr>
              <w:pStyle w:val="BoxListBullet"/>
            </w:pPr>
            <w:r>
              <w:t xml:space="preserve">which of a list of structural problems </w:t>
            </w:r>
            <w:r w:rsidR="00A74B45">
              <w:t>is</w:t>
            </w:r>
            <w:r>
              <w:t xml:space="preserve"> present</w:t>
            </w:r>
            <w:r w:rsidR="00665C00">
              <w:t xml:space="preserve"> in their dwelling</w:t>
            </w:r>
            <w:r w:rsidR="003A3707">
              <w:t>.</w:t>
            </w:r>
          </w:p>
          <w:p w14:paraId="1DCB2000" w14:textId="77777777" w:rsidR="008023AD" w:rsidRPr="00B704A4" w:rsidRDefault="00661335" w:rsidP="008023AD">
            <w:pPr>
              <w:pStyle w:val="Box"/>
            </w:pPr>
            <w:r w:rsidRPr="00661335">
              <w:t xml:space="preserve">A high or increasing </w:t>
            </w:r>
            <w:r w:rsidR="008023AD" w:rsidRPr="00B704A4">
              <w:t xml:space="preserve">proportion </w:t>
            </w:r>
            <w:r>
              <w:t xml:space="preserve">of households living in dwellings </w:t>
            </w:r>
            <w:r w:rsidR="008A21D8">
              <w:t>that meet minimum acceptable standards</w:t>
            </w:r>
            <w:r w:rsidR="008A21D8" w:rsidRPr="00B704A4">
              <w:t xml:space="preserve"> </w:t>
            </w:r>
            <w:r w:rsidR="008023AD" w:rsidRPr="00B704A4">
              <w:t xml:space="preserve">suggests </w:t>
            </w:r>
            <w:r w:rsidR="00BB6DF1">
              <w:t xml:space="preserve">that services are </w:t>
            </w:r>
            <w:r w:rsidR="008023AD" w:rsidRPr="00B704A4">
              <w:t xml:space="preserve">high or increasing </w:t>
            </w:r>
            <w:r w:rsidR="00BB6DF1">
              <w:t>in</w:t>
            </w:r>
            <w:r w:rsidR="002C6C7D">
              <w:t xml:space="preserve"> </w:t>
            </w:r>
            <w:r w:rsidR="008023AD" w:rsidRPr="00B704A4">
              <w:t>quality.</w:t>
            </w:r>
          </w:p>
          <w:p w14:paraId="14977366" w14:textId="77777777" w:rsidR="008023AD" w:rsidRPr="00B704A4" w:rsidRDefault="008023AD" w:rsidP="008023AD">
            <w:pPr>
              <w:pStyle w:val="Box"/>
            </w:pPr>
            <w:r w:rsidRPr="00B704A4">
              <w:t>Data for this indicator are reported for public housing, SOMIH</w:t>
            </w:r>
            <w:r w:rsidR="00021A17">
              <w:t xml:space="preserve">, </w:t>
            </w:r>
            <w:r w:rsidRPr="00B704A4">
              <w:t>community housing</w:t>
            </w:r>
            <w:r w:rsidR="00021A17">
              <w:t xml:space="preserve"> and </w:t>
            </w:r>
            <w:r w:rsidR="00786253">
              <w:t>ICH</w:t>
            </w:r>
            <w:r w:rsidR="00F16CF7">
              <w:t xml:space="preserve"> and are</w:t>
            </w:r>
            <w:r w:rsidRPr="00B704A4">
              <w:t>:</w:t>
            </w:r>
          </w:p>
          <w:p w14:paraId="66319B3B" w14:textId="65285855" w:rsidR="000E6AE9" w:rsidRPr="003336F0" w:rsidRDefault="00EE78CC" w:rsidP="00EE78CC">
            <w:pPr>
              <w:pStyle w:val="BoxListBullet"/>
              <w:numPr>
                <w:ilvl w:val="0"/>
                <w:numId w:val="0"/>
              </w:numPr>
              <w:ind w:left="284"/>
            </w:pPr>
            <w:r w:rsidRPr="00C66F12">
              <w:rPr>
                <w:shd w:val="clear" w:color="auto" w:fill="FCDED3"/>
              </w:rPr>
              <w:t xml:space="preserve">    </w:t>
            </w:r>
            <w:r>
              <w:t xml:space="preserve"> </w:t>
            </w:r>
            <w:r w:rsidR="000E6AE9" w:rsidRPr="000E6AE9">
              <w:t>not comparable across public housing, SOMIH</w:t>
            </w:r>
            <w:r w:rsidR="002E0894">
              <w:t>,</w:t>
            </w:r>
            <w:r w:rsidR="000E6AE9" w:rsidRPr="000E6AE9">
              <w:t xml:space="preserve"> community housing </w:t>
            </w:r>
            <w:r w:rsidR="002E0894">
              <w:t xml:space="preserve">and ICH </w:t>
            </w:r>
            <w:r w:rsidR="000E6AE9" w:rsidRPr="000E6AE9">
              <w:t>due to the different demographic profile</w:t>
            </w:r>
            <w:r w:rsidR="002E0894">
              <w:t>s</w:t>
            </w:r>
            <w:r w:rsidR="000E6AE9" w:rsidRPr="000E6AE9">
              <w:t xml:space="preserve"> of Aboriginal and Torres Strait Islander tenants and the method of data collection</w:t>
            </w:r>
            <w:r w:rsidR="00205A1A" w:rsidRPr="00205A1A">
              <w:t xml:space="preserve">, but are comparable </w:t>
            </w:r>
            <w:r w:rsidR="00DB384A">
              <w:t xml:space="preserve">(subject to caveats) </w:t>
            </w:r>
            <w:r w:rsidR="00205A1A" w:rsidRPr="00205A1A">
              <w:t>acr</w:t>
            </w:r>
            <w:r w:rsidR="00CC6D25">
              <w:t>oss jurisdictions and over time</w:t>
            </w:r>
          </w:p>
          <w:p w14:paraId="309E0594" w14:textId="1312A38D" w:rsidR="008023AD" w:rsidRPr="00B704A4" w:rsidRDefault="00EE78CC" w:rsidP="00F50202">
            <w:pPr>
              <w:pStyle w:val="BoxListBullet"/>
              <w:numPr>
                <w:ilvl w:val="0"/>
                <w:numId w:val="0"/>
              </w:numPr>
              <w:ind w:left="284"/>
            </w:pPr>
            <w:r w:rsidRPr="00C66F12">
              <w:rPr>
                <w:shd w:val="clear" w:color="auto" w:fill="FCDED3"/>
              </w:rPr>
              <w:t xml:space="preserve">    </w:t>
            </w:r>
            <w:r>
              <w:t xml:space="preserve"> </w:t>
            </w:r>
            <w:r w:rsidR="008023AD" w:rsidRPr="003336F0">
              <w:t xml:space="preserve">incomplete for </w:t>
            </w:r>
            <w:r w:rsidR="00205A1A" w:rsidRPr="00205A1A">
              <w:t xml:space="preserve">SOMIH and </w:t>
            </w:r>
            <w:r w:rsidR="008023AD" w:rsidRPr="003336F0">
              <w:t>community housing</w:t>
            </w:r>
            <w:r w:rsidR="0016221A" w:rsidRPr="003336F0">
              <w:t xml:space="preserve"> for the current reporting period </w:t>
            </w:r>
            <w:r w:rsidR="00205A1A">
              <w:t>(a</w:t>
            </w:r>
            <w:r w:rsidR="008023AD" w:rsidRPr="003336F0">
              <w:t>ll required</w:t>
            </w:r>
            <w:r w:rsidR="00313B53" w:rsidRPr="003336F0">
              <w:t xml:space="preserve"> 201</w:t>
            </w:r>
            <w:r w:rsidR="00921B91" w:rsidRPr="003336F0">
              <w:t>8</w:t>
            </w:r>
            <w:r w:rsidR="00313B53" w:rsidRPr="003336F0">
              <w:t xml:space="preserve"> </w:t>
            </w:r>
            <w:r w:rsidR="0016221A" w:rsidRPr="003336F0">
              <w:t xml:space="preserve">data are </w:t>
            </w:r>
            <w:r w:rsidR="008023AD" w:rsidRPr="003336F0">
              <w:t xml:space="preserve">not available for the </w:t>
            </w:r>
            <w:r w:rsidR="0016221A" w:rsidRPr="003336F0">
              <w:t>N</w:t>
            </w:r>
            <w:r w:rsidR="005F73B1" w:rsidRPr="003336F0">
              <w:t>T</w:t>
            </w:r>
            <w:r w:rsidR="00205A1A">
              <w:t>)</w:t>
            </w:r>
            <w:r w:rsidR="00205A1A" w:rsidRPr="00205A1A">
              <w:t>, but are complete for pu</w:t>
            </w:r>
            <w:r w:rsidR="0002660F">
              <w:t>blic housing (all required 2018 </w:t>
            </w:r>
            <w:r w:rsidR="00205A1A" w:rsidRPr="00205A1A">
              <w:t>data) and ICH (all required 2014</w:t>
            </w:r>
            <w:r w:rsidR="00A02B34">
              <w:noBreakHyphen/>
            </w:r>
            <w:r w:rsidR="00205A1A" w:rsidRPr="00205A1A">
              <w:t>15 data).</w:t>
            </w:r>
          </w:p>
        </w:tc>
      </w:tr>
      <w:tr w:rsidR="008023AD" w14:paraId="777D7D43" w14:textId="77777777" w:rsidTr="006530AE">
        <w:trPr>
          <w:cantSplit/>
        </w:trPr>
        <w:tc>
          <w:tcPr>
            <w:tcW w:w="5000" w:type="pct"/>
            <w:tcBorders>
              <w:top w:val="nil"/>
              <w:left w:val="nil"/>
              <w:bottom w:val="single" w:sz="6" w:space="0" w:color="78A22F"/>
              <w:right w:val="nil"/>
            </w:tcBorders>
            <w:shd w:val="clear" w:color="auto" w:fill="F2F2F2" w:themeFill="background1" w:themeFillShade="F2"/>
          </w:tcPr>
          <w:p w14:paraId="3B84FA27" w14:textId="77777777" w:rsidR="008023AD" w:rsidRDefault="008023AD">
            <w:pPr>
              <w:pStyle w:val="Box"/>
              <w:spacing w:before="0" w:line="120" w:lineRule="exact"/>
            </w:pPr>
          </w:p>
        </w:tc>
      </w:tr>
      <w:tr w:rsidR="008023AD" w:rsidRPr="000863A5" w14:paraId="1493724A" w14:textId="77777777" w:rsidTr="006530AE">
        <w:tc>
          <w:tcPr>
            <w:tcW w:w="5000" w:type="pct"/>
            <w:tcBorders>
              <w:top w:val="single" w:sz="6" w:space="0" w:color="78A22F"/>
              <w:left w:val="nil"/>
              <w:bottom w:val="nil"/>
              <w:right w:val="nil"/>
            </w:tcBorders>
          </w:tcPr>
          <w:p w14:paraId="243B5E0A" w14:textId="77777777" w:rsidR="008023AD" w:rsidRPr="00626D32" w:rsidRDefault="008023AD" w:rsidP="00334F07">
            <w:pPr>
              <w:pStyle w:val="BoxSpaceBelow"/>
            </w:pPr>
          </w:p>
        </w:tc>
      </w:tr>
    </w:tbl>
    <w:p w14:paraId="586259D9" w14:textId="77777777" w:rsidR="000E1427" w:rsidRDefault="000E1427" w:rsidP="000B0440">
      <w:pPr>
        <w:pStyle w:val="BoxSpaceBelow"/>
      </w:pPr>
    </w:p>
    <w:p w14:paraId="68AC6FD2" w14:textId="15CC405A" w:rsidR="000E1427" w:rsidRPr="00BE5555" w:rsidRDefault="000E1427" w:rsidP="00F873B0">
      <w:pPr>
        <w:pStyle w:val="BodyText"/>
      </w:pPr>
    </w:p>
    <w:p w14:paraId="350B6103" w14:textId="77777777" w:rsidR="001924D9" w:rsidRPr="00BE5555" w:rsidRDefault="001924D9" w:rsidP="001924D9">
      <w:pPr>
        <w:pStyle w:val="Heading4"/>
      </w:pPr>
      <w:r>
        <w:lastRenderedPageBreak/>
        <w:t xml:space="preserve">Quality — </w:t>
      </w:r>
      <w:r w:rsidRPr="00BE5555">
        <w:t>Customer satisfaction</w:t>
      </w:r>
    </w:p>
    <w:p w14:paraId="3A4AB0BE" w14:textId="09DBF0A6" w:rsidR="000E1427" w:rsidRPr="003A2FF6" w:rsidRDefault="001924D9" w:rsidP="001924D9">
      <w:pPr>
        <w:pStyle w:val="BodyText"/>
      </w:pPr>
      <w:r w:rsidRPr="00462933">
        <w:t xml:space="preserve"> </w:t>
      </w:r>
      <w:r w:rsidR="000E1427" w:rsidRPr="00462933">
        <w:t xml:space="preserve">‘Customer satisfaction’ is an indicator of governments’ objective to provide </w:t>
      </w:r>
      <w:r w:rsidR="009049E5">
        <w:rPr>
          <w:szCs w:val="24"/>
        </w:rPr>
        <w:t>services that are high quality</w:t>
      </w:r>
      <w:r w:rsidR="000E1427" w:rsidRPr="00462933">
        <w:rPr>
          <w:szCs w:val="24"/>
        </w:rPr>
        <w:t xml:space="preserve"> (box</w:t>
      </w:r>
      <w:r w:rsidR="000E1427">
        <w:rPr>
          <w:szCs w:val="24"/>
        </w:rPr>
        <w:t> 18</w:t>
      </w:r>
      <w:r w:rsidR="000E1427" w:rsidRPr="00462933">
        <w:rPr>
          <w:szCs w:val="24"/>
        </w:rPr>
        <w:t>.</w:t>
      </w:r>
      <w:r w:rsidR="006219D3">
        <w:rPr>
          <w:szCs w:val="24"/>
        </w:rPr>
        <w:t>8</w:t>
      </w:r>
      <w:r w:rsidR="000E1427" w:rsidRPr="00462933">
        <w:rPr>
          <w:szCs w:val="24"/>
        </w:rPr>
        <w:t>).</w:t>
      </w:r>
    </w:p>
    <w:p w14:paraId="5E6B409D" w14:textId="77777777" w:rsidR="000E1427" w:rsidRDefault="000E1427" w:rsidP="006530A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0E1427" w14:paraId="700BCCAC" w14:textId="77777777" w:rsidTr="006530AE">
        <w:tc>
          <w:tcPr>
            <w:tcW w:w="5000" w:type="pct"/>
            <w:tcBorders>
              <w:top w:val="single" w:sz="6" w:space="0" w:color="78A22F"/>
              <w:left w:val="nil"/>
              <w:bottom w:val="nil"/>
              <w:right w:val="nil"/>
            </w:tcBorders>
            <w:shd w:val="clear" w:color="auto" w:fill="F2F2F2" w:themeFill="background1" w:themeFillShade="F2"/>
          </w:tcPr>
          <w:p w14:paraId="539AADD6" w14:textId="37D374BA" w:rsidR="000E1427" w:rsidRDefault="00790CB2" w:rsidP="00497633">
            <w:pPr>
              <w:pStyle w:val="BoxTitle"/>
            </w:pPr>
            <w:r>
              <w:rPr>
                <w:b w:val="0"/>
              </w:rPr>
              <w:t>Box 18.</w:t>
            </w:r>
            <w:r w:rsidR="006219D3">
              <w:rPr>
                <w:b w:val="0"/>
                <w:noProof/>
              </w:rPr>
              <w:t>8</w:t>
            </w:r>
            <w:r w:rsidR="000E1427">
              <w:tab/>
            </w:r>
            <w:r w:rsidR="000E1427" w:rsidRPr="00153CFD">
              <w:t>Customer satisfaction</w:t>
            </w:r>
          </w:p>
        </w:tc>
      </w:tr>
      <w:tr w:rsidR="000E1427" w14:paraId="0F7AC224" w14:textId="77777777" w:rsidTr="006530AE">
        <w:trPr>
          <w:cantSplit/>
        </w:trPr>
        <w:tc>
          <w:tcPr>
            <w:tcW w:w="5000" w:type="pct"/>
            <w:tcBorders>
              <w:top w:val="nil"/>
              <w:left w:val="nil"/>
              <w:bottom w:val="nil"/>
              <w:right w:val="nil"/>
            </w:tcBorders>
            <w:shd w:val="clear" w:color="auto" w:fill="F2F2F2" w:themeFill="background1" w:themeFillShade="F2"/>
          </w:tcPr>
          <w:p w14:paraId="0FB7CBD6" w14:textId="77777777" w:rsidR="000E1427" w:rsidRPr="004F0EC5" w:rsidRDefault="000E1427" w:rsidP="00746E44">
            <w:pPr>
              <w:pStyle w:val="Box"/>
            </w:pPr>
            <w:r w:rsidRPr="004F0EC5">
              <w:t xml:space="preserve">‘Customer satisfaction’ is defined as the proportion of social housing </w:t>
            </w:r>
            <w:r w:rsidR="000A59A1">
              <w:t xml:space="preserve">survey respondents </w:t>
            </w:r>
            <w:r w:rsidRPr="004F0EC5">
              <w:t xml:space="preserve">who </w:t>
            </w:r>
            <w:r w:rsidR="00E411E4" w:rsidRPr="00E411E4">
              <w:t xml:space="preserve">indicated </w:t>
            </w:r>
            <w:r w:rsidRPr="004F0EC5">
              <w:t>they were satisfied or very satisfied with the overall service provided by their housing provider.</w:t>
            </w:r>
          </w:p>
          <w:p w14:paraId="19139335" w14:textId="77777777" w:rsidR="000E1427" w:rsidRPr="004F0EC5" w:rsidRDefault="000E1427" w:rsidP="00746E44">
            <w:pPr>
              <w:pStyle w:val="Box"/>
            </w:pPr>
            <w:r w:rsidRPr="004F0EC5">
              <w:t xml:space="preserve">A high or increasing </w:t>
            </w:r>
            <w:r w:rsidR="00661335">
              <w:t>level of</w:t>
            </w:r>
            <w:r w:rsidRPr="004F0EC5">
              <w:t xml:space="preserve"> customer </w:t>
            </w:r>
            <w:r w:rsidR="004D2864" w:rsidRPr="004F0EC5">
              <w:t>satisfaction</w:t>
            </w:r>
            <w:r w:rsidR="004D2864">
              <w:t xml:space="preserve"> is</w:t>
            </w:r>
            <w:r w:rsidR="000A59A1">
              <w:t xml:space="preserve"> desirable</w:t>
            </w:r>
            <w:r w:rsidRPr="004F0EC5">
              <w:t>.</w:t>
            </w:r>
          </w:p>
          <w:p w14:paraId="1F031027" w14:textId="77777777" w:rsidR="000E1427" w:rsidRPr="004F0EC5" w:rsidRDefault="000E1427" w:rsidP="00746E44">
            <w:pPr>
              <w:pStyle w:val="Box"/>
            </w:pPr>
            <w:r w:rsidRPr="004F0EC5">
              <w:t>Data are reported for public housing, SOMIH and community housing</w:t>
            </w:r>
            <w:r w:rsidR="00D936CC">
              <w:t xml:space="preserve"> (ICH data are</w:t>
            </w:r>
            <w:r w:rsidR="009049E5">
              <w:t xml:space="preserve"> not </w:t>
            </w:r>
            <w:r w:rsidRPr="004F0EC5">
              <w:t>available</w:t>
            </w:r>
            <w:r w:rsidR="00D936CC">
              <w:t>) and are</w:t>
            </w:r>
            <w:r w:rsidR="006F7A0C">
              <w:t>:</w:t>
            </w:r>
          </w:p>
          <w:p w14:paraId="40A1393F" w14:textId="0034D780" w:rsidR="000E1427" w:rsidRPr="004F0EC5" w:rsidRDefault="00EE78CC" w:rsidP="00EE78CC">
            <w:pPr>
              <w:pStyle w:val="BoxListBullet"/>
              <w:numPr>
                <w:ilvl w:val="0"/>
                <w:numId w:val="0"/>
              </w:numPr>
              <w:ind w:left="284"/>
            </w:pPr>
            <w:r w:rsidRPr="00C66F12">
              <w:rPr>
                <w:shd w:val="clear" w:color="auto" w:fill="F15A25"/>
              </w:rPr>
              <w:t xml:space="preserve">    </w:t>
            </w:r>
            <w:r>
              <w:t xml:space="preserve"> </w:t>
            </w:r>
            <w:r w:rsidR="009D6F9C" w:rsidRPr="009D6F9C">
              <w:t>comparable (subject to caveats) across public housing, SOMIH and community housing, and across jurisdictions for the current reporting period and over time from 2014</w:t>
            </w:r>
          </w:p>
          <w:p w14:paraId="041E0A38" w14:textId="11EF84DB" w:rsidR="000E1427" w:rsidRPr="00A85F9A" w:rsidRDefault="00EE78CC" w:rsidP="00A85F9A">
            <w:pPr>
              <w:pStyle w:val="Box"/>
              <w:ind w:left="284"/>
              <w:rPr>
                <w:rStyle w:val="DraftingNote"/>
                <w:b w:val="0"/>
                <w:color w:val="auto"/>
                <w:sz w:val="20"/>
                <w:u w:val="none"/>
              </w:rPr>
            </w:pPr>
            <w:r w:rsidRPr="00C66F12">
              <w:rPr>
                <w:shd w:val="clear" w:color="auto" w:fill="FCDED3"/>
              </w:rPr>
              <w:t xml:space="preserve">    </w:t>
            </w:r>
            <w:r>
              <w:t xml:space="preserve"> </w:t>
            </w:r>
            <w:r w:rsidR="009D6F9C" w:rsidRPr="009D6F9C">
              <w:t>incomplete for the current reporting period for SOMIH and community housing (all required 2018 data not available for the NT)</w:t>
            </w:r>
            <w:r w:rsidR="00DB384A">
              <w:t xml:space="preserve">, </w:t>
            </w:r>
            <w:r w:rsidR="00DB384A" w:rsidRPr="00205A1A">
              <w:t>but complete for public housing</w:t>
            </w:r>
            <w:r w:rsidR="00DB384A">
              <w:t xml:space="preserve"> (all required 2018 </w:t>
            </w:r>
            <w:r w:rsidR="00DB384A" w:rsidRPr="00205A1A">
              <w:t>data)</w:t>
            </w:r>
            <w:r w:rsidR="00DB384A">
              <w:t>.</w:t>
            </w:r>
          </w:p>
        </w:tc>
      </w:tr>
      <w:tr w:rsidR="000E1427" w14:paraId="2696669F" w14:textId="77777777" w:rsidTr="006530AE">
        <w:trPr>
          <w:cantSplit/>
        </w:trPr>
        <w:tc>
          <w:tcPr>
            <w:tcW w:w="5000" w:type="pct"/>
            <w:tcBorders>
              <w:top w:val="nil"/>
              <w:left w:val="nil"/>
              <w:bottom w:val="single" w:sz="6" w:space="0" w:color="78A22F"/>
              <w:right w:val="nil"/>
            </w:tcBorders>
            <w:shd w:val="clear" w:color="auto" w:fill="F2F2F2" w:themeFill="background1" w:themeFillShade="F2"/>
          </w:tcPr>
          <w:p w14:paraId="7376909A" w14:textId="77777777" w:rsidR="000E1427" w:rsidRDefault="000E1427" w:rsidP="00746E44">
            <w:pPr>
              <w:pStyle w:val="Box"/>
              <w:spacing w:before="0" w:line="120" w:lineRule="exact"/>
            </w:pPr>
          </w:p>
        </w:tc>
      </w:tr>
      <w:tr w:rsidR="000E1427" w:rsidRPr="000863A5" w14:paraId="5746E31A" w14:textId="77777777" w:rsidTr="006530AE">
        <w:tc>
          <w:tcPr>
            <w:tcW w:w="5000" w:type="pct"/>
            <w:tcBorders>
              <w:top w:val="single" w:sz="6" w:space="0" w:color="78A22F"/>
              <w:left w:val="nil"/>
              <w:bottom w:val="nil"/>
              <w:right w:val="nil"/>
            </w:tcBorders>
          </w:tcPr>
          <w:p w14:paraId="72EBB335" w14:textId="77777777" w:rsidR="000E1427" w:rsidRPr="00626D32" w:rsidRDefault="000E1427" w:rsidP="00746E44">
            <w:pPr>
              <w:pStyle w:val="BoxSpaceBelow"/>
            </w:pPr>
          </w:p>
        </w:tc>
      </w:tr>
    </w:tbl>
    <w:p w14:paraId="5CE2656D" w14:textId="77777777" w:rsidR="00E0413D" w:rsidRDefault="005D0454" w:rsidP="00E0413D">
      <w:pPr>
        <w:pStyle w:val="Heading4"/>
      </w:pPr>
      <w:bookmarkStart w:id="21" w:name="_Toc3322827"/>
      <w:r>
        <w:t>Perceptions of s</w:t>
      </w:r>
      <w:r w:rsidR="00E0413D">
        <w:t>afety</w:t>
      </w:r>
      <w:bookmarkEnd w:id="21"/>
    </w:p>
    <w:p w14:paraId="370C99F9" w14:textId="0A2FAA30" w:rsidR="00E0413D" w:rsidRDefault="00E0413D" w:rsidP="00E0413D">
      <w:pPr>
        <w:pStyle w:val="BodyText"/>
      </w:pPr>
      <w:r w:rsidRPr="003876D5">
        <w:t>‘Perceptions of safety’ is an indicator of government’s objective to provide services that are safe (box</w:t>
      </w:r>
      <w:r w:rsidR="007704AD">
        <w:t> </w:t>
      </w:r>
      <w:r w:rsidR="00A22BB3" w:rsidRPr="00A22BB3">
        <w:t>18.1</w:t>
      </w:r>
      <w:r w:rsidR="00497633">
        <w:t>0</w:t>
      </w:r>
      <w:r w:rsidRPr="003876D5">
        <w:t>).</w:t>
      </w:r>
    </w:p>
    <w:p w14:paraId="797BB28E" w14:textId="6E8FB217" w:rsidR="00E0413D" w:rsidRDefault="00E0413D" w:rsidP="00E041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0413D" w14:paraId="0F2A8A23" w14:textId="77777777" w:rsidTr="000F2514">
        <w:trPr>
          <w:tblHeader/>
        </w:trPr>
        <w:tc>
          <w:tcPr>
            <w:tcW w:w="5000" w:type="pct"/>
            <w:tcBorders>
              <w:top w:val="single" w:sz="6" w:space="0" w:color="78A22F"/>
              <w:left w:val="nil"/>
              <w:bottom w:val="nil"/>
              <w:right w:val="nil"/>
            </w:tcBorders>
            <w:shd w:val="clear" w:color="auto" w:fill="F2F2F2"/>
          </w:tcPr>
          <w:p w14:paraId="197DEE45" w14:textId="37A748B4" w:rsidR="00E0413D" w:rsidRDefault="00E0413D" w:rsidP="006219D3">
            <w:pPr>
              <w:pStyle w:val="BoxTitle"/>
            </w:pPr>
            <w:r>
              <w:rPr>
                <w:b w:val="0"/>
              </w:rPr>
              <w:t>Box 18.</w:t>
            </w:r>
            <w:r w:rsidR="006219D3">
              <w:rPr>
                <w:b w:val="0"/>
              </w:rPr>
              <w:t>9</w:t>
            </w:r>
            <w:r>
              <w:tab/>
            </w:r>
            <w:r w:rsidRPr="003876D5">
              <w:t xml:space="preserve">Perceptions of </w:t>
            </w:r>
            <w:r w:rsidR="00174411">
              <w:t>s</w:t>
            </w:r>
            <w:r w:rsidRPr="003876D5">
              <w:t>afety</w:t>
            </w:r>
          </w:p>
        </w:tc>
      </w:tr>
      <w:tr w:rsidR="00E0413D" w14:paraId="4B0DBC48" w14:textId="77777777" w:rsidTr="000F2514">
        <w:tc>
          <w:tcPr>
            <w:tcW w:w="5000" w:type="pct"/>
            <w:tcBorders>
              <w:top w:val="nil"/>
              <w:left w:val="nil"/>
              <w:bottom w:val="nil"/>
              <w:right w:val="nil"/>
            </w:tcBorders>
            <w:shd w:val="clear" w:color="auto" w:fill="F2F2F2"/>
          </w:tcPr>
          <w:p w14:paraId="6E02159D" w14:textId="77777777" w:rsidR="00E0413D" w:rsidRDefault="00E0413D" w:rsidP="000F2514">
            <w:pPr>
              <w:pStyle w:val="Box"/>
            </w:pPr>
            <w:r>
              <w:t>‘Perceptions of safety’ is defined as the proportion of households rating their safety requirements as being met, measured separately for safety of home and safety outside of the home within the neighbourhood.</w:t>
            </w:r>
          </w:p>
          <w:p w14:paraId="61040B04" w14:textId="5DDBF4E0" w:rsidR="00E0413D" w:rsidRDefault="00E0413D" w:rsidP="000F2514">
            <w:pPr>
              <w:pStyle w:val="Box"/>
            </w:pPr>
            <w:r>
              <w:t xml:space="preserve">A high or increasing </w:t>
            </w:r>
            <w:r w:rsidR="0000278E">
              <w:t xml:space="preserve">proportion </w:t>
            </w:r>
            <w:r>
              <w:t>is desirable.</w:t>
            </w:r>
          </w:p>
          <w:p w14:paraId="73277057" w14:textId="77777777" w:rsidR="00E0413D" w:rsidRDefault="00E0413D" w:rsidP="000F2514">
            <w:pPr>
              <w:pStyle w:val="Box"/>
            </w:pPr>
            <w:r>
              <w:t>Data are not yet available for reporting against this indicator.</w:t>
            </w:r>
          </w:p>
        </w:tc>
      </w:tr>
      <w:tr w:rsidR="00E0413D" w14:paraId="494DE9CB" w14:textId="77777777" w:rsidTr="000F2514">
        <w:tc>
          <w:tcPr>
            <w:tcW w:w="5000" w:type="pct"/>
            <w:tcBorders>
              <w:top w:val="nil"/>
              <w:left w:val="nil"/>
              <w:bottom w:val="single" w:sz="6" w:space="0" w:color="78A22F"/>
              <w:right w:val="nil"/>
            </w:tcBorders>
            <w:shd w:val="clear" w:color="auto" w:fill="F2F2F2"/>
          </w:tcPr>
          <w:p w14:paraId="68FCE79A" w14:textId="77777777" w:rsidR="00E0413D" w:rsidRDefault="00E0413D" w:rsidP="000F2514">
            <w:pPr>
              <w:pStyle w:val="Box"/>
              <w:spacing w:before="0" w:line="120" w:lineRule="exact"/>
            </w:pPr>
          </w:p>
        </w:tc>
      </w:tr>
      <w:tr w:rsidR="00E0413D" w:rsidRPr="000863A5" w14:paraId="50670CDF" w14:textId="77777777" w:rsidTr="000F2514">
        <w:tc>
          <w:tcPr>
            <w:tcW w:w="5000" w:type="pct"/>
            <w:tcBorders>
              <w:top w:val="single" w:sz="6" w:space="0" w:color="78A22F"/>
              <w:left w:val="nil"/>
              <w:bottom w:val="nil"/>
              <w:right w:val="nil"/>
            </w:tcBorders>
          </w:tcPr>
          <w:p w14:paraId="4D0EEB55" w14:textId="19AFFDD7" w:rsidR="00E0413D" w:rsidRPr="00626D32" w:rsidRDefault="00E0413D" w:rsidP="000F2514">
            <w:pPr>
              <w:pStyle w:val="BoxSpaceBelow"/>
            </w:pPr>
          </w:p>
        </w:tc>
      </w:tr>
    </w:tbl>
    <w:p w14:paraId="1C659D8E" w14:textId="77777777" w:rsidR="00AE10B8" w:rsidRDefault="009C42D8" w:rsidP="00AE10B8">
      <w:pPr>
        <w:pStyle w:val="Heading4"/>
      </w:pPr>
      <w:bookmarkStart w:id="22" w:name="_Toc3322828"/>
      <w:r w:rsidRPr="009C42D8">
        <w:t>Sustainability</w:t>
      </w:r>
      <w:bookmarkEnd w:id="22"/>
    </w:p>
    <w:p w14:paraId="79EC96D8" w14:textId="3930BFA6" w:rsidR="00AE10B8" w:rsidRDefault="00AE10B8" w:rsidP="00AE10B8">
      <w:pPr>
        <w:pStyle w:val="BodyText"/>
      </w:pPr>
      <w:r w:rsidRPr="00AE10B8">
        <w:t>‘Sustainability’ is an indicator of government’s objective to provide services that are sustainable</w:t>
      </w:r>
      <w:r w:rsidR="00781C7C">
        <w:t xml:space="preserve"> (box</w:t>
      </w:r>
      <w:r w:rsidR="007704AD">
        <w:rPr>
          <w:b/>
        </w:rPr>
        <w:t> </w:t>
      </w:r>
      <w:r w:rsidR="001A3CAE" w:rsidRPr="001A3CAE">
        <w:t>18.1</w:t>
      </w:r>
      <w:r w:rsidR="00497633">
        <w:t>1</w:t>
      </w:r>
      <w:r w:rsidR="00781C7C">
        <w:t>)</w:t>
      </w:r>
      <w:r w:rsidRPr="00AE10B8">
        <w:t>.</w:t>
      </w:r>
    </w:p>
    <w:p w14:paraId="0463E6F1" w14:textId="0FA9E0B9" w:rsidR="00AE10B8" w:rsidRDefault="00AE10B8" w:rsidP="00AE10B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10B8" w14:paraId="07E52307" w14:textId="77777777" w:rsidTr="00381E39">
        <w:trPr>
          <w:tblHeader/>
        </w:trPr>
        <w:tc>
          <w:tcPr>
            <w:tcW w:w="5000" w:type="pct"/>
            <w:tcBorders>
              <w:top w:val="single" w:sz="6" w:space="0" w:color="78A22F"/>
              <w:left w:val="nil"/>
              <w:bottom w:val="nil"/>
              <w:right w:val="nil"/>
            </w:tcBorders>
            <w:shd w:val="clear" w:color="auto" w:fill="F2F2F2"/>
          </w:tcPr>
          <w:p w14:paraId="079F5DFB" w14:textId="0DB83F7A" w:rsidR="00AE10B8" w:rsidRDefault="00AE10B8" w:rsidP="00497633">
            <w:pPr>
              <w:pStyle w:val="BoxTitle"/>
            </w:pPr>
            <w:r>
              <w:rPr>
                <w:b w:val="0"/>
              </w:rPr>
              <w:t>Box 18.</w:t>
            </w:r>
            <w:r w:rsidR="00ED2D59">
              <w:rPr>
                <w:b w:val="0"/>
                <w:noProof/>
              </w:rPr>
              <w:t>1</w:t>
            </w:r>
            <w:r w:rsidR="006219D3">
              <w:rPr>
                <w:b w:val="0"/>
                <w:noProof/>
              </w:rPr>
              <w:t>0</w:t>
            </w:r>
            <w:r>
              <w:tab/>
              <w:t>Sustainability</w:t>
            </w:r>
          </w:p>
        </w:tc>
      </w:tr>
      <w:tr w:rsidR="00AE10B8" w14:paraId="2840ED66" w14:textId="77777777" w:rsidTr="00381E39">
        <w:tc>
          <w:tcPr>
            <w:tcW w:w="5000" w:type="pct"/>
            <w:tcBorders>
              <w:top w:val="nil"/>
              <w:left w:val="nil"/>
              <w:bottom w:val="nil"/>
              <w:right w:val="nil"/>
            </w:tcBorders>
            <w:shd w:val="clear" w:color="auto" w:fill="F2F2F2"/>
          </w:tcPr>
          <w:p w14:paraId="33CD9888" w14:textId="3DB09B52" w:rsidR="004564E5" w:rsidRPr="004564E5" w:rsidRDefault="00AE10B8" w:rsidP="004564E5">
            <w:pPr>
              <w:pStyle w:val="Box"/>
              <w:rPr>
                <w:shd w:val="clear" w:color="auto" w:fill="FFFF00"/>
              </w:rPr>
            </w:pPr>
            <w:r w:rsidRPr="00D33393">
              <w:t>‘</w:t>
            </w:r>
            <w:r w:rsidR="004564E5" w:rsidRPr="00D51E02">
              <w:t>Sustainability’ is broadly defined as the extent to which current social housing needs are met with reference to the need for future generations to meet their own social housing needs. In its broadest sense, this could consider financial, social and environmental sustainability.</w:t>
            </w:r>
          </w:p>
          <w:p w14:paraId="77202BE5" w14:textId="06247DC4" w:rsidR="00AE10B8" w:rsidRPr="004E45D3" w:rsidRDefault="004564E5" w:rsidP="005718DC">
            <w:pPr>
              <w:pStyle w:val="Box"/>
              <w:rPr>
                <w:rStyle w:val="DraftingNote"/>
                <w:b w:val="0"/>
                <w:color w:val="auto"/>
                <w:sz w:val="20"/>
                <w:u w:val="none"/>
              </w:rPr>
            </w:pPr>
            <w:r w:rsidRPr="00D51E02">
              <w:t xml:space="preserve">Further development of this indicator concept and potential measure(s) </w:t>
            </w:r>
            <w:r w:rsidRPr="003D09BA">
              <w:t xml:space="preserve">will be considered with reference to </w:t>
            </w:r>
            <w:r w:rsidR="003D09BA" w:rsidRPr="003336F0">
              <w:t xml:space="preserve">the policy </w:t>
            </w:r>
            <w:r w:rsidR="003D09BA" w:rsidRPr="003D09BA">
              <w:t>environment.</w:t>
            </w:r>
          </w:p>
        </w:tc>
      </w:tr>
      <w:tr w:rsidR="00AE10B8" w14:paraId="7BA9316A" w14:textId="77777777" w:rsidTr="000F2514">
        <w:tc>
          <w:tcPr>
            <w:tcW w:w="5000" w:type="pct"/>
            <w:tcBorders>
              <w:top w:val="nil"/>
              <w:left w:val="nil"/>
              <w:bottom w:val="single" w:sz="6" w:space="0" w:color="78A22F"/>
              <w:right w:val="nil"/>
            </w:tcBorders>
            <w:shd w:val="clear" w:color="auto" w:fill="F2F2F2"/>
          </w:tcPr>
          <w:p w14:paraId="5DE0299C" w14:textId="77777777" w:rsidR="00AE10B8" w:rsidRDefault="00AE10B8" w:rsidP="000F2514">
            <w:pPr>
              <w:pStyle w:val="Box"/>
              <w:spacing w:before="0" w:line="120" w:lineRule="exact"/>
            </w:pPr>
          </w:p>
        </w:tc>
      </w:tr>
      <w:tr w:rsidR="00AE10B8" w:rsidRPr="000863A5" w14:paraId="4F5BDDAC" w14:textId="77777777" w:rsidTr="000F2514">
        <w:tc>
          <w:tcPr>
            <w:tcW w:w="5000" w:type="pct"/>
            <w:tcBorders>
              <w:top w:val="single" w:sz="6" w:space="0" w:color="78A22F"/>
              <w:left w:val="nil"/>
              <w:bottom w:val="nil"/>
              <w:right w:val="nil"/>
            </w:tcBorders>
          </w:tcPr>
          <w:p w14:paraId="24D9B75B" w14:textId="031ED4DB" w:rsidR="00AE10B8" w:rsidRPr="00626D32" w:rsidRDefault="00AE10B8" w:rsidP="000F2514">
            <w:pPr>
              <w:pStyle w:val="BoxSpaceBelow"/>
            </w:pPr>
          </w:p>
        </w:tc>
      </w:tr>
    </w:tbl>
    <w:p w14:paraId="1253F17E" w14:textId="77777777" w:rsidR="00EF495B" w:rsidRPr="00457EC9" w:rsidRDefault="00EF495B" w:rsidP="00457EC9">
      <w:pPr>
        <w:pStyle w:val="Heading3"/>
      </w:pPr>
      <w:bookmarkStart w:id="23" w:name="_Toc3322829"/>
      <w:r w:rsidRPr="00457EC9">
        <w:t>Efficiency</w:t>
      </w:r>
      <w:bookmarkEnd w:id="23"/>
    </w:p>
    <w:p w14:paraId="396438BA" w14:textId="77777777" w:rsidR="00EF495B" w:rsidRPr="0041427D" w:rsidRDefault="00EF495B" w:rsidP="006B692D">
      <w:pPr>
        <w:pStyle w:val="Heading4"/>
      </w:pPr>
      <w:bookmarkStart w:id="24" w:name="_Toc3322830"/>
      <w:r w:rsidRPr="0041427D">
        <w:t>Net recurrent cost per dwelling</w:t>
      </w:r>
      <w:bookmarkEnd w:id="24"/>
    </w:p>
    <w:p w14:paraId="22BBA8F8" w14:textId="77777777" w:rsidR="003D03EB" w:rsidRDefault="00EF495B" w:rsidP="003D03EB">
      <w:pPr>
        <w:pStyle w:val="BodyText"/>
      </w:pPr>
      <w:r>
        <w:t xml:space="preserve">‘Net recurrent cost per dwelling’ is an indicator of governments’ objective to </w:t>
      </w:r>
      <w:r w:rsidR="00A21E99">
        <w:t>provide</w:t>
      </w:r>
      <w:r w:rsidR="00024C72">
        <w:t xml:space="preserve"> services in an </w:t>
      </w:r>
      <w:r>
        <w:t xml:space="preserve">efficient </w:t>
      </w:r>
      <w:r w:rsidR="00024C72">
        <w:t xml:space="preserve">manner </w:t>
      </w:r>
      <w:r>
        <w:t>(box</w:t>
      </w:r>
      <w:r w:rsidR="007D1214">
        <w:t> </w:t>
      </w:r>
      <w:r w:rsidR="00463387">
        <w:t>1</w:t>
      </w:r>
      <w:r w:rsidR="00BB5630">
        <w:t>8</w:t>
      </w:r>
      <w:r w:rsidR="00463387">
        <w:t>.</w:t>
      </w:r>
      <w:r w:rsidR="00497633">
        <w:t>12</w:t>
      </w:r>
      <w:r>
        <w:t>).</w:t>
      </w:r>
    </w:p>
    <w:p w14:paraId="518558E7" w14:textId="144E02CB" w:rsidR="003D03EB" w:rsidRDefault="003D03EB" w:rsidP="003D03EB">
      <w:pPr>
        <w:pStyle w:val="BodyText"/>
      </w:pPr>
      <w:r>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03EB" w14:paraId="24E13E73" w14:textId="77777777" w:rsidTr="008765CF">
        <w:trPr>
          <w:tblHeader/>
        </w:trPr>
        <w:tc>
          <w:tcPr>
            <w:tcW w:w="5000" w:type="pct"/>
            <w:tcBorders>
              <w:top w:val="single" w:sz="6" w:space="0" w:color="78A22F"/>
              <w:left w:val="nil"/>
              <w:bottom w:val="nil"/>
              <w:right w:val="nil"/>
            </w:tcBorders>
            <w:shd w:val="clear" w:color="auto" w:fill="F2F2F2"/>
          </w:tcPr>
          <w:p w14:paraId="03B07E13" w14:textId="0D9F3788" w:rsidR="003D03EB" w:rsidRDefault="003D03EB" w:rsidP="006219D3">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18.1</w:t>
            </w:r>
            <w:r w:rsidR="006219D3">
              <w:rPr>
                <w:b w:val="0"/>
              </w:rPr>
              <w:t>1</w:t>
            </w:r>
            <w:r>
              <w:tab/>
            </w:r>
            <w:r w:rsidRPr="00716EE3">
              <w:t>Net recurrent cost per dwelling</w:t>
            </w:r>
          </w:p>
        </w:tc>
      </w:tr>
      <w:tr w:rsidR="003D03EB" w14:paraId="29A21911" w14:textId="77777777" w:rsidTr="008765CF">
        <w:tc>
          <w:tcPr>
            <w:tcW w:w="5000" w:type="pct"/>
            <w:tcBorders>
              <w:top w:val="nil"/>
              <w:left w:val="nil"/>
              <w:bottom w:val="nil"/>
              <w:right w:val="nil"/>
            </w:tcBorders>
            <w:shd w:val="clear" w:color="auto" w:fill="F2F2F2"/>
          </w:tcPr>
          <w:p w14:paraId="7025874F" w14:textId="77777777" w:rsidR="003D03EB" w:rsidRPr="00791695" w:rsidRDefault="003D03EB" w:rsidP="008765CF">
            <w:pPr>
              <w:pStyle w:val="Box"/>
            </w:pPr>
            <w:r w:rsidRPr="00791695">
              <w:t>‘Net recurrent cost per dwelling’ is defined as the cost of providing assistance per dwelling and is measured as total recurrent expenditure divided by the total number of dwellings.</w:t>
            </w:r>
          </w:p>
          <w:p w14:paraId="6AC4D11E" w14:textId="77777777" w:rsidR="003D03EB" w:rsidRPr="00791695" w:rsidRDefault="003D03EB" w:rsidP="008765CF">
            <w:pPr>
              <w:pStyle w:val="Box"/>
            </w:pPr>
            <w:r w:rsidRPr="00791695">
              <w:t>Data are reported for public housing, SOMIH, community housing and ICH. Net recurrent cost per dwelling for public housing</w:t>
            </w:r>
            <w:r>
              <w:t xml:space="preserve"> and for SOMIH for 2017</w:t>
            </w:r>
            <w:r>
              <w:noBreakHyphen/>
              <w:t>18</w:t>
            </w:r>
            <w:r w:rsidRPr="00791695">
              <w:t xml:space="preserve"> is reported with user cost of capital both included and excluded. User cost of capital data are not available for SOMIH</w:t>
            </w:r>
            <w:r>
              <w:t xml:space="preserve"> prior to 2017</w:t>
            </w:r>
            <w:r>
              <w:noBreakHyphen/>
              <w:t>18</w:t>
            </w:r>
            <w:r w:rsidRPr="00791695">
              <w:t>,</w:t>
            </w:r>
            <w:r>
              <w:t xml:space="preserve"> nor for</w:t>
            </w:r>
            <w:r w:rsidRPr="00791695">
              <w:t xml:space="preserve"> community housing or ICH. For ICH, total number of dwellings is the number of permanent dwellings.</w:t>
            </w:r>
          </w:p>
          <w:p w14:paraId="1B9749A3" w14:textId="77777777" w:rsidR="003D03EB" w:rsidRDefault="003D03EB" w:rsidP="008765CF">
            <w:pPr>
              <w:pStyle w:val="Box"/>
            </w:pPr>
            <w:r w:rsidRPr="00791695">
              <w:t xml:space="preserve">An inconsistency between numerator and denominator with a deflationary effect on community housing cost per dwelling may result from transfer of management responsibility for some public housing and/or SOMIH stock to the community sector, which is underway in some jurisdictions and planned to occur progressively over time in most others. The denominator (number of community housing dwellings at 30 June) may include dwellings for which expenditure for only part of the reporting year is counted in the numerator. This inconsistency is not expected to apply for public housing and </w:t>
            </w:r>
            <w:r w:rsidRPr="00AC7569">
              <w:t>SOMIH</w:t>
            </w:r>
            <w:r w:rsidRPr="00791695">
              <w:t xml:space="preserve"> as the denominator (the average of the number of dwellings for each month of the reporting year) largely accounts for transfer of dwellings to the community sector.</w:t>
            </w:r>
          </w:p>
          <w:p w14:paraId="6610B2A4" w14:textId="77777777" w:rsidR="003D03EB" w:rsidRDefault="003D03EB" w:rsidP="003D03EB">
            <w:pPr>
              <w:pStyle w:val="Box"/>
            </w:pPr>
            <w:r>
              <w:t>Care needs to be taken in interpreting the cost of delivering social housing. Data are not comparable across jurisdictions as jurisdictions vary in how completely costs are captured and how consistently data are collected, as well as the degree to which costs can be separated between different models of social housing and homelessness services. There is also potential for double counting — for example, some of the user cost of capital may also be included in operating costs.</w:t>
            </w:r>
          </w:p>
        </w:tc>
      </w:tr>
      <w:tr w:rsidR="003D03EB" w:rsidRPr="00ED061E" w14:paraId="194A8549" w14:textId="77777777" w:rsidTr="008765CF">
        <w:tc>
          <w:tcPr>
            <w:tcW w:w="5000" w:type="pct"/>
            <w:tcBorders>
              <w:top w:val="nil"/>
              <w:left w:val="nil"/>
              <w:bottom w:val="nil"/>
              <w:right w:val="nil"/>
            </w:tcBorders>
            <w:shd w:val="clear" w:color="auto" w:fill="F2F2F2"/>
          </w:tcPr>
          <w:p w14:paraId="37ECFA49" w14:textId="77777777" w:rsidR="003D03EB" w:rsidRPr="00ED061E" w:rsidRDefault="003D03EB" w:rsidP="008765CF">
            <w:pPr>
              <w:pStyle w:val="BoxSource"/>
              <w:spacing w:after="120" w:line="240" w:lineRule="auto"/>
              <w:jc w:val="right"/>
            </w:pPr>
            <w:r w:rsidRPr="00ED061E">
              <w:t>(continued next page)</w:t>
            </w:r>
          </w:p>
        </w:tc>
      </w:tr>
      <w:tr w:rsidR="003D03EB" w14:paraId="3B45087B" w14:textId="77777777" w:rsidTr="008765CF">
        <w:tc>
          <w:tcPr>
            <w:tcW w:w="5000" w:type="pct"/>
            <w:tcBorders>
              <w:top w:val="nil"/>
              <w:left w:val="nil"/>
              <w:bottom w:val="single" w:sz="6" w:space="0" w:color="78A22F"/>
              <w:right w:val="nil"/>
            </w:tcBorders>
            <w:shd w:val="clear" w:color="auto" w:fill="F2F2F2"/>
          </w:tcPr>
          <w:p w14:paraId="4AA872B3" w14:textId="77777777" w:rsidR="003D03EB" w:rsidRDefault="003D03EB" w:rsidP="008765CF">
            <w:pPr>
              <w:pStyle w:val="Box"/>
              <w:spacing w:before="0" w:line="120" w:lineRule="exact"/>
            </w:pPr>
          </w:p>
        </w:tc>
      </w:tr>
      <w:tr w:rsidR="003D03EB" w:rsidRPr="000863A5" w14:paraId="11C7FC2D" w14:textId="77777777" w:rsidTr="008765CF">
        <w:trPr>
          <w:hidden/>
        </w:trPr>
        <w:tc>
          <w:tcPr>
            <w:tcW w:w="5000" w:type="pct"/>
            <w:tcBorders>
              <w:top w:val="single" w:sz="6" w:space="0" w:color="78A22F"/>
              <w:left w:val="nil"/>
              <w:bottom w:val="nil"/>
              <w:right w:val="nil"/>
            </w:tcBorders>
          </w:tcPr>
          <w:p w14:paraId="62632D26" w14:textId="77777777" w:rsidR="003D03EB" w:rsidRPr="00626D32" w:rsidRDefault="003D03EB" w:rsidP="008765CF">
            <w:pPr>
              <w:pStyle w:val="BoxSpaceBelow"/>
            </w:pPr>
            <w:r w:rsidRPr="00626D32">
              <w:rPr>
                <w:rFonts w:ascii="Times New Roman" w:hAnsi="Times New Roman"/>
                <w:b/>
                <w:vanish/>
                <w:color w:val="FF00FF"/>
              </w:rPr>
              <w:t>Do not delete this ROW as it gives space between the box and what follows it.</w:t>
            </w:r>
          </w:p>
        </w:tc>
      </w:tr>
    </w:tbl>
    <w:p w14:paraId="3938C25E" w14:textId="77777777" w:rsidR="003D03EB" w:rsidRDefault="003D03EB" w:rsidP="00497633">
      <w:pPr>
        <w:pStyle w:val="BodyText"/>
      </w:pPr>
    </w:p>
    <w:p w14:paraId="30053FF7" w14:textId="77777777" w:rsidR="00ED061E" w:rsidRDefault="00ED061E">
      <w:pPr>
        <w:pStyle w:val="BoxSpaceAbove"/>
      </w:pPr>
      <w:r>
        <w:rPr>
          <w:b/>
          <w:vanish/>
          <w:color w:val="FF00FF"/>
          <w:sz w:val="14"/>
        </w:rPr>
        <w:lastRenderedPageBreak/>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061E" w14:paraId="74A195E2" w14:textId="77777777" w:rsidTr="00ED061E">
        <w:trPr>
          <w:tblHeader/>
        </w:trPr>
        <w:tc>
          <w:tcPr>
            <w:tcW w:w="5000" w:type="pct"/>
            <w:tcBorders>
              <w:top w:val="single" w:sz="6" w:space="0" w:color="78A22F"/>
              <w:left w:val="nil"/>
              <w:bottom w:val="nil"/>
              <w:right w:val="nil"/>
            </w:tcBorders>
            <w:shd w:val="clear" w:color="auto" w:fill="F2F2F2"/>
          </w:tcPr>
          <w:p w14:paraId="5473AC30" w14:textId="1A876A88" w:rsidR="00ED061E" w:rsidRDefault="00ED061E" w:rsidP="006219D3">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18.1</w:t>
            </w:r>
            <w:r w:rsidR="006219D3">
              <w:rPr>
                <w:b w:val="0"/>
              </w:rPr>
              <w:t>1</w:t>
            </w:r>
            <w:r>
              <w:tab/>
            </w:r>
            <w:r w:rsidR="003D03EB">
              <w:tab/>
            </w:r>
            <w:r w:rsidR="003D03EB">
              <w:rPr>
                <w:b w:val="0"/>
                <w:sz w:val="18"/>
                <w:szCs w:val="18"/>
              </w:rPr>
              <w:t>(c</w:t>
            </w:r>
            <w:r w:rsidR="003D03EB" w:rsidRPr="00ED061E">
              <w:rPr>
                <w:b w:val="0"/>
                <w:sz w:val="18"/>
                <w:szCs w:val="18"/>
              </w:rPr>
              <w:t>ontinued</w:t>
            </w:r>
            <w:r w:rsidR="003D03EB">
              <w:rPr>
                <w:b w:val="0"/>
                <w:sz w:val="18"/>
                <w:szCs w:val="18"/>
              </w:rPr>
              <w:t>)</w:t>
            </w:r>
          </w:p>
        </w:tc>
      </w:tr>
      <w:tr w:rsidR="00ED061E" w14:paraId="7A22D75F" w14:textId="77777777" w:rsidTr="00ED061E">
        <w:tc>
          <w:tcPr>
            <w:tcW w:w="5000" w:type="pct"/>
            <w:tcBorders>
              <w:top w:val="nil"/>
              <w:left w:val="nil"/>
              <w:bottom w:val="nil"/>
              <w:right w:val="nil"/>
            </w:tcBorders>
            <w:shd w:val="clear" w:color="auto" w:fill="F2F2F2"/>
          </w:tcPr>
          <w:p w14:paraId="015D5FDD" w14:textId="76336385" w:rsidR="001924D9" w:rsidRDefault="001924D9" w:rsidP="001924D9">
            <w:pPr>
              <w:pStyle w:val="Box"/>
            </w:pPr>
            <w:r>
              <w:t>The user cost of capital is the cost of the funds tied up in the capital used to provide social housing. User cost of capital is the main driver of cost per dwelling due to the level of capital expenditure on housing. Data should be interpreted with caution due to variation across jurisdictions in the treatment of assets (table 18A.51) and service delivery models.</w:t>
            </w:r>
          </w:p>
          <w:p w14:paraId="5DC344B0" w14:textId="76336385" w:rsidR="00ED061E" w:rsidRDefault="00ED061E" w:rsidP="001924D9">
            <w:pPr>
              <w:pStyle w:val="Box"/>
            </w:pPr>
            <w:r w:rsidRPr="00704BC2">
              <w:t>Holding other factors — such as dwelling condition and tenant support services — equal, a low or decreasing cost per dwelling is desirable.</w:t>
            </w:r>
          </w:p>
          <w:p w14:paraId="3EB86948" w14:textId="77777777" w:rsidR="00ED061E" w:rsidRDefault="00ED061E" w:rsidP="00ED061E">
            <w:pPr>
              <w:pStyle w:val="Box"/>
            </w:pPr>
            <w:r>
              <w:t>Data reported for this indicator are:</w:t>
            </w:r>
          </w:p>
          <w:p w14:paraId="43ABC912" w14:textId="77777777" w:rsidR="00ED061E" w:rsidRDefault="00ED061E" w:rsidP="00ED061E">
            <w:pPr>
              <w:pStyle w:val="BoxListBullet"/>
              <w:numPr>
                <w:ilvl w:val="0"/>
                <w:numId w:val="0"/>
              </w:numPr>
              <w:ind w:left="284"/>
            </w:pPr>
            <w:r w:rsidRPr="00C66F12">
              <w:rPr>
                <w:shd w:val="clear" w:color="auto" w:fill="FCDED3"/>
              </w:rPr>
              <w:t xml:space="preserve">    </w:t>
            </w:r>
            <w:r>
              <w:t xml:space="preserve"> </w:t>
            </w:r>
            <w:r w:rsidRPr="00903B4C">
              <w:t xml:space="preserve">not comparable across public housing, SOMIH, community housing and </w:t>
            </w:r>
            <w:r w:rsidRPr="00500015">
              <w:t>ICH and not comparable across jurisdictions, but for some jurisdictions are comparable over time (subject to caveats)</w:t>
            </w:r>
          </w:p>
          <w:p w14:paraId="7600073E" w14:textId="304D902E" w:rsidR="00ED061E" w:rsidRDefault="00ED061E" w:rsidP="00ED061E">
            <w:pPr>
              <w:pStyle w:val="Box"/>
              <w:ind w:left="284"/>
            </w:pPr>
            <w:r w:rsidRPr="00C66F12">
              <w:rPr>
                <w:shd w:val="clear" w:color="auto" w:fill="FCDED3"/>
              </w:rPr>
              <w:t xml:space="preserve">    </w:t>
            </w:r>
            <w:r>
              <w:t xml:space="preserve"> </w:t>
            </w:r>
            <w:r w:rsidRPr="00BC71A2">
              <w:t xml:space="preserve">incomplete for community housing </w:t>
            </w:r>
            <w:r w:rsidRPr="00500015">
              <w:t>(2016</w:t>
            </w:r>
            <w:r>
              <w:noBreakHyphen/>
            </w:r>
            <w:r w:rsidRPr="00500015">
              <w:t xml:space="preserve">17 NT data) </w:t>
            </w:r>
            <w:r w:rsidRPr="00BC71A2">
              <w:t xml:space="preserve">and ICH </w:t>
            </w:r>
            <w:r w:rsidRPr="00500015">
              <w:t>(2016</w:t>
            </w:r>
            <w:r>
              <w:noBreakHyphen/>
            </w:r>
            <w:r w:rsidRPr="00500015">
              <w:t xml:space="preserve">17 SA and NT data) </w:t>
            </w:r>
            <w:r w:rsidRPr="00BC71A2">
              <w:t>for the current reporting period</w:t>
            </w:r>
            <w:r>
              <w:t>,</w:t>
            </w:r>
            <w:r w:rsidRPr="00500015">
              <w:t xml:space="preserve"> but are complete for public housing and SOMIH (a</w:t>
            </w:r>
            <w:r>
              <w:t>ll required 2017</w:t>
            </w:r>
            <w:r>
              <w:noBreakHyphen/>
            </w:r>
            <w:r w:rsidRPr="00500015">
              <w:t>18 data are available).</w:t>
            </w:r>
          </w:p>
        </w:tc>
      </w:tr>
      <w:tr w:rsidR="00ED061E" w14:paraId="6267DDC2" w14:textId="77777777" w:rsidTr="00ED061E">
        <w:tc>
          <w:tcPr>
            <w:tcW w:w="5000" w:type="pct"/>
            <w:tcBorders>
              <w:top w:val="nil"/>
              <w:left w:val="nil"/>
              <w:bottom w:val="single" w:sz="6" w:space="0" w:color="78A22F"/>
              <w:right w:val="nil"/>
            </w:tcBorders>
            <w:shd w:val="clear" w:color="auto" w:fill="F2F2F2"/>
          </w:tcPr>
          <w:p w14:paraId="06FAE675" w14:textId="77777777" w:rsidR="00ED061E" w:rsidRDefault="00ED061E">
            <w:pPr>
              <w:pStyle w:val="Box"/>
              <w:spacing w:before="0" w:line="120" w:lineRule="exact"/>
            </w:pPr>
          </w:p>
        </w:tc>
      </w:tr>
      <w:tr w:rsidR="00ED061E" w:rsidRPr="000863A5" w14:paraId="0B52A516" w14:textId="77777777" w:rsidTr="00ED061E">
        <w:trPr>
          <w:hidden/>
        </w:trPr>
        <w:tc>
          <w:tcPr>
            <w:tcW w:w="5000" w:type="pct"/>
            <w:tcBorders>
              <w:top w:val="single" w:sz="6" w:space="0" w:color="78A22F"/>
              <w:left w:val="nil"/>
              <w:bottom w:val="nil"/>
              <w:right w:val="nil"/>
            </w:tcBorders>
          </w:tcPr>
          <w:p w14:paraId="45B351B7" w14:textId="77777777" w:rsidR="00ED061E" w:rsidRPr="00626D32" w:rsidRDefault="00ED061E" w:rsidP="00ED061E">
            <w:pPr>
              <w:pStyle w:val="BoxSpaceBelow"/>
            </w:pPr>
            <w:r w:rsidRPr="00626D32">
              <w:rPr>
                <w:rFonts w:ascii="Times New Roman" w:hAnsi="Times New Roman"/>
                <w:b/>
                <w:vanish/>
                <w:color w:val="FF00FF"/>
              </w:rPr>
              <w:t>Do not delete this ROW as it gives space between the box and what follows it.</w:t>
            </w:r>
          </w:p>
        </w:tc>
      </w:tr>
    </w:tbl>
    <w:p w14:paraId="4382D31B" w14:textId="77777777" w:rsidR="007D38F4" w:rsidRPr="00880D34" w:rsidRDefault="006C4B07" w:rsidP="00457EC9">
      <w:pPr>
        <w:pStyle w:val="Heading3"/>
      </w:pPr>
      <w:bookmarkStart w:id="25" w:name="_Toc3322831"/>
      <w:r w:rsidRPr="00880D34">
        <w:t>O</w:t>
      </w:r>
      <w:r w:rsidR="007D38F4" w:rsidRPr="00880D34">
        <w:t>utcomes</w:t>
      </w:r>
      <w:bookmarkEnd w:id="25"/>
    </w:p>
    <w:p w14:paraId="0CE998DD" w14:textId="7BB58E62" w:rsidR="008355AE" w:rsidRDefault="007D38F4" w:rsidP="008355AE">
      <w:pPr>
        <w:pStyle w:val="BodyText"/>
      </w:pPr>
      <w:r>
        <w:t xml:space="preserve">Outcomes are the impact of services on the status of an individual or group (see </w:t>
      </w:r>
      <w:r w:rsidR="006D5CEC">
        <w:t>section</w:t>
      </w:r>
      <w:r w:rsidR="007D1214">
        <w:t> </w:t>
      </w:r>
      <w:r>
        <w:t>1</w:t>
      </w:r>
      <w:r w:rsidR="00537BCC">
        <w:t>)</w:t>
      </w:r>
      <w:r>
        <w:t>.</w:t>
      </w:r>
    </w:p>
    <w:p w14:paraId="789A18E5" w14:textId="77777777" w:rsidR="00B9496F" w:rsidRDefault="008355AE" w:rsidP="008355AE">
      <w:pPr>
        <w:pStyle w:val="Heading4"/>
      </w:pPr>
      <w:bookmarkStart w:id="26" w:name="_Toc3322832"/>
      <w:r w:rsidRPr="008355AE">
        <w:t>Social and economic participation</w:t>
      </w:r>
      <w:bookmarkEnd w:id="26"/>
    </w:p>
    <w:p w14:paraId="310DFC7D" w14:textId="77777777" w:rsidR="003D03EB" w:rsidRDefault="008355AE" w:rsidP="003D03EB">
      <w:pPr>
        <w:pStyle w:val="BodyText"/>
      </w:pPr>
      <w:r w:rsidRPr="008355AE">
        <w:t>‘Social and economic participation’ is an indicator of government’s objective to provide social housing assistance that supports wellbeing and contributes to social and econo</w:t>
      </w:r>
      <w:r w:rsidR="00B80162">
        <w:t>mic participation (box</w:t>
      </w:r>
      <w:r w:rsidR="007704AD">
        <w:t> </w:t>
      </w:r>
      <w:r w:rsidR="00B80162">
        <w:t>18.1</w:t>
      </w:r>
      <w:r w:rsidR="00497633">
        <w:t>3</w:t>
      </w:r>
      <w:r w:rsidRPr="008355AE">
        <w:t>).</w:t>
      </w:r>
    </w:p>
    <w:p w14:paraId="37F2B621" w14:textId="77777777" w:rsidR="003D03EB" w:rsidRPr="003D03EB" w:rsidRDefault="003D03EB" w:rsidP="003D03EB">
      <w:pPr>
        <w:pStyle w:val="BodyText"/>
        <w:rPr>
          <w:b/>
          <w:vanish/>
          <w:color w:val="FF00FF"/>
          <w:sz w:val="14"/>
        </w:rPr>
      </w:pPr>
      <w:r w:rsidRPr="003D03EB">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55AE" w14:paraId="695CFDA1" w14:textId="77777777" w:rsidTr="000F2514">
        <w:trPr>
          <w:tblHeader/>
        </w:trPr>
        <w:tc>
          <w:tcPr>
            <w:tcW w:w="5000" w:type="pct"/>
            <w:tcBorders>
              <w:top w:val="single" w:sz="6" w:space="0" w:color="78A22F"/>
              <w:left w:val="nil"/>
              <w:bottom w:val="nil"/>
              <w:right w:val="nil"/>
            </w:tcBorders>
            <w:shd w:val="clear" w:color="auto" w:fill="F2F2F2"/>
          </w:tcPr>
          <w:p w14:paraId="2CCDAC70" w14:textId="430EEC45" w:rsidR="008355AE" w:rsidRDefault="008355AE" w:rsidP="006219D3">
            <w:pPr>
              <w:pStyle w:val="BoxTitle"/>
            </w:pPr>
            <w:r>
              <w:rPr>
                <w:b w:val="0"/>
              </w:rPr>
              <w:t xml:space="preserve">Box </w:t>
            </w:r>
            <w:r w:rsidR="002401B1">
              <w:rPr>
                <w:b w:val="0"/>
              </w:rPr>
              <w:t>18.</w:t>
            </w:r>
            <w:r w:rsidR="00ED2D59">
              <w:rPr>
                <w:b w:val="0"/>
                <w:noProof/>
              </w:rPr>
              <w:t>1</w:t>
            </w:r>
            <w:r w:rsidR="006219D3">
              <w:rPr>
                <w:b w:val="0"/>
                <w:noProof/>
              </w:rPr>
              <w:t>2</w:t>
            </w:r>
            <w:r>
              <w:tab/>
            </w:r>
            <w:r w:rsidRPr="008355AE">
              <w:t>Social and economic participation</w:t>
            </w:r>
          </w:p>
        </w:tc>
      </w:tr>
      <w:tr w:rsidR="008355AE" w14:paraId="2A61A00F" w14:textId="77777777" w:rsidTr="000F2514">
        <w:tc>
          <w:tcPr>
            <w:tcW w:w="5000" w:type="pct"/>
            <w:tcBorders>
              <w:top w:val="nil"/>
              <w:left w:val="nil"/>
              <w:bottom w:val="nil"/>
              <w:right w:val="nil"/>
            </w:tcBorders>
            <w:shd w:val="clear" w:color="auto" w:fill="F2F2F2"/>
          </w:tcPr>
          <w:p w14:paraId="2F7B0B7D" w14:textId="4C99C988" w:rsidR="008355AE" w:rsidRDefault="008355AE" w:rsidP="008355AE">
            <w:pPr>
              <w:pStyle w:val="Box"/>
            </w:pPr>
            <w:r w:rsidRPr="00B24A79">
              <w:t>‘</w:t>
            </w:r>
            <w:r w:rsidRPr="00D73362">
              <w:t>Social and economic participation</w:t>
            </w:r>
            <w:r w:rsidRPr="00B24A79">
              <w:t xml:space="preserve">’ is defined as </w:t>
            </w:r>
            <w:r>
              <w:t>the proportion of social housing tenants engaged in social and/or work</w:t>
            </w:r>
            <w:r w:rsidR="00A02B34">
              <w:noBreakHyphen/>
            </w:r>
            <w:r>
              <w:t>related activities.</w:t>
            </w:r>
          </w:p>
          <w:p w14:paraId="1E7499DF" w14:textId="7CBA8228" w:rsidR="008355AE" w:rsidRDefault="008355AE" w:rsidP="008355AE">
            <w:pPr>
              <w:pStyle w:val="Box"/>
            </w:pPr>
            <w:r w:rsidRPr="00B24D33">
              <w:t xml:space="preserve">Living in stable, safe and secure </w:t>
            </w:r>
            <w:r>
              <w:t>housing</w:t>
            </w:r>
            <w:r w:rsidRPr="00B24D33">
              <w:t xml:space="preserve"> is associated with greater capacity to participate in social and economic activity and </w:t>
            </w:r>
            <w:r>
              <w:t xml:space="preserve">improved </w:t>
            </w:r>
            <w:r w:rsidR="00A15FA1">
              <w:t>household wellbeing.</w:t>
            </w:r>
          </w:p>
          <w:p w14:paraId="7A3FC338" w14:textId="77777777" w:rsidR="008355AE" w:rsidRPr="00B24A79" w:rsidRDefault="008355AE" w:rsidP="008355AE">
            <w:pPr>
              <w:pStyle w:val="Box"/>
            </w:pPr>
            <w:r w:rsidRPr="00B24A79">
              <w:t xml:space="preserve">A high or increasing </w:t>
            </w:r>
            <w:r>
              <w:t>proportion</w:t>
            </w:r>
            <w:r w:rsidRPr="00B24A79">
              <w:t xml:space="preserve"> </w:t>
            </w:r>
            <w:r w:rsidR="007C7543" w:rsidRPr="007C7543">
              <w:t xml:space="preserve">of social housing tenants engaged in social and/or work related activities </w:t>
            </w:r>
            <w:r w:rsidRPr="00B24A79">
              <w:t>is desirable.</w:t>
            </w:r>
          </w:p>
          <w:p w14:paraId="7B3138EC" w14:textId="77777777" w:rsidR="008355AE" w:rsidRDefault="008355AE" w:rsidP="008355AE">
            <w:pPr>
              <w:pStyle w:val="Box"/>
            </w:pPr>
            <w:r w:rsidRPr="00B24A79">
              <w:t>Data are not yet available for reporting against this indicator.</w:t>
            </w:r>
          </w:p>
        </w:tc>
      </w:tr>
      <w:tr w:rsidR="008355AE" w14:paraId="65A0AE1B" w14:textId="77777777" w:rsidTr="000F2514">
        <w:tc>
          <w:tcPr>
            <w:tcW w:w="5000" w:type="pct"/>
            <w:tcBorders>
              <w:top w:val="nil"/>
              <w:left w:val="nil"/>
              <w:bottom w:val="single" w:sz="6" w:space="0" w:color="78A22F"/>
              <w:right w:val="nil"/>
            </w:tcBorders>
            <w:shd w:val="clear" w:color="auto" w:fill="F2F2F2"/>
          </w:tcPr>
          <w:p w14:paraId="7E462FB2" w14:textId="77777777" w:rsidR="008355AE" w:rsidRDefault="008355AE">
            <w:pPr>
              <w:pStyle w:val="Box"/>
              <w:spacing w:before="0" w:line="120" w:lineRule="exact"/>
            </w:pPr>
          </w:p>
        </w:tc>
      </w:tr>
      <w:tr w:rsidR="003D03EB" w:rsidRPr="000863A5" w14:paraId="7369089C" w14:textId="77777777" w:rsidTr="008765CF">
        <w:trPr>
          <w:hidden/>
        </w:trPr>
        <w:tc>
          <w:tcPr>
            <w:tcW w:w="5000" w:type="pct"/>
            <w:tcBorders>
              <w:top w:val="single" w:sz="6" w:space="0" w:color="78A22F"/>
              <w:left w:val="nil"/>
              <w:bottom w:val="nil"/>
              <w:right w:val="nil"/>
            </w:tcBorders>
          </w:tcPr>
          <w:p w14:paraId="253EC06E" w14:textId="77777777" w:rsidR="003D03EB" w:rsidRPr="00626D32" w:rsidRDefault="003D03EB" w:rsidP="008765CF">
            <w:pPr>
              <w:pStyle w:val="BoxSpaceBelow"/>
            </w:pPr>
            <w:r w:rsidRPr="00626D32">
              <w:rPr>
                <w:rFonts w:ascii="Times New Roman" w:hAnsi="Times New Roman"/>
                <w:b/>
                <w:vanish/>
                <w:color w:val="FF00FF"/>
              </w:rPr>
              <w:t>Do not delete this ROW as it gives space between the box and what follows it.</w:t>
            </w:r>
          </w:p>
        </w:tc>
      </w:tr>
    </w:tbl>
    <w:p w14:paraId="4316FEA9" w14:textId="097E1DE3" w:rsidR="006131F2" w:rsidRPr="00FD1E41" w:rsidRDefault="00040F38" w:rsidP="00653C7C">
      <w:pPr>
        <w:pStyle w:val="Heading2"/>
      </w:pPr>
      <w:bookmarkStart w:id="27" w:name="_Toc459884658"/>
      <w:bookmarkStart w:id="28" w:name="_Toc3322833"/>
      <w:r>
        <w:t>18.</w:t>
      </w:r>
      <w:r w:rsidR="001E25DB">
        <w:t>2</w:t>
      </w:r>
      <w:r>
        <w:tab/>
      </w:r>
      <w:bookmarkStart w:id="29" w:name="_Toc314211352"/>
      <w:bookmarkStart w:id="30" w:name="_Toc396143035"/>
      <w:r w:rsidR="006131F2" w:rsidRPr="00FD1E41">
        <w:t xml:space="preserve">Definitions </w:t>
      </w:r>
      <w:r w:rsidR="006131F2" w:rsidRPr="00653C7C">
        <w:t>of</w:t>
      </w:r>
      <w:r w:rsidR="006131F2" w:rsidRPr="00FD1E41">
        <w:t xml:space="preserve"> key </w:t>
      </w:r>
      <w:bookmarkEnd w:id="10"/>
      <w:r w:rsidR="00B76882" w:rsidRPr="00FD1E41">
        <w:t>terms</w:t>
      </w:r>
      <w:bookmarkEnd w:id="27"/>
      <w:bookmarkEnd w:id="28"/>
      <w:bookmarkEnd w:id="29"/>
      <w:bookmarkEnd w:id="30"/>
    </w:p>
    <w:p w14:paraId="643482E4" w14:textId="77777777" w:rsidR="00AF5F1A" w:rsidRPr="007D1214" w:rsidRDefault="00AF5F1A" w:rsidP="00653C7C">
      <w:pPr>
        <w:pStyle w:val="BoxSpaceAbove"/>
      </w:pPr>
    </w:p>
    <w:tbl>
      <w:tblPr>
        <w:tblW w:w="0" w:type="auto"/>
        <w:tblInd w:w="-5" w:type="dxa"/>
        <w:tblLayout w:type="fixed"/>
        <w:tblCellMar>
          <w:left w:w="0" w:type="dxa"/>
          <w:right w:w="0" w:type="dxa"/>
        </w:tblCellMar>
        <w:tblLook w:val="00A0" w:firstRow="1" w:lastRow="0" w:firstColumn="1" w:lastColumn="0" w:noHBand="0" w:noVBand="0"/>
      </w:tblPr>
      <w:tblGrid>
        <w:gridCol w:w="2410"/>
        <w:gridCol w:w="6379"/>
      </w:tblGrid>
      <w:tr w:rsidR="00A35488" w:rsidRPr="002576C5" w14:paraId="40FBD627" w14:textId="77777777">
        <w:tc>
          <w:tcPr>
            <w:tcW w:w="2410" w:type="dxa"/>
          </w:tcPr>
          <w:p w14:paraId="4D8E5B70" w14:textId="77777777" w:rsidR="00A35488" w:rsidRPr="002576C5" w:rsidRDefault="00A35488" w:rsidP="00B8159C">
            <w:pPr>
              <w:pStyle w:val="TableBodyText"/>
              <w:keepNext w:val="0"/>
              <w:keepLines w:val="0"/>
              <w:spacing w:before="60" w:after="60"/>
              <w:jc w:val="left"/>
            </w:pPr>
            <w:r w:rsidRPr="002576C5">
              <w:rPr>
                <w:b/>
              </w:rPr>
              <w:t>Aboriginal and Torres Strait Islander household</w:t>
            </w:r>
          </w:p>
        </w:tc>
        <w:tc>
          <w:tcPr>
            <w:tcW w:w="6379" w:type="dxa"/>
          </w:tcPr>
          <w:p w14:paraId="6956C621" w14:textId="77777777" w:rsidR="00A35488" w:rsidRPr="002576C5" w:rsidRDefault="00A35488" w:rsidP="00B8159C">
            <w:pPr>
              <w:pStyle w:val="TableBodyText"/>
              <w:keepNext w:val="0"/>
              <w:keepLines w:val="0"/>
              <w:spacing w:before="60" w:after="60"/>
              <w:jc w:val="left"/>
            </w:pPr>
            <w:r w:rsidRPr="002576C5">
              <w:t>A household with one or more members (including children) who identify as Aboriginal and/or Torres Strait Islander.</w:t>
            </w:r>
          </w:p>
        </w:tc>
      </w:tr>
      <w:tr w:rsidR="00A35488" w:rsidRPr="002576C5" w14:paraId="4F4C46C9" w14:textId="77777777">
        <w:tc>
          <w:tcPr>
            <w:tcW w:w="2410" w:type="dxa"/>
          </w:tcPr>
          <w:p w14:paraId="18535ACE" w14:textId="77777777" w:rsidR="00A35488" w:rsidRPr="002576C5" w:rsidRDefault="00A35488" w:rsidP="00593BB1">
            <w:pPr>
              <w:pStyle w:val="TableBodyText"/>
              <w:keepNext w:val="0"/>
              <w:keepLines w:val="0"/>
              <w:spacing w:before="60" w:after="120"/>
              <w:jc w:val="left"/>
            </w:pPr>
            <w:r w:rsidRPr="002576C5">
              <w:rPr>
                <w:b/>
              </w:rPr>
              <w:lastRenderedPageBreak/>
              <w:t>Administration costs</w:t>
            </w:r>
          </w:p>
        </w:tc>
        <w:tc>
          <w:tcPr>
            <w:tcW w:w="6379" w:type="dxa"/>
          </w:tcPr>
          <w:p w14:paraId="50CF52FF" w14:textId="77777777" w:rsidR="00A35488" w:rsidRPr="002576C5" w:rsidRDefault="00A35488" w:rsidP="00B8159C">
            <w:pPr>
              <w:pStyle w:val="TableBodyText"/>
              <w:keepNext w:val="0"/>
              <w:keepLines w:val="0"/>
              <w:spacing w:before="60" w:after="20"/>
              <w:jc w:val="left"/>
            </w:pPr>
            <w:r w:rsidRPr="002576C5">
              <w:t>Those costs associated with the administration offices of the property manager and tenancy manager. They include the general accounting and personnel function costs relating to:</w:t>
            </w:r>
          </w:p>
          <w:p w14:paraId="3CAFE963" w14:textId="77777777" w:rsidR="00A35488" w:rsidRPr="002576C5" w:rsidRDefault="00A35488" w:rsidP="00B8159C">
            <w:pPr>
              <w:pStyle w:val="TableBullet"/>
              <w:keepNext w:val="0"/>
              <w:keepLines w:val="0"/>
              <w:spacing w:after="0" w:line="60" w:lineRule="atLeast"/>
              <w:jc w:val="both"/>
            </w:pPr>
            <w:r w:rsidRPr="002576C5">
              <w:t>employee expenses (for example, superannuation, compensation, accrued leave and training)</w:t>
            </w:r>
          </w:p>
          <w:p w14:paraId="43995242" w14:textId="77777777" w:rsidR="00A35488" w:rsidRPr="002576C5" w:rsidRDefault="00A35488" w:rsidP="00B8159C">
            <w:pPr>
              <w:pStyle w:val="TableBullet"/>
              <w:keepNext w:val="0"/>
              <w:keepLines w:val="0"/>
              <w:spacing w:after="0" w:line="60" w:lineRule="atLeast"/>
              <w:jc w:val="both"/>
            </w:pPr>
            <w:r w:rsidRPr="002576C5">
              <w:t>supplies and services expenses (including stationery, postage, telephone, office equipment, information systems and vehicle expenses)</w:t>
            </w:r>
          </w:p>
          <w:p w14:paraId="6BF578E7" w14:textId="77777777" w:rsidR="00A35488" w:rsidRPr="002576C5" w:rsidRDefault="00A35488" w:rsidP="00B8159C">
            <w:pPr>
              <w:pStyle w:val="TableBullet"/>
              <w:keepNext w:val="0"/>
              <w:keepLines w:val="0"/>
              <w:spacing w:after="0" w:line="60" w:lineRule="atLeast"/>
              <w:jc w:val="both"/>
            </w:pPr>
            <w:r w:rsidRPr="002576C5">
              <w:t>rent</w:t>
            </w:r>
          </w:p>
          <w:p w14:paraId="432C2855" w14:textId="77777777" w:rsidR="00A35488" w:rsidRPr="002576C5" w:rsidRDefault="00A35488" w:rsidP="00B8159C">
            <w:pPr>
              <w:pStyle w:val="TableBullet"/>
              <w:keepNext w:val="0"/>
              <w:keepLines w:val="0"/>
              <w:spacing w:after="0" w:line="60" w:lineRule="atLeast"/>
              <w:jc w:val="both"/>
            </w:pPr>
            <w:r w:rsidRPr="002576C5">
              <w:t>grants and subsidies (excluding rental subsidies)</w:t>
            </w:r>
          </w:p>
          <w:p w14:paraId="10142CCF" w14:textId="77777777" w:rsidR="00A35488" w:rsidRPr="002576C5" w:rsidRDefault="00A35488" w:rsidP="00B8159C">
            <w:pPr>
              <w:pStyle w:val="TableBullet"/>
              <w:keepNext w:val="0"/>
              <w:keepLines w:val="0"/>
              <w:spacing w:after="0" w:line="60" w:lineRule="atLeast"/>
              <w:jc w:val="both"/>
            </w:pPr>
            <w:r w:rsidRPr="002576C5">
              <w:t>expenditure incurred by other government agencies on behalf of the public housing agency</w:t>
            </w:r>
          </w:p>
          <w:p w14:paraId="7107B233" w14:textId="77777777" w:rsidR="00A35488" w:rsidRPr="002576C5" w:rsidRDefault="00A35488" w:rsidP="00B8159C">
            <w:pPr>
              <w:pStyle w:val="TableBullet"/>
              <w:keepNext w:val="0"/>
              <w:keepLines w:val="0"/>
              <w:spacing w:after="0" w:line="60" w:lineRule="atLeast"/>
              <w:jc w:val="both"/>
            </w:pPr>
            <w:r w:rsidRPr="002576C5">
              <w:t>contracted public housing management services.</w:t>
            </w:r>
          </w:p>
        </w:tc>
      </w:tr>
      <w:tr w:rsidR="00A35488" w:rsidRPr="002576C5" w14:paraId="38FB11A7" w14:textId="77777777">
        <w:tc>
          <w:tcPr>
            <w:tcW w:w="2410" w:type="dxa"/>
          </w:tcPr>
          <w:p w14:paraId="3C447B64" w14:textId="77777777" w:rsidR="00A35488" w:rsidRPr="002576C5" w:rsidRDefault="00A35488" w:rsidP="00593BB1">
            <w:pPr>
              <w:pStyle w:val="TableBodyText"/>
              <w:keepNext w:val="0"/>
              <w:keepLines w:val="0"/>
              <w:spacing w:before="60" w:after="120"/>
              <w:jc w:val="left"/>
            </w:pPr>
            <w:r w:rsidRPr="002576C5">
              <w:rPr>
                <w:b/>
              </w:rPr>
              <w:t>Assessable income</w:t>
            </w:r>
          </w:p>
        </w:tc>
        <w:tc>
          <w:tcPr>
            <w:tcW w:w="6379" w:type="dxa"/>
          </w:tcPr>
          <w:p w14:paraId="2A3E7429" w14:textId="77777777" w:rsidR="00A35488" w:rsidRPr="002576C5" w:rsidRDefault="00A35488" w:rsidP="00593BB1">
            <w:pPr>
              <w:pStyle w:val="TableBodyText"/>
              <w:keepNext w:val="0"/>
              <w:keepLines w:val="0"/>
              <w:spacing w:before="60" w:after="120"/>
              <w:jc w:val="left"/>
            </w:pPr>
            <w:r w:rsidRPr="002576C5">
              <w:t xml:space="preserve">The income used to assess eligibility for housing assistance and to calculate the rental housing rebate that allows a household to pay a rent lower than the market rent. </w:t>
            </w:r>
            <w:r w:rsidR="001F26FD">
              <w:t xml:space="preserve">The components of income that are counted as assessable may vary </w:t>
            </w:r>
            <w:r w:rsidRPr="002576C5">
              <w:t>across jurisdictions.</w:t>
            </w:r>
          </w:p>
        </w:tc>
      </w:tr>
      <w:tr w:rsidR="00A35488" w:rsidRPr="002576C5" w14:paraId="3781B88C" w14:textId="77777777">
        <w:tc>
          <w:tcPr>
            <w:tcW w:w="2410" w:type="dxa"/>
          </w:tcPr>
          <w:p w14:paraId="12E0F575" w14:textId="77777777" w:rsidR="00A35488" w:rsidRPr="002576C5" w:rsidRDefault="00A35488" w:rsidP="00593BB1">
            <w:pPr>
              <w:pStyle w:val="TableBodyText"/>
              <w:keepNext w:val="0"/>
              <w:keepLines w:val="0"/>
              <w:spacing w:before="60" w:after="120"/>
              <w:jc w:val="left"/>
              <w:rPr>
                <w:b/>
              </w:rPr>
            </w:pPr>
            <w:r w:rsidRPr="002576C5">
              <w:rPr>
                <w:b/>
              </w:rPr>
              <w:t>Canadian National Occupancy Standard (CNOS)</w:t>
            </w:r>
          </w:p>
        </w:tc>
        <w:tc>
          <w:tcPr>
            <w:tcW w:w="6379" w:type="dxa"/>
          </w:tcPr>
          <w:p w14:paraId="5B354F69" w14:textId="77777777" w:rsidR="00A35488" w:rsidRPr="002576C5" w:rsidRDefault="00A35488" w:rsidP="00593BB1">
            <w:pPr>
              <w:pStyle w:val="TableBodyText"/>
              <w:keepNext w:val="0"/>
              <w:keepLines w:val="0"/>
              <w:spacing w:before="60" w:after="120"/>
              <w:jc w:val="left"/>
            </w:pPr>
            <w:r w:rsidRPr="002576C5">
              <w:t>A standardised measure of housing utilisation and overcrowding. This measure assesses a household</w:t>
            </w:r>
            <w:r>
              <w:t>’</w:t>
            </w:r>
            <w:r w:rsidRPr="002576C5">
              <w:t>s bedroom requirements by specifying that:</w:t>
            </w:r>
          </w:p>
          <w:p w14:paraId="27345B0B" w14:textId="77777777" w:rsidR="00A35488" w:rsidRPr="002576C5" w:rsidRDefault="00A35488" w:rsidP="00B8159C">
            <w:pPr>
              <w:pStyle w:val="TableBullet"/>
              <w:keepNext w:val="0"/>
              <w:keepLines w:val="0"/>
              <w:spacing w:before="40"/>
              <w:jc w:val="both"/>
            </w:pPr>
            <w:r w:rsidRPr="002576C5">
              <w:t>there should be no more than two people per bedroom</w:t>
            </w:r>
          </w:p>
          <w:p w14:paraId="1E957E0E" w14:textId="77777777" w:rsidR="00A35488" w:rsidRPr="002576C5" w:rsidRDefault="00A35488" w:rsidP="00B8159C">
            <w:pPr>
              <w:pStyle w:val="TableBullet"/>
              <w:keepNext w:val="0"/>
              <w:keepLines w:val="0"/>
              <w:spacing w:before="40"/>
              <w:jc w:val="both"/>
            </w:pPr>
            <w:r w:rsidRPr="002576C5">
              <w:t>a household of one unattached individual may reasonably occupy a bed–sit (i.e. have no bedroom)</w:t>
            </w:r>
          </w:p>
          <w:p w14:paraId="68119662" w14:textId="77777777" w:rsidR="00A35488" w:rsidRPr="002576C5" w:rsidRDefault="00A35488" w:rsidP="00B8159C">
            <w:pPr>
              <w:pStyle w:val="TableBullet"/>
              <w:keepNext w:val="0"/>
              <w:keepLines w:val="0"/>
              <w:spacing w:before="40"/>
              <w:jc w:val="both"/>
            </w:pPr>
            <w:r w:rsidRPr="002576C5">
              <w:t>couples and parents should have a separate bedroom</w:t>
            </w:r>
          </w:p>
          <w:p w14:paraId="05C30965" w14:textId="77777777" w:rsidR="00A35488" w:rsidRPr="002576C5" w:rsidRDefault="00A35488" w:rsidP="00B8159C">
            <w:pPr>
              <w:pStyle w:val="TableBullet"/>
              <w:keepNext w:val="0"/>
              <w:keepLines w:val="0"/>
              <w:spacing w:before="40"/>
              <w:jc w:val="both"/>
            </w:pPr>
            <w:r w:rsidRPr="002576C5">
              <w:t>children less than five years of age, of different sexes, may reasonably share a bedroom</w:t>
            </w:r>
          </w:p>
          <w:p w14:paraId="264C085D" w14:textId="77777777" w:rsidR="00A35488" w:rsidRPr="002576C5" w:rsidRDefault="00A35488" w:rsidP="00B8159C">
            <w:pPr>
              <w:pStyle w:val="TableBullet"/>
              <w:keepNext w:val="0"/>
              <w:keepLines w:val="0"/>
              <w:spacing w:before="40"/>
              <w:jc w:val="both"/>
            </w:pPr>
            <w:r w:rsidRPr="002576C5">
              <w:t>children five years of age or over, of the opposite sex, should not share a bedroom</w:t>
            </w:r>
          </w:p>
          <w:p w14:paraId="4DE992C1" w14:textId="77777777" w:rsidR="00A35488" w:rsidRPr="002576C5" w:rsidRDefault="00A35488" w:rsidP="00B8159C">
            <w:pPr>
              <w:pStyle w:val="TableBullet"/>
              <w:keepNext w:val="0"/>
              <w:keepLines w:val="0"/>
              <w:spacing w:before="40"/>
              <w:jc w:val="both"/>
            </w:pPr>
            <w:r w:rsidRPr="002576C5">
              <w:t>children less than 18 years of age and of the same sex may reasonably share a bedroom; and</w:t>
            </w:r>
          </w:p>
          <w:p w14:paraId="14AFCE15" w14:textId="77777777" w:rsidR="00A35488" w:rsidRPr="002576C5" w:rsidRDefault="00A35488" w:rsidP="00B8159C">
            <w:pPr>
              <w:pStyle w:val="TableBullet"/>
              <w:keepNext w:val="0"/>
              <w:keepLines w:val="0"/>
              <w:spacing w:before="40"/>
              <w:jc w:val="both"/>
            </w:pPr>
            <w:r w:rsidRPr="002576C5">
              <w:t>single household members aged 18 years or over should have a separate bedroom.</w:t>
            </w:r>
          </w:p>
        </w:tc>
      </w:tr>
      <w:tr w:rsidR="00A35488" w:rsidRPr="002576C5" w14:paraId="735338AC" w14:textId="77777777" w:rsidTr="00117DFD">
        <w:tc>
          <w:tcPr>
            <w:tcW w:w="2410" w:type="dxa"/>
            <w:shd w:val="clear" w:color="auto" w:fill="auto"/>
          </w:tcPr>
          <w:p w14:paraId="0691A030" w14:textId="77777777" w:rsidR="00A35488" w:rsidRPr="002576C5" w:rsidRDefault="00A35488" w:rsidP="00593BB1">
            <w:pPr>
              <w:pStyle w:val="TableBodyText"/>
              <w:keepNext w:val="0"/>
              <w:keepLines w:val="0"/>
              <w:spacing w:before="60" w:after="120"/>
              <w:jc w:val="left"/>
              <w:rPr>
                <w:b/>
              </w:rPr>
            </w:pPr>
            <w:r w:rsidRPr="002576C5">
              <w:rPr>
                <w:b/>
              </w:rPr>
              <w:t>Comparability</w:t>
            </w:r>
          </w:p>
        </w:tc>
        <w:tc>
          <w:tcPr>
            <w:tcW w:w="6379" w:type="dxa"/>
            <w:shd w:val="clear" w:color="auto" w:fill="auto"/>
          </w:tcPr>
          <w:p w14:paraId="1BBB164D" w14:textId="77777777" w:rsidR="00A35488" w:rsidRPr="002576C5" w:rsidRDefault="00A35488" w:rsidP="00593BB1">
            <w:pPr>
              <w:pStyle w:val="TableBodyText"/>
              <w:keepNext w:val="0"/>
              <w:keepLines w:val="0"/>
              <w:spacing w:before="60" w:after="120"/>
              <w:jc w:val="left"/>
            </w:pPr>
            <w:r w:rsidRPr="002576C5">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A35488" w:rsidRPr="002576C5" w14:paraId="07038538" w14:textId="77777777" w:rsidTr="00117DFD">
        <w:tc>
          <w:tcPr>
            <w:tcW w:w="2410" w:type="dxa"/>
            <w:shd w:val="clear" w:color="auto" w:fill="auto"/>
          </w:tcPr>
          <w:p w14:paraId="5AB2213C" w14:textId="77777777" w:rsidR="00A35488" w:rsidRPr="002576C5" w:rsidRDefault="00A35488" w:rsidP="00593BB1">
            <w:pPr>
              <w:pStyle w:val="TableBodyText"/>
              <w:keepNext w:val="0"/>
              <w:keepLines w:val="0"/>
              <w:spacing w:before="60" w:after="120"/>
              <w:jc w:val="left"/>
              <w:rPr>
                <w:b/>
              </w:rPr>
            </w:pPr>
            <w:r w:rsidRPr="002576C5">
              <w:rPr>
                <w:b/>
              </w:rPr>
              <w:t>Completeness</w:t>
            </w:r>
          </w:p>
        </w:tc>
        <w:tc>
          <w:tcPr>
            <w:tcW w:w="6379" w:type="dxa"/>
            <w:shd w:val="clear" w:color="auto" w:fill="auto"/>
          </w:tcPr>
          <w:p w14:paraId="7EB1D349" w14:textId="77777777" w:rsidR="00A35488" w:rsidRPr="002576C5" w:rsidRDefault="00A35488" w:rsidP="00593BB1">
            <w:pPr>
              <w:pStyle w:val="TableBodyText"/>
              <w:keepNext w:val="0"/>
              <w:keepLines w:val="0"/>
              <w:spacing w:before="60" w:after="120"/>
              <w:jc w:val="left"/>
            </w:pPr>
            <w:r w:rsidRPr="002576C5">
              <w:t>Data are considered complete if all required data are available for all jurisdictions that provide the service.</w:t>
            </w:r>
          </w:p>
        </w:tc>
      </w:tr>
      <w:tr w:rsidR="00A35488" w:rsidRPr="002576C5" w14:paraId="52A15821" w14:textId="77777777">
        <w:tc>
          <w:tcPr>
            <w:tcW w:w="2410" w:type="dxa"/>
          </w:tcPr>
          <w:p w14:paraId="2D1A65D3" w14:textId="77777777" w:rsidR="00A35488" w:rsidRPr="002576C5" w:rsidRDefault="00A35488" w:rsidP="00593BB1">
            <w:pPr>
              <w:pStyle w:val="TableBodyText"/>
              <w:keepNext w:val="0"/>
              <w:keepLines w:val="0"/>
              <w:spacing w:before="60" w:after="120"/>
              <w:jc w:val="left"/>
              <w:rPr>
                <w:b/>
              </w:rPr>
            </w:pPr>
            <w:r w:rsidRPr="002576C5">
              <w:rPr>
                <w:b/>
              </w:rPr>
              <w:t xml:space="preserve">Confidence intervals </w:t>
            </w:r>
          </w:p>
        </w:tc>
        <w:tc>
          <w:tcPr>
            <w:tcW w:w="6379" w:type="dxa"/>
          </w:tcPr>
          <w:p w14:paraId="68C11722" w14:textId="77777777" w:rsidR="00A35488" w:rsidRPr="002576C5" w:rsidRDefault="00A35488" w:rsidP="00593BB1">
            <w:pPr>
              <w:pStyle w:val="TableBodyText"/>
              <w:keepNext w:val="0"/>
              <w:keepLines w:val="0"/>
              <w:spacing w:before="60" w:after="120"/>
              <w:jc w:val="left"/>
            </w:pPr>
            <w:r w:rsidRPr="002576C5">
              <w:t>Survey data, for example data from the NSHS, are subject to sampling error because they are based on samples of the total population. Where survey data are shown in charts in this report, error bars are included, showing 95 per cent confidence intervals. There is a 95 per cent chance that the true value of the data item lies within the interval shown by the error bars.</w:t>
            </w:r>
          </w:p>
        </w:tc>
      </w:tr>
      <w:tr w:rsidR="00A35488" w:rsidRPr="002576C5" w14:paraId="448AC329" w14:textId="77777777">
        <w:tc>
          <w:tcPr>
            <w:tcW w:w="2410" w:type="dxa"/>
          </w:tcPr>
          <w:p w14:paraId="12BECF98" w14:textId="77777777" w:rsidR="00A35488" w:rsidRPr="002576C5" w:rsidRDefault="00A35488" w:rsidP="00593BB1">
            <w:pPr>
              <w:pStyle w:val="TableBodyText"/>
              <w:keepNext w:val="0"/>
              <w:keepLines w:val="0"/>
              <w:spacing w:before="60" w:after="120"/>
              <w:jc w:val="left"/>
            </w:pPr>
            <w:r w:rsidRPr="002576C5">
              <w:rPr>
                <w:b/>
              </w:rPr>
              <w:t>Depreciation costs</w:t>
            </w:r>
          </w:p>
        </w:tc>
        <w:tc>
          <w:tcPr>
            <w:tcW w:w="6379" w:type="dxa"/>
          </w:tcPr>
          <w:p w14:paraId="3D2EB962" w14:textId="77777777" w:rsidR="00A35488" w:rsidRPr="002576C5" w:rsidRDefault="00A35488" w:rsidP="00593BB1">
            <w:pPr>
              <w:pStyle w:val="TableBodyText"/>
              <w:keepNext w:val="0"/>
              <w:keepLines w:val="0"/>
              <w:spacing w:before="60" w:after="120"/>
              <w:jc w:val="left"/>
            </w:pPr>
            <w:r w:rsidRPr="002576C5">
              <w:rPr>
                <w:snapToGrid w:val="0"/>
                <w:lang w:val="en-US"/>
              </w:rPr>
              <w:t>Depreciation calculated on a straight–line basis at a rate that realistically represents the useful life of the asset (as per the Australian Accounting Standards 13–17).</w:t>
            </w:r>
          </w:p>
        </w:tc>
      </w:tr>
      <w:tr w:rsidR="00A35488" w:rsidRPr="002576C5" w14:paraId="2495F895" w14:textId="77777777" w:rsidTr="00133541">
        <w:tc>
          <w:tcPr>
            <w:tcW w:w="2410" w:type="dxa"/>
            <w:shd w:val="clear" w:color="auto" w:fill="auto"/>
          </w:tcPr>
          <w:p w14:paraId="1A6DDE94" w14:textId="77777777" w:rsidR="00A35488" w:rsidRPr="002576C5" w:rsidRDefault="00A35488" w:rsidP="00593BB1">
            <w:pPr>
              <w:pStyle w:val="TableBodyText"/>
              <w:keepNext w:val="0"/>
              <w:keepLines w:val="0"/>
              <w:spacing w:before="60" w:after="120"/>
              <w:jc w:val="left"/>
              <w:rPr>
                <w:snapToGrid w:val="0"/>
                <w:lang w:val="en-US"/>
              </w:rPr>
            </w:pPr>
            <w:r w:rsidRPr="002576C5">
              <w:rPr>
                <w:b/>
                <w:snapToGrid w:val="0"/>
              </w:rPr>
              <w:t>Disability</w:t>
            </w:r>
          </w:p>
        </w:tc>
        <w:tc>
          <w:tcPr>
            <w:tcW w:w="6379" w:type="dxa"/>
            <w:shd w:val="clear" w:color="auto" w:fill="auto"/>
          </w:tcPr>
          <w:p w14:paraId="04008FB6" w14:textId="77777777" w:rsidR="00A35488" w:rsidRPr="002576C5" w:rsidRDefault="00A35488" w:rsidP="00593BB1">
            <w:pPr>
              <w:pStyle w:val="TableBodyText"/>
              <w:keepNext w:val="0"/>
              <w:keepLines w:val="0"/>
              <w:spacing w:before="60" w:after="120"/>
              <w:jc w:val="left"/>
              <w:rPr>
                <w:snapToGrid w:val="0"/>
              </w:rPr>
            </w:pPr>
            <w:r w:rsidRPr="002576C5">
              <w:rPr>
                <w:snapToGrid w:val="0"/>
              </w:rPr>
              <w:t>Households with a member with disability are defined as households in which at least one member always or sometimes needs assistance with self</w:t>
            </w:r>
            <w:r>
              <w:rPr>
                <w:snapToGrid w:val="0"/>
              </w:rPr>
              <w:noBreakHyphen/>
            </w:r>
            <w:r w:rsidRPr="002576C5">
              <w:rPr>
                <w:snapToGrid w:val="0"/>
              </w:rPr>
              <w:t>care activities, body movement activities or communication, and the reason for needing assistance is either ‘long</w:t>
            </w:r>
            <w:r w:rsidRPr="002576C5">
              <w:rPr>
                <w:snapToGrid w:val="0"/>
              </w:rPr>
              <w:noBreakHyphen/>
              <w:t>term health condition lasting six months or more’ or ‘disability’.</w:t>
            </w:r>
          </w:p>
        </w:tc>
      </w:tr>
      <w:tr w:rsidR="00A35488" w:rsidRPr="002576C5" w14:paraId="5BFB50D9" w14:textId="77777777">
        <w:tc>
          <w:tcPr>
            <w:tcW w:w="2410" w:type="dxa"/>
          </w:tcPr>
          <w:p w14:paraId="286E4033" w14:textId="77777777" w:rsidR="00A35488" w:rsidRPr="002576C5" w:rsidRDefault="00A35488" w:rsidP="00593BB1">
            <w:pPr>
              <w:pStyle w:val="TableBodyText"/>
              <w:keepNext w:val="0"/>
              <w:keepLines w:val="0"/>
              <w:spacing w:before="60" w:after="120"/>
              <w:jc w:val="left"/>
              <w:rPr>
                <w:rFonts w:ascii="Times New Roman" w:hAnsi="Times New Roman"/>
              </w:rPr>
            </w:pPr>
            <w:r w:rsidRPr="002576C5">
              <w:br w:type="page"/>
            </w:r>
            <w:r w:rsidRPr="002576C5">
              <w:rPr>
                <w:rFonts w:ascii="Times New Roman" w:hAnsi="Times New Roman"/>
              </w:rPr>
              <w:br w:type="page"/>
            </w:r>
            <w:r w:rsidRPr="002576C5">
              <w:rPr>
                <w:b/>
              </w:rPr>
              <w:t>Dwelling</w:t>
            </w:r>
          </w:p>
        </w:tc>
        <w:tc>
          <w:tcPr>
            <w:tcW w:w="6379" w:type="dxa"/>
          </w:tcPr>
          <w:p w14:paraId="28A1B6BA" w14:textId="77777777" w:rsidR="00A35488" w:rsidRPr="002576C5" w:rsidRDefault="00A35488" w:rsidP="00593BB1">
            <w:pPr>
              <w:pStyle w:val="TableBodyText"/>
              <w:keepNext w:val="0"/>
              <w:keepLines w:val="0"/>
              <w:spacing w:before="60" w:after="120"/>
              <w:jc w:val="left"/>
            </w:pPr>
            <w:r w:rsidRPr="002576C5">
              <w:t xml:space="preserve">A structure or a discrete space within a structure intended for people to live in or where a person or group of people live. Thus, a structure that people actually live in is a dwelling regardless of its intended purpose, but a vacant structure is a dwelling only if intended for human residence. A dwelling may </w:t>
            </w:r>
            <w:r w:rsidRPr="002576C5">
              <w:lastRenderedPageBreak/>
              <w:t>include one or more rooms that is/are used as an office or workshop, provided the dwelling is in residential use. Dwelling types include:</w:t>
            </w:r>
          </w:p>
          <w:p w14:paraId="5EEBBB03" w14:textId="77777777" w:rsidR="00A35488" w:rsidRPr="002576C5" w:rsidRDefault="00A35488" w:rsidP="00B8159C">
            <w:pPr>
              <w:pStyle w:val="TableBullet"/>
              <w:keepNext w:val="0"/>
              <w:keepLines w:val="0"/>
              <w:spacing w:before="40"/>
              <w:jc w:val="both"/>
            </w:pPr>
            <w:r w:rsidRPr="002576C5">
              <w:t>a separate house</w:t>
            </w:r>
          </w:p>
          <w:p w14:paraId="147239D5" w14:textId="77777777" w:rsidR="00A35488" w:rsidRPr="002576C5" w:rsidRDefault="00A35488" w:rsidP="00B8159C">
            <w:pPr>
              <w:pStyle w:val="TableBullet"/>
              <w:keepNext w:val="0"/>
              <w:keepLines w:val="0"/>
              <w:spacing w:before="40"/>
              <w:jc w:val="both"/>
            </w:pPr>
            <w:r w:rsidRPr="002576C5">
              <w:t>a semi–detached, row or terrace house, townhouse, etc.</w:t>
            </w:r>
          </w:p>
          <w:p w14:paraId="7D216EC0" w14:textId="77777777" w:rsidR="00A35488" w:rsidRPr="002576C5" w:rsidRDefault="00A35488" w:rsidP="00B8159C">
            <w:pPr>
              <w:pStyle w:val="TableBullet"/>
              <w:keepNext w:val="0"/>
              <w:keepLines w:val="0"/>
              <w:spacing w:before="40"/>
              <w:jc w:val="both"/>
            </w:pPr>
            <w:r w:rsidRPr="002576C5">
              <w:t>a flat, unit or apartment; caravan, tent, cabin etc. either in or not in a caravan park; houseboat in marina, etc.</w:t>
            </w:r>
          </w:p>
          <w:p w14:paraId="06A2BBCE" w14:textId="77777777" w:rsidR="00A35488" w:rsidRPr="002576C5" w:rsidRDefault="00A35488" w:rsidP="00B8159C">
            <w:pPr>
              <w:pStyle w:val="TableBullet"/>
              <w:keepNext w:val="0"/>
              <w:keepLines w:val="0"/>
              <w:spacing w:before="40"/>
              <w:jc w:val="both"/>
            </w:pPr>
            <w:r w:rsidRPr="002576C5">
              <w:t>an improvised home, tent, camper</w:t>
            </w:r>
          </w:p>
          <w:p w14:paraId="2C0B91A6" w14:textId="77777777" w:rsidR="00A35488" w:rsidRPr="002576C5" w:rsidRDefault="00A35488" w:rsidP="00B8159C">
            <w:pPr>
              <w:pStyle w:val="TableBullet"/>
              <w:keepNext w:val="0"/>
              <w:keepLines w:val="0"/>
              <w:spacing w:before="40"/>
              <w:jc w:val="both"/>
            </w:pPr>
            <w:r w:rsidRPr="002576C5">
              <w:t>a house or flat attached to a shop, office, etc.</w:t>
            </w:r>
          </w:p>
          <w:p w14:paraId="52DF4F8A" w14:textId="77777777" w:rsidR="00A35488" w:rsidRPr="002576C5" w:rsidRDefault="00A35488" w:rsidP="00B8159C">
            <w:pPr>
              <w:pStyle w:val="TableBullet"/>
              <w:keepNext w:val="0"/>
              <w:keepLines w:val="0"/>
              <w:spacing w:before="40"/>
              <w:jc w:val="both"/>
            </w:pPr>
            <w:r w:rsidRPr="002576C5">
              <w:t>a boarding/rooming house unit.</w:t>
            </w:r>
          </w:p>
        </w:tc>
      </w:tr>
      <w:tr w:rsidR="00A35488" w:rsidRPr="002576C5" w14:paraId="726E65AB" w14:textId="77777777" w:rsidTr="00A17C2C">
        <w:tc>
          <w:tcPr>
            <w:tcW w:w="2410" w:type="dxa"/>
            <w:shd w:val="clear" w:color="auto" w:fill="auto"/>
          </w:tcPr>
          <w:p w14:paraId="53598E5D" w14:textId="77777777" w:rsidR="00A35488" w:rsidRPr="002576C5" w:rsidRDefault="00A35488" w:rsidP="00593BB1">
            <w:pPr>
              <w:pStyle w:val="TableBodyText"/>
              <w:keepNext w:val="0"/>
              <w:keepLines w:val="0"/>
              <w:spacing w:before="60" w:after="120"/>
              <w:jc w:val="left"/>
              <w:rPr>
                <w:b/>
              </w:rPr>
            </w:pPr>
            <w:r w:rsidRPr="002576C5">
              <w:rPr>
                <w:b/>
              </w:rPr>
              <w:lastRenderedPageBreak/>
              <w:t>Equivalisation</w:t>
            </w:r>
          </w:p>
        </w:tc>
        <w:tc>
          <w:tcPr>
            <w:tcW w:w="6379" w:type="dxa"/>
            <w:shd w:val="clear" w:color="auto" w:fill="auto"/>
          </w:tcPr>
          <w:p w14:paraId="2DB77774" w14:textId="7911C2D8" w:rsidR="00A35488" w:rsidRPr="002576C5" w:rsidRDefault="009C72EB" w:rsidP="00593BB1">
            <w:pPr>
              <w:pStyle w:val="TableBodyText"/>
              <w:keepNext w:val="0"/>
              <w:keepLines w:val="0"/>
              <w:spacing w:before="60" w:after="120"/>
              <w:jc w:val="left"/>
            </w:pPr>
            <w:r w:rsidRPr="009C72EB">
              <w:t>See low income households entry.</w:t>
            </w:r>
          </w:p>
        </w:tc>
      </w:tr>
      <w:tr w:rsidR="00A35488" w:rsidRPr="002576C5" w14:paraId="5076A056" w14:textId="77777777" w:rsidTr="00706AF3">
        <w:tc>
          <w:tcPr>
            <w:tcW w:w="2410" w:type="dxa"/>
          </w:tcPr>
          <w:p w14:paraId="103F4ABC" w14:textId="77777777" w:rsidR="00A35488" w:rsidRPr="002576C5" w:rsidRDefault="00A35488" w:rsidP="00593BB1">
            <w:pPr>
              <w:pStyle w:val="TableBodyText"/>
              <w:keepNext w:val="0"/>
              <w:keepLines w:val="0"/>
              <w:spacing w:before="60" w:after="120"/>
              <w:jc w:val="left"/>
            </w:pPr>
            <w:r w:rsidRPr="002576C5">
              <w:rPr>
                <w:b/>
              </w:rPr>
              <w:t>Greatest need</w:t>
            </w:r>
          </w:p>
        </w:tc>
        <w:tc>
          <w:tcPr>
            <w:tcW w:w="6379" w:type="dxa"/>
          </w:tcPr>
          <w:p w14:paraId="6722BA47" w14:textId="77777777" w:rsidR="00A35488" w:rsidRPr="002576C5" w:rsidRDefault="0088785E" w:rsidP="00593BB1">
            <w:pPr>
              <w:pStyle w:val="TableBodyText"/>
              <w:keepNext w:val="0"/>
              <w:keepLines w:val="0"/>
              <w:spacing w:before="60" w:after="120"/>
              <w:jc w:val="left"/>
            </w:pPr>
            <w:r>
              <w:t>Applies to low</w:t>
            </w:r>
            <w:r>
              <w:noBreakHyphen/>
            </w:r>
            <w:r w:rsidR="00A35488" w:rsidRPr="002576C5">
              <w:t>income households if, at the time of allocation, household members were subject to one or more of the following circumstances:</w:t>
            </w:r>
          </w:p>
          <w:p w14:paraId="3A512789" w14:textId="77777777" w:rsidR="00A35488" w:rsidRPr="002576C5" w:rsidRDefault="00A35488" w:rsidP="00B8159C">
            <w:pPr>
              <w:pStyle w:val="TableBullet"/>
              <w:keepNext w:val="0"/>
              <w:keepLines w:val="0"/>
              <w:spacing w:before="40"/>
              <w:jc w:val="both"/>
            </w:pPr>
            <w:r w:rsidRPr="002576C5">
              <w:t>they were homeless</w:t>
            </w:r>
          </w:p>
          <w:p w14:paraId="56668244" w14:textId="77777777" w:rsidR="00A35488" w:rsidRPr="002576C5" w:rsidRDefault="00A35488" w:rsidP="00B8159C">
            <w:pPr>
              <w:pStyle w:val="TableBullet"/>
              <w:keepNext w:val="0"/>
              <w:keepLines w:val="0"/>
              <w:spacing w:before="40"/>
              <w:jc w:val="both"/>
            </w:pPr>
            <w:r w:rsidRPr="002576C5">
              <w:t>their life or safety was at risk in their accommodation</w:t>
            </w:r>
          </w:p>
          <w:p w14:paraId="35A06031" w14:textId="77777777" w:rsidR="00A35488" w:rsidRPr="002576C5" w:rsidRDefault="00A35488" w:rsidP="00B8159C">
            <w:pPr>
              <w:pStyle w:val="TableBullet"/>
              <w:keepNext w:val="0"/>
              <w:keepLines w:val="0"/>
              <w:spacing w:before="40"/>
              <w:jc w:val="both"/>
            </w:pPr>
            <w:r w:rsidRPr="002576C5">
              <w:t>their health condition was aggravated by their housing</w:t>
            </w:r>
          </w:p>
          <w:p w14:paraId="64970A72" w14:textId="77777777" w:rsidR="00A35488" w:rsidRPr="002576C5" w:rsidRDefault="00A35488" w:rsidP="00B8159C">
            <w:pPr>
              <w:pStyle w:val="TableBullet"/>
              <w:keepNext w:val="0"/>
              <w:keepLines w:val="0"/>
              <w:spacing w:before="40"/>
              <w:jc w:val="both"/>
            </w:pPr>
            <w:r w:rsidRPr="002576C5">
              <w:t>their housing was inappropriate to their needs</w:t>
            </w:r>
          </w:p>
          <w:p w14:paraId="11789EAB" w14:textId="77777777" w:rsidR="00A35488" w:rsidRPr="002576C5" w:rsidRDefault="00A35488" w:rsidP="00B8159C">
            <w:pPr>
              <w:pStyle w:val="TableBullet"/>
              <w:keepNext w:val="0"/>
              <w:keepLines w:val="0"/>
              <w:spacing w:before="40"/>
              <w:jc w:val="both"/>
            </w:pPr>
            <w:r w:rsidRPr="002576C5">
              <w:t>they had very high rental housing costs.</w:t>
            </w:r>
          </w:p>
          <w:p w14:paraId="5B6BC522" w14:textId="77777777" w:rsidR="00A35488" w:rsidRPr="002576C5" w:rsidRDefault="00A35488" w:rsidP="0088785E">
            <w:pPr>
              <w:pStyle w:val="TableBodyText"/>
              <w:keepNext w:val="0"/>
              <w:keepLines w:val="0"/>
              <w:spacing w:before="120" w:after="120"/>
              <w:jc w:val="both"/>
            </w:pPr>
            <w:r w:rsidRPr="002576C5">
              <w:t>A low–income household for the greatest need definition is a household that satisfies an eligibility test to receive housing assistance.</w:t>
            </w:r>
          </w:p>
        </w:tc>
      </w:tr>
      <w:tr w:rsidR="00A35488" w:rsidRPr="002576C5" w14:paraId="28EB22FC" w14:textId="77777777" w:rsidTr="00706AF3">
        <w:tc>
          <w:tcPr>
            <w:tcW w:w="2410" w:type="dxa"/>
            <w:shd w:val="clear" w:color="auto" w:fill="auto"/>
          </w:tcPr>
          <w:p w14:paraId="368D2B74" w14:textId="77777777" w:rsidR="00A35488" w:rsidRDefault="00A35488" w:rsidP="00706AF3">
            <w:pPr>
              <w:pStyle w:val="TableBodyText"/>
              <w:keepNext w:val="0"/>
              <w:keepLines w:val="0"/>
              <w:spacing w:before="60" w:after="120"/>
              <w:jc w:val="left"/>
              <w:rPr>
                <w:b/>
              </w:rPr>
            </w:pPr>
            <w:r w:rsidRPr="002576C5">
              <w:rPr>
                <w:b/>
              </w:rPr>
              <w:t>Household</w:t>
            </w:r>
          </w:p>
          <w:p w14:paraId="60C8D775" w14:textId="77777777" w:rsidR="00222451" w:rsidRDefault="00222451" w:rsidP="00706AF3">
            <w:pPr>
              <w:pStyle w:val="TableBodyText"/>
              <w:keepNext w:val="0"/>
              <w:keepLines w:val="0"/>
              <w:spacing w:before="60" w:after="120"/>
              <w:jc w:val="left"/>
              <w:rPr>
                <w:b/>
              </w:rPr>
            </w:pPr>
          </w:p>
          <w:p w14:paraId="13FE86F0" w14:textId="77777777" w:rsidR="00222451" w:rsidRDefault="00222451" w:rsidP="00706AF3">
            <w:pPr>
              <w:pStyle w:val="TableBodyText"/>
              <w:keepNext w:val="0"/>
              <w:keepLines w:val="0"/>
              <w:spacing w:before="60" w:after="120"/>
              <w:jc w:val="left"/>
              <w:rPr>
                <w:b/>
              </w:rPr>
            </w:pPr>
          </w:p>
          <w:p w14:paraId="268B5A17" w14:textId="77777777" w:rsidR="00222451" w:rsidRDefault="00222451" w:rsidP="00706AF3">
            <w:pPr>
              <w:pStyle w:val="TableBodyText"/>
              <w:keepNext w:val="0"/>
              <w:keepLines w:val="0"/>
              <w:spacing w:before="60" w:after="120"/>
              <w:jc w:val="left"/>
              <w:rPr>
                <w:b/>
              </w:rPr>
            </w:pPr>
          </w:p>
          <w:p w14:paraId="4B0BE0F9" w14:textId="77777777" w:rsidR="00222451" w:rsidRDefault="00222451" w:rsidP="00706AF3">
            <w:pPr>
              <w:pStyle w:val="TableBodyText"/>
              <w:keepNext w:val="0"/>
              <w:keepLines w:val="0"/>
              <w:spacing w:before="60" w:after="120"/>
              <w:jc w:val="left"/>
              <w:rPr>
                <w:b/>
              </w:rPr>
            </w:pPr>
          </w:p>
          <w:p w14:paraId="71F1EE2A" w14:textId="77777777" w:rsidR="00222451" w:rsidRPr="002576C5" w:rsidRDefault="00222451" w:rsidP="00706AF3">
            <w:pPr>
              <w:pStyle w:val="TableBodyText"/>
              <w:keepNext w:val="0"/>
              <w:keepLines w:val="0"/>
              <w:spacing w:before="60" w:after="120"/>
              <w:jc w:val="left"/>
            </w:pPr>
          </w:p>
        </w:tc>
        <w:tc>
          <w:tcPr>
            <w:tcW w:w="6379" w:type="dxa"/>
            <w:shd w:val="clear" w:color="auto" w:fill="auto"/>
          </w:tcPr>
          <w:p w14:paraId="694AA2D0" w14:textId="77777777" w:rsidR="00A35488" w:rsidRPr="002576C5" w:rsidRDefault="00A35488" w:rsidP="00593BB1">
            <w:pPr>
              <w:pStyle w:val="TableBodyText"/>
              <w:keepNext w:val="0"/>
              <w:keepLines w:val="0"/>
              <w:spacing w:before="60" w:after="120"/>
              <w:jc w:val="left"/>
            </w:pPr>
            <w:r w:rsidRPr="002576C5">
              <w:t xml:space="preserve">The grouping of people living in a dwelling. Household composition is based on couple and parent–child relationships. A </w:t>
            </w:r>
            <w:r w:rsidRPr="002576C5">
              <w:rPr>
                <w:i/>
                <w:iCs/>
              </w:rPr>
              <w:t>single</w:t>
            </w:r>
            <w:r>
              <w:rPr>
                <w:i/>
                <w:iCs/>
              </w:rPr>
              <w:noBreakHyphen/>
            </w:r>
            <w:r w:rsidRPr="002576C5">
              <w:rPr>
                <w:i/>
                <w:iCs/>
              </w:rPr>
              <w:t xml:space="preserve">family </w:t>
            </w:r>
            <w:r w:rsidRPr="002576C5">
              <w:t xml:space="preserve">household contains a main tenant only, or a main tenant residing with a partner and/or the main tenant’s children. </w:t>
            </w:r>
            <w:r w:rsidRPr="002576C5">
              <w:rPr>
                <w:i/>
                <w:iCs/>
              </w:rPr>
              <w:t xml:space="preserve">Group households </w:t>
            </w:r>
            <w:r w:rsidRPr="002576C5">
              <w:t xml:space="preserve">consist of 2 or more tenants aged 16 or over who are not in a couple or parent–child relationship. </w:t>
            </w:r>
            <w:r w:rsidRPr="002576C5">
              <w:rPr>
                <w:i/>
                <w:iCs/>
              </w:rPr>
              <w:t xml:space="preserve">Mixed households </w:t>
            </w:r>
            <w:r w:rsidRPr="002576C5">
              <w:t>are households not described by the other two types</w:t>
            </w:r>
            <w:r>
              <w:t xml:space="preserve"> </w:t>
            </w:r>
            <w:r w:rsidRPr="002576C5">
              <w:t>—</w:t>
            </w:r>
            <w:r>
              <w:t xml:space="preserve"> </w:t>
            </w:r>
            <w:r w:rsidRPr="002576C5">
              <w:t>for example, multiple single</w:t>
            </w:r>
            <w:r>
              <w:noBreakHyphen/>
            </w:r>
            <w:r w:rsidRPr="002576C5">
              <w:t>family households.</w:t>
            </w:r>
          </w:p>
          <w:p w14:paraId="6F54F295" w14:textId="36C95B89" w:rsidR="00A35488" w:rsidRPr="002576C5" w:rsidRDefault="00A35488" w:rsidP="005C3D8D">
            <w:pPr>
              <w:pStyle w:val="TableBodyText"/>
              <w:keepNext w:val="0"/>
              <w:keepLines w:val="0"/>
              <w:spacing w:before="120" w:after="120"/>
              <w:jc w:val="both"/>
            </w:pPr>
            <w:r w:rsidRPr="00706AF3">
              <w:t>For the purpose of the community housing collection, the number of tenancy agreements is the proxy for counting the number of households. A tenancy agreement is defined as a formal written agreement between a household (a person or group of people) and a housing provider, specifying details of a tenancy for a particular dwelling.</w:t>
            </w:r>
          </w:p>
        </w:tc>
      </w:tr>
      <w:tr w:rsidR="00B12A3B" w:rsidRPr="00B12A3B" w14:paraId="05C878C2" w14:textId="77777777" w:rsidTr="00A17C2C">
        <w:tc>
          <w:tcPr>
            <w:tcW w:w="2410" w:type="dxa"/>
            <w:shd w:val="clear" w:color="auto" w:fill="auto"/>
          </w:tcPr>
          <w:p w14:paraId="5FA9E3E7" w14:textId="77777777" w:rsidR="00CD4139" w:rsidRPr="00B12A3B" w:rsidRDefault="00CD4139" w:rsidP="00593BB1">
            <w:pPr>
              <w:pStyle w:val="TableBodyText"/>
              <w:keepNext w:val="0"/>
              <w:keepLines w:val="0"/>
              <w:spacing w:before="60" w:after="120"/>
              <w:jc w:val="left"/>
            </w:pPr>
            <w:r w:rsidRPr="00B12A3B">
              <w:rPr>
                <w:b/>
              </w:rPr>
              <w:t>Low income households</w:t>
            </w:r>
          </w:p>
        </w:tc>
        <w:tc>
          <w:tcPr>
            <w:tcW w:w="6379" w:type="dxa"/>
            <w:shd w:val="clear" w:color="auto" w:fill="auto"/>
          </w:tcPr>
          <w:p w14:paraId="13990444" w14:textId="77777777" w:rsidR="00CD4139" w:rsidRPr="00B12A3B" w:rsidRDefault="00CD4139" w:rsidP="00593BB1">
            <w:pPr>
              <w:pStyle w:val="TableBodyText"/>
              <w:keepNext w:val="0"/>
              <w:keepLines w:val="0"/>
              <w:spacing w:before="60" w:after="120"/>
              <w:jc w:val="left"/>
            </w:pPr>
            <w:r w:rsidRPr="00B12A3B">
              <w:t xml:space="preserve">For the purpose of social housing affordability </w:t>
            </w:r>
            <w:r w:rsidR="00F109CF" w:rsidRPr="00B12A3B">
              <w:t>analyses</w:t>
            </w:r>
            <w:r w:rsidRPr="00B12A3B">
              <w:t>, ‘low income households’ are defined as those in the bottom 40 per cent of equivalised gross household income. (Different definitions of low income households are used for different p</w:t>
            </w:r>
            <w:r w:rsidR="008B1B46">
              <w:t>urposes by the ABS and others.)</w:t>
            </w:r>
          </w:p>
          <w:p w14:paraId="70455507" w14:textId="77777777" w:rsidR="00CD4139" w:rsidRPr="00B12A3B" w:rsidRDefault="00E246E3" w:rsidP="0088785E">
            <w:pPr>
              <w:pStyle w:val="TableBodyText"/>
              <w:keepNext w:val="0"/>
              <w:keepLines w:val="0"/>
              <w:spacing w:before="120" w:after="120"/>
              <w:jc w:val="both"/>
              <w:rPr>
                <w:u w:val="single"/>
              </w:rPr>
            </w:pPr>
            <w:r>
              <w:rPr>
                <w:u w:val="single"/>
              </w:rPr>
              <w:t>Equivalisation</w:t>
            </w:r>
          </w:p>
          <w:p w14:paraId="2EDBF3D1" w14:textId="77777777" w:rsidR="00CD4139" w:rsidRPr="00B12A3B" w:rsidRDefault="00CD4139" w:rsidP="0088785E">
            <w:pPr>
              <w:pStyle w:val="TableBodyText"/>
              <w:keepNext w:val="0"/>
              <w:keepLines w:val="0"/>
              <w:spacing w:before="120" w:after="120"/>
              <w:jc w:val="both"/>
            </w:pPr>
            <w:r w:rsidRPr="00B12A3B">
              <w:t>Increased household size is associated with increased consumption needs, but also with economies of scale. An equivalence scale is used to adjust household incomes to take account of the economies that flow from sharing resources, enabling more meaningful comparisons across different types of households.</w:t>
            </w:r>
          </w:p>
          <w:p w14:paraId="47255F95" w14:textId="77777777" w:rsidR="00CD4139" w:rsidRPr="00B12A3B" w:rsidRDefault="00CD4139" w:rsidP="0088785E">
            <w:pPr>
              <w:pStyle w:val="TableBodyText"/>
              <w:keepNext w:val="0"/>
              <w:keepLines w:val="0"/>
              <w:spacing w:before="120" w:after="120"/>
              <w:jc w:val="both"/>
            </w:pPr>
            <w:r w:rsidRPr="00B12A3B">
              <w:t xml:space="preserve">The ABS provides low </w:t>
            </w:r>
            <w:r w:rsidR="00CB4472" w:rsidRPr="00B12A3B">
              <w:t xml:space="preserve">income household </w:t>
            </w:r>
            <w:r w:rsidRPr="00B12A3B">
              <w:t>equivalised gross income cutoffs</w:t>
            </w:r>
            <w:r w:rsidR="00B12A3B">
              <w:t xml:space="preserve"> </w:t>
            </w:r>
            <w:r w:rsidRPr="00B12A3B">
              <w:t>derived from the biennial Su</w:t>
            </w:r>
            <w:r w:rsidR="00B12A3B">
              <w:t>rvey of Income and Housing data</w:t>
            </w:r>
            <w:r w:rsidRPr="00B12A3B">
              <w:t xml:space="preserve"> to the AIHW.</w:t>
            </w:r>
            <w:r w:rsidR="00C03F81" w:rsidRPr="00B12A3B">
              <w:t xml:space="preserve"> </w:t>
            </w:r>
            <w:r w:rsidRPr="00B12A3B">
              <w:t>The AIHW determines the equivalised gross household income for social housing households for affordability analyses.</w:t>
            </w:r>
          </w:p>
          <w:p w14:paraId="7FD0BBFB" w14:textId="77777777" w:rsidR="00CD4139" w:rsidRPr="00B12A3B" w:rsidRDefault="00CD4139" w:rsidP="0088785E">
            <w:pPr>
              <w:pStyle w:val="TableBodyText"/>
              <w:keepNext w:val="0"/>
              <w:keepLines w:val="0"/>
              <w:spacing w:before="120" w:after="120"/>
              <w:jc w:val="both"/>
              <w:rPr>
                <w:b/>
              </w:rPr>
            </w:pPr>
            <w:r w:rsidRPr="00B12A3B">
              <w:t xml:space="preserve">Note that equivalised gross household income is not used to determine eligibility for social housing or rental subsidies </w:t>
            </w:r>
            <w:r w:rsidR="00E03C99" w:rsidRPr="00B12A3B">
              <w:t>(</w:t>
            </w:r>
            <w:r w:rsidRPr="00B12A3B">
              <w:t>see ‘assessable income’</w:t>
            </w:r>
            <w:r w:rsidR="00E03C99" w:rsidRPr="00B12A3B">
              <w:t>)</w:t>
            </w:r>
            <w:r w:rsidRPr="00B12A3B">
              <w:t>.</w:t>
            </w:r>
          </w:p>
        </w:tc>
      </w:tr>
      <w:tr w:rsidR="00A35488" w:rsidRPr="002576C5" w14:paraId="088AA64E" w14:textId="77777777" w:rsidTr="005329F4">
        <w:tc>
          <w:tcPr>
            <w:tcW w:w="2410" w:type="dxa"/>
          </w:tcPr>
          <w:p w14:paraId="76CD6598" w14:textId="77777777" w:rsidR="00A35488" w:rsidRPr="002576C5" w:rsidRDefault="00A35488" w:rsidP="00593BB1">
            <w:pPr>
              <w:pStyle w:val="TableBodyText"/>
              <w:keepNext w:val="0"/>
              <w:keepLines w:val="0"/>
              <w:spacing w:before="60" w:after="120"/>
              <w:jc w:val="left"/>
            </w:pPr>
            <w:r w:rsidRPr="002576C5">
              <w:rPr>
                <w:b/>
              </w:rPr>
              <w:t>Maintenance costs</w:t>
            </w:r>
          </w:p>
        </w:tc>
        <w:tc>
          <w:tcPr>
            <w:tcW w:w="6379" w:type="dxa"/>
          </w:tcPr>
          <w:p w14:paraId="40BF5E1F" w14:textId="77777777" w:rsidR="00A35488" w:rsidRPr="002576C5" w:rsidRDefault="00A35488" w:rsidP="00593BB1">
            <w:pPr>
              <w:pStyle w:val="TableBodyText"/>
              <w:keepNext w:val="0"/>
              <w:keepLines w:val="0"/>
              <w:spacing w:before="60" w:after="120"/>
              <w:jc w:val="left"/>
            </w:pPr>
            <w:r w:rsidRPr="002576C5">
              <w:t>Costs incurred to maintain the value of the asset or to restore an asset to its original condition. The definition includes day–to–day maintenance reflecting general wear and tear, cyclical maintenance, performed as part of a planned maintenance program and other maintenance, such as repairs as a result of vandalism.</w:t>
            </w:r>
          </w:p>
        </w:tc>
      </w:tr>
      <w:tr w:rsidR="00A35488" w:rsidRPr="002576C5" w14:paraId="5311C85A" w14:textId="77777777" w:rsidTr="005329F4">
        <w:tc>
          <w:tcPr>
            <w:tcW w:w="2410" w:type="dxa"/>
          </w:tcPr>
          <w:p w14:paraId="4A1AA60C" w14:textId="0FEC1E21" w:rsidR="00222451" w:rsidRPr="00222451" w:rsidRDefault="00A35488" w:rsidP="00222451">
            <w:pPr>
              <w:pStyle w:val="TableBodyText"/>
              <w:keepNext w:val="0"/>
              <w:keepLines w:val="0"/>
              <w:pBdr>
                <w:left w:val="single" w:sz="6" w:space="4" w:color="auto"/>
              </w:pBdr>
              <w:spacing w:before="60" w:after="120"/>
              <w:jc w:val="left"/>
              <w:rPr>
                <w:b/>
              </w:rPr>
            </w:pPr>
            <w:r w:rsidRPr="002576C5">
              <w:rPr>
                <w:b/>
              </w:rPr>
              <w:lastRenderedPageBreak/>
              <w:t>Market rent</w:t>
            </w:r>
          </w:p>
        </w:tc>
        <w:tc>
          <w:tcPr>
            <w:tcW w:w="6379" w:type="dxa"/>
            <w:shd w:val="clear" w:color="auto" w:fill="auto"/>
          </w:tcPr>
          <w:p w14:paraId="7B60FE89" w14:textId="65C9722E" w:rsidR="00A35488" w:rsidRPr="002576C5" w:rsidRDefault="005C3D8D" w:rsidP="00593BB1">
            <w:pPr>
              <w:pStyle w:val="TableBodyText"/>
              <w:keepNext w:val="0"/>
              <w:keepLines w:val="0"/>
              <w:spacing w:before="60" w:after="120"/>
              <w:jc w:val="left"/>
            </w:pPr>
            <w:r>
              <w:t>R</w:t>
            </w:r>
            <w:r w:rsidR="00A35488" w:rsidRPr="002576C5">
              <w:t>ent that would be collected if the public rental housing properties were available in the private market.</w:t>
            </w:r>
          </w:p>
        </w:tc>
      </w:tr>
      <w:tr w:rsidR="00593BB1" w:rsidRPr="002576C5" w14:paraId="372F80DF" w14:textId="77777777" w:rsidTr="0033431F">
        <w:tc>
          <w:tcPr>
            <w:tcW w:w="2410" w:type="dxa"/>
          </w:tcPr>
          <w:p w14:paraId="747DEF1B" w14:textId="346FC813" w:rsidR="00593BB1" w:rsidRDefault="00593BB1" w:rsidP="00593BB1">
            <w:pPr>
              <w:pStyle w:val="TableBodyText"/>
              <w:keepNext w:val="0"/>
              <w:keepLines w:val="0"/>
              <w:spacing w:before="60" w:after="120"/>
              <w:jc w:val="left"/>
              <w:rPr>
                <w:b/>
              </w:rPr>
            </w:pPr>
            <w:r>
              <w:rPr>
                <w:b/>
              </w:rPr>
              <w:t>Models of community housing</w:t>
            </w:r>
          </w:p>
        </w:tc>
        <w:tc>
          <w:tcPr>
            <w:tcW w:w="6379" w:type="dxa"/>
          </w:tcPr>
          <w:p w14:paraId="1E4AD08D" w14:textId="1187D790" w:rsidR="00593BB1" w:rsidRDefault="00593BB1" w:rsidP="00272795">
            <w:pPr>
              <w:pStyle w:val="TableBodyText"/>
              <w:keepNext w:val="0"/>
              <w:keepLines w:val="0"/>
              <w:spacing w:before="60" w:after="120"/>
              <w:jc w:val="left"/>
            </w:pPr>
            <w:r>
              <w:t>Community housing models vary across jurisdictions in scale, organisational structure and financing arrangements, and the extent to which community organisations or government have management responsibility and ownership of the housing stock. Table 18A.5</w:t>
            </w:r>
            <w:r w:rsidR="00272795">
              <w:t>0</w:t>
            </w:r>
            <w:r>
              <w:t xml:space="preserve"> lists the in</w:t>
            </w:r>
            <w:r>
              <w:noBreakHyphen/>
              <w:t>scope community housing programs in each jurisdiction.</w:t>
            </w:r>
          </w:p>
        </w:tc>
      </w:tr>
      <w:tr w:rsidR="004D1E68" w:rsidRPr="002576C5" w14:paraId="701BD8E5" w14:textId="77777777" w:rsidTr="0033431F">
        <w:tc>
          <w:tcPr>
            <w:tcW w:w="2410" w:type="dxa"/>
          </w:tcPr>
          <w:p w14:paraId="1F1DF94F" w14:textId="7D0BE78A" w:rsidR="004D1E68" w:rsidRPr="002576C5" w:rsidRDefault="004D1E68" w:rsidP="0088785E">
            <w:pPr>
              <w:pStyle w:val="TableBodyText"/>
              <w:keepNext w:val="0"/>
              <w:keepLines w:val="0"/>
              <w:spacing w:before="120" w:after="120"/>
              <w:jc w:val="left"/>
              <w:rPr>
                <w:b/>
              </w:rPr>
            </w:pPr>
          </w:p>
        </w:tc>
        <w:tc>
          <w:tcPr>
            <w:tcW w:w="6379" w:type="dxa"/>
          </w:tcPr>
          <w:p w14:paraId="321E1569" w14:textId="77777777" w:rsidR="004D1E68" w:rsidRDefault="004D1E68" w:rsidP="004D1E68">
            <w:pPr>
              <w:pStyle w:val="TableBodyText"/>
              <w:jc w:val="left"/>
            </w:pPr>
            <w:r>
              <w:t>Some models of community housing are:</w:t>
            </w:r>
          </w:p>
          <w:p w14:paraId="47282DB1" w14:textId="77777777" w:rsidR="004D1E68" w:rsidRDefault="004D1E68" w:rsidP="00B8159C">
            <w:pPr>
              <w:pStyle w:val="TableBullet"/>
              <w:keepNext w:val="0"/>
              <w:keepLines w:val="0"/>
              <w:numPr>
                <w:ilvl w:val="0"/>
                <w:numId w:val="22"/>
              </w:numPr>
              <w:spacing w:before="40"/>
              <w:jc w:val="both"/>
            </w:pPr>
            <w:r>
              <w:rPr>
                <w:i/>
              </w:rPr>
              <w:t>housing cooperatives</w:t>
            </w:r>
            <w:r>
              <w:t>, providing tenancy management and maintenance of housing that is owned by government, a central finance company or an individual cooperative</w:t>
            </w:r>
          </w:p>
          <w:p w14:paraId="6B6DC341" w14:textId="77777777" w:rsidR="004D1E68" w:rsidRDefault="004D1E68" w:rsidP="00B8159C">
            <w:pPr>
              <w:pStyle w:val="TableBullet"/>
              <w:keepNext w:val="0"/>
              <w:keepLines w:val="0"/>
              <w:numPr>
                <w:ilvl w:val="0"/>
                <w:numId w:val="22"/>
              </w:numPr>
              <w:spacing w:before="40"/>
              <w:jc w:val="both"/>
            </w:pPr>
            <w:r>
              <w:rPr>
                <w:i/>
              </w:rPr>
              <w:t>local government housing associations</w:t>
            </w:r>
            <w:r>
              <w:t>, providing low cost housing within a particular municipality, are closely involved in policy, planning, funding and/or monitoring roles, and can directly manage the housing stock</w:t>
            </w:r>
          </w:p>
          <w:p w14:paraId="6CE87A4A" w14:textId="77777777" w:rsidR="004D1E68" w:rsidRDefault="004D1E68" w:rsidP="00B8159C">
            <w:pPr>
              <w:pStyle w:val="TableBullet"/>
              <w:keepNext w:val="0"/>
              <w:keepLines w:val="0"/>
              <w:numPr>
                <w:ilvl w:val="0"/>
                <w:numId w:val="22"/>
              </w:numPr>
              <w:spacing w:before="40"/>
              <w:jc w:val="both"/>
            </w:pPr>
            <w:r>
              <w:rPr>
                <w:i/>
              </w:rPr>
              <w:t>regional or local housing associations</w:t>
            </w:r>
            <w:r>
              <w:t>, providing property and tenancy management services, and support services to tenants</w:t>
            </w:r>
          </w:p>
          <w:p w14:paraId="2DA85575" w14:textId="77777777" w:rsidR="004D1E68" w:rsidRDefault="004D1E68" w:rsidP="00B8159C">
            <w:pPr>
              <w:pStyle w:val="TableBullet"/>
              <w:keepNext w:val="0"/>
              <w:keepLines w:val="0"/>
              <w:numPr>
                <w:ilvl w:val="0"/>
                <w:numId w:val="22"/>
              </w:numPr>
              <w:spacing w:before="40"/>
              <w:jc w:val="both"/>
            </w:pPr>
            <w:r>
              <w:rPr>
                <w:i/>
              </w:rPr>
              <w:t>specialist providers</w:t>
            </w:r>
            <w:r>
              <w:t xml:space="preserve"> are organisations with a specific purpose or function, such as tenancy management, housing development, or for specific target groups (including people with disability)</w:t>
            </w:r>
          </w:p>
          <w:p w14:paraId="5EC406E9" w14:textId="77777777" w:rsidR="004D1E68" w:rsidRDefault="004D1E68" w:rsidP="00B8159C">
            <w:pPr>
              <w:pStyle w:val="TableBullet"/>
              <w:keepNext w:val="0"/>
              <w:keepLines w:val="0"/>
              <w:numPr>
                <w:ilvl w:val="0"/>
                <w:numId w:val="22"/>
              </w:numPr>
              <w:spacing w:before="40"/>
              <w:jc w:val="both"/>
            </w:pPr>
            <w:r>
              <w:rPr>
                <w:i/>
              </w:rPr>
              <w:t xml:space="preserve">broad service delivery </w:t>
            </w:r>
            <w:r>
              <w:t>are organisations that provide housing and other welfare services, such as aged care and disability services</w:t>
            </w:r>
          </w:p>
          <w:p w14:paraId="46A7FE4D" w14:textId="77777777" w:rsidR="00B8159C" w:rsidRDefault="00B8159C" w:rsidP="00B8159C">
            <w:pPr>
              <w:pStyle w:val="TableBullet"/>
              <w:keepNext w:val="0"/>
              <w:keepLines w:val="0"/>
              <w:numPr>
                <w:ilvl w:val="0"/>
                <w:numId w:val="22"/>
              </w:numPr>
              <w:spacing w:before="40"/>
              <w:jc w:val="both"/>
            </w:pPr>
            <w:r>
              <w:rPr>
                <w:i/>
              </w:rPr>
              <w:t>vertically integrated providers of affordable housing</w:t>
            </w:r>
            <w:r>
              <w:t xml:space="preserve"> are involved in all stages of providing affordable housing, from construction to property and tenancy management</w:t>
            </w:r>
          </w:p>
          <w:p w14:paraId="79415D9E" w14:textId="77777777" w:rsidR="00B8159C" w:rsidRDefault="00B8159C" w:rsidP="00B8159C">
            <w:pPr>
              <w:pStyle w:val="TableBullet"/>
              <w:keepNext w:val="0"/>
              <w:keepLines w:val="0"/>
              <w:numPr>
                <w:ilvl w:val="0"/>
                <w:numId w:val="22"/>
              </w:numPr>
              <w:spacing w:before="40"/>
              <w:jc w:val="both"/>
            </w:pPr>
            <w:r>
              <w:rPr>
                <w:i/>
              </w:rPr>
              <w:t>community ownership and/or management</w:t>
            </w:r>
            <w:r>
              <w:t>, where housing is owned and/or managed by not–for–profit or community housing associations</w:t>
            </w:r>
          </w:p>
          <w:p w14:paraId="55BC5998" w14:textId="77777777" w:rsidR="00B8159C" w:rsidRDefault="00B8159C" w:rsidP="00B8159C">
            <w:pPr>
              <w:pStyle w:val="TableBullet"/>
              <w:keepNext w:val="0"/>
              <w:keepLines w:val="0"/>
              <w:numPr>
                <w:ilvl w:val="0"/>
                <w:numId w:val="22"/>
              </w:numPr>
              <w:spacing w:before="40"/>
              <w:jc w:val="both"/>
            </w:pPr>
            <w:r>
              <w:rPr>
                <w:i/>
              </w:rPr>
              <w:t>joint ventures and housing partnerships</w:t>
            </w:r>
            <w:r>
              <w:t>, where church and welfare entities, local government, private sector and other organisations provide resources in cooperation with State and Territory governments; or where groups of community housing providers form partnerships to maximise growth opportunities, share resources and/or manage risk</w:t>
            </w:r>
          </w:p>
          <w:p w14:paraId="5BF20E4F" w14:textId="07DC1F59" w:rsidR="00B8159C" w:rsidRPr="002576C5" w:rsidRDefault="00B8159C" w:rsidP="00B8159C">
            <w:pPr>
              <w:pStyle w:val="TableBullet"/>
              <w:keepNext w:val="0"/>
              <w:keepLines w:val="0"/>
              <w:numPr>
                <w:ilvl w:val="0"/>
                <w:numId w:val="22"/>
              </w:numPr>
              <w:spacing w:before="40"/>
              <w:jc w:val="both"/>
            </w:pPr>
            <w:r>
              <w:rPr>
                <w:i/>
              </w:rPr>
              <w:t>equity share rental housing</w:t>
            </w:r>
            <w:r>
              <w:t>, where housing cooperatives wholly own the housing stock and lease it to tenants (who are shareholders in the cooperative and, therefore, have the rights and responsibilities of cooperative management) (Australian, State and Territory governments).</w:t>
            </w:r>
          </w:p>
        </w:tc>
      </w:tr>
      <w:tr w:rsidR="00A35488" w:rsidRPr="002576C5" w14:paraId="33CFC477" w14:textId="77777777" w:rsidTr="0033431F">
        <w:tc>
          <w:tcPr>
            <w:tcW w:w="2410" w:type="dxa"/>
          </w:tcPr>
          <w:p w14:paraId="3C18D5AF" w14:textId="77777777" w:rsidR="00A35488" w:rsidRPr="002576C5" w:rsidRDefault="00A35488" w:rsidP="00593BB1">
            <w:pPr>
              <w:pStyle w:val="TableBodyText"/>
              <w:keepNext w:val="0"/>
              <w:keepLines w:val="0"/>
              <w:spacing w:before="60" w:after="120"/>
              <w:jc w:val="left"/>
            </w:pPr>
            <w:r w:rsidRPr="002576C5">
              <w:rPr>
                <w:rFonts w:ascii="Times New Roman" w:hAnsi="Times New Roman"/>
              </w:rPr>
              <w:br w:type="page"/>
            </w:r>
            <w:r w:rsidRPr="002576C5">
              <w:rPr>
                <w:b/>
              </w:rPr>
              <w:t>New household</w:t>
            </w:r>
          </w:p>
        </w:tc>
        <w:tc>
          <w:tcPr>
            <w:tcW w:w="6379" w:type="dxa"/>
          </w:tcPr>
          <w:p w14:paraId="1FCA6D4C" w14:textId="77777777" w:rsidR="00A35488" w:rsidRPr="002576C5" w:rsidRDefault="00A35488" w:rsidP="00593BB1">
            <w:pPr>
              <w:pStyle w:val="TableBodyText"/>
              <w:keepNext w:val="0"/>
              <w:keepLines w:val="0"/>
              <w:spacing w:before="60" w:after="120"/>
              <w:jc w:val="left"/>
            </w:pPr>
            <w:r w:rsidRPr="002576C5">
              <w:t>Households that commence receiving assistance during the relevant reporting period (financial year). A new household is recorded if the composition of the household changes i.e. if someone enters or leaves the household.</w:t>
            </w:r>
          </w:p>
        </w:tc>
      </w:tr>
      <w:tr w:rsidR="00A35488" w:rsidRPr="002576C5" w14:paraId="4604132F" w14:textId="77777777">
        <w:tc>
          <w:tcPr>
            <w:tcW w:w="2410" w:type="dxa"/>
          </w:tcPr>
          <w:p w14:paraId="44B0EA7D" w14:textId="77777777" w:rsidR="00A35488" w:rsidRPr="002576C5" w:rsidRDefault="00A35488" w:rsidP="00593BB1">
            <w:pPr>
              <w:pStyle w:val="TableBodyText"/>
              <w:keepNext w:val="0"/>
              <w:keepLines w:val="0"/>
              <w:spacing w:before="60" w:after="120"/>
              <w:jc w:val="left"/>
            </w:pPr>
            <w:r w:rsidRPr="002576C5">
              <w:rPr>
                <w:rFonts w:ascii="Times New Roman" w:hAnsi="Times New Roman"/>
              </w:rPr>
              <w:br w:type="page"/>
            </w:r>
            <w:r w:rsidRPr="002576C5">
              <w:rPr>
                <w:b/>
              </w:rPr>
              <w:t>Occupancy rate</w:t>
            </w:r>
          </w:p>
        </w:tc>
        <w:tc>
          <w:tcPr>
            <w:tcW w:w="6379" w:type="dxa"/>
          </w:tcPr>
          <w:p w14:paraId="52208E68" w14:textId="77777777" w:rsidR="00A35488" w:rsidRPr="002576C5" w:rsidRDefault="00A35488" w:rsidP="00593BB1">
            <w:pPr>
              <w:pStyle w:val="TableBodyText"/>
              <w:keepNext w:val="0"/>
              <w:keepLines w:val="0"/>
              <w:spacing w:before="60" w:after="120"/>
              <w:jc w:val="left"/>
            </w:pPr>
            <w:r w:rsidRPr="002576C5">
              <w:t>The number of dwellings occupied as a proportion of total dwellings.</w:t>
            </w:r>
          </w:p>
        </w:tc>
      </w:tr>
      <w:tr w:rsidR="00A35488" w:rsidRPr="002576C5" w14:paraId="43A74468" w14:textId="77777777">
        <w:tc>
          <w:tcPr>
            <w:tcW w:w="2410" w:type="dxa"/>
          </w:tcPr>
          <w:p w14:paraId="2560BF07" w14:textId="77777777" w:rsidR="00A35488" w:rsidRPr="002576C5" w:rsidRDefault="00A35488" w:rsidP="00593BB1">
            <w:pPr>
              <w:pStyle w:val="TableBodyText"/>
              <w:keepNext w:val="0"/>
              <w:keepLines w:val="0"/>
              <w:spacing w:before="60" w:after="120"/>
              <w:jc w:val="left"/>
            </w:pPr>
            <w:r w:rsidRPr="002576C5">
              <w:rPr>
                <w:b/>
              </w:rPr>
              <w:t>Occupied dwelling</w:t>
            </w:r>
          </w:p>
        </w:tc>
        <w:tc>
          <w:tcPr>
            <w:tcW w:w="6379" w:type="dxa"/>
          </w:tcPr>
          <w:p w14:paraId="0B8D37ED" w14:textId="77777777" w:rsidR="00A35488" w:rsidRPr="002576C5" w:rsidRDefault="00A35488" w:rsidP="00593BB1">
            <w:pPr>
              <w:pStyle w:val="TableBodyText"/>
              <w:keepNext w:val="0"/>
              <w:keepLines w:val="0"/>
              <w:spacing w:before="60" w:after="120"/>
              <w:jc w:val="left"/>
            </w:pPr>
            <w:r w:rsidRPr="002576C5">
              <w:t>Dwellings occupied by tenants who have a tenancy agreement with the relevant housing authority.</w:t>
            </w:r>
          </w:p>
        </w:tc>
      </w:tr>
      <w:tr w:rsidR="00A35488" w:rsidRPr="002576C5" w14:paraId="6C0FA0BB" w14:textId="77777777">
        <w:tc>
          <w:tcPr>
            <w:tcW w:w="2410" w:type="dxa"/>
          </w:tcPr>
          <w:p w14:paraId="02F8244C" w14:textId="77777777" w:rsidR="00A35488" w:rsidRPr="002576C5" w:rsidRDefault="00A35488" w:rsidP="00593BB1">
            <w:pPr>
              <w:pStyle w:val="TableBodyText"/>
              <w:keepNext w:val="0"/>
              <w:keepLines w:val="0"/>
              <w:spacing w:before="60" w:after="120"/>
              <w:jc w:val="left"/>
            </w:pPr>
            <w:r w:rsidRPr="002576C5">
              <w:br w:type="page"/>
            </w:r>
            <w:r w:rsidRPr="002576C5">
              <w:rPr>
                <w:b/>
              </w:rPr>
              <w:t>Overcrowding</w:t>
            </w:r>
          </w:p>
        </w:tc>
        <w:tc>
          <w:tcPr>
            <w:tcW w:w="6379" w:type="dxa"/>
          </w:tcPr>
          <w:p w14:paraId="04953B46" w14:textId="77777777" w:rsidR="00A35488" w:rsidRPr="002576C5" w:rsidRDefault="00A35488" w:rsidP="00593BB1">
            <w:pPr>
              <w:pStyle w:val="TableBodyText"/>
              <w:keepNext w:val="0"/>
              <w:keepLines w:val="0"/>
              <w:spacing w:before="60" w:after="120"/>
              <w:jc w:val="left"/>
            </w:pPr>
            <w:r w:rsidRPr="002576C5">
              <w:rPr>
                <w:rFonts w:cs="Arial"/>
              </w:rPr>
              <w:t>A situation in a dwelling when one or more additional bedrooms are required to meet the Canadian National Occupancy Standard.</w:t>
            </w:r>
          </w:p>
        </w:tc>
      </w:tr>
      <w:tr w:rsidR="00A35488" w:rsidRPr="002576C5" w14:paraId="2894E85A" w14:textId="77777777">
        <w:tc>
          <w:tcPr>
            <w:tcW w:w="2410" w:type="dxa"/>
          </w:tcPr>
          <w:p w14:paraId="2E960E87" w14:textId="77777777" w:rsidR="00A35488" w:rsidRPr="002576C5" w:rsidRDefault="00A35488" w:rsidP="00593BB1">
            <w:pPr>
              <w:pStyle w:val="TableBodyText"/>
              <w:keepNext w:val="0"/>
              <w:keepLines w:val="0"/>
              <w:spacing w:before="60" w:after="120"/>
              <w:jc w:val="left"/>
            </w:pPr>
            <w:r w:rsidRPr="002576C5">
              <w:rPr>
                <w:b/>
              </w:rPr>
              <w:t>Priority access to those in greatest need</w:t>
            </w:r>
          </w:p>
        </w:tc>
        <w:tc>
          <w:tcPr>
            <w:tcW w:w="6379" w:type="dxa"/>
          </w:tcPr>
          <w:p w14:paraId="4DB80B43" w14:textId="77777777" w:rsidR="00A35488" w:rsidRPr="002576C5" w:rsidRDefault="00A35488" w:rsidP="00593BB1">
            <w:pPr>
              <w:pStyle w:val="TableBodyText"/>
              <w:keepNext w:val="0"/>
              <w:keepLines w:val="0"/>
              <w:spacing w:before="60" w:after="120"/>
              <w:jc w:val="left"/>
            </w:pPr>
            <w:r w:rsidRPr="002576C5">
              <w:t>Allocation processes to ensure those in greatest need have first access to housing. This is measured as the proportion of new allocations to those in greatest need.</w:t>
            </w:r>
          </w:p>
        </w:tc>
      </w:tr>
      <w:tr w:rsidR="00A35488" w:rsidRPr="002576C5" w14:paraId="3D0D39A4" w14:textId="77777777">
        <w:tc>
          <w:tcPr>
            <w:tcW w:w="2410" w:type="dxa"/>
          </w:tcPr>
          <w:p w14:paraId="73A28475" w14:textId="77777777" w:rsidR="00A35488" w:rsidRPr="002576C5" w:rsidRDefault="00A35488" w:rsidP="00593BB1">
            <w:pPr>
              <w:pStyle w:val="TableBodyText"/>
              <w:keepNext w:val="0"/>
              <w:keepLines w:val="0"/>
              <w:spacing w:before="60" w:after="120"/>
              <w:jc w:val="left"/>
            </w:pPr>
            <w:r w:rsidRPr="002576C5">
              <w:rPr>
                <w:b/>
              </w:rPr>
              <w:t>Principal tenant</w:t>
            </w:r>
          </w:p>
        </w:tc>
        <w:tc>
          <w:tcPr>
            <w:tcW w:w="6379" w:type="dxa"/>
          </w:tcPr>
          <w:p w14:paraId="3CC06C73" w14:textId="77777777" w:rsidR="00A35488" w:rsidRPr="002576C5" w:rsidRDefault="00A35488" w:rsidP="00593BB1">
            <w:pPr>
              <w:pStyle w:val="TableBodyText"/>
              <w:keepNext w:val="0"/>
              <w:keepLines w:val="0"/>
              <w:spacing w:before="60" w:after="120"/>
              <w:jc w:val="left"/>
            </w:pPr>
            <w:r w:rsidRPr="002576C5">
              <w:t>The person whose name appears on the tenancy agreement. Where this is not clear, it should be the person who is responsible for rental payments.</w:t>
            </w:r>
          </w:p>
        </w:tc>
      </w:tr>
      <w:tr w:rsidR="00A35488" w:rsidRPr="002576C5" w14:paraId="7D0902CC" w14:textId="77777777">
        <w:tc>
          <w:tcPr>
            <w:tcW w:w="2410" w:type="dxa"/>
          </w:tcPr>
          <w:p w14:paraId="3F691574" w14:textId="77777777" w:rsidR="00A35488" w:rsidRPr="002576C5" w:rsidRDefault="00A35488" w:rsidP="00593BB1">
            <w:pPr>
              <w:pStyle w:val="TableBodyText"/>
              <w:keepNext w:val="0"/>
              <w:keepLines w:val="0"/>
              <w:spacing w:before="60" w:after="120"/>
              <w:jc w:val="left"/>
              <w:rPr>
                <w:b/>
              </w:rPr>
            </w:pPr>
            <w:r w:rsidRPr="002576C5">
              <w:rPr>
                <w:b/>
              </w:rPr>
              <w:t>Rebated household</w:t>
            </w:r>
          </w:p>
        </w:tc>
        <w:tc>
          <w:tcPr>
            <w:tcW w:w="6379" w:type="dxa"/>
          </w:tcPr>
          <w:p w14:paraId="3D68EAEB" w14:textId="77777777" w:rsidR="00A35488" w:rsidRPr="002576C5" w:rsidRDefault="00A35488" w:rsidP="00593BB1">
            <w:pPr>
              <w:pStyle w:val="TableBodyText"/>
              <w:keepNext w:val="0"/>
              <w:keepLines w:val="0"/>
              <w:spacing w:before="60" w:after="120"/>
              <w:jc w:val="left"/>
            </w:pPr>
            <w:r w:rsidRPr="002576C5">
              <w:t>A household that receives housing assistance and pays less than the market rent value for the dwelling.</w:t>
            </w:r>
          </w:p>
        </w:tc>
      </w:tr>
      <w:tr w:rsidR="00A35488" w:rsidRPr="002576C5" w14:paraId="5640169B" w14:textId="77777777">
        <w:tc>
          <w:tcPr>
            <w:tcW w:w="2410" w:type="dxa"/>
          </w:tcPr>
          <w:p w14:paraId="5DBD4C9C" w14:textId="77777777" w:rsidR="00A35488" w:rsidRPr="002576C5" w:rsidRDefault="00A35488" w:rsidP="00593BB1">
            <w:pPr>
              <w:pStyle w:val="TableBodyText"/>
              <w:keepNext w:val="0"/>
              <w:keepLines w:val="0"/>
              <w:spacing w:before="60" w:after="120"/>
              <w:jc w:val="left"/>
              <w:rPr>
                <w:b/>
              </w:rPr>
            </w:pPr>
            <w:r w:rsidRPr="002576C5">
              <w:rPr>
                <w:b/>
              </w:rPr>
              <w:t>Remoteness areas</w:t>
            </w:r>
          </w:p>
        </w:tc>
        <w:tc>
          <w:tcPr>
            <w:tcW w:w="6379" w:type="dxa"/>
          </w:tcPr>
          <w:p w14:paraId="4230EA4B" w14:textId="747A2AA0" w:rsidR="00A35488" w:rsidRPr="002576C5" w:rsidRDefault="00A35488" w:rsidP="00593BB1">
            <w:pPr>
              <w:pStyle w:val="TableBodyText"/>
              <w:keepNext w:val="0"/>
              <w:keepLines w:val="0"/>
              <w:spacing w:before="60" w:after="120"/>
              <w:jc w:val="left"/>
            </w:pPr>
            <w:r w:rsidRPr="002576C5">
              <w:t>An aggregation of non</w:t>
            </w:r>
            <w:r>
              <w:noBreakHyphen/>
            </w:r>
            <w:r w:rsidRPr="002576C5">
              <w:t xml:space="preserve">continuous geographical areas </w:t>
            </w:r>
            <w:r w:rsidR="00016032">
              <w:t>that</w:t>
            </w:r>
            <w:r w:rsidRPr="002576C5">
              <w:t xml:space="preserve"> share common characteristics of remoteness. The delimitation criteria for remoteness areas (RAs) are based on the Accessibility/Remoteness Index </w:t>
            </w:r>
            <w:r w:rsidR="00021400">
              <w:t>f</w:t>
            </w:r>
            <w:r w:rsidRPr="002576C5">
              <w:t>or Australia (ARIA+)</w:t>
            </w:r>
            <w:r w:rsidR="00016032">
              <w:t>,</w:t>
            </w:r>
            <w:r w:rsidRPr="002576C5">
              <w:t xml:space="preserve"> which measures the remoteness of a point based on the road distance to the </w:t>
            </w:r>
            <w:r w:rsidRPr="002576C5">
              <w:lastRenderedPageBreak/>
              <w:t>nearest urban centre. Within the Australian Statistical Geography Standard, each RA is created from a grouping of Statistical Areas Level 1 having a particular degree of remoteness.</w:t>
            </w:r>
          </w:p>
          <w:p w14:paraId="69990F1E" w14:textId="77777777" w:rsidR="00A35488" w:rsidRPr="002576C5" w:rsidRDefault="00A35488" w:rsidP="0088785E">
            <w:pPr>
              <w:pStyle w:val="TableBodyText"/>
              <w:keepNext w:val="0"/>
              <w:keepLines w:val="0"/>
              <w:spacing w:before="120" w:after="120"/>
              <w:jc w:val="both"/>
            </w:pPr>
            <w:r w:rsidRPr="002576C5">
              <w:t>Remoteness areas comprise the following six categories:</w:t>
            </w:r>
          </w:p>
          <w:p w14:paraId="2FE5E3DE" w14:textId="77777777" w:rsidR="00A35488" w:rsidRPr="002576C5" w:rsidRDefault="00E246E3" w:rsidP="00B8159C">
            <w:pPr>
              <w:pStyle w:val="TableBullet"/>
              <w:keepNext w:val="0"/>
              <w:keepLines w:val="0"/>
              <w:numPr>
                <w:ilvl w:val="0"/>
                <w:numId w:val="21"/>
              </w:numPr>
              <w:spacing w:before="40"/>
              <w:ind w:left="170" w:hanging="170"/>
              <w:jc w:val="both"/>
            </w:pPr>
            <w:r>
              <w:t>major cities of Australia</w:t>
            </w:r>
          </w:p>
          <w:p w14:paraId="216379B1" w14:textId="77777777" w:rsidR="00A35488" w:rsidRPr="002576C5" w:rsidRDefault="00E246E3" w:rsidP="00B8159C">
            <w:pPr>
              <w:pStyle w:val="TableBullet"/>
              <w:keepNext w:val="0"/>
              <w:keepLines w:val="0"/>
              <w:numPr>
                <w:ilvl w:val="0"/>
                <w:numId w:val="21"/>
              </w:numPr>
              <w:spacing w:before="40"/>
              <w:ind w:left="170" w:hanging="170"/>
              <w:jc w:val="both"/>
            </w:pPr>
            <w:r>
              <w:t>inner regional Australia</w:t>
            </w:r>
          </w:p>
          <w:p w14:paraId="00403E11" w14:textId="77777777" w:rsidR="00A35488" w:rsidRPr="002576C5" w:rsidRDefault="00A35488" w:rsidP="00B8159C">
            <w:pPr>
              <w:pStyle w:val="TableBullet"/>
              <w:keepNext w:val="0"/>
              <w:keepLines w:val="0"/>
              <w:numPr>
                <w:ilvl w:val="0"/>
                <w:numId w:val="21"/>
              </w:numPr>
              <w:spacing w:before="40"/>
              <w:ind w:left="170" w:hanging="170"/>
              <w:jc w:val="both"/>
            </w:pPr>
            <w:r w:rsidRPr="002576C5">
              <w:t>outer regional Austra</w:t>
            </w:r>
            <w:r w:rsidR="00E246E3">
              <w:t>lia</w:t>
            </w:r>
          </w:p>
          <w:p w14:paraId="3B99BF95" w14:textId="77777777" w:rsidR="00A35488" w:rsidRPr="002576C5" w:rsidRDefault="00E246E3" w:rsidP="00B8159C">
            <w:pPr>
              <w:pStyle w:val="TableBullet"/>
              <w:keepNext w:val="0"/>
              <w:keepLines w:val="0"/>
              <w:numPr>
                <w:ilvl w:val="0"/>
                <w:numId w:val="21"/>
              </w:numPr>
              <w:spacing w:before="40"/>
              <w:ind w:left="170" w:hanging="170"/>
              <w:jc w:val="both"/>
            </w:pPr>
            <w:r>
              <w:t>remote Australia</w:t>
            </w:r>
          </w:p>
          <w:p w14:paraId="145793D2" w14:textId="77777777" w:rsidR="00E246E3" w:rsidRPr="00E246E3" w:rsidRDefault="00E246E3" w:rsidP="00B8159C">
            <w:pPr>
              <w:pStyle w:val="TableBullet"/>
              <w:keepNext w:val="0"/>
              <w:keepLines w:val="0"/>
              <w:numPr>
                <w:ilvl w:val="0"/>
                <w:numId w:val="21"/>
              </w:numPr>
              <w:spacing w:before="40"/>
              <w:ind w:left="170" w:hanging="170"/>
              <w:jc w:val="both"/>
              <w:rPr>
                <w:szCs w:val="24"/>
              </w:rPr>
            </w:pPr>
            <w:r>
              <w:t>very remote Australia</w:t>
            </w:r>
          </w:p>
          <w:p w14:paraId="7ECE953C" w14:textId="79EAD75E" w:rsidR="00A35488" w:rsidRPr="002576C5" w:rsidRDefault="00A35488" w:rsidP="00B8159C">
            <w:pPr>
              <w:pStyle w:val="TableBullet"/>
              <w:keepNext w:val="0"/>
              <w:keepLines w:val="0"/>
              <w:numPr>
                <w:ilvl w:val="0"/>
                <w:numId w:val="21"/>
              </w:numPr>
              <w:spacing w:before="40"/>
              <w:ind w:left="170" w:hanging="170"/>
              <w:jc w:val="both"/>
              <w:rPr>
                <w:szCs w:val="24"/>
              </w:rPr>
            </w:pPr>
            <w:r w:rsidRPr="002576C5">
              <w:t>migratory — offshore — shipping.</w:t>
            </w:r>
          </w:p>
        </w:tc>
      </w:tr>
      <w:tr w:rsidR="00A35488" w:rsidRPr="002576C5" w14:paraId="278929EF" w14:textId="77777777">
        <w:tc>
          <w:tcPr>
            <w:tcW w:w="2410" w:type="dxa"/>
          </w:tcPr>
          <w:p w14:paraId="73B0233A" w14:textId="77777777" w:rsidR="00A35488" w:rsidRPr="002576C5" w:rsidRDefault="00A35488" w:rsidP="0088785E">
            <w:pPr>
              <w:pStyle w:val="TableBodyText"/>
              <w:keepNext w:val="0"/>
              <w:keepLines w:val="0"/>
              <w:spacing w:before="120" w:after="120"/>
              <w:jc w:val="left"/>
            </w:pPr>
            <w:r w:rsidRPr="002576C5">
              <w:rPr>
                <w:b/>
              </w:rPr>
              <w:lastRenderedPageBreak/>
              <w:t>Rent charged</w:t>
            </w:r>
          </w:p>
        </w:tc>
        <w:tc>
          <w:tcPr>
            <w:tcW w:w="6379" w:type="dxa"/>
          </w:tcPr>
          <w:p w14:paraId="47446FFD" w14:textId="77777777" w:rsidR="00A35488" w:rsidRPr="002576C5" w:rsidRDefault="00A35488" w:rsidP="00593BB1">
            <w:pPr>
              <w:pStyle w:val="TableBodyText"/>
              <w:keepNext w:val="0"/>
              <w:keepLines w:val="0"/>
              <w:spacing w:before="60" w:after="120"/>
              <w:jc w:val="left"/>
            </w:pPr>
            <w:r w:rsidRPr="002576C5">
              <w:t>The amount in dollars that households are charged based on the rents they are expected to pay. The rents charged to tenants may or may not have been received.</w:t>
            </w:r>
          </w:p>
        </w:tc>
      </w:tr>
      <w:tr w:rsidR="00A35488" w:rsidRPr="002576C5" w14:paraId="4230E142" w14:textId="77777777">
        <w:tc>
          <w:tcPr>
            <w:tcW w:w="2410" w:type="dxa"/>
          </w:tcPr>
          <w:p w14:paraId="541A7450" w14:textId="77777777" w:rsidR="00A35488" w:rsidRPr="002576C5" w:rsidRDefault="00A35488" w:rsidP="00593BB1">
            <w:pPr>
              <w:pStyle w:val="TableBodyText"/>
              <w:keepNext w:val="0"/>
              <w:keepLines w:val="0"/>
              <w:spacing w:before="60" w:after="120"/>
              <w:jc w:val="left"/>
              <w:rPr>
                <w:snapToGrid w:val="0"/>
                <w:lang w:val="en-US"/>
              </w:rPr>
            </w:pPr>
            <w:r w:rsidRPr="002576C5">
              <w:rPr>
                <w:b/>
              </w:rPr>
              <w:t>Tenancy (rental) unit</w:t>
            </w:r>
          </w:p>
        </w:tc>
        <w:tc>
          <w:tcPr>
            <w:tcW w:w="6379" w:type="dxa"/>
          </w:tcPr>
          <w:p w14:paraId="15ED0DA3" w14:textId="77777777" w:rsidR="00A35488" w:rsidRPr="002576C5" w:rsidRDefault="00A35488" w:rsidP="00082B8D">
            <w:pPr>
              <w:pStyle w:val="TableBodyText"/>
              <w:keepNext w:val="0"/>
              <w:keepLines w:val="0"/>
              <w:spacing w:before="120" w:after="120"/>
              <w:jc w:val="both"/>
              <w:rPr>
                <w:snapToGrid w:val="0"/>
                <w:lang w:val="en-US"/>
              </w:rPr>
            </w:pPr>
            <w:r w:rsidRPr="002576C5">
              <w:t>A tenancy (rental</w:t>
            </w:r>
            <w:r w:rsidRPr="00107F5E">
              <w:t xml:space="preserve">) unit is the unit of accommodation for which a rental agreement can be made. </w:t>
            </w:r>
            <w:r w:rsidR="00082B8D" w:rsidRPr="00107F5E">
              <w:t>With the exception of community housing, dwellings i</w:t>
            </w:r>
            <w:r w:rsidRPr="00107F5E">
              <w:t>n the majority of cases</w:t>
            </w:r>
            <w:r w:rsidR="00082B8D" w:rsidRPr="00107F5E">
              <w:t xml:space="preserve"> have</w:t>
            </w:r>
            <w:r w:rsidRPr="00107F5E">
              <w:t xml:space="preserve"> only one tenancy (rental) unit; </w:t>
            </w:r>
            <w:r w:rsidR="00082B8D" w:rsidRPr="00107F5E">
              <w:t xml:space="preserve">for community housing and </w:t>
            </w:r>
            <w:r w:rsidRPr="00107F5E">
              <w:t xml:space="preserve">a small number of </w:t>
            </w:r>
            <w:r w:rsidR="00082B8D" w:rsidRPr="00107F5E">
              <w:t xml:space="preserve">other </w:t>
            </w:r>
            <w:r w:rsidRPr="00107F5E">
              <w:t xml:space="preserve">cases (for example, boarding houses, special group homes, semi–institutional dwellings), there </w:t>
            </w:r>
            <w:r w:rsidR="00082B8D" w:rsidRPr="00107F5E">
              <w:t>are commonly</w:t>
            </w:r>
            <w:r w:rsidRPr="00107F5E">
              <w:t xml:space="preserve"> more than one tenancy (rental) unit.</w:t>
            </w:r>
          </w:p>
        </w:tc>
      </w:tr>
      <w:tr w:rsidR="00A35488" w:rsidRPr="002576C5" w14:paraId="51326889" w14:textId="77777777">
        <w:tc>
          <w:tcPr>
            <w:tcW w:w="2410" w:type="dxa"/>
          </w:tcPr>
          <w:p w14:paraId="683E7FE9" w14:textId="77777777" w:rsidR="00A35488" w:rsidRPr="002576C5" w:rsidRDefault="00A35488" w:rsidP="00593BB1">
            <w:pPr>
              <w:pStyle w:val="TableBodyText"/>
              <w:keepNext w:val="0"/>
              <w:keepLines w:val="0"/>
              <w:spacing w:before="60" w:after="120"/>
              <w:jc w:val="left"/>
            </w:pPr>
            <w:r w:rsidRPr="002576C5">
              <w:rPr>
                <w:b/>
              </w:rPr>
              <w:t>Tenantable dwelling</w:t>
            </w:r>
          </w:p>
        </w:tc>
        <w:tc>
          <w:tcPr>
            <w:tcW w:w="6379" w:type="dxa"/>
          </w:tcPr>
          <w:p w14:paraId="40BDECCE" w14:textId="77777777" w:rsidR="00A35488" w:rsidRPr="002576C5" w:rsidRDefault="00A35488" w:rsidP="00593BB1">
            <w:pPr>
              <w:pStyle w:val="TableBodyText"/>
              <w:keepNext w:val="0"/>
              <w:keepLines w:val="0"/>
              <w:spacing w:before="60" w:after="120"/>
              <w:jc w:val="left"/>
            </w:pPr>
            <w:r w:rsidRPr="002576C5">
              <w:t>A dwelling where maintenance has been completed, whether occupied or unoccupied at 30 June. All occupied dwellings are tenantable.</w:t>
            </w:r>
          </w:p>
        </w:tc>
      </w:tr>
      <w:tr w:rsidR="00A35488" w:rsidRPr="002576C5" w14:paraId="079CEA22" w14:textId="77777777" w:rsidTr="0033431F">
        <w:tc>
          <w:tcPr>
            <w:tcW w:w="2410" w:type="dxa"/>
          </w:tcPr>
          <w:p w14:paraId="15E13779" w14:textId="77777777" w:rsidR="00A35488" w:rsidRPr="002576C5" w:rsidRDefault="00A35488" w:rsidP="00593BB1">
            <w:pPr>
              <w:pStyle w:val="TableBodyText"/>
              <w:keepNext w:val="0"/>
              <w:keepLines w:val="0"/>
              <w:spacing w:before="60" w:after="120"/>
              <w:jc w:val="left"/>
            </w:pPr>
            <w:r w:rsidRPr="002576C5">
              <w:rPr>
                <w:b/>
              </w:rPr>
              <w:t>Total gross household income</w:t>
            </w:r>
          </w:p>
        </w:tc>
        <w:tc>
          <w:tcPr>
            <w:tcW w:w="6379" w:type="dxa"/>
          </w:tcPr>
          <w:p w14:paraId="7C19DF6A" w14:textId="77777777" w:rsidR="00A35488" w:rsidRPr="002576C5" w:rsidRDefault="00A35488" w:rsidP="00593BB1">
            <w:pPr>
              <w:pStyle w:val="TableBodyText"/>
              <w:keepNext w:val="0"/>
              <w:keepLines w:val="0"/>
              <w:spacing w:before="60" w:after="120"/>
              <w:jc w:val="left"/>
            </w:pPr>
            <w:r w:rsidRPr="002576C5">
              <w:t>The value of gross weekly income from all sources (before deductions for income tax, superannuation etc.) for all household members, expressed as dollars per week. The main components of gross income are current usual wages and salary; income derived from self–employment, government pensions, benefits and allowances; and other income comprising investments and other regular income. CRA payments are not included as income.</w:t>
            </w:r>
          </w:p>
        </w:tc>
      </w:tr>
      <w:tr w:rsidR="00A35488" w:rsidRPr="002576C5" w14:paraId="0BD937E7" w14:textId="77777777" w:rsidTr="0033431F">
        <w:tc>
          <w:tcPr>
            <w:tcW w:w="2410" w:type="dxa"/>
          </w:tcPr>
          <w:p w14:paraId="29CEE14F" w14:textId="77777777" w:rsidR="00A35488" w:rsidRPr="002576C5" w:rsidRDefault="00A35488" w:rsidP="00593BB1">
            <w:pPr>
              <w:pStyle w:val="TableBodyText"/>
              <w:keepNext w:val="0"/>
              <w:keepLines w:val="0"/>
              <w:spacing w:before="60" w:after="120"/>
              <w:jc w:val="left"/>
            </w:pPr>
            <w:r w:rsidRPr="002576C5">
              <w:rPr>
                <w:b/>
              </w:rPr>
              <w:t>Transfer household</w:t>
            </w:r>
          </w:p>
        </w:tc>
        <w:tc>
          <w:tcPr>
            <w:tcW w:w="6379" w:type="dxa"/>
          </w:tcPr>
          <w:p w14:paraId="00A66E11" w14:textId="77777777" w:rsidR="00A35488" w:rsidRPr="002576C5" w:rsidRDefault="00A35488" w:rsidP="00593BB1">
            <w:pPr>
              <w:pStyle w:val="TableBodyText"/>
              <w:keepNext w:val="0"/>
              <w:keepLines w:val="0"/>
              <w:spacing w:before="60" w:after="120"/>
              <w:jc w:val="left"/>
            </w:pPr>
            <w:r w:rsidRPr="002576C5">
              <w:t>A household, either rebated or market renting, that relocates (transfers) from one dwelling to another within the same social housing program. In the community housing data collection, a transfer household is a household that transfers within a single community housing organisation’s portfolio (not across the sector). This leads to under</w:t>
            </w:r>
            <w:r>
              <w:noBreakHyphen/>
            </w:r>
            <w:r w:rsidRPr="002576C5">
              <w:t>reporting of transfers.</w:t>
            </w:r>
          </w:p>
        </w:tc>
      </w:tr>
      <w:tr w:rsidR="00A35488" w:rsidRPr="002576C5" w14:paraId="34A56218" w14:textId="77777777" w:rsidTr="0033431F">
        <w:tc>
          <w:tcPr>
            <w:tcW w:w="2410" w:type="dxa"/>
          </w:tcPr>
          <w:p w14:paraId="27425577" w14:textId="77777777" w:rsidR="00A35488" w:rsidRPr="002576C5" w:rsidRDefault="00A35488" w:rsidP="00593BB1">
            <w:pPr>
              <w:pStyle w:val="TableBodyText"/>
              <w:keepNext w:val="0"/>
              <w:keepLines w:val="0"/>
              <w:spacing w:before="60" w:after="120"/>
              <w:jc w:val="left"/>
            </w:pPr>
            <w:r w:rsidRPr="002576C5">
              <w:rPr>
                <w:b/>
              </w:rPr>
              <w:t>Turnaround time</w:t>
            </w:r>
          </w:p>
        </w:tc>
        <w:tc>
          <w:tcPr>
            <w:tcW w:w="6379" w:type="dxa"/>
          </w:tcPr>
          <w:p w14:paraId="36D56C38" w14:textId="77777777" w:rsidR="00A35488" w:rsidRPr="002576C5" w:rsidRDefault="00A35488" w:rsidP="00593BB1">
            <w:pPr>
              <w:pStyle w:val="TableBodyText"/>
              <w:keepNext w:val="0"/>
              <w:keepLines w:val="0"/>
              <w:spacing w:before="60" w:after="120"/>
              <w:jc w:val="left"/>
            </w:pPr>
            <w:r w:rsidRPr="002576C5">
              <w:t>The average time taken in days for vacant dwellings, which are available for letting, to be occupied.</w:t>
            </w:r>
          </w:p>
        </w:tc>
      </w:tr>
      <w:tr w:rsidR="00A35488" w:rsidRPr="002576C5" w14:paraId="72206861" w14:textId="77777777" w:rsidTr="0033431F">
        <w:tc>
          <w:tcPr>
            <w:tcW w:w="2410" w:type="dxa"/>
          </w:tcPr>
          <w:p w14:paraId="47B10849" w14:textId="77777777" w:rsidR="00A35488" w:rsidRPr="002576C5" w:rsidRDefault="00A35488" w:rsidP="00593BB1">
            <w:pPr>
              <w:pStyle w:val="TableBodyText"/>
              <w:keepNext w:val="0"/>
              <w:keepLines w:val="0"/>
              <w:spacing w:before="60" w:after="120"/>
              <w:jc w:val="left"/>
            </w:pPr>
            <w:r w:rsidRPr="002576C5">
              <w:rPr>
                <w:b/>
              </w:rPr>
              <w:t>Underutilisation</w:t>
            </w:r>
          </w:p>
        </w:tc>
        <w:tc>
          <w:tcPr>
            <w:tcW w:w="6379" w:type="dxa"/>
          </w:tcPr>
          <w:p w14:paraId="6D97C2FD" w14:textId="77777777" w:rsidR="00A35488" w:rsidRPr="002576C5" w:rsidRDefault="00A35488" w:rsidP="00593BB1">
            <w:pPr>
              <w:pStyle w:val="TableBodyText"/>
              <w:keepNext w:val="0"/>
              <w:keepLines w:val="0"/>
              <w:spacing w:before="60" w:after="120"/>
              <w:jc w:val="left"/>
              <w:rPr>
                <w:rStyle w:val="DraftingNote"/>
                <w:b w:val="0"/>
                <w:color w:val="auto"/>
                <w:sz w:val="20"/>
                <w:u w:val="none"/>
              </w:rPr>
            </w:pPr>
            <w:r w:rsidRPr="002576C5">
              <w:t>A situation where a dwelling contains two or more bedrooms surplus to the needs of the household occupying it, according to the Canadian National Occupancy Standard.</w:t>
            </w:r>
          </w:p>
        </w:tc>
      </w:tr>
      <w:tr w:rsidR="00A35488" w:rsidRPr="002576C5" w14:paraId="7AED9397" w14:textId="77777777">
        <w:tc>
          <w:tcPr>
            <w:tcW w:w="2410" w:type="dxa"/>
          </w:tcPr>
          <w:p w14:paraId="605156D5" w14:textId="77777777" w:rsidR="00A35488" w:rsidRPr="002576C5" w:rsidRDefault="00A35488" w:rsidP="00593BB1">
            <w:pPr>
              <w:pStyle w:val="TableBodyText"/>
              <w:keepNext w:val="0"/>
              <w:keepLines w:val="0"/>
              <w:spacing w:before="60" w:after="120"/>
              <w:jc w:val="left"/>
            </w:pPr>
            <w:r w:rsidRPr="002576C5">
              <w:rPr>
                <w:b/>
              </w:rPr>
              <w:t>Untenantable dwelling</w:t>
            </w:r>
          </w:p>
        </w:tc>
        <w:tc>
          <w:tcPr>
            <w:tcW w:w="6379" w:type="dxa"/>
          </w:tcPr>
          <w:p w14:paraId="2B7D247D" w14:textId="77777777" w:rsidR="00A35488" w:rsidRPr="002576C5" w:rsidRDefault="00A35488" w:rsidP="00593BB1">
            <w:pPr>
              <w:pStyle w:val="TableBodyText"/>
              <w:keepNext w:val="0"/>
              <w:keepLines w:val="0"/>
              <w:spacing w:before="60" w:after="120"/>
              <w:jc w:val="left"/>
            </w:pPr>
            <w:r w:rsidRPr="002576C5">
              <w:t>A dwelling not currently occupied by a tenant, where maintenance has been either deferred or not completed at 30 June.</w:t>
            </w:r>
          </w:p>
        </w:tc>
      </w:tr>
    </w:tbl>
    <w:p w14:paraId="325DDBC9" w14:textId="4246F8E9" w:rsidR="000B66EF" w:rsidRDefault="000B66EF" w:rsidP="006747C8">
      <w:pPr>
        <w:pStyle w:val="Heading2"/>
      </w:pPr>
    </w:p>
    <w:sectPr w:rsidR="000B66EF" w:rsidSect="00E62304">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63E0A" w14:textId="77777777" w:rsidR="00ED061E" w:rsidRDefault="00ED061E">
      <w:r>
        <w:separator/>
      </w:r>
    </w:p>
  </w:endnote>
  <w:endnote w:type="continuationSeparator" w:id="0">
    <w:p w14:paraId="4A1CD451" w14:textId="77777777" w:rsidR="00ED061E" w:rsidRDefault="00ED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D061E" w14:paraId="46C8F0AB" w14:textId="77777777" w:rsidTr="00AE5190">
      <w:trPr>
        <w:trHeight w:hRule="exact" w:val="567"/>
      </w:trPr>
      <w:tc>
        <w:tcPr>
          <w:tcW w:w="510" w:type="dxa"/>
        </w:tcPr>
        <w:p w14:paraId="3AA38540" w14:textId="77777777" w:rsidR="00ED061E" w:rsidRPr="00A24443" w:rsidRDefault="00ED061E"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65BC5">
            <w:rPr>
              <w:rStyle w:val="PageNumber"/>
              <w:caps w:val="0"/>
              <w:noProof/>
            </w:rPr>
            <w:t>14</w:t>
          </w:r>
          <w:r w:rsidRPr="00A24443">
            <w:rPr>
              <w:rStyle w:val="PageNumber"/>
              <w:caps w:val="0"/>
            </w:rPr>
            <w:fldChar w:fldCharType="end"/>
          </w:r>
        </w:p>
      </w:tc>
      <w:tc>
        <w:tcPr>
          <w:tcW w:w="7767" w:type="dxa"/>
        </w:tcPr>
        <w:p w14:paraId="2E3BA8EA" w14:textId="18D0D364" w:rsidR="00ED061E" w:rsidRPr="0013739A" w:rsidRDefault="00ED061E" w:rsidP="00AE5190">
          <w:pPr>
            <w:pStyle w:val="Footer"/>
            <w:rPr>
              <w:rFonts w:cs="Arial"/>
            </w:rPr>
          </w:pPr>
          <w:r>
            <w:rPr>
              <w:rFonts w:cs="Arial"/>
            </w:rPr>
            <w:t>Report on Government Services 2019</w:t>
          </w:r>
          <w:bookmarkStart w:id="31" w:name="DraftReportEven"/>
          <w:bookmarkEnd w:id="31"/>
        </w:p>
      </w:tc>
      <w:tc>
        <w:tcPr>
          <w:tcW w:w="510" w:type="dxa"/>
        </w:tcPr>
        <w:p w14:paraId="41CBE97B" w14:textId="77777777" w:rsidR="00ED061E" w:rsidRDefault="00ED061E" w:rsidP="0019293B">
          <w:pPr>
            <w:pStyle w:val="Footer"/>
          </w:pPr>
        </w:p>
      </w:tc>
    </w:tr>
  </w:tbl>
  <w:p w14:paraId="25C5B9EC" w14:textId="77777777" w:rsidR="00ED061E" w:rsidRDefault="00ED061E" w:rsidP="0019293B">
    <w:pPr>
      <w:pStyle w:val="FooterEnd"/>
    </w:pPr>
  </w:p>
  <w:p w14:paraId="2D7A587E" w14:textId="77777777" w:rsidR="00ED061E" w:rsidRDefault="00ED061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D061E" w14:paraId="334A622B" w14:textId="77777777" w:rsidTr="00AE5190">
      <w:trPr>
        <w:trHeight w:hRule="exact" w:val="567"/>
      </w:trPr>
      <w:tc>
        <w:tcPr>
          <w:tcW w:w="510" w:type="dxa"/>
        </w:tcPr>
        <w:p w14:paraId="5C127898" w14:textId="77777777" w:rsidR="00ED061E" w:rsidRDefault="00ED061E">
          <w:pPr>
            <w:pStyle w:val="Footer"/>
            <w:ind w:right="360" w:firstLine="360"/>
          </w:pPr>
        </w:p>
      </w:tc>
      <w:tc>
        <w:tcPr>
          <w:tcW w:w="7767" w:type="dxa"/>
        </w:tcPr>
        <w:p w14:paraId="4BA93C21" w14:textId="2F821E23" w:rsidR="00ED061E" w:rsidRPr="00BA5B14" w:rsidRDefault="00ED061E" w:rsidP="00AE5190">
          <w:pPr>
            <w:pStyle w:val="Footer"/>
            <w:jc w:val="right"/>
            <w:rPr>
              <w:rFonts w:cs="Arial"/>
            </w:rPr>
          </w:pPr>
          <w:r>
            <w:rPr>
              <w:rFonts w:cs="Arial"/>
            </w:rPr>
            <w:t>Housing</w:t>
          </w:r>
          <w:r w:rsidR="00A73853">
            <w:rPr>
              <w:rFonts w:cs="Arial"/>
            </w:rPr>
            <w:t xml:space="preserve"> INTERPRETATIVE MATERIAL</w:t>
          </w:r>
        </w:p>
      </w:tc>
      <w:tc>
        <w:tcPr>
          <w:tcW w:w="510" w:type="dxa"/>
        </w:tcPr>
        <w:p w14:paraId="3674A0D2" w14:textId="77777777" w:rsidR="00ED061E" w:rsidRPr="00A24443" w:rsidRDefault="00ED061E" w:rsidP="00D04B31">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65BC5">
            <w:rPr>
              <w:rStyle w:val="PageNumber"/>
              <w:caps w:val="0"/>
              <w:noProof/>
            </w:rPr>
            <w:t>13</w:t>
          </w:r>
          <w:r w:rsidRPr="00A24443">
            <w:rPr>
              <w:rStyle w:val="PageNumber"/>
              <w:caps w:val="0"/>
            </w:rPr>
            <w:fldChar w:fldCharType="end"/>
          </w:r>
        </w:p>
      </w:tc>
    </w:tr>
  </w:tbl>
  <w:p w14:paraId="47A4E935" w14:textId="77777777" w:rsidR="00ED061E" w:rsidRDefault="00ED061E">
    <w:pPr>
      <w:pStyle w:val="FooterEnd"/>
    </w:pPr>
  </w:p>
  <w:p w14:paraId="1C936B13" w14:textId="77777777" w:rsidR="00ED061E" w:rsidRDefault="00ED061E" w:rsidP="003666C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7259" w14:textId="77777777" w:rsidR="00ED061E" w:rsidRDefault="00ED061E">
      <w:r>
        <w:separator/>
      </w:r>
    </w:p>
  </w:footnote>
  <w:footnote w:type="continuationSeparator" w:id="0">
    <w:p w14:paraId="201B8622" w14:textId="77777777" w:rsidR="00ED061E" w:rsidRDefault="00ED0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ED061E" w14:paraId="6F4909A6" w14:textId="77777777" w:rsidTr="00110D9E">
      <w:tc>
        <w:tcPr>
          <w:tcW w:w="2155" w:type="dxa"/>
          <w:tcBorders>
            <w:top w:val="single" w:sz="24" w:space="0" w:color="auto"/>
          </w:tcBorders>
        </w:tcPr>
        <w:p w14:paraId="4F2FB03E" w14:textId="77777777" w:rsidR="00ED061E" w:rsidRDefault="00ED061E" w:rsidP="00110D9E">
          <w:pPr>
            <w:pStyle w:val="HeaderEven"/>
            <w:jc w:val="right"/>
          </w:pPr>
        </w:p>
      </w:tc>
      <w:tc>
        <w:tcPr>
          <w:tcW w:w="6634" w:type="dxa"/>
          <w:tcBorders>
            <w:top w:val="single" w:sz="6" w:space="0" w:color="auto"/>
          </w:tcBorders>
        </w:tcPr>
        <w:p w14:paraId="73892478" w14:textId="2B306A17" w:rsidR="00ED061E" w:rsidRDefault="00ED061E" w:rsidP="00C603B8">
          <w:pPr>
            <w:pStyle w:val="HeaderEven"/>
          </w:pPr>
        </w:p>
      </w:tc>
    </w:tr>
  </w:tbl>
  <w:p w14:paraId="60042176" w14:textId="77777777" w:rsidR="00ED061E" w:rsidRDefault="00ED061E" w:rsidP="00110D9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D061E" w14:paraId="6D6D1E1B" w14:textId="77777777" w:rsidTr="006C0D79">
      <w:tc>
        <w:tcPr>
          <w:tcW w:w="6634" w:type="dxa"/>
          <w:tcBorders>
            <w:top w:val="single" w:sz="6" w:space="0" w:color="auto"/>
          </w:tcBorders>
        </w:tcPr>
        <w:p w14:paraId="0BED83B9" w14:textId="2AEB97EF" w:rsidR="00ED061E" w:rsidRDefault="00ED061E" w:rsidP="00C603B8">
          <w:pPr>
            <w:pStyle w:val="HeaderOdd"/>
            <w:jc w:val="right"/>
          </w:pPr>
        </w:p>
      </w:tc>
      <w:tc>
        <w:tcPr>
          <w:tcW w:w="2155" w:type="dxa"/>
          <w:tcBorders>
            <w:top w:val="single" w:sz="24" w:space="0" w:color="auto"/>
          </w:tcBorders>
        </w:tcPr>
        <w:p w14:paraId="31E30615" w14:textId="77777777" w:rsidR="00ED061E" w:rsidRDefault="00ED061E" w:rsidP="00110D9E">
          <w:pPr>
            <w:pStyle w:val="HeaderOdd"/>
            <w:jc w:val="right"/>
          </w:pPr>
        </w:p>
      </w:tc>
    </w:tr>
  </w:tbl>
  <w:p w14:paraId="0E28E0C8" w14:textId="77777777" w:rsidR="00ED061E" w:rsidRDefault="00ED061E" w:rsidP="00110D9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14C24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BA48D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E3210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BE3422D"/>
    <w:multiLevelType w:val="hybridMultilevel"/>
    <w:tmpl w:val="FD7E8178"/>
    <w:lvl w:ilvl="0" w:tplc="A0B4C768">
      <w:start w:val="1"/>
      <w:numFmt w:val="bullet"/>
      <w:pStyle w:val="DHSBulletText"/>
      <w:lvlText w:val=""/>
      <w:lvlJc w:val="left"/>
      <w:pPr>
        <w:tabs>
          <w:tab w:val="num" w:pos="36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5B7C14"/>
    <w:multiLevelType w:val="hybridMultilevel"/>
    <w:tmpl w:val="D0A62EE4"/>
    <w:lvl w:ilvl="0" w:tplc="898A15AE">
      <w:start w:val="1"/>
      <w:numFmt w:val="bullet"/>
      <w:pStyle w:val="DQI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37A61BB7"/>
    <w:multiLevelType w:val="hybridMultilevel"/>
    <w:tmpl w:val="9C1C7CD8"/>
    <w:lvl w:ilvl="0" w:tplc="7458F8C8">
      <w:start w:val="5"/>
      <w:numFmt w:val="bullet"/>
      <w:lvlText w:val="-"/>
      <w:lvlJc w:val="left"/>
      <w:pPr>
        <w:ind w:left="420" w:hanging="360"/>
      </w:pPr>
      <w:rPr>
        <w:rFonts w:ascii="Times New Roman" w:eastAsia="Times New Roman"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892A65"/>
    <w:multiLevelType w:val="hybridMultilevel"/>
    <w:tmpl w:val="3F6ECB2C"/>
    <w:lvl w:ilvl="0" w:tplc="CB0AE870">
      <w:start w:val="1"/>
      <w:numFmt w:val="bullet"/>
      <w:pStyle w:val="DQITableBullet2"/>
      <w:lvlText w:val="–"/>
      <w:lvlJc w:val="left"/>
      <w:pPr>
        <w:ind w:left="890" w:hanging="360"/>
      </w:pPr>
      <w:rPr>
        <w:rFonts w:ascii="Lucida Sans" w:hAnsi="Lucida Sans" w:hint="default"/>
        <w:b w:val="0"/>
        <w:i w:val="0"/>
        <w:sz w:val="18"/>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D6B5FCB"/>
    <w:multiLevelType w:val="hybridMultilevel"/>
    <w:tmpl w:val="7A22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5"/>
  </w:num>
  <w:num w:numId="3">
    <w:abstractNumId w:val="25"/>
  </w:num>
  <w:num w:numId="4">
    <w:abstractNumId w:val="3"/>
  </w:num>
  <w:num w:numId="5">
    <w:abstractNumId w:val="17"/>
  </w:num>
  <w:num w:numId="6">
    <w:abstractNumId w:val="4"/>
  </w:num>
  <w:num w:numId="7">
    <w:abstractNumId w:val="23"/>
  </w:num>
  <w:num w:numId="8">
    <w:abstractNumId w:val="19"/>
  </w:num>
  <w:num w:numId="9">
    <w:abstractNumId w:val="26"/>
  </w:num>
  <w:num w:numId="10">
    <w:abstractNumId w:val="12"/>
  </w:num>
  <w:num w:numId="11">
    <w:abstractNumId w:val="9"/>
  </w:num>
  <w:num w:numId="12">
    <w:abstractNumId w:val="18"/>
  </w:num>
  <w:num w:numId="13">
    <w:abstractNumId w:val="8"/>
  </w:num>
  <w:num w:numId="14">
    <w:abstractNumId w:val="7"/>
  </w:num>
  <w:num w:numId="15">
    <w:abstractNumId w:val="13"/>
  </w:num>
  <w:num w:numId="16">
    <w:abstractNumId w:val="16"/>
  </w:num>
  <w:num w:numId="17">
    <w:abstractNumId w:val="20"/>
  </w:num>
  <w:num w:numId="18">
    <w:abstractNumId w:val="6"/>
  </w:num>
  <w:num w:numId="19">
    <w:abstractNumId w:val="22"/>
  </w:num>
  <w:num w:numId="20">
    <w:abstractNumId w:val="10"/>
  </w:num>
  <w:num w:numId="21">
    <w:abstractNumId w:val="24"/>
  </w:num>
  <w:num w:numId="22">
    <w:abstractNumId w:val="18"/>
  </w:num>
  <w:num w:numId="23">
    <w:abstractNumId w:val="11"/>
  </w:num>
  <w:num w:numId="24">
    <w:abstractNumId w:val="21"/>
  </w:num>
  <w:num w:numId="25">
    <w:abstractNumId w:val="14"/>
  </w:num>
  <w:num w:numId="26">
    <w:abstractNumId w:val="15"/>
  </w:num>
  <w:num w:numId="27">
    <w:abstractNumId w:val="2"/>
  </w:num>
  <w:num w:numId="28">
    <w:abstractNumId w:val="1"/>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Housing"/>
    <w:docVar w:name="ShortReportTitle" w:val="Report on Government Services 2017"/>
  </w:docVars>
  <w:rsids>
    <w:rsidRoot w:val="00337686"/>
    <w:rsid w:val="00000249"/>
    <w:rsid w:val="000005B8"/>
    <w:rsid w:val="000005F8"/>
    <w:rsid w:val="00000F24"/>
    <w:rsid w:val="00000F51"/>
    <w:rsid w:val="00001288"/>
    <w:rsid w:val="00001457"/>
    <w:rsid w:val="000014F1"/>
    <w:rsid w:val="0000153C"/>
    <w:rsid w:val="000016AA"/>
    <w:rsid w:val="000016B2"/>
    <w:rsid w:val="00001B30"/>
    <w:rsid w:val="00001F48"/>
    <w:rsid w:val="00002763"/>
    <w:rsid w:val="0000278E"/>
    <w:rsid w:val="00002B56"/>
    <w:rsid w:val="00002C75"/>
    <w:rsid w:val="00002DCA"/>
    <w:rsid w:val="00002E51"/>
    <w:rsid w:val="00002ED2"/>
    <w:rsid w:val="00002F04"/>
    <w:rsid w:val="00003478"/>
    <w:rsid w:val="0000350F"/>
    <w:rsid w:val="0000376F"/>
    <w:rsid w:val="00003B2E"/>
    <w:rsid w:val="00003C8B"/>
    <w:rsid w:val="00003C92"/>
    <w:rsid w:val="00003D7B"/>
    <w:rsid w:val="00003F92"/>
    <w:rsid w:val="000041C7"/>
    <w:rsid w:val="00004660"/>
    <w:rsid w:val="0000473A"/>
    <w:rsid w:val="00004874"/>
    <w:rsid w:val="00004BDD"/>
    <w:rsid w:val="00004FBF"/>
    <w:rsid w:val="00005071"/>
    <w:rsid w:val="00005643"/>
    <w:rsid w:val="00005B2C"/>
    <w:rsid w:val="0000605E"/>
    <w:rsid w:val="00006088"/>
    <w:rsid w:val="00006B39"/>
    <w:rsid w:val="00006CD3"/>
    <w:rsid w:val="00006D3A"/>
    <w:rsid w:val="00006DC5"/>
    <w:rsid w:val="00007225"/>
    <w:rsid w:val="0000797A"/>
    <w:rsid w:val="00007A51"/>
    <w:rsid w:val="00010249"/>
    <w:rsid w:val="00010257"/>
    <w:rsid w:val="000104D2"/>
    <w:rsid w:val="0001078A"/>
    <w:rsid w:val="00010E1B"/>
    <w:rsid w:val="00011143"/>
    <w:rsid w:val="000112BA"/>
    <w:rsid w:val="000114B6"/>
    <w:rsid w:val="000114CE"/>
    <w:rsid w:val="000115D7"/>
    <w:rsid w:val="00011654"/>
    <w:rsid w:val="000119F4"/>
    <w:rsid w:val="00012263"/>
    <w:rsid w:val="0001229D"/>
    <w:rsid w:val="000124DA"/>
    <w:rsid w:val="000124EE"/>
    <w:rsid w:val="00012561"/>
    <w:rsid w:val="0001289E"/>
    <w:rsid w:val="00012AAF"/>
    <w:rsid w:val="00012AFA"/>
    <w:rsid w:val="00012BAE"/>
    <w:rsid w:val="00012C3F"/>
    <w:rsid w:val="00012C88"/>
    <w:rsid w:val="00012E95"/>
    <w:rsid w:val="00013467"/>
    <w:rsid w:val="0001387A"/>
    <w:rsid w:val="0001390E"/>
    <w:rsid w:val="000142C6"/>
    <w:rsid w:val="00014449"/>
    <w:rsid w:val="000145D1"/>
    <w:rsid w:val="000145F2"/>
    <w:rsid w:val="00014766"/>
    <w:rsid w:val="00014850"/>
    <w:rsid w:val="0001494A"/>
    <w:rsid w:val="00014BF7"/>
    <w:rsid w:val="00015146"/>
    <w:rsid w:val="00015408"/>
    <w:rsid w:val="0001544C"/>
    <w:rsid w:val="00015C2D"/>
    <w:rsid w:val="00015CC2"/>
    <w:rsid w:val="00016028"/>
    <w:rsid w:val="00016032"/>
    <w:rsid w:val="00016056"/>
    <w:rsid w:val="000160B3"/>
    <w:rsid w:val="00016391"/>
    <w:rsid w:val="0001694A"/>
    <w:rsid w:val="00016B7F"/>
    <w:rsid w:val="0001710F"/>
    <w:rsid w:val="00017323"/>
    <w:rsid w:val="0001745F"/>
    <w:rsid w:val="0001777A"/>
    <w:rsid w:val="00017B79"/>
    <w:rsid w:val="00017E6D"/>
    <w:rsid w:val="00020B0A"/>
    <w:rsid w:val="00020CBB"/>
    <w:rsid w:val="00020F6B"/>
    <w:rsid w:val="00021212"/>
    <w:rsid w:val="0002126F"/>
    <w:rsid w:val="00021400"/>
    <w:rsid w:val="00021A17"/>
    <w:rsid w:val="00021B0F"/>
    <w:rsid w:val="000222ED"/>
    <w:rsid w:val="00022678"/>
    <w:rsid w:val="00022765"/>
    <w:rsid w:val="0002281E"/>
    <w:rsid w:val="000229AE"/>
    <w:rsid w:val="00023053"/>
    <w:rsid w:val="000232BE"/>
    <w:rsid w:val="0002377E"/>
    <w:rsid w:val="000238B8"/>
    <w:rsid w:val="00023CD6"/>
    <w:rsid w:val="00023DED"/>
    <w:rsid w:val="00023FE1"/>
    <w:rsid w:val="000240E0"/>
    <w:rsid w:val="0002426B"/>
    <w:rsid w:val="000242A6"/>
    <w:rsid w:val="00024406"/>
    <w:rsid w:val="000247DC"/>
    <w:rsid w:val="00024AC8"/>
    <w:rsid w:val="00024BA2"/>
    <w:rsid w:val="00024C3F"/>
    <w:rsid w:val="00024C72"/>
    <w:rsid w:val="00024D24"/>
    <w:rsid w:val="00024F8B"/>
    <w:rsid w:val="00025506"/>
    <w:rsid w:val="00025580"/>
    <w:rsid w:val="0002564A"/>
    <w:rsid w:val="00025C85"/>
    <w:rsid w:val="00025ED3"/>
    <w:rsid w:val="00025EF4"/>
    <w:rsid w:val="00026187"/>
    <w:rsid w:val="0002660F"/>
    <w:rsid w:val="000275D4"/>
    <w:rsid w:val="00027623"/>
    <w:rsid w:val="00027BC9"/>
    <w:rsid w:val="000301BC"/>
    <w:rsid w:val="00030245"/>
    <w:rsid w:val="00030255"/>
    <w:rsid w:val="000302FA"/>
    <w:rsid w:val="000305D7"/>
    <w:rsid w:val="00030693"/>
    <w:rsid w:val="00030B2C"/>
    <w:rsid w:val="00030E5B"/>
    <w:rsid w:val="00030EEC"/>
    <w:rsid w:val="00031967"/>
    <w:rsid w:val="00031B37"/>
    <w:rsid w:val="00031BB6"/>
    <w:rsid w:val="000326D8"/>
    <w:rsid w:val="00032710"/>
    <w:rsid w:val="000329EA"/>
    <w:rsid w:val="00032C95"/>
    <w:rsid w:val="00032E86"/>
    <w:rsid w:val="00032ED8"/>
    <w:rsid w:val="00032F17"/>
    <w:rsid w:val="00033266"/>
    <w:rsid w:val="0003375C"/>
    <w:rsid w:val="000337AA"/>
    <w:rsid w:val="000339ED"/>
    <w:rsid w:val="00034A91"/>
    <w:rsid w:val="00034D6C"/>
    <w:rsid w:val="0003504C"/>
    <w:rsid w:val="000352C6"/>
    <w:rsid w:val="0003583A"/>
    <w:rsid w:val="00035C82"/>
    <w:rsid w:val="000361D1"/>
    <w:rsid w:val="00036428"/>
    <w:rsid w:val="0003664B"/>
    <w:rsid w:val="000366E7"/>
    <w:rsid w:val="00036A0E"/>
    <w:rsid w:val="00036B00"/>
    <w:rsid w:val="00037B75"/>
    <w:rsid w:val="00037D23"/>
    <w:rsid w:val="00037FC5"/>
    <w:rsid w:val="000404D8"/>
    <w:rsid w:val="00040505"/>
    <w:rsid w:val="000405EE"/>
    <w:rsid w:val="00040955"/>
    <w:rsid w:val="00040B59"/>
    <w:rsid w:val="00040D7C"/>
    <w:rsid w:val="00040EF4"/>
    <w:rsid w:val="00040F38"/>
    <w:rsid w:val="000410FF"/>
    <w:rsid w:val="0004111F"/>
    <w:rsid w:val="00041329"/>
    <w:rsid w:val="000417CC"/>
    <w:rsid w:val="00041C41"/>
    <w:rsid w:val="0004201A"/>
    <w:rsid w:val="000420F9"/>
    <w:rsid w:val="0004243F"/>
    <w:rsid w:val="00042A5A"/>
    <w:rsid w:val="00042BC9"/>
    <w:rsid w:val="00042C82"/>
    <w:rsid w:val="00043169"/>
    <w:rsid w:val="00043270"/>
    <w:rsid w:val="0004347B"/>
    <w:rsid w:val="00044269"/>
    <w:rsid w:val="00044529"/>
    <w:rsid w:val="00044610"/>
    <w:rsid w:val="00044764"/>
    <w:rsid w:val="0004491B"/>
    <w:rsid w:val="00044D16"/>
    <w:rsid w:val="00045062"/>
    <w:rsid w:val="000451AD"/>
    <w:rsid w:val="0004527B"/>
    <w:rsid w:val="000466CA"/>
    <w:rsid w:val="00046841"/>
    <w:rsid w:val="00046AC3"/>
    <w:rsid w:val="00046F24"/>
    <w:rsid w:val="00046FF4"/>
    <w:rsid w:val="0004721D"/>
    <w:rsid w:val="000475F2"/>
    <w:rsid w:val="0004767D"/>
    <w:rsid w:val="000500CB"/>
    <w:rsid w:val="0005039D"/>
    <w:rsid w:val="000506F5"/>
    <w:rsid w:val="000508CB"/>
    <w:rsid w:val="000513A7"/>
    <w:rsid w:val="00051663"/>
    <w:rsid w:val="0005258C"/>
    <w:rsid w:val="000527F0"/>
    <w:rsid w:val="00052944"/>
    <w:rsid w:val="00052B29"/>
    <w:rsid w:val="00052D8D"/>
    <w:rsid w:val="000530C2"/>
    <w:rsid w:val="000534E4"/>
    <w:rsid w:val="000535B7"/>
    <w:rsid w:val="000538C3"/>
    <w:rsid w:val="00053C73"/>
    <w:rsid w:val="00053E71"/>
    <w:rsid w:val="00053F78"/>
    <w:rsid w:val="000544F8"/>
    <w:rsid w:val="000546FD"/>
    <w:rsid w:val="00054841"/>
    <w:rsid w:val="000549E8"/>
    <w:rsid w:val="00054AAF"/>
    <w:rsid w:val="00054CE2"/>
    <w:rsid w:val="000553FB"/>
    <w:rsid w:val="0005549B"/>
    <w:rsid w:val="000558C3"/>
    <w:rsid w:val="00055D4E"/>
    <w:rsid w:val="000561BC"/>
    <w:rsid w:val="0005622D"/>
    <w:rsid w:val="00056FE4"/>
    <w:rsid w:val="00056FE5"/>
    <w:rsid w:val="00057016"/>
    <w:rsid w:val="00057056"/>
    <w:rsid w:val="0005728A"/>
    <w:rsid w:val="000574B3"/>
    <w:rsid w:val="00057FB8"/>
    <w:rsid w:val="00057FC1"/>
    <w:rsid w:val="000602D2"/>
    <w:rsid w:val="00060531"/>
    <w:rsid w:val="0006104E"/>
    <w:rsid w:val="000617DB"/>
    <w:rsid w:val="00061C68"/>
    <w:rsid w:val="00061D3D"/>
    <w:rsid w:val="00061ECB"/>
    <w:rsid w:val="00062144"/>
    <w:rsid w:val="0006223E"/>
    <w:rsid w:val="000625A0"/>
    <w:rsid w:val="000626E5"/>
    <w:rsid w:val="000627F9"/>
    <w:rsid w:val="00062951"/>
    <w:rsid w:val="00062C54"/>
    <w:rsid w:val="00062CBF"/>
    <w:rsid w:val="00062CE1"/>
    <w:rsid w:val="000631DB"/>
    <w:rsid w:val="00063911"/>
    <w:rsid w:val="00064188"/>
    <w:rsid w:val="00064204"/>
    <w:rsid w:val="00064526"/>
    <w:rsid w:val="000646EB"/>
    <w:rsid w:val="00065068"/>
    <w:rsid w:val="00065086"/>
    <w:rsid w:val="000650F5"/>
    <w:rsid w:val="000653BD"/>
    <w:rsid w:val="00065516"/>
    <w:rsid w:val="00065872"/>
    <w:rsid w:val="00065ACD"/>
    <w:rsid w:val="00065B0B"/>
    <w:rsid w:val="0006608D"/>
    <w:rsid w:val="000662C9"/>
    <w:rsid w:val="00066CF5"/>
    <w:rsid w:val="000673F6"/>
    <w:rsid w:val="0006748A"/>
    <w:rsid w:val="00067512"/>
    <w:rsid w:val="000677FF"/>
    <w:rsid w:val="00070A4E"/>
    <w:rsid w:val="00070D9C"/>
    <w:rsid w:val="00070EC9"/>
    <w:rsid w:val="00070F7A"/>
    <w:rsid w:val="000710B7"/>
    <w:rsid w:val="0007150B"/>
    <w:rsid w:val="00071B79"/>
    <w:rsid w:val="00071EC6"/>
    <w:rsid w:val="00072B72"/>
    <w:rsid w:val="00072D3A"/>
    <w:rsid w:val="0007349E"/>
    <w:rsid w:val="000735EA"/>
    <w:rsid w:val="000736E1"/>
    <w:rsid w:val="000737C4"/>
    <w:rsid w:val="00073BB9"/>
    <w:rsid w:val="00074739"/>
    <w:rsid w:val="000748D5"/>
    <w:rsid w:val="00074A47"/>
    <w:rsid w:val="00074DB9"/>
    <w:rsid w:val="000758DA"/>
    <w:rsid w:val="00076302"/>
    <w:rsid w:val="0007680E"/>
    <w:rsid w:val="0007716B"/>
    <w:rsid w:val="00077195"/>
    <w:rsid w:val="000772C9"/>
    <w:rsid w:val="000773E4"/>
    <w:rsid w:val="000774AC"/>
    <w:rsid w:val="0007796F"/>
    <w:rsid w:val="000779DA"/>
    <w:rsid w:val="00077C2A"/>
    <w:rsid w:val="00077C3B"/>
    <w:rsid w:val="00077D20"/>
    <w:rsid w:val="00077D4F"/>
    <w:rsid w:val="00077E7D"/>
    <w:rsid w:val="0008018E"/>
    <w:rsid w:val="00080B0B"/>
    <w:rsid w:val="00080FFB"/>
    <w:rsid w:val="00081024"/>
    <w:rsid w:val="00081296"/>
    <w:rsid w:val="000812CB"/>
    <w:rsid w:val="00081787"/>
    <w:rsid w:val="000817B5"/>
    <w:rsid w:val="00081EB9"/>
    <w:rsid w:val="00081F79"/>
    <w:rsid w:val="0008233B"/>
    <w:rsid w:val="0008249A"/>
    <w:rsid w:val="00082519"/>
    <w:rsid w:val="00082548"/>
    <w:rsid w:val="00082A03"/>
    <w:rsid w:val="00082B8D"/>
    <w:rsid w:val="00082CEB"/>
    <w:rsid w:val="00083535"/>
    <w:rsid w:val="0008416B"/>
    <w:rsid w:val="0008423F"/>
    <w:rsid w:val="00084413"/>
    <w:rsid w:val="0008455A"/>
    <w:rsid w:val="00084779"/>
    <w:rsid w:val="0008480F"/>
    <w:rsid w:val="00084844"/>
    <w:rsid w:val="00084C41"/>
    <w:rsid w:val="00084DD1"/>
    <w:rsid w:val="00084EEB"/>
    <w:rsid w:val="00084F54"/>
    <w:rsid w:val="00085040"/>
    <w:rsid w:val="0008515D"/>
    <w:rsid w:val="000854D1"/>
    <w:rsid w:val="00085928"/>
    <w:rsid w:val="000859C2"/>
    <w:rsid w:val="00085AD4"/>
    <w:rsid w:val="00085E9E"/>
    <w:rsid w:val="00086233"/>
    <w:rsid w:val="00086242"/>
    <w:rsid w:val="000863C0"/>
    <w:rsid w:val="00086605"/>
    <w:rsid w:val="00086999"/>
    <w:rsid w:val="00086BB3"/>
    <w:rsid w:val="00087119"/>
    <w:rsid w:val="00087268"/>
    <w:rsid w:val="0008731C"/>
    <w:rsid w:val="00087481"/>
    <w:rsid w:val="00087741"/>
    <w:rsid w:val="00087994"/>
    <w:rsid w:val="00087A91"/>
    <w:rsid w:val="00087BD7"/>
    <w:rsid w:val="00087F87"/>
    <w:rsid w:val="0009023D"/>
    <w:rsid w:val="00090414"/>
    <w:rsid w:val="000904F1"/>
    <w:rsid w:val="00090804"/>
    <w:rsid w:val="00090ABF"/>
    <w:rsid w:val="00090F97"/>
    <w:rsid w:val="000910DF"/>
    <w:rsid w:val="00091282"/>
    <w:rsid w:val="00091C19"/>
    <w:rsid w:val="00091C9C"/>
    <w:rsid w:val="00091D00"/>
    <w:rsid w:val="000920E3"/>
    <w:rsid w:val="00092D60"/>
    <w:rsid w:val="0009307C"/>
    <w:rsid w:val="000931B6"/>
    <w:rsid w:val="000937EA"/>
    <w:rsid w:val="000938F5"/>
    <w:rsid w:val="00093C25"/>
    <w:rsid w:val="000944F9"/>
    <w:rsid w:val="00094EB3"/>
    <w:rsid w:val="00095008"/>
    <w:rsid w:val="000958E6"/>
    <w:rsid w:val="00096575"/>
    <w:rsid w:val="00096B56"/>
    <w:rsid w:val="00096CE8"/>
    <w:rsid w:val="000970DF"/>
    <w:rsid w:val="0009722E"/>
    <w:rsid w:val="00097753"/>
    <w:rsid w:val="00097C85"/>
    <w:rsid w:val="00097EF8"/>
    <w:rsid w:val="00097F34"/>
    <w:rsid w:val="000A00AC"/>
    <w:rsid w:val="000A02FD"/>
    <w:rsid w:val="000A04F2"/>
    <w:rsid w:val="000A063D"/>
    <w:rsid w:val="000A06B1"/>
    <w:rsid w:val="000A0716"/>
    <w:rsid w:val="000A0859"/>
    <w:rsid w:val="000A09B2"/>
    <w:rsid w:val="000A0AA7"/>
    <w:rsid w:val="000A0BA8"/>
    <w:rsid w:val="000A0D02"/>
    <w:rsid w:val="000A0D33"/>
    <w:rsid w:val="000A10D4"/>
    <w:rsid w:val="000A152B"/>
    <w:rsid w:val="000A1C0E"/>
    <w:rsid w:val="000A1DDC"/>
    <w:rsid w:val="000A2123"/>
    <w:rsid w:val="000A2259"/>
    <w:rsid w:val="000A22C2"/>
    <w:rsid w:val="000A273A"/>
    <w:rsid w:val="000A2CD9"/>
    <w:rsid w:val="000A2F10"/>
    <w:rsid w:val="000A2FE2"/>
    <w:rsid w:val="000A309A"/>
    <w:rsid w:val="000A3D47"/>
    <w:rsid w:val="000A3D61"/>
    <w:rsid w:val="000A3DCC"/>
    <w:rsid w:val="000A3EC0"/>
    <w:rsid w:val="000A4093"/>
    <w:rsid w:val="000A4207"/>
    <w:rsid w:val="000A4576"/>
    <w:rsid w:val="000A4E9D"/>
    <w:rsid w:val="000A4F99"/>
    <w:rsid w:val="000A52EB"/>
    <w:rsid w:val="000A5330"/>
    <w:rsid w:val="000A5406"/>
    <w:rsid w:val="000A59A1"/>
    <w:rsid w:val="000A5DDB"/>
    <w:rsid w:val="000A621E"/>
    <w:rsid w:val="000A6389"/>
    <w:rsid w:val="000A6752"/>
    <w:rsid w:val="000A6AAE"/>
    <w:rsid w:val="000A6D9F"/>
    <w:rsid w:val="000A7B4E"/>
    <w:rsid w:val="000B0020"/>
    <w:rsid w:val="000B0440"/>
    <w:rsid w:val="000B0586"/>
    <w:rsid w:val="000B0CB9"/>
    <w:rsid w:val="000B1355"/>
    <w:rsid w:val="000B1B4C"/>
    <w:rsid w:val="000B1E28"/>
    <w:rsid w:val="000B2205"/>
    <w:rsid w:val="000B257B"/>
    <w:rsid w:val="000B2848"/>
    <w:rsid w:val="000B2B72"/>
    <w:rsid w:val="000B2DD1"/>
    <w:rsid w:val="000B30AE"/>
    <w:rsid w:val="000B344E"/>
    <w:rsid w:val="000B36F5"/>
    <w:rsid w:val="000B3B28"/>
    <w:rsid w:val="000B3D36"/>
    <w:rsid w:val="000B4232"/>
    <w:rsid w:val="000B4324"/>
    <w:rsid w:val="000B4367"/>
    <w:rsid w:val="000B46A0"/>
    <w:rsid w:val="000B47FD"/>
    <w:rsid w:val="000B497A"/>
    <w:rsid w:val="000B4C83"/>
    <w:rsid w:val="000B4D53"/>
    <w:rsid w:val="000B4D9B"/>
    <w:rsid w:val="000B4FF4"/>
    <w:rsid w:val="000B542D"/>
    <w:rsid w:val="000B5512"/>
    <w:rsid w:val="000B5515"/>
    <w:rsid w:val="000B588E"/>
    <w:rsid w:val="000B5B0D"/>
    <w:rsid w:val="000B5BE9"/>
    <w:rsid w:val="000B5BF1"/>
    <w:rsid w:val="000B5F00"/>
    <w:rsid w:val="000B5F9E"/>
    <w:rsid w:val="000B601B"/>
    <w:rsid w:val="000B66EF"/>
    <w:rsid w:val="000B68FD"/>
    <w:rsid w:val="000B6C33"/>
    <w:rsid w:val="000B6C96"/>
    <w:rsid w:val="000B6DF5"/>
    <w:rsid w:val="000B7223"/>
    <w:rsid w:val="000B739B"/>
    <w:rsid w:val="000B744D"/>
    <w:rsid w:val="000B75B4"/>
    <w:rsid w:val="000B7D85"/>
    <w:rsid w:val="000B7DEC"/>
    <w:rsid w:val="000B7E82"/>
    <w:rsid w:val="000B7E98"/>
    <w:rsid w:val="000C00BA"/>
    <w:rsid w:val="000C0126"/>
    <w:rsid w:val="000C0320"/>
    <w:rsid w:val="000C0893"/>
    <w:rsid w:val="000C0A69"/>
    <w:rsid w:val="000C18CC"/>
    <w:rsid w:val="000C207E"/>
    <w:rsid w:val="000C214E"/>
    <w:rsid w:val="000C215C"/>
    <w:rsid w:val="000C3144"/>
    <w:rsid w:val="000C35CC"/>
    <w:rsid w:val="000C38EC"/>
    <w:rsid w:val="000C39DB"/>
    <w:rsid w:val="000C3DF9"/>
    <w:rsid w:val="000C4A43"/>
    <w:rsid w:val="000C4D74"/>
    <w:rsid w:val="000C4DFF"/>
    <w:rsid w:val="000C51A4"/>
    <w:rsid w:val="000C5568"/>
    <w:rsid w:val="000C5700"/>
    <w:rsid w:val="000C573A"/>
    <w:rsid w:val="000C5F5B"/>
    <w:rsid w:val="000C5FCB"/>
    <w:rsid w:val="000C64FF"/>
    <w:rsid w:val="000C69C3"/>
    <w:rsid w:val="000C6CF1"/>
    <w:rsid w:val="000C6CF8"/>
    <w:rsid w:val="000C73E9"/>
    <w:rsid w:val="000C73F4"/>
    <w:rsid w:val="000C741A"/>
    <w:rsid w:val="000C7B80"/>
    <w:rsid w:val="000C7D91"/>
    <w:rsid w:val="000C7F2A"/>
    <w:rsid w:val="000D0333"/>
    <w:rsid w:val="000D04FA"/>
    <w:rsid w:val="000D056C"/>
    <w:rsid w:val="000D0C6F"/>
    <w:rsid w:val="000D110C"/>
    <w:rsid w:val="000D18AE"/>
    <w:rsid w:val="000D1B2E"/>
    <w:rsid w:val="000D1CC9"/>
    <w:rsid w:val="000D2055"/>
    <w:rsid w:val="000D223E"/>
    <w:rsid w:val="000D265E"/>
    <w:rsid w:val="000D282B"/>
    <w:rsid w:val="000D2A00"/>
    <w:rsid w:val="000D2AF9"/>
    <w:rsid w:val="000D2BC5"/>
    <w:rsid w:val="000D33B1"/>
    <w:rsid w:val="000D37AC"/>
    <w:rsid w:val="000D4042"/>
    <w:rsid w:val="000D4120"/>
    <w:rsid w:val="000D4A8C"/>
    <w:rsid w:val="000D4C9C"/>
    <w:rsid w:val="000D4DB8"/>
    <w:rsid w:val="000D4F60"/>
    <w:rsid w:val="000D5006"/>
    <w:rsid w:val="000D59D3"/>
    <w:rsid w:val="000D5AD9"/>
    <w:rsid w:val="000D5DCD"/>
    <w:rsid w:val="000D6255"/>
    <w:rsid w:val="000D654F"/>
    <w:rsid w:val="000D6E88"/>
    <w:rsid w:val="000D788D"/>
    <w:rsid w:val="000D79BA"/>
    <w:rsid w:val="000D79F2"/>
    <w:rsid w:val="000D7CFC"/>
    <w:rsid w:val="000D7E15"/>
    <w:rsid w:val="000D7FA9"/>
    <w:rsid w:val="000E0114"/>
    <w:rsid w:val="000E02F8"/>
    <w:rsid w:val="000E07C3"/>
    <w:rsid w:val="000E09CC"/>
    <w:rsid w:val="000E0AD1"/>
    <w:rsid w:val="000E1427"/>
    <w:rsid w:val="000E152D"/>
    <w:rsid w:val="000E168B"/>
    <w:rsid w:val="000E19B6"/>
    <w:rsid w:val="000E2139"/>
    <w:rsid w:val="000E25AE"/>
    <w:rsid w:val="000E26D7"/>
    <w:rsid w:val="000E27F6"/>
    <w:rsid w:val="000E2893"/>
    <w:rsid w:val="000E29C7"/>
    <w:rsid w:val="000E2C91"/>
    <w:rsid w:val="000E2EA2"/>
    <w:rsid w:val="000E39C7"/>
    <w:rsid w:val="000E3E32"/>
    <w:rsid w:val="000E4402"/>
    <w:rsid w:val="000E4426"/>
    <w:rsid w:val="000E4457"/>
    <w:rsid w:val="000E4754"/>
    <w:rsid w:val="000E482B"/>
    <w:rsid w:val="000E4922"/>
    <w:rsid w:val="000E49EF"/>
    <w:rsid w:val="000E49F4"/>
    <w:rsid w:val="000E4AD6"/>
    <w:rsid w:val="000E5629"/>
    <w:rsid w:val="000E582C"/>
    <w:rsid w:val="000E58EB"/>
    <w:rsid w:val="000E5A49"/>
    <w:rsid w:val="000E5C2C"/>
    <w:rsid w:val="000E5F84"/>
    <w:rsid w:val="000E644A"/>
    <w:rsid w:val="000E65EC"/>
    <w:rsid w:val="000E6AE9"/>
    <w:rsid w:val="000E6DD3"/>
    <w:rsid w:val="000E71D5"/>
    <w:rsid w:val="000E7211"/>
    <w:rsid w:val="000E7A5A"/>
    <w:rsid w:val="000E7B1A"/>
    <w:rsid w:val="000E7B33"/>
    <w:rsid w:val="000E7E52"/>
    <w:rsid w:val="000F0098"/>
    <w:rsid w:val="000F0DE9"/>
    <w:rsid w:val="000F0E09"/>
    <w:rsid w:val="000F1054"/>
    <w:rsid w:val="000F1064"/>
    <w:rsid w:val="000F1824"/>
    <w:rsid w:val="000F217E"/>
    <w:rsid w:val="000F21B5"/>
    <w:rsid w:val="000F243E"/>
    <w:rsid w:val="000F2514"/>
    <w:rsid w:val="000F2683"/>
    <w:rsid w:val="000F28AE"/>
    <w:rsid w:val="000F2B74"/>
    <w:rsid w:val="000F3408"/>
    <w:rsid w:val="000F37DD"/>
    <w:rsid w:val="000F3A42"/>
    <w:rsid w:val="000F3A46"/>
    <w:rsid w:val="000F3A82"/>
    <w:rsid w:val="000F3B84"/>
    <w:rsid w:val="000F3C72"/>
    <w:rsid w:val="000F3D06"/>
    <w:rsid w:val="000F3E2F"/>
    <w:rsid w:val="000F4045"/>
    <w:rsid w:val="000F46A8"/>
    <w:rsid w:val="000F47EB"/>
    <w:rsid w:val="000F494E"/>
    <w:rsid w:val="000F538B"/>
    <w:rsid w:val="000F55DD"/>
    <w:rsid w:val="000F55F8"/>
    <w:rsid w:val="000F58E4"/>
    <w:rsid w:val="000F5C71"/>
    <w:rsid w:val="000F64E1"/>
    <w:rsid w:val="000F6521"/>
    <w:rsid w:val="000F6678"/>
    <w:rsid w:val="000F67EE"/>
    <w:rsid w:val="000F6968"/>
    <w:rsid w:val="000F69E7"/>
    <w:rsid w:val="000F6B8B"/>
    <w:rsid w:val="000F6C0F"/>
    <w:rsid w:val="000F6DD6"/>
    <w:rsid w:val="000F6DE1"/>
    <w:rsid w:val="000F6E23"/>
    <w:rsid w:val="000F706A"/>
    <w:rsid w:val="000F71AC"/>
    <w:rsid w:val="000F7860"/>
    <w:rsid w:val="000F7A62"/>
    <w:rsid w:val="000F7F7B"/>
    <w:rsid w:val="001007EB"/>
    <w:rsid w:val="00100EA7"/>
    <w:rsid w:val="00100EEB"/>
    <w:rsid w:val="0010174D"/>
    <w:rsid w:val="00101790"/>
    <w:rsid w:val="00101A99"/>
    <w:rsid w:val="00101B80"/>
    <w:rsid w:val="00101C2B"/>
    <w:rsid w:val="00101D1E"/>
    <w:rsid w:val="00101E69"/>
    <w:rsid w:val="0010218A"/>
    <w:rsid w:val="00102A7D"/>
    <w:rsid w:val="0010300D"/>
    <w:rsid w:val="0010353C"/>
    <w:rsid w:val="0010361E"/>
    <w:rsid w:val="001037FB"/>
    <w:rsid w:val="0010391F"/>
    <w:rsid w:val="00103E02"/>
    <w:rsid w:val="0010401B"/>
    <w:rsid w:val="0010445B"/>
    <w:rsid w:val="00104888"/>
    <w:rsid w:val="0010489E"/>
    <w:rsid w:val="00104B98"/>
    <w:rsid w:val="00104FBA"/>
    <w:rsid w:val="001054E5"/>
    <w:rsid w:val="001054FB"/>
    <w:rsid w:val="00105BE0"/>
    <w:rsid w:val="00105EFD"/>
    <w:rsid w:val="00106F5B"/>
    <w:rsid w:val="00107296"/>
    <w:rsid w:val="0010734B"/>
    <w:rsid w:val="001076B4"/>
    <w:rsid w:val="001077A2"/>
    <w:rsid w:val="00107ACE"/>
    <w:rsid w:val="00107F5E"/>
    <w:rsid w:val="00110116"/>
    <w:rsid w:val="00110466"/>
    <w:rsid w:val="00110D9E"/>
    <w:rsid w:val="001116D9"/>
    <w:rsid w:val="001118F8"/>
    <w:rsid w:val="00111968"/>
    <w:rsid w:val="00111CA3"/>
    <w:rsid w:val="00112639"/>
    <w:rsid w:val="0011274E"/>
    <w:rsid w:val="00112A18"/>
    <w:rsid w:val="00112AEA"/>
    <w:rsid w:val="00112DFB"/>
    <w:rsid w:val="001130D1"/>
    <w:rsid w:val="001135D2"/>
    <w:rsid w:val="00113F79"/>
    <w:rsid w:val="001140AB"/>
    <w:rsid w:val="00114108"/>
    <w:rsid w:val="001141AB"/>
    <w:rsid w:val="0011465C"/>
    <w:rsid w:val="001146AC"/>
    <w:rsid w:val="001147DF"/>
    <w:rsid w:val="00114B88"/>
    <w:rsid w:val="00115080"/>
    <w:rsid w:val="00115291"/>
    <w:rsid w:val="001155BE"/>
    <w:rsid w:val="001156FF"/>
    <w:rsid w:val="0011598E"/>
    <w:rsid w:val="00115CF8"/>
    <w:rsid w:val="00116F71"/>
    <w:rsid w:val="001171BA"/>
    <w:rsid w:val="001174A0"/>
    <w:rsid w:val="001175C8"/>
    <w:rsid w:val="00117A0C"/>
    <w:rsid w:val="00117A73"/>
    <w:rsid w:val="00117DFD"/>
    <w:rsid w:val="001204D9"/>
    <w:rsid w:val="0012087E"/>
    <w:rsid w:val="001209BF"/>
    <w:rsid w:val="00120ED2"/>
    <w:rsid w:val="001211EE"/>
    <w:rsid w:val="001213F0"/>
    <w:rsid w:val="0012148B"/>
    <w:rsid w:val="00121885"/>
    <w:rsid w:val="00121A6E"/>
    <w:rsid w:val="00121CE2"/>
    <w:rsid w:val="00122175"/>
    <w:rsid w:val="001224B3"/>
    <w:rsid w:val="00122AB6"/>
    <w:rsid w:val="00122ED8"/>
    <w:rsid w:val="0012329D"/>
    <w:rsid w:val="0012332F"/>
    <w:rsid w:val="00123A48"/>
    <w:rsid w:val="00123C38"/>
    <w:rsid w:val="00123CFE"/>
    <w:rsid w:val="00123F5D"/>
    <w:rsid w:val="001240A7"/>
    <w:rsid w:val="0012441B"/>
    <w:rsid w:val="001244CE"/>
    <w:rsid w:val="00124927"/>
    <w:rsid w:val="00124C56"/>
    <w:rsid w:val="00125B59"/>
    <w:rsid w:val="00125CD4"/>
    <w:rsid w:val="00125FE9"/>
    <w:rsid w:val="0012600E"/>
    <w:rsid w:val="0012631E"/>
    <w:rsid w:val="0012658E"/>
    <w:rsid w:val="00126650"/>
    <w:rsid w:val="001269E6"/>
    <w:rsid w:val="00126EB8"/>
    <w:rsid w:val="001271FB"/>
    <w:rsid w:val="00127672"/>
    <w:rsid w:val="00127B0B"/>
    <w:rsid w:val="00127C94"/>
    <w:rsid w:val="00127CD2"/>
    <w:rsid w:val="00130407"/>
    <w:rsid w:val="00130C74"/>
    <w:rsid w:val="00131182"/>
    <w:rsid w:val="001313D5"/>
    <w:rsid w:val="0013141B"/>
    <w:rsid w:val="00131C1E"/>
    <w:rsid w:val="001322CD"/>
    <w:rsid w:val="001322EB"/>
    <w:rsid w:val="001323E0"/>
    <w:rsid w:val="00132F95"/>
    <w:rsid w:val="00133288"/>
    <w:rsid w:val="001334B7"/>
    <w:rsid w:val="00133541"/>
    <w:rsid w:val="00133C0C"/>
    <w:rsid w:val="00133D14"/>
    <w:rsid w:val="001340ED"/>
    <w:rsid w:val="001341FB"/>
    <w:rsid w:val="00134428"/>
    <w:rsid w:val="00134720"/>
    <w:rsid w:val="00134EDB"/>
    <w:rsid w:val="001350A0"/>
    <w:rsid w:val="001351F5"/>
    <w:rsid w:val="001354F6"/>
    <w:rsid w:val="0013550D"/>
    <w:rsid w:val="00135840"/>
    <w:rsid w:val="001359AC"/>
    <w:rsid w:val="00135B1B"/>
    <w:rsid w:val="00135D78"/>
    <w:rsid w:val="001363AA"/>
    <w:rsid w:val="001363B3"/>
    <w:rsid w:val="001363DF"/>
    <w:rsid w:val="0013665B"/>
    <w:rsid w:val="00136941"/>
    <w:rsid w:val="00136F4A"/>
    <w:rsid w:val="001372CC"/>
    <w:rsid w:val="00137408"/>
    <w:rsid w:val="00137702"/>
    <w:rsid w:val="001379EE"/>
    <w:rsid w:val="00137A01"/>
    <w:rsid w:val="00137B97"/>
    <w:rsid w:val="0014042A"/>
    <w:rsid w:val="001406BB"/>
    <w:rsid w:val="00140700"/>
    <w:rsid w:val="00140C65"/>
    <w:rsid w:val="00140DAA"/>
    <w:rsid w:val="001415F0"/>
    <w:rsid w:val="00141734"/>
    <w:rsid w:val="00141A40"/>
    <w:rsid w:val="00141C57"/>
    <w:rsid w:val="00141C95"/>
    <w:rsid w:val="00141CF1"/>
    <w:rsid w:val="00142827"/>
    <w:rsid w:val="001429B3"/>
    <w:rsid w:val="001430AE"/>
    <w:rsid w:val="00143193"/>
    <w:rsid w:val="00143246"/>
    <w:rsid w:val="0014337C"/>
    <w:rsid w:val="00143730"/>
    <w:rsid w:val="00143848"/>
    <w:rsid w:val="001438AA"/>
    <w:rsid w:val="00143B74"/>
    <w:rsid w:val="00143CAB"/>
    <w:rsid w:val="00143CC9"/>
    <w:rsid w:val="00143E12"/>
    <w:rsid w:val="00144043"/>
    <w:rsid w:val="0014407F"/>
    <w:rsid w:val="00144097"/>
    <w:rsid w:val="0014426C"/>
    <w:rsid w:val="00144297"/>
    <w:rsid w:val="001447B7"/>
    <w:rsid w:val="001448F4"/>
    <w:rsid w:val="00144C16"/>
    <w:rsid w:val="00144C1F"/>
    <w:rsid w:val="00145E3B"/>
    <w:rsid w:val="00145E6A"/>
    <w:rsid w:val="00145F48"/>
    <w:rsid w:val="00145FBA"/>
    <w:rsid w:val="00146424"/>
    <w:rsid w:val="001469A9"/>
    <w:rsid w:val="00146D1B"/>
    <w:rsid w:val="00146DC9"/>
    <w:rsid w:val="00146F7D"/>
    <w:rsid w:val="00147493"/>
    <w:rsid w:val="001477AD"/>
    <w:rsid w:val="001478F8"/>
    <w:rsid w:val="00147D49"/>
    <w:rsid w:val="00147E3C"/>
    <w:rsid w:val="0015048A"/>
    <w:rsid w:val="001505D7"/>
    <w:rsid w:val="00150C27"/>
    <w:rsid w:val="001514D3"/>
    <w:rsid w:val="0015152C"/>
    <w:rsid w:val="00151A02"/>
    <w:rsid w:val="00151C46"/>
    <w:rsid w:val="00151CDD"/>
    <w:rsid w:val="00151D93"/>
    <w:rsid w:val="001521A8"/>
    <w:rsid w:val="00152771"/>
    <w:rsid w:val="00152DFC"/>
    <w:rsid w:val="00152E8E"/>
    <w:rsid w:val="0015342B"/>
    <w:rsid w:val="00153679"/>
    <w:rsid w:val="00153A66"/>
    <w:rsid w:val="00153BE4"/>
    <w:rsid w:val="00153C3C"/>
    <w:rsid w:val="00153CFD"/>
    <w:rsid w:val="001545F1"/>
    <w:rsid w:val="00154675"/>
    <w:rsid w:val="0015497B"/>
    <w:rsid w:val="00154CCB"/>
    <w:rsid w:val="00154CFE"/>
    <w:rsid w:val="00154E76"/>
    <w:rsid w:val="00154F0C"/>
    <w:rsid w:val="0015518A"/>
    <w:rsid w:val="001553C4"/>
    <w:rsid w:val="00155AFB"/>
    <w:rsid w:val="001560D7"/>
    <w:rsid w:val="0015673A"/>
    <w:rsid w:val="00156754"/>
    <w:rsid w:val="001570BE"/>
    <w:rsid w:val="001570DC"/>
    <w:rsid w:val="001572ED"/>
    <w:rsid w:val="001573EB"/>
    <w:rsid w:val="00157ABC"/>
    <w:rsid w:val="00157EEE"/>
    <w:rsid w:val="00157EF2"/>
    <w:rsid w:val="00160184"/>
    <w:rsid w:val="0016048C"/>
    <w:rsid w:val="001607FA"/>
    <w:rsid w:val="001609E8"/>
    <w:rsid w:val="00160CB6"/>
    <w:rsid w:val="00160EFC"/>
    <w:rsid w:val="001610D3"/>
    <w:rsid w:val="001612D5"/>
    <w:rsid w:val="00161994"/>
    <w:rsid w:val="00161A56"/>
    <w:rsid w:val="00161C37"/>
    <w:rsid w:val="00161C72"/>
    <w:rsid w:val="0016221A"/>
    <w:rsid w:val="001627E2"/>
    <w:rsid w:val="00162ABC"/>
    <w:rsid w:val="00162C94"/>
    <w:rsid w:val="00163060"/>
    <w:rsid w:val="00163B15"/>
    <w:rsid w:val="00163F2B"/>
    <w:rsid w:val="001642C0"/>
    <w:rsid w:val="001644E4"/>
    <w:rsid w:val="0016467D"/>
    <w:rsid w:val="001646DC"/>
    <w:rsid w:val="0016487F"/>
    <w:rsid w:val="0016499A"/>
    <w:rsid w:val="00164A5F"/>
    <w:rsid w:val="00164C2F"/>
    <w:rsid w:val="001650FD"/>
    <w:rsid w:val="001651A9"/>
    <w:rsid w:val="0016521B"/>
    <w:rsid w:val="001652C4"/>
    <w:rsid w:val="0016539C"/>
    <w:rsid w:val="001659B3"/>
    <w:rsid w:val="00165FDE"/>
    <w:rsid w:val="0016660A"/>
    <w:rsid w:val="00166831"/>
    <w:rsid w:val="001668C7"/>
    <w:rsid w:val="00167143"/>
    <w:rsid w:val="00167324"/>
    <w:rsid w:val="001674BE"/>
    <w:rsid w:val="001677EF"/>
    <w:rsid w:val="001678BA"/>
    <w:rsid w:val="00167BD9"/>
    <w:rsid w:val="00167C4B"/>
    <w:rsid w:val="00167D9E"/>
    <w:rsid w:val="001701BA"/>
    <w:rsid w:val="00170215"/>
    <w:rsid w:val="001704AF"/>
    <w:rsid w:val="00170596"/>
    <w:rsid w:val="001708D5"/>
    <w:rsid w:val="00170945"/>
    <w:rsid w:val="00170C93"/>
    <w:rsid w:val="0017117E"/>
    <w:rsid w:val="001711E0"/>
    <w:rsid w:val="001713F2"/>
    <w:rsid w:val="0017167A"/>
    <w:rsid w:val="001716DB"/>
    <w:rsid w:val="001719AB"/>
    <w:rsid w:val="00171D01"/>
    <w:rsid w:val="00171D2F"/>
    <w:rsid w:val="00171F8A"/>
    <w:rsid w:val="00171F9A"/>
    <w:rsid w:val="00171FCB"/>
    <w:rsid w:val="001726BF"/>
    <w:rsid w:val="00172865"/>
    <w:rsid w:val="00172B44"/>
    <w:rsid w:val="0017317C"/>
    <w:rsid w:val="00173A16"/>
    <w:rsid w:val="00173D65"/>
    <w:rsid w:val="001742B2"/>
    <w:rsid w:val="00174411"/>
    <w:rsid w:val="00174D0E"/>
    <w:rsid w:val="001752D3"/>
    <w:rsid w:val="00175361"/>
    <w:rsid w:val="00175AE9"/>
    <w:rsid w:val="0017602F"/>
    <w:rsid w:val="0017632B"/>
    <w:rsid w:val="001764D0"/>
    <w:rsid w:val="0017667D"/>
    <w:rsid w:val="001770E3"/>
    <w:rsid w:val="00177341"/>
    <w:rsid w:val="001779E0"/>
    <w:rsid w:val="00177D4B"/>
    <w:rsid w:val="00177F00"/>
    <w:rsid w:val="0018024D"/>
    <w:rsid w:val="00180AEE"/>
    <w:rsid w:val="00180BF3"/>
    <w:rsid w:val="00180BF5"/>
    <w:rsid w:val="00180F30"/>
    <w:rsid w:val="00181281"/>
    <w:rsid w:val="001814CF"/>
    <w:rsid w:val="001817DA"/>
    <w:rsid w:val="00182069"/>
    <w:rsid w:val="00182348"/>
    <w:rsid w:val="00182DD7"/>
    <w:rsid w:val="001830C9"/>
    <w:rsid w:val="0018393B"/>
    <w:rsid w:val="0018396E"/>
    <w:rsid w:val="0018403D"/>
    <w:rsid w:val="00184620"/>
    <w:rsid w:val="00184675"/>
    <w:rsid w:val="0018468B"/>
    <w:rsid w:val="00184851"/>
    <w:rsid w:val="00184A42"/>
    <w:rsid w:val="00184C75"/>
    <w:rsid w:val="00184EB9"/>
    <w:rsid w:val="001851FB"/>
    <w:rsid w:val="00185364"/>
    <w:rsid w:val="001858F0"/>
    <w:rsid w:val="00185EED"/>
    <w:rsid w:val="00185F20"/>
    <w:rsid w:val="0018644B"/>
    <w:rsid w:val="00186500"/>
    <w:rsid w:val="00186616"/>
    <w:rsid w:val="001867F0"/>
    <w:rsid w:val="00186832"/>
    <w:rsid w:val="00187CAF"/>
    <w:rsid w:val="00187DBF"/>
    <w:rsid w:val="00187DDF"/>
    <w:rsid w:val="00187FEA"/>
    <w:rsid w:val="00190D32"/>
    <w:rsid w:val="00191412"/>
    <w:rsid w:val="0019199D"/>
    <w:rsid w:val="00191CCF"/>
    <w:rsid w:val="00191D57"/>
    <w:rsid w:val="00192312"/>
    <w:rsid w:val="00192428"/>
    <w:rsid w:val="001924D9"/>
    <w:rsid w:val="0019293B"/>
    <w:rsid w:val="0019331C"/>
    <w:rsid w:val="001935A1"/>
    <w:rsid w:val="00193930"/>
    <w:rsid w:val="00193D26"/>
    <w:rsid w:val="00193E33"/>
    <w:rsid w:val="00193E40"/>
    <w:rsid w:val="00193EAA"/>
    <w:rsid w:val="0019402D"/>
    <w:rsid w:val="001941AD"/>
    <w:rsid w:val="001941E9"/>
    <w:rsid w:val="001946E2"/>
    <w:rsid w:val="001948ED"/>
    <w:rsid w:val="00194A58"/>
    <w:rsid w:val="00195157"/>
    <w:rsid w:val="0019562B"/>
    <w:rsid w:val="00195657"/>
    <w:rsid w:val="001959A3"/>
    <w:rsid w:val="001959B1"/>
    <w:rsid w:val="00195BD1"/>
    <w:rsid w:val="0019606D"/>
    <w:rsid w:val="00196214"/>
    <w:rsid w:val="00196491"/>
    <w:rsid w:val="0019649E"/>
    <w:rsid w:val="0019729C"/>
    <w:rsid w:val="00197484"/>
    <w:rsid w:val="0019756F"/>
    <w:rsid w:val="001976AF"/>
    <w:rsid w:val="001A06BB"/>
    <w:rsid w:val="001A0F41"/>
    <w:rsid w:val="001A1190"/>
    <w:rsid w:val="001A12A0"/>
    <w:rsid w:val="001A1558"/>
    <w:rsid w:val="001A1637"/>
    <w:rsid w:val="001A1996"/>
    <w:rsid w:val="001A1F6F"/>
    <w:rsid w:val="001A25A7"/>
    <w:rsid w:val="001A2A7F"/>
    <w:rsid w:val="001A2EBF"/>
    <w:rsid w:val="001A32B5"/>
    <w:rsid w:val="001A3420"/>
    <w:rsid w:val="001A36F5"/>
    <w:rsid w:val="001A39A7"/>
    <w:rsid w:val="001A3CAE"/>
    <w:rsid w:val="001A44F3"/>
    <w:rsid w:val="001A478F"/>
    <w:rsid w:val="001A49DB"/>
    <w:rsid w:val="001A4C98"/>
    <w:rsid w:val="001A505C"/>
    <w:rsid w:val="001A5965"/>
    <w:rsid w:val="001A5A9D"/>
    <w:rsid w:val="001A5D10"/>
    <w:rsid w:val="001A5D3D"/>
    <w:rsid w:val="001A63C3"/>
    <w:rsid w:val="001A670C"/>
    <w:rsid w:val="001A6766"/>
    <w:rsid w:val="001A677B"/>
    <w:rsid w:val="001A6AA4"/>
    <w:rsid w:val="001A6E67"/>
    <w:rsid w:val="001A6FCA"/>
    <w:rsid w:val="001A7714"/>
    <w:rsid w:val="001A7980"/>
    <w:rsid w:val="001A7A50"/>
    <w:rsid w:val="001A7C33"/>
    <w:rsid w:val="001B00D0"/>
    <w:rsid w:val="001B04C6"/>
    <w:rsid w:val="001B057F"/>
    <w:rsid w:val="001B0997"/>
    <w:rsid w:val="001B0DCF"/>
    <w:rsid w:val="001B1089"/>
    <w:rsid w:val="001B10F6"/>
    <w:rsid w:val="001B116E"/>
    <w:rsid w:val="001B1456"/>
    <w:rsid w:val="001B167A"/>
    <w:rsid w:val="001B1793"/>
    <w:rsid w:val="001B1B52"/>
    <w:rsid w:val="001B1C5D"/>
    <w:rsid w:val="001B1DDF"/>
    <w:rsid w:val="001B2128"/>
    <w:rsid w:val="001B229C"/>
    <w:rsid w:val="001B2443"/>
    <w:rsid w:val="001B2A83"/>
    <w:rsid w:val="001B2D4E"/>
    <w:rsid w:val="001B310A"/>
    <w:rsid w:val="001B384C"/>
    <w:rsid w:val="001B3851"/>
    <w:rsid w:val="001B3A3B"/>
    <w:rsid w:val="001B3A4E"/>
    <w:rsid w:val="001B3AB4"/>
    <w:rsid w:val="001B4043"/>
    <w:rsid w:val="001B4050"/>
    <w:rsid w:val="001B465C"/>
    <w:rsid w:val="001B49D7"/>
    <w:rsid w:val="001B4D55"/>
    <w:rsid w:val="001B58EA"/>
    <w:rsid w:val="001B64AB"/>
    <w:rsid w:val="001B65F0"/>
    <w:rsid w:val="001B6BDB"/>
    <w:rsid w:val="001B6D22"/>
    <w:rsid w:val="001B6EBE"/>
    <w:rsid w:val="001B705C"/>
    <w:rsid w:val="001B70DD"/>
    <w:rsid w:val="001B76FA"/>
    <w:rsid w:val="001B7A0C"/>
    <w:rsid w:val="001B7E51"/>
    <w:rsid w:val="001C018D"/>
    <w:rsid w:val="001C01EC"/>
    <w:rsid w:val="001C0696"/>
    <w:rsid w:val="001C0865"/>
    <w:rsid w:val="001C08DE"/>
    <w:rsid w:val="001C1300"/>
    <w:rsid w:val="001C15D7"/>
    <w:rsid w:val="001C16E0"/>
    <w:rsid w:val="001C18D2"/>
    <w:rsid w:val="001C1960"/>
    <w:rsid w:val="001C1DDC"/>
    <w:rsid w:val="001C1E61"/>
    <w:rsid w:val="001C2228"/>
    <w:rsid w:val="001C2CF8"/>
    <w:rsid w:val="001C305C"/>
    <w:rsid w:val="001C37A4"/>
    <w:rsid w:val="001C38AF"/>
    <w:rsid w:val="001C3ABA"/>
    <w:rsid w:val="001C3C92"/>
    <w:rsid w:val="001C427D"/>
    <w:rsid w:val="001C4339"/>
    <w:rsid w:val="001C4B02"/>
    <w:rsid w:val="001C4BC6"/>
    <w:rsid w:val="001C4E82"/>
    <w:rsid w:val="001C5662"/>
    <w:rsid w:val="001C58F6"/>
    <w:rsid w:val="001C5C53"/>
    <w:rsid w:val="001C5F57"/>
    <w:rsid w:val="001C641C"/>
    <w:rsid w:val="001C647C"/>
    <w:rsid w:val="001C6590"/>
    <w:rsid w:val="001C7437"/>
    <w:rsid w:val="001C7BAF"/>
    <w:rsid w:val="001D0333"/>
    <w:rsid w:val="001D04D7"/>
    <w:rsid w:val="001D0613"/>
    <w:rsid w:val="001D0880"/>
    <w:rsid w:val="001D0CA3"/>
    <w:rsid w:val="001D0F2E"/>
    <w:rsid w:val="001D1195"/>
    <w:rsid w:val="001D120C"/>
    <w:rsid w:val="001D1490"/>
    <w:rsid w:val="001D1497"/>
    <w:rsid w:val="001D1B32"/>
    <w:rsid w:val="001D1C87"/>
    <w:rsid w:val="001D21B1"/>
    <w:rsid w:val="001D2645"/>
    <w:rsid w:val="001D2B93"/>
    <w:rsid w:val="001D2D56"/>
    <w:rsid w:val="001D32C5"/>
    <w:rsid w:val="001D3533"/>
    <w:rsid w:val="001D35B6"/>
    <w:rsid w:val="001D3C52"/>
    <w:rsid w:val="001D3E65"/>
    <w:rsid w:val="001D4385"/>
    <w:rsid w:val="001D4944"/>
    <w:rsid w:val="001D4CD5"/>
    <w:rsid w:val="001D50CE"/>
    <w:rsid w:val="001D5158"/>
    <w:rsid w:val="001D566E"/>
    <w:rsid w:val="001D56AC"/>
    <w:rsid w:val="001D5C73"/>
    <w:rsid w:val="001D61D1"/>
    <w:rsid w:val="001D61FF"/>
    <w:rsid w:val="001D664B"/>
    <w:rsid w:val="001D6859"/>
    <w:rsid w:val="001D6B27"/>
    <w:rsid w:val="001D75ED"/>
    <w:rsid w:val="001D7A25"/>
    <w:rsid w:val="001D7DC3"/>
    <w:rsid w:val="001E0323"/>
    <w:rsid w:val="001E0366"/>
    <w:rsid w:val="001E09AA"/>
    <w:rsid w:val="001E0ADD"/>
    <w:rsid w:val="001E12CE"/>
    <w:rsid w:val="001E1BC2"/>
    <w:rsid w:val="001E1CC2"/>
    <w:rsid w:val="001E2330"/>
    <w:rsid w:val="001E25B7"/>
    <w:rsid w:val="001E25DB"/>
    <w:rsid w:val="001E26BC"/>
    <w:rsid w:val="001E2D09"/>
    <w:rsid w:val="001E30F5"/>
    <w:rsid w:val="001E3503"/>
    <w:rsid w:val="001E388C"/>
    <w:rsid w:val="001E3B6B"/>
    <w:rsid w:val="001E41C4"/>
    <w:rsid w:val="001E4475"/>
    <w:rsid w:val="001E478E"/>
    <w:rsid w:val="001E48FC"/>
    <w:rsid w:val="001E4AF3"/>
    <w:rsid w:val="001E4C3E"/>
    <w:rsid w:val="001E4E08"/>
    <w:rsid w:val="001E5100"/>
    <w:rsid w:val="001E5C4B"/>
    <w:rsid w:val="001E5C5B"/>
    <w:rsid w:val="001E606D"/>
    <w:rsid w:val="001E6561"/>
    <w:rsid w:val="001E65EE"/>
    <w:rsid w:val="001E67EC"/>
    <w:rsid w:val="001E6B48"/>
    <w:rsid w:val="001E6B69"/>
    <w:rsid w:val="001E7797"/>
    <w:rsid w:val="001E7815"/>
    <w:rsid w:val="001E791B"/>
    <w:rsid w:val="001E7BE8"/>
    <w:rsid w:val="001E7CC6"/>
    <w:rsid w:val="001E7CE2"/>
    <w:rsid w:val="001F0036"/>
    <w:rsid w:val="001F0064"/>
    <w:rsid w:val="001F0248"/>
    <w:rsid w:val="001F098F"/>
    <w:rsid w:val="001F09B4"/>
    <w:rsid w:val="001F0A49"/>
    <w:rsid w:val="001F0BA4"/>
    <w:rsid w:val="001F0E26"/>
    <w:rsid w:val="001F0F29"/>
    <w:rsid w:val="001F0F4F"/>
    <w:rsid w:val="001F1185"/>
    <w:rsid w:val="001F13A5"/>
    <w:rsid w:val="001F13B6"/>
    <w:rsid w:val="001F15DA"/>
    <w:rsid w:val="001F1621"/>
    <w:rsid w:val="001F16BC"/>
    <w:rsid w:val="001F1B84"/>
    <w:rsid w:val="001F1E7C"/>
    <w:rsid w:val="001F2352"/>
    <w:rsid w:val="001F26FD"/>
    <w:rsid w:val="001F29CA"/>
    <w:rsid w:val="001F3011"/>
    <w:rsid w:val="001F30C6"/>
    <w:rsid w:val="001F33C8"/>
    <w:rsid w:val="001F3404"/>
    <w:rsid w:val="001F34E8"/>
    <w:rsid w:val="001F3811"/>
    <w:rsid w:val="001F3B41"/>
    <w:rsid w:val="001F402B"/>
    <w:rsid w:val="001F4106"/>
    <w:rsid w:val="001F4A33"/>
    <w:rsid w:val="001F4C0B"/>
    <w:rsid w:val="001F4C5D"/>
    <w:rsid w:val="001F4CAE"/>
    <w:rsid w:val="001F524C"/>
    <w:rsid w:val="001F5561"/>
    <w:rsid w:val="001F5803"/>
    <w:rsid w:val="001F5E9F"/>
    <w:rsid w:val="001F6672"/>
    <w:rsid w:val="001F6A0D"/>
    <w:rsid w:val="001F7114"/>
    <w:rsid w:val="001F735C"/>
    <w:rsid w:val="001F7A37"/>
    <w:rsid w:val="001F7D6D"/>
    <w:rsid w:val="001F7F04"/>
    <w:rsid w:val="002000F9"/>
    <w:rsid w:val="002002AA"/>
    <w:rsid w:val="00201442"/>
    <w:rsid w:val="002017B4"/>
    <w:rsid w:val="002017CC"/>
    <w:rsid w:val="002017DE"/>
    <w:rsid w:val="00201A0B"/>
    <w:rsid w:val="00201D3F"/>
    <w:rsid w:val="00201E3B"/>
    <w:rsid w:val="0020255B"/>
    <w:rsid w:val="0020296D"/>
    <w:rsid w:val="00202A98"/>
    <w:rsid w:val="00202BAB"/>
    <w:rsid w:val="00202C2C"/>
    <w:rsid w:val="0020345F"/>
    <w:rsid w:val="002034BA"/>
    <w:rsid w:val="00203BB2"/>
    <w:rsid w:val="00204043"/>
    <w:rsid w:val="00204577"/>
    <w:rsid w:val="002047FD"/>
    <w:rsid w:val="00204932"/>
    <w:rsid w:val="00204A2A"/>
    <w:rsid w:val="00204AF9"/>
    <w:rsid w:val="00204C94"/>
    <w:rsid w:val="002050F8"/>
    <w:rsid w:val="002051FF"/>
    <w:rsid w:val="002052A1"/>
    <w:rsid w:val="00205544"/>
    <w:rsid w:val="00205635"/>
    <w:rsid w:val="00205938"/>
    <w:rsid w:val="00205A1A"/>
    <w:rsid w:val="00205AC8"/>
    <w:rsid w:val="00205C9A"/>
    <w:rsid w:val="00205DE4"/>
    <w:rsid w:val="002061F6"/>
    <w:rsid w:val="00206352"/>
    <w:rsid w:val="002063F3"/>
    <w:rsid w:val="002064AB"/>
    <w:rsid w:val="00206A5F"/>
    <w:rsid w:val="00206A6F"/>
    <w:rsid w:val="00206DC5"/>
    <w:rsid w:val="00206E13"/>
    <w:rsid w:val="00206E3D"/>
    <w:rsid w:val="0020717E"/>
    <w:rsid w:val="00207355"/>
    <w:rsid w:val="0020739B"/>
    <w:rsid w:val="0020741C"/>
    <w:rsid w:val="00207588"/>
    <w:rsid w:val="0020796D"/>
    <w:rsid w:val="00207BA0"/>
    <w:rsid w:val="00207D65"/>
    <w:rsid w:val="002101ED"/>
    <w:rsid w:val="0021057E"/>
    <w:rsid w:val="00211376"/>
    <w:rsid w:val="00211442"/>
    <w:rsid w:val="002114F4"/>
    <w:rsid w:val="00211820"/>
    <w:rsid w:val="002118B8"/>
    <w:rsid w:val="00211A61"/>
    <w:rsid w:val="00211C36"/>
    <w:rsid w:val="00211C41"/>
    <w:rsid w:val="00211C4E"/>
    <w:rsid w:val="00212011"/>
    <w:rsid w:val="00212164"/>
    <w:rsid w:val="00212372"/>
    <w:rsid w:val="00212399"/>
    <w:rsid w:val="0021255E"/>
    <w:rsid w:val="002125EB"/>
    <w:rsid w:val="002126ED"/>
    <w:rsid w:val="00212ABE"/>
    <w:rsid w:val="00213455"/>
    <w:rsid w:val="00213BF5"/>
    <w:rsid w:val="00214004"/>
    <w:rsid w:val="00214A88"/>
    <w:rsid w:val="00214D2E"/>
    <w:rsid w:val="00215011"/>
    <w:rsid w:val="00215485"/>
    <w:rsid w:val="00215759"/>
    <w:rsid w:val="002157D9"/>
    <w:rsid w:val="00215BB8"/>
    <w:rsid w:val="00215FA5"/>
    <w:rsid w:val="002160C7"/>
    <w:rsid w:val="00216242"/>
    <w:rsid w:val="0021640A"/>
    <w:rsid w:val="00216721"/>
    <w:rsid w:val="00216849"/>
    <w:rsid w:val="00216ADB"/>
    <w:rsid w:val="00216B08"/>
    <w:rsid w:val="00216B9B"/>
    <w:rsid w:val="00216C24"/>
    <w:rsid w:val="00216EF2"/>
    <w:rsid w:val="002173F3"/>
    <w:rsid w:val="00217EF3"/>
    <w:rsid w:val="00220131"/>
    <w:rsid w:val="00220797"/>
    <w:rsid w:val="00220798"/>
    <w:rsid w:val="0022083A"/>
    <w:rsid w:val="00220CB7"/>
    <w:rsid w:val="00220E9F"/>
    <w:rsid w:val="0022182D"/>
    <w:rsid w:val="00222451"/>
    <w:rsid w:val="0022319C"/>
    <w:rsid w:val="00223450"/>
    <w:rsid w:val="00223485"/>
    <w:rsid w:val="0022359E"/>
    <w:rsid w:val="002237A2"/>
    <w:rsid w:val="00223C4D"/>
    <w:rsid w:val="002248BA"/>
    <w:rsid w:val="002249BB"/>
    <w:rsid w:val="00224B26"/>
    <w:rsid w:val="00225267"/>
    <w:rsid w:val="002255CC"/>
    <w:rsid w:val="00225994"/>
    <w:rsid w:val="002262BF"/>
    <w:rsid w:val="00226498"/>
    <w:rsid w:val="0022670B"/>
    <w:rsid w:val="00226710"/>
    <w:rsid w:val="002268D8"/>
    <w:rsid w:val="002274AD"/>
    <w:rsid w:val="002276EC"/>
    <w:rsid w:val="00227930"/>
    <w:rsid w:val="00227A91"/>
    <w:rsid w:val="00227BC8"/>
    <w:rsid w:val="00227CA5"/>
    <w:rsid w:val="002300E8"/>
    <w:rsid w:val="00230780"/>
    <w:rsid w:val="00230905"/>
    <w:rsid w:val="00230C95"/>
    <w:rsid w:val="00230F42"/>
    <w:rsid w:val="002310A6"/>
    <w:rsid w:val="0023113F"/>
    <w:rsid w:val="00231179"/>
    <w:rsid w:val="002312D2"/>
    <w:rsid w:val="002312E9"/>
    <w:rsid w:val="002313E7"/>
    <w:rsid w:val="002314A1"/>
    <w:rsid w:val="0023151F"/>
    <w:rsid w:val="0023172E"/>
    <w:rsid w:val="00231D5D"/>
    <w:rsid w:val="00231E9A"/>
    <w:rsid w:val="00231EC7"/>
    <w:rsid w:val="002325A4"/>
    <w:rsid w:val="00232FBB"/>
    <w:rsid w:val="0023314C"/>
    <w:rsid w:val="00233222"/>
    <w:rsid w:val="002337AE"/>
    <w:rsid w:val="00233BC0"/>
    <w:rsid w:val="00234577"/>
    <w:rsid w:val="002349C4"/>
    <w:rsid w:val="002358AE"/>
    <w:rsid w:val="00235998"/>
    <w:rsid w:val="00235CC3"/>
    <w:rsid w:val="00236172"/>
    <w:rsid w:val="00236198"/>
    <w:rsid w:val="00236428"/>
    <w:rsid w:val="002365F3"/>
    <w:rsid w:val="00236915"/>
    <w:rsid w:val="00236A11"/>
    <w:rsid w:val="00236D25"/>
    <w:rsid w:val="00236DE7"/>
    <w:rsid w:val="00236F2C"/>
    <w:rsid w:val="00237209"/>
    <w:rsid w:val="00237597"/>
    <w:rsid w:val="00237742"/>
    <w:rsid w:val="002379B6"/>
    <w:rsid w:val="00237D93"/>
    <w:rsid w:val="00237FE5"/>
    <w:rsid w:val="002401B1"/>
    <w:rsid w:val="002405BB"/>
    <w:rsid w:val="0024081F"/>
    <w:rsid w:val="00241277"/>
    <w:rsid w:val="00241320"/>
    <w:rsid w:val="002414BA"/>
    <w:rsid w:val="002414F8"/>
    <w:rsid w:val="002414F9"/>
    <w:rsid w:val="002414FA"/>
    <w:rsid w:val="00241617"/>
    <w:rsid w:val="00241A33"/>
    <w:rsid w:val="002420DF"/>
    <w:rsid w:val="00242279"/>
    <w:rsid w:val="0024255E"/>
    <w:rsid w:val="00242B0A"/>
    <w:rsid w:val="00242B91"/>
    <w:rsid w:val="00242F3A"/>
    <w:rsid w:val="0024378F"/>
    <w:rsid w:val="00243A6A"/>
    <w:rsid w:val="00243B3F"/>
    <w:rsid w:val="00243EEA"/>
    <w:rsid w:val="002446A3"/>
    <w:rsid w:val="00244749"/>
    <w:rsid w:val="00244A8E"/>
    <w:rsid w:val="00244CF6"/>
    <w:rsid w:val="00244D29"/>
    <w:rsid w:val="002450D2"/>
    <w:rsid w:val="0024554C"/>
    <w:rsid w:val="0024564C"/>
    <w:rsid w:val="00245CAE"/>
    <w:rsid w:val="00245EF6"/>
    <w:rsid w:val="00246087"/>
    <w:rsid w:val="002461E7"/>
    <w:rsid w:val="00246379"/>
    <w:rsid w:val="00246955"/>
    <w:rsid w:val="00246B7F"/>
    <w:rsid w:val="00246C0B"/>
    <w:rsid w:val="00246EB8"/>
    <w:rsid w:val="00246ECA"/>
    <w:rsid w:val="00246F87"/>
    <w:rsid w:val="00246F9D"/>
    <w:rsid w:val="002472D8"/>
    <w:rsid w:val="00247370"/>
    <w:rsid w:val="00247395"/>
    <w:rsid w:val="00247642"/>
    <w:rsid w:val="00247670"/>
    <w:rsid w:val="00247B3D"/>
    <w:rsid w:val="00247B6C"/>
    <w:rsid w:val="00247E35"/>
    <w:rsid w:val="002505E1"/>
    <w:rsid w:val="00250D14"/>
    <w:rsid w:val="00250E4E"/>
    <w:rsid w:val="00250FBC"/>
    <w:rsid w:val="00251319"/>
    <w:rsid w:val="00251562"/>
    <w:rsid w:val="00251583"/>
    <w:rsid w:val="0025180B"/>
    <w:rsid w:val="00251D23"/>
    <w:rsid w:val="00251E0C"/>
    <w:rsid w:val="00251E1C"/>
    <w:rsid w:val="00251FC2"/>
    <w:rsid w:val="002520DE"/>
    <w:rsid w:val="0025252F"/>
    <w:rsid w:val="002528FC"/>
    <w:rsid w:val="00252B80"/>
    <w:rsid w:val="00252C38"/>
    <w:rsid w:val="00252CAA"/>
    <w:rsid w:val="00252DF3"/>
    <w:rsid w:val="00252EC6"/>
    <w:rsid w:val="00253255"/>
    <w:rsid w:val="002532C8"/>
    <w:rsid w:val="00253760"/>
    <w:rsid w:val="00253A9E"/>
    <w:rsid w:val="00253B1C"/>
    <w:rsid w:val="00253F4F"/>
    <w:rsid w:val="002543C0"/>
    <w:rsid w:val="00254BB3"/>
    <w:rsid w:val="00254BCB"/>
    <w:rsid w:val="00255187"/>
    <w:rsid w:val="0025527F"/>
    <w:rsid w:val="00255470"/>
    <w:rsid w:val="0025555D"/>
    <w:rsid w:val="00255583"/>
    <w:rsid w:val="00255C3A"/>
    <w:rsid w:val="002568E7"/>
    <w:rsid w:val="00256FBB"/>
    <w:rsid w:val="002571D5"/>
    <w:rsid w:val="0025733F"/>
    <w:rsid w:val="0025740C"/>
    <w:rsid w:val="002576C5"/>
    <w:rsid w:val="00257A0C"/>
    <w:rsid w:val="00257B85"/>
    <w:rsid w:val="00260302"/>
    <w:rsid w:val="0026088F"/>
    <w:rsid w:val="0026118D"/>
    <w:rsid w:val="002614EE"/>
    <w:rsid w:val="0026170F"/>
    <w:rsid w:val="00261830"/>
    <w:rsid w:val="00262219"/>
    <w:rsid w:val="00262CF3"/>
    <w:rsid w:val="00263298"/>
    <w:rsid w:val="002636CE"/>
    <w:rsid w:val="00263A8E"/>
    <w:rsid w:val="00263ABD"/>
    <w:rsid w:val="00263DA4"/>
    <w:rsid w:val="00263F08"/>
    <w:rsid w:val="00263FCA"/>
    <w:rsid w:val="002644FD"/>
    <w:rsid w:val="0026454E"/>
    <w:rsid w:val="00264956"/>
    <w:rsid w:val="00264B5F"/>
    <w:rsid w:val="0026526B"/>
    <w:rsid w:val="0026590F"/>
    <w:rsid w:val="00265940"/>
    <w:rsid w:val="00265B4D"/>
    <w:rsid w:val="00265DB7"/>
    <w:rsid w:val="00266196"/>
    <w:rsid w:val="00266488"/>
    <w:rsid w:val="00266A59"/>
    <w:rsid w:val="00266BC4"/>
    <w:rsid w:val="00266D16"/>
    <w:rsid w:val="0026711E"/>
    <w:rsid w:val="0026766A"/>
    <w:rsid w:val="00267A06"/>
    <w:rsid w:val="00267C29"/>
    <w:rsid w:val="00267D3B"/>
    <w:rsid w:val="00267E4F"/>
    <w:rsid w:val="00267F76"/>
    <w:rsid w:val="002702C4"/>
    <w:rsid w:val="00270972"/>
    <w:rsid w:val="00270E9E"/>
    <w:rsid w:val="00271B5C"/>
    <w:rsid w:val="002723B0"/>
    <w:rsid w:val="00272795"/>
    <w:rsid w:val="0027288C"/>
    <w:rsid w:val="00272A85"/>
    <w:rsid w:val="00272D6D"/>
    <w:rsid w:val="00273135"/>
    <w:rsid w:val="002735A7"/>
    <w:rsid w:val="0027398D"/>
    <w:rsid w:val="00273D1E"/>
    <w:rsid w:val="002744CE"/>
    <w:rsid w:val="00274890"/>
    <w:rsid w:val="00274E55"/>
    <w:rsid w:val="002750E3"/>
    <w:rsid w:val="002751A4"/>
    <w:rsid w:val="002751A7"/>
    <w:rsid w:val="00275431"/>
    <w:rsid w:val="00275F9E"/>
    <w:rsid w:val="002761C8"/>
    <w:rsid w:val="0027625B"/>
    <w:rsid w:val="00276671"/>
    <w:rsid w:val="00276C2C"/>
    <w:rsid w:val="00276FA0"/>
    <w:rsid w:val="00277427"/>
    <w:rsid w:val="0027744B"/>
    <w:rsid w:val="00277719"/>
    <w:rsid w:val="00277C09"/>
    <w:rsid w:val="00277D73"/>
    <w:rsid w:val="002803F8"/>
    <w:rsid w:val="002806F0"/>
    <w:rsid w:val="00280724"/>
    <w:rsid w:val="00280A35"/>
    <w:rsid w:val="00280BB2"/>
    <w:rsid w:val="00280E56"/>
    <w:rsid w:val="002810B7"/>
    <w:rsid w:val="002810B8"/>
    <w:rsid w:val="002816D8"/>
    <w:rsid w:val="002816FB"/>
    <w:rsid w:val="00281B9E"/>
    <w:rsid w:val="00281CB5"/>
    <w:rsid w:val="00281DAA"/>
    <w:rsid w:val="0028236B"/>
    <w:rsid w:val="0028249D"/>
    <w:rsid w:val="00282770"/>
    <w:rsid w:val="002828D3"/>
    <w:rsid w:val="00282A83"/>
    <w:rsid w:val="00282F7F"/>
    <w:rsid w:val="002833BC"/>
    <w:rsid w:val="0028380A"/>
    <w:rsid w:val="00284174"/>
    <w:rsid w:val="002841DB"/>
    <w:rsid w:val="0028432A"/>
    <w:rsid w:val="002843B4"/>
    <w:rsid w:val="00284627"/>
    <w:rsid w:val="00284728"/>
    <w:rsid w:val="0028495D"/>
    <w:rsid w:val="002849B0"/>
    <w:rsid w:val="00284C6D"/>
    <w:rsid w:val="002850FA"/>
    <w:rsid w:val="0028570A"/>
    <w:rsid w:val="00285B7A"/>
    <w:rsid w:val="00285C39"/>
    <w:rsid w:val="0028629C"/>
    <w:rsid w:val="00286658"/>
    <w:rsid w:val="00286A74"/>
    <w:rsid w:val="00286DEC"/>
    <w:rsid w:val="002870BB"/>
    <w:rsid w:val="002871DB"/>
    <w:rsid w:val="002875F4"/>
    <w:rsid w:val="002876B4"/>
    <w:rsid w:val="002878E8"/>
    <w:rsid w:val="00290029"/>
    <w:rsid w:val="002901C2"/>
    <w:rsid w:val="002905A7"/>
    <w:rsid w:val="0029097A"/>
    <w:rsid w:val="00290F56"/>
    <w:rsid w:val="002910C9"/>
    <w:rsid w:val="0029113C"/>
    <w:rsid w:val="002911E2"/>
    <w:rsid w:val="00291305"/>
    <w:rsid w:val="002919B8"/>
    <w:rsid w:val="00291B40"/>
    <w:rsid w:val="00291E55"/>
    <w:rsid w:val="00291F6E"/>
    <w:rsid w:val="002922E5"/>
    <w:rsid w:val="0029231D"/>
    <w:rsid w:val="002929FD"/>
    <w:rsid w:val="00292DDD"/>
    <w:rsid w:val="00293007"/>
    <w:rsid w:val="00293119"/>
    <w:rsid w:val="00293211"/>
    <w:rsid w:val="00293350"/>
    <w:rsid w:val="0029339D"/>
    <w:rsid w:val="00293768"/>
    <w:rsid w:val="00293868"/>
    <w:rsid w:val="002941F1"/>
    <w:rsid w:val="002945E5"/>
    <w:rsid w:val="0029473B"/>
    <w:rsid w:val="002947F6"/>
    <w:rsid w:val="00294993"/>
    <w:rsid w:val="00294A0B"/>
    <w:rsid w:val="00295628"/>
    <w:rsid w:val="002956A4"/>
    <w:rsid w:val="00295811"/>
    <w:rsid w:val="0029588E"/>
    <w:rsid w:val="002959C4"/>
    <w:rsid w:val="002959CA"/>
    <w:rsid w:val="00295AC5"/>
    <w:rsid w:val="00295FEF"/>
    <w:rsid w:val="00296661"/>
    <w:rsid w:val="00296AB6"/>
    <w:rsid w:val="00296EBF"/>
    <w:rsid w:val="00296FE9"/>
    <w:rsid w:val="00297723"/>
    <w:rsid w:val="002977A8"/>
    <w:rsid w:val="0029795B"/>
    <w:rsid w:val="002979E7"/>
    <w:rsid w:val="00297CBA"/>
    <w:rsid w:val="00297E5E"/>
    <w:rsid w:val="002A003B"/>
    <w:rsid w:val="002A08DC"/>
    <w:rsid w:val="002A0AF1"/>
    <w:rsid w:val="002A0D6E"/>
    <w:rsid w:val="002A0D8F"/>
    <w:rsid w:val="002A0E01"/>
    <w:rsid w:val="002A10CA"/>
    <w:rsid w:val="002A1944"/>
    <w:rsid w:val="002A1A37"/>
    <w:rsid w:val="002A1ACE"/>
    <w:rsid w:val="002A1B59"/>
    <w:rsid w:val="002A1C87"/>
    <w:rsid w:val="002A1FC0"/>
    <w:rsid w:val="002A23A8"/>
    <w:rsid w:val="002A27C9"/>
    <w:rsid w:val="002A293E"/>
    <w:rsid w:val="002A2AAF"/>
    <w:rsid w:val="002A2E76"/>
    <w:rsid w:val="002A2EEE"/>
    <w:rsid w:val="002A3AD4"/>
    <w:rsid w:val="002A4593"/>
    <w:rsid w:val="002A4B30"/>
    <w:rsid w:val="002A4E05"/>
    <w:rsid w:val="002A4EA1"/>
    <w:rsid w:val="002A4F6B"/>
    <w:rsid w:val="002A4F70"/>
    <w:rsid w:val="002A5121"/>
    <w:rsid w:val="002A541D"/>
    <w:rsid w:val="002A5743"/>
    <w:rsid w:val="002A5CE6"/>
    <w:rsid w:val="002A5EE5"/>
    <w:rsid w:val="002A693E"/>
    <w:rsid w:val="002A6E44"/>
    <w:rsid w:val="002A6EDB"/>
    <w:rsid w:val="002A7490"/>
    <w:rsid w:val="002A762C"/>
    <w:rsid w:val="002A7EDF"/>
    <w:rsid w:val="002B00F5"/>
    <w:rsid w:val="002B029A"/>
    <w:rsid w:val="002B02BB"/>
    <w:rsid w:val="002B0B9A"/>
    <w:rsid w:val="002B0E67"/>
    <w:rsid w:val="002B0EAC"/>
    <w:rsid w:val="002B10F1"/>
    <w:rsid w:val="002B11E7"/>
    <w:rsid w:val="002B1201"/>
    <w:rsid w:val="002B136B"/>
    <w:rsid w:val="002B1520"/>
    <w:rsid w:val="002B1DB3"/>
    <w:rsid w:val="002B1EB7"/>
    <w:rsid w:val="002B2103"/>
    <w:rsid w:val="002B2391"/>
    <w:rsid w:val="002B2BE7"/>
    <w:rsid w:val="002B2D38"/>
    <w:rsid w:val="002B316E"/>
    <w:rsid w:val="002B38F6"/>
    <w:rsid w:val="002B3DB8"/>
    <w:rsid w:val="002B3FFA"/>
    <w:rsid w:val="002B4008"/>
    <w:rsid w:val="002B40DA"/>
    <w:rsid w:val="002B49FC"/>
    <w:rsid w:val="002B54EE"/>
    <w:rsid w:val="002B5642"/>
    <w:rsid w:val="002B5679"/>
    <w:rsid w:val="002B570E"/>
    <w:rsid w:val="002B57AB"/>
    <w:rsid w:val="002B59A3"/>
    <w:rsid w:val="002B5AD5"/>
    <w:rsid w:val="002B5EE5"/>
    <w:rsid w:val="002B60D1"/>
    <w:rsid w:val="002B61E4"/>
    <w:rsid w:val="002B6B1D"/>
    <w:rsid w:val="002B6B78"/>
    <w:rsid w:val="002B6EFE"/>
    <w:rsid w:val="002B6F69"/>
    <w:rsid w:val="002B7180"/>
    <w:rsid w:val="002B72D4"/>
    <w:rsid w:val="002B7397"/>
    <w:rsid w:val="002B791F"/>
    <w:rsid w:val="002B7AEB"/>
    <w:rsid w:val="002B7C00"/>
    <w:rsid w:val="002B7D99"/>
    <w:rsid w:val="002C0000"/>
    <w:rsid w:val="002C05A7"/>
    <w:rsid w:val="002C0857"/>
    <w:rsid w:val="002C0D06"/>
    <w:rsid w:val="002C0DB8"/>
    <w:rsid w:val="002C176C"/>
    <w:rsid w:val="002C1DEC"/>
    <w:rsid w:val="002C21C4"/>
    <w:rsid w:val="002C2577"/>
    <w:rsid w:val="002C2675"/>
    <w:rsid w:val="002C27DC"/>
    <w:rsid w:val="002C283D"/>
    <w:rsid w:val="002C2EA1"/>
    <w:rsid w:val="002C3021"/>
    <w:rsid w:val="002C3391"/>
    <w:rsid w:val="002C3616"/>
    <w:rsid w:val="002C3AF4"/>
    <w:rsid w:val="002C3DD9"/>
    <w:rsid w:val="002C49C3"/>
    <w:rsid w:val="002C4B37"/>
    <w:rsid w:val="002C4ECF"/>
    <w:rsid w:val="002C525D"/>
    <w:rsid w:val="002C5CFB"/>
    <w:rsid w:val="002C64CF"/>
    <w:rsid w:val="002C65C4"/>
    <w:rsid w:val="002C6812"/>
    <w:rsid w:val="002C6907"/>
    <w:rsid w:val="002C6C7D"/>
    <w:rsid w:val="002C6FDF"/>
    <w:rsid w:val="002C7449"/>
    <w:rsid w:val="002C791A"/>
    <w:rsid w:val="002C79A4"/>
    <w:rsid w:val="002C79AB"/>
    <w:rsid w:val="002C7C98"/>
    <w:rsid w:val="002C7CFA"/>
    <w:rsid w:val="002C7DF9"/>
    <w:rsid w:val="002C7FDC"/>
    <w:rsid w:val="002D0061"/>
    <w:rsid w:val="002D02F8"/>
    <w:rsid w:val="002D037C"/>
    <w:rsid w:val="002D091B"/>
    <w:rsid w:val="002D0E8E"/>
    <w:rsid w:val="002D0FD5"/>
    <w:rsid w:val="002D1308"/>
    <w:rsid w:val="002D1438"/>
    <w:rsid w:val="002D1571"/>
    <w:rsid w:val="002D1C08"/>
    <w:rsid w:val="002D1C1B"/>
    <w:rsid w:val="002D1CAE"/>
    <w:rsid w:val="002D207B"/>
    <w:rsid w:val="002D20E6"/>
    <w:rsid w:val="002D21AF"/>
    <w:rsid w:val="002D27A9"/>
    <w:rsid w:val="002D27D3"/>
    <w:rsid w:val="002D2864"/>
    <w:rsid w:val="002D2DA2"/>
    <w:rsid w:val="002D2E09"/>
    <w:rsid w:val="002D2FC0"/>
    <w:rsid w:val="002D338A"/>
    <w:rsid w:val="002D33E4"/>
    <w:rsid w:val="002D34F0"/>
    <w:rsid w:val="002D3710"/>
    <w:rsid w:val="002D3951"/>
    <w:rsid w:val="002D3DE4"/>
    <w:rsid w:val="002D42E9"/>
    <w:rsid w:val="002D4338"/>
    <w:rsid w:val="002D45FC"/>
    <w:rsid w:val="002D47D2"/>
    <w:rsid w:val="002D55F7"/>
    <w:rsid w:val="002D574E"/>
    <w:rsid w:val="002D58AB"/>
    <w:rsid w:val="002D590D"/>
    <w:rsid w:val="002D5934"/>
    <w:rsid w:val="002D5C11"/>
    <w:rsid w:val="002D6944"/>
    <w:rsid w:val="002D6ADF"/>
    <w:rsid w:val="002D6D0A"/>
    <w:rsid w:val="002D715A"/>
    <w:rsid w:val="002D73AB"/>
    <w:rsid w:val="002D7543"/>
    <w:rsid w:val="002D758F"/>
    <w:rsid w:val="002D7D5E"/>
    <w:rsid w:val="002D7D65"/>
    <w:rsid w:val="002E00FF"/>
    <w:rsid w:val="002E0352"/>
    <w:rsid w:val="002E0483"/>
    <w:rsid w:val="002E06BF"/>
    <w:rsid w:val="002E079A"/>
    <w:rsid w:val="002E0894"/>
    <w:rsid w:val="002E094B"/>
    <w:rsid w:val="002E0A5F"/>
    <w:rsid w:val="002E0AF9"/>
    <w:rsid w:val="002E0DD6"/>
    <w:rsid w:val="002E0F02"/>
    <w:rsid w:val="002E0F0F"/>
    <w:rsid w:val="002E10E1"/>
    <w:rsid w:val="002E1345"/>
    <w:rsid w:val="002E157E"/>
    <w:rsid w:val="002E1CC7"/>
    <w:rsid w:val="002E1DE3"/>
    <w:rsid w:val="002E1F16"/>
    <w:rsid w:val="002E204D"/>
    <w:rsid w:val="002E25D5"/>
    <w:rsid w:val="002E25DC"/>
    <w:rsid w:val="002E25F9"/>
    <w:rsid w:val="002E28BA"/>
    <w:rsid w:val="002E35B5"/>
    <w:rsid w:val="002E39D6"/>
    <w:rsid w:val="002E3AFC"/>
    <w:rsid w:val="002E3E0D"/>
    <w:rsid w:val="002E44E3"/>
    <w:rsid w:val="002E494B"/>
    <w:rsid w:val="002E4A26"/>
    <w:rsid w:val="002E5A7F"/>
    <w:rsid w:val="002E5B3D"/>
    <w:rsid w:val="002E5C30"/>
    <w:rsid w:val="002E5C55"/>
    <w:rsid w:val="002E62A2"/>
    <w:rsid w:val="002E6346"/>
    <w:rsid w:val="002E658D"/>
    <w:rsid w:val="002E65DB"/>
    <w:rsid w:val="002E67B5"/>
    <w:rsid w:val="002E6FEA"/>
    <w:rsid w:val="002E74DC"/>
    <w:rsid w:val="002E7500"/>
    <w:rsid w:val="002E7533"/>
    <w:rsid w:val="002E7762"/>
    <w:rsid w:val="002E7905"/>
    <w:rsid w:val="002E79AB"/>
    <w:rsid w:val="002E7B83"/>
    <w:rsid w:val="002F0287"/>
    <w:rsid w:val="002F0417"/>
    <w:rsid w:val="002F0C19"/>
    <w:rsid w:val="002F0F45"/>
    <w:rsid w:val="002F1054"/>
    <w:rsid w:val="002F1CD1"/>
    <w:rsid w:val="002F1D44"/>
    <w:rsid w:val="002F211A"/>
    <w:rsid w:val="002F21A9"/>
    <w:rsid w:val="002F2412"/>
    <w:rsid w:val="002F2CB6"/>
    <w:rsid w:val="002F2E1E"/>
    <w:rsid w:val="002F3040"/>
    <w:rsid w:val="002F3187"/>
    <w:rsid w:val="002F31B4"/>
    <w:rsid w:val="002F328C"/>
    <w:rsid w:val="002F3361"/>
    <w:rsid w:val="002F36D7"/>
    <w:rsid w:val="002F3736"/>
    <w:rsid w:val="002F3AC7"/>
    <w:rsid w:val="002F40FE"/>
    <w:rsid w:val="002F4164"/>
    <w:rsid w:val="002F4416"/>
    <w:rsid w:val="002F4419"/>
    <w:rsid w:val="002F44A8"/>
    <w:rsid w:val="002F458B"/>
    <w:rsid w:val="002F481B"/>
    <w:rsid w:val="002F4C8D"/>
    <w:rsid w:val="002F4EF0"/>
    <w:rsid w:val="002F4F9A"/>
    <w:rsid w:val="002F5AE2"/>
    <w:rsid w:val="002F5E4C"/>
    <w:rsid w:val="002F5F42"/>
    <w:rsid w:val="002F60CF"/>
    <w:rsid w:val="002F6276"/>
    <w:rsid w:val="002F6328"/>
    <w:rsid w:val="002F6543"/>
    <w:rsid w:val="002F6554"/>
    <w:rsid w:val="002F7229"/>
    <w:rsid w:val="002F73C8"/>
    <w:rsid w:val="002F7628"/>
    <w:rsid w:val="002F798D"/>
    <w:rsid w:val="002F7FC7"/>
    <w:rsid w:val="00300329"/>
    <w:rsid w:val="0030072E"/>
    <w:rsid w:val="00300F79"/>
    <w:rsid w:val="00301189"/>
    <w:rsid w:val="00301B1A"/>
    <w:rsid w:val="003020A9"/>
    <w:rsid w:val="00302291"/>
    <w:rsid w:val="003022A0"/>
    <w:rsid w:val="00302360"/>
    <w:rsid w:val="00302501"/>
    <w:rsid w:val="003029CE"/>
    <w:rsid w:val="00302BB3"/>
    <w:rsid w:val="00302C59"/>
    <w:rsid w:val="00302CFB"/>
    <w:rsid w:val="00302DDE"/>
    <w:rsid w:val="00302F35"/>
    <w:rsid w:val="00302FD2"/>
    <w:rsid w:val="00303074"/>
    <w:rsid w:val="003030F0"/>
    <w:rsid w:val="003031C1"/>
    <w:rsid w:val="003031FA"/>
    <w:rsid w:val="00303E27"/>
    <w:rsid w:val="00304733"/>
    <w:rsid w:val="00304A00"/>
    <w:rsid w:val="00304BCB"/>
    <w:rsid w:val="00304DE7"/>
    <w:rsid w:val="003069A0"/>
    <w:rsid w:val="00307095"/>
    <w:rsid w:val="0030744F"/>
    <w:rsid w:val="0030760C"/>
    <w:rsid w:val="0030783A"/>
    <w:rsid w:val="00307BC1"/>
    <w:rsid w:val="00310447"/>
    <w:rsid w:val="00310860"/>
    <w:rsid w:val="00310DF5"/>
    <w:rsid w:val="00310F84"/>
    <w:rsid w:val="003112F0"/>
    <w:rsid w:val="00311360"/>
    <w:rsid w:val="003114D0"/>
    <w:rsid w:val="003117B9"/>
    <w:rsid w:val="00312401"/>
    <w:rsid w:val="00312C05"/>
    <w:rsid w:val="00313323"/>
    <w:rsid w:val="00313367"/>
    <w:rsid w:val="00313653"/>
    <w:rsid w:val="00313B53"/>
    <w:rsid w:val="00313C3B"/>
    <w:rsid w:val="00314085"/>
    <w:rsid w:val="0031452F"/>
    <w:rsid w:val="0031470A"/>
    <w:rsid w:val="0031506D"/>
    <w:rsid w:val="00315666"/>
    <w:rsid w:val="00315BEC"/>
    <w:rsid w:val="00316902"/>
    <w:rsid w:val="0031695E"/>
    <w:rsid w:val="00316B8A"/>
    <w:rsid w:val="00316C44"/>
    <w:rsid w:val="00316C95"/>
    <w:rsid w:val="00316D2B"/>
    <w:rsid w:val="00316D3A"/>
    <w:rsid w:val="00316DD6"/>
    <w:rsid w:val="00316E68"/>
    <w:rsid w:val="0031744E"/>
    <w:rsid w:val="0031794B"/>
    <w:rsid w:val="0032022D"/>
    <w:rsid w:val="0032023D"/>
    <w:rsid w:val="0032032F"/>
    <w:rsid w:val="00320380"/>
    <w:rsid w:val="003206DA"/>
    <w:rsid w:val="0032079A"/>
    <w:rsid w:val="00320C76"/>
    <w:rsid w:val="00320FC4"/>
    <w:rsid w:val="0032118B"/>
    <w:rsid w:val="003211C5"/>
    <w:rsid w:val="003212B5"/>
    <w:rsid w:val="0032135C"/>
    <w:rsid w:val="0032143F"/>
    <w:rsid w:val="003215AD"/>
    <w:rsid w:val="003218FB"/>
    <w:rsid w:val="003219CE"/>
    <w:rsid w:val="00321DEA"/>
    <w:rsid w:val="00321F5F"/>
    <w:rsid w:val="003221DF"/>
    <w:rsid w:val="00322B5B"/>
    <w:rsid w:val="00322F94"/>
    <w:rsid w:val="00323115"/>
    <w:rsid w:val="00323342"/>
    <w:rsid w:val="0032336C"/>
    <w:rsid w:val="00323E09"/>
    <w:rsid w:val="00323F7E"/>
    <w:rsid w:val="00324B3F"/>
    <w:rsid w:val="00325014"/>
    <w:rsid w:val="00325156"/>
    <w:rsid w:val="003252E4"/>
    <w:rsid w:val="003254F0"/>
    <w:rsid w:val="003258B2"/>
    <w:rsid w:val="00325C1B"/>
    <w:rsid w:val="00325E75"/>
    <w:rsid w:val="00325EE8"/>
    <w:rsid w:val="00326328"/>
    <w:rsid w:val="00326879"/>
    <w:rsid w:val="00326BD3"/>
    <w:rsid w:val="00326EE4"/>
    <w:rsid w:val="00326F7B"/>
    <w:rsid w:val="003270E8"/>
    <w:rsid w:val="003271AB"/>
    <w:rsid w:val="0032735E"/>
    <w:rsid w:val="003273ED"/>
    <w:rsid w:val="0032755E"/>
    <w:rsid w:val="00327589"/>
    <w:rsid w:val="00327779"/>
    <w:rsid w:val="0033047E"/>
    <w:rsid w:val="00330E0A"/>
    <w:rsid w:val="00331AC7"/>
    <w:rsid w:val="00331C96"/>
    <w:rsid w:val="00331CCC"/>
    <w:rsid w:val="003320CB"/>
    <w:rsid w:val="003322E6"/>
    <w:rsid w:val="00332446"/>
    <w:rsid w:val="00332831"/>
    <w:rsid w:val="00332C8A"/>
    <w:rsid w:val="00332DAA"/>
    <w:rsid w:val="0033317F"/>
    <w:rsid w:val="0033344E"/>
    <w:rsid w:val="00333606"/>
    <w:rsid w:val="003336E7"/>
    <w:rsid w:val="003336F0"/>
    <w:rsid w:val="00333715"/>
    <w:rsid w:val="00333932"/>
    <w:rsid w:val="00333A40"/>
    <w:rsid w:val="00333A93"/>
    <w:rsid w:val="00333D76"/>
    <w:rsid w:val="00334274"/>
    <w:rsid w:val="0033429D"/>
    <w:rsid w:val="0033431F"/>
    <w:rsid w:val="00334BF7"/>
    <w:rsid w:val="00334D33"/>
    <w:rsid w:val="00334F07"/>
    <w:rsid w:val="003354D3"/>
    <w:rsid w:val="0033576D"/>
    <w:rsid w:val="003358BB"/>
    <w:rsid w:val="00335A2C"/>
    <w:rsid w:val="00335F80"/>
    <w:rsid w:val="00335FFD"/>
    <w:rsid w:val="0033604C"/>
    <w:rsid w:val="0033647F"/>
    <w:rsid w:val="00336812"/>
    <w:rsid w:val="00336C71"/>
    <w:rsid w:val="00337237"/>
    <w:rsid w:val="00337686"/>
    <w:rsid w:val="00337798"/>
    <w:rsid w:val="00337C3D"/>
    <w:rsid w:val="00340220"/>
    <w:rsid w:val="00340641"/>
    <w:rsid w:val="0034089D"/>
    <w:rsid w:val="003408C7"/>
    <w:rsid w:val="003409D4"/>
    <w:rsid w:val="00340BB1"/>
    <w:rsid w:val="00341E25"/>
    <w:rsid w:val="00342565"/>
    <w:rsid w:val="0034265B"/>
    <w:rsid w:val="003430B0"/>
    <w:rsid w:val="00343135"/>
    <w:rsid w:val="00343212"/>
    <w:rsid w:val="00343268"/>
    <w:rsid w:val="00343354"/>
    <w:rsid w:val="00343ADF"/>
    <w:rsid w:val="00343B93"/>
    <w:rsid w:val="00343D9D"/>
    <w:rsid w:val="00343DED"/>
    <w:rsid w:val="00343DF1"/>
    <w:rsid w:val="00343F63"/>
    <w:rsid w:val="003440B9"/>
    <w:rsid w:val="003445D0"/>
    <w:rsid w:val="003448C0"/>
    <w:rsid w:val="00344AF7"/>
    <w:rsid w:val="00345321"/>
    <w:rsid w:val="0034585E"/>
    <w:rsid w:val="0034596D"/>
    <w:rsid w:val="00346194"/>
    <w:rsid w:val="00346261"/>
    <w:rsid w:val="00346293"/>
    <w:rsid w:val="00346295"/>
    <w:rsid w:val="0034669F"/>
    <w:rsid w:val="003468D0"/>
    <w:rsid w:val="00346A92"/>
    <w:rsid w:val="00347317"/>
    <w:rsid w:val="00347335"/>
    <w:rsid w:val="003473BE"/>
    <w:rsid w:val="00347990"/>
    <w:rsid w:val="00347F8E"/>
    <w:rsid w:val="0035010E"/>
    <w:rsid w:val="003504F0"/>
    <w:rsid w:val="003505F6"/>
    <w:rsid w:val="00350BE7"/>
    <w:rsid w:val="00350CCF"/>
    <w:rsid w:val="0035134C"/>
    <w:rsid w:val="00351478"/>
    <w:rsid w:val="003518AA"/>
    <w:rsid w:val="00351D29"/>
    <w:rsid w:val="00351D58"/>
    <w:rsid w:val="00351DEA"/>
    <w:rsid w:val="00351F8C"/>
    <w:rsid w:val="00351FFC"/>
    <w:rsid w:val="003523F8"/>
    <w:rsid w:val="003526A3"/>
    <w:rsid w:val="00352719"/>
    <w:rsid w:val="00352BDD"/>
    <w:rsid w:val="00352C9D"/>
    <w:rsid w:val="00352D73"/>
    <w:rsid w:val="003530C2"/>
    <w:rsid w:val="003530F6"/>
    <w:rsid w:val="00353182"/>
    <w:rsid w:val="003531DF"/>
    <w:rsid w:val="0035360A"/>
    <w:rsid w:val="0035373E"/>
    <w:rsid w:val="00353914"/>
    <w:rsid w:val="003539A6"/>
    <w:rsid w:val="00353A4B"/>
    <w:rsid w:val="003540F1"/>
    <w:rsid w:val="0035412E"/>
    <w:rsid w:val="00354230"/>
    <w:rsid w:val="0035458F"/>
    <w:rsid w:val="0035464B"/>
    <w:rsid w:val="00354742"/>
    <w:rsid w:val="00354B44"/>
    <w:rsid w:val="00354D50"/>
    <w:rsid w:val="00355005"/>
    <w:rsid w:val="00355130"/>
    <w:rsid w:val="00355798"/>
    <w:rsid w:val="003571EA"/>
    <w:rsid w:val="003576CB"/>
    <w:rsid w:val="003602E1"/>
    <w:rsid w:val="003604BE"/>
    <w:rsid w:val="00360589"/>
    <w:rsid w:val="00360735"/>
    <w:rsid w:val="00360E96"/>
    <w:rsid w:val="00361AD2"/>
    <w:rsid w:val="00361BA9"/>
    <w:rsid w:val="00361BFA"/>
    <w:rsid w:val="00362136"/>
    <w:rsid w:val="00362522"/>
    <w:rsid w:val="00362AB0"/>
    <w:rsid w:val="00362FB5"/>
    <w:rsid w:val="0036304F"/>
    <w:rsid w:val="003632A0"/>
    <w:rsid w:val="00363578"/>
    <w:rsid w:val="003635A1"/>
    <w:rsid w:val="00363CDA"/>
    <w:rsid w:val="00364166"/>
    <w:rsid w:val="00364183"/>
    <w:rsid w:val="00364C5C"/>
    <w:rsid w:val="00364CF8"/>
    <w:rsid w:val="00364E4D"/>
    <w:rsid w:val="00364FED"/>
    <w:rsid w:val="0036598F"/>
    <w:rsid w:val="00365E36"/>
    <w:rsid w:val="00366008"/>
    <w:rsid w:val="0036604F"/>
    <w:rsid w:val="00366143"/>
    <w:rsid w:val="003666CD"/>
    <w:rsid w:val="003669B2"/>
    <w:rsid w:val="00367541"/>
    <w:rsid w:val="003679BA"/>
    <w:rsid w:val="00367F38"/>
    <w:rsid w:val="00370107"/>
    <w:rsid w:val="00370692"/>
    <w:rsid w:val="00371041"/>
    <w:rsid w:val="003710FC"/>
    <w:rsid w:val="003711C6"/>
    <w:rsid w:val="00371240"/>
    <w:rsid w:val="00371309"/>
    <w:rsid w:val="00371551"/>
    <w:rsid w:val="00371761"/>
    <w:rsid w:val="00371B4A"/>
    <w:rsid w:val="00372376"/>
    <w:rsid w:val="003729CC"/>
    <w:rsid w:val="003729FB"/>
    <w:rsid w:val="00372DB8"/>
    <w:rsid w:val="00372E16"/>
    <w:rsid w:val="003731BF"/>
    <w:rsid w:val="00373282"/>
    <w:rsid w:val="00373458"/>
    <w:rsid w:val="00373A1C"/>
    <w:rsid w:val="00373A24"/>
    <w:rsid w:val="00373D2D"/>
    <w:rsid w:val="00373F78"/>
    <w:rsid w:val="003740E4"/>
    <w:rsid w:val="0037419A"/>
    <w:rsid w:val="00374483"/>
    <w:rsid w:val="00374547"/>
    <w:rsid w:val="00374622"/>
    <w:rsid w:val="00374716"/>
    <w:rsid w:val="00374731"/>
    <w:rsid w:val="00374922"/>
    <w:rsid w:val="00374AD4"/>
    <w:rsid w:val="00374B17"/>
    <w:rsid w:val="00374F17"/>
    <w:rsid w:val="00375266"/>
    <w:rsid w:val="003754B8"/>
    <w:rsid w:val="003758F5"/>
    <w:rsid w:val="0037665F"/>
    <w:rsid w:val="00376E68"/>
    <w:rsid w:val="00377029"/>
    <w:rsid w:val="003770C0"/>
    <w:rsid w:val="0037761D"/>
    <w:rsid w:val="00377737"/>
    <w:rsid w:val="00377898"/>
    <w:rsid w:val="003779D7"/>
    <w:rsid w:val="00377AEC"/>
    <w:rsid w:val="00377B09"/>
    <w:rsid w:val="00377CD4"/>
    <w:rsid w:val="00377CF4"/>
    <w:rsid w:val="00377E2E"/>
    <w:rsid w:val="00377E9F"/>
    <w:rsid w:val="00377FE9"/>
    <w:rsid w:val="003804D0"/>
    <w:rsid w:val="00380692"/>
    <w:rsid w:val="00380959"/>
    <w:rsid w:val="00380CA0"/>
    <w:rsid w:val="00380D02"/>
    <w:rsid w:val="00380FBB"/>
    <w:rsid w:val="003812D5"/>
    <w:rsid w:val="003815A7"/>
    <w:rsid w:val="00381A6B"/>
    <w:rsid w:val="00381D18"/>
    <w:rsid w:val="00381E39"/>
    <w:rsid w:val="00382233"/>
    <w:rsid w:val="003826C2"/>
    <w:rsid w:val="00382742"/>
    <w:rsid w:val="00382B49"/>
    <w:rsid w:val="00382BAC"/>
    <w:rsid w:val="00382C70"/>
    <w:rsid w:val="00382EEB"/>
    <w:rsid w:val="003836D4"/>
    <w:rsid w:val="003837AA"/>
    <w:rsid w:val="003839FC"/>
    <w:rsid w:val="00383CD1"/>
    <w:rsid w:val="00383CF2"/>
    <w:rsid w:val="00383DCF"/>
    <w:rsid w:val="00383F46"/>
    <w:rsid w:val="0038415C"/>
    <w:rsid w:val="0038492D"/>
    <w:rsid w:val="00384A15"/>
    <w:rsid w:val="0038592B"/>
    <w:rsid w:val="00385D8E"/>
    <w:rsid w:val="00386EB4"/>
    <w:rsid w:val="00386FED"/>
    <w:rsid w:val="0038724D"/>
    <w:rsid w:val="003876D5"/>
    <w:rsid w:val="003876E0"/>
    <w:rsid w:val="00387856"/>
    <w:rsid w:val="00387ADB"/>
    <w:rsid w:val="00387C2D"/>
    <w:rsid w:val="00387C67"/>
    <w:rsid w:val="00390503"/>
    <w:rsid w:val="00390552"/>
    <w:rsid w:val="003908A4"/>
    <w:rsid w:val="003908A9"/>
    <w:rsid w:val="00390937"/>
    <w:rsid w:val="0039098A"/>
    <w:rsid w:val="00390E9A"/>
    <w:rsid w:val="00391570"/>
    <w:rsid w:val="0039164D"/>
    <w:rsid w:val="00391722"/>
    <w:rsid w:val="003919DB"/>
    <w:rsid w:val="00391B7E"/>
    <w:rsid w:val="0039258B"/>
    <w:rsid w:val="00392F8A"/>
    <w:rsid w:val="0039313C"/>
    <w:rsid w:val="00393346"/>
    <w:rsid w:val="0039346D"/>
    <w:rsid w:val="00393491"/>
    <w:rsid w:val="00393493"/>
    <w:rsid w:val="0039355B"/>
    <w:rsid w:val="00393E4D"/>
    <w:rsid w:val="00393F15"/>
    <w:rsid w:val="00394074"/>
    <w:rsid w:val="00394585"/>
    <w:rsid w:val="003949C3"/>
    <w:rsid w:val="00394E50"/>
    <w:rsid w:val="00395037"/>
    <w:rsid w:val="00395253"/>
    <w:rsid w:val="003958D3"/>
    <w:rsid w:val="00395D29"/>
    <w:rsid w:val="00395D73"/>
    <w:rsid w:val="00396211"/>
    <w:rsid w:val="003962F7"/>
    <w:rsid w:val="0039702F"/>
    <w:rsid w:val="003970EB"/>
    <w:rsid w:val="00397C21"/>
    <w:rsid w:val="00397C5A"/>
    <w:rsid w:val="00397D04"/>
    <w:rsid w:val="003A00FD"/>
    <w:rsid w:val="003A0282"/>
    <w:rsid w:val="003A09BE"/>
    <w:rsid w:val="003A14EB"/>
    <w:rsid w:val="003A1686"/>
    <w:rsid w:val="003A179E"/>
    <w:rsid w:val="003A181F"/>
    <w:rsid w:val="003A1D2C"/>
    <w:rsid w:val="003A1DA5"/>
    <w:rsid w:val="003A1EA5"/>
    <w:rsid w:val="003A2217"/>
    <w:rsid w:val="003A25CC"/>
    <w:rsid w:val="003A2958"/>
    <w:rsid w:val="003A2B33"/>
    <w:rsid w:val="003A2FF6"/>
    <w:rsid w:val="003A33BE"/>
    <w:rsid w:val="003A33FA"/>
    <w:rsid w:val="003A341A"/>
    <w:rsid w:val="003A36F6"/>
    <w:rsid w:val="003A3707"/>
    <w:rsid w:val="003A375F"/>
    <w:rsid w:val="003A3B98"/>
    <w:rsid w:val="003A3BF4"/>
    <w:rsid w:val="003A3D2A"/>
    <w:rsid w:val="003A4149"/>
    <w:rsid w:val="003A4656"/>
    <w:rsid w:val="003A4767"/>
    <w:rsid w:val="003A4A74"/>
    <w:rsid w:val="003A4DF3"/>
    <w:rsid w:val="003A52FE"/>
    <w:rsid w:val="003A53C8"/>
    <w:rsid w:val="003A544B"/>
    <w:rsid w:val="003A55C8"/>
    <w:rsid w:val="003A57D0"/>
    <w:rsid w:val="003A5B1B"/>
    <w:rsid w:val="003A600D"/>
    <w:rsid w:val="003A629D"/>
    <w:rsid w:val="003A64D6"/>
    <w:rsid w:val="003A6509"/>
    <w:rsid w:val="003A68C5"/>
    <w:rsid w:val="003A6C24"/>
    <w:rsid w:val="003A74F3"/>
    <w:rsid w:val="003A76E9"/>
    <w:rsid w:val="003A7B81"/>
    <w:rsid w:val="003B01C7"/>
    <w:rsid w:val="003B021A"/>
    <w:rsid w:val="003B02C9"/>
    <w:rsid w:val="003B06EC"/>
    <w:rsid w:val="003B083B"/>
    <w:rsid w:val="003B0BC6"/>
    <w:rsid w:val="003B0D7B"/>
    <w:rsid w:val="003B0EBA"/>
    <w:rsid w:val="003B0FCF"/>
    <w:rsid w:val="003B1177"/>
    <w:rsid w:val="003B12B5"/>
    <w:rsid w:val="003B1591"/>
    <w:rsid w:val="003B1982"/>
    <w:rsid w:val="003B1A76"/>
    <w:rsid w:val="003B27B6"/>
    <w:rsid w:val="003B2986"/>
    <w:rsid w:val="003B2AE9"/>
    <w:rsid w:val="003B2D31"/>
    <w:rsid w:val="003B2D48"/>
    <w:rsid w:val="003B2F43"/>
    <w:rsid w:val="003B3524"/>
    <w:rsid w:val="003B3F43"/>
    <w:rsid w:val="003B4139"/>
    <w:rsid w:val="003B41AC"/>
    <w:rsid w:val="003B434F"/>
    <w:rsid w:val="003B4875"/>
    <w:rsid w:val="003B49A1"/>
    <w:rsid w:val="003B4A40"/>
    <w:rsid w:val="003B4EB7"/>
    <w:rsid w:val="003B50FC"/>
    <w:rsid w:val="003B5353"/>
    <w:rsid w:val="003B53E6"/>
    <w:rsid w:val="003B54BD"/>
    <w:rsid w:val="003B54E5"/>
    <w:rsid w:val="003B5808"/>
    <w:rsid w:val="003B5ABA"/>
    <w:rsid w:val="003B5BD1"/>
    <w:rsid w:val="003B5D50"/>
    <w:rsid w:val="003B6140"/>
    <w:rsid w:val="003B6422"/>
    <w:rsid w:val="003B6474"/>
    <w:rsid w:val="003B648A"/>
    <w:rsid w:val="003B654D"/>
    <w:rsid w:val="003B6814"/>
    <w:rsid w:val="003B68B2"/>
    <w:rsid w:val="003B6AF5"/>
    <w:rsid w:val="003B6B34"/>
    <w:rsid w:val="003B6EF8"/>
    <w:rsid w:val="003B7689"/>
    <w:rsid w:val="003B7AC8"/>
    <w:rsid w:val="003B7B3F"/>
    <w:rsid w:val="003B7D35"/>
    <w:rsid w:val="003C021E"/>
    <w:rsid w:val="003C023B"/>
    <w:rsid w:val="003C0640"/>
    <w:rsid w:val="003C0C80"/>
    <w:rsid w:val="003C0CDD"/>
    <w:rsid w:val="003C0EA6"/>
    <w:rsid w:val="003C1056"/>
    <w:rsid w:val="003C153E"/>
    <w:rsid w:val="003C1688"/>
    <w:rsid w:val="003C21E8"/>
    <w:rsid w:val="003C21EF"/>
    <w:rsid w:val="003C278A"/>
    <w:rsid w:val="003C2817"/>
    <w:rsid w:val="003C28D7"/>
    <w:rsid w:val="003C2F75"/>
    <w:rsid w:val="003C367F"/>
    <w:rsid w:val="003C38B5"/>
    <w:rsid w:val="003C39D3"/>
    <w:rsid w:val="003C39D8"/>
    <w:rsid w:val="003C3F93"/>
    <w:rsid w:val="003C45DA"/>
    <w:rsid w:val="003C47C9"/>
    <w:rsid w:val="003C4A94"/>
    <w:rsid w:val="003C4AE6"/>
    <w:rsid w:val="003C5046"/>
    <w:rsid w:val="003C55B1"/>
    <w:rsid w:val="003C58FB"/>
    <w:rsid w:val="003C5B15"/>
    <w:rsid w:val="003C5D99"/>
    <w:rsid w:val="003C5FE0"/>
    <w:rsid w:val="003C6021"/>
    <w:rsid w:val="003C6643"/>
    <w:rsid w:val="003C6E8B"/>
    <w:rsid w:val="003C723F"/>
    <w:rsid w:val="003C7345"/>
    <w:rsid w:val="003C7A24"/>
    <w:rsid w:val="003C7DA4"/>
    <w:rsid w:val="003D0374"/>
    <w:rsid w:val="003D03EB"/>
    <w:rsid w:val="003D0955"/>
    <w:rsid w:val="003D09BA"/>
    <w:rsid w:val="003D0ADE"/>
    <w:rsid w:val="003D1142"/>
    <w:rsid w:val="003D1194"/>
    <w:rsid w:val="003D13E0"/>
    <w:rsid w:val="003D14B5"/>
    <w:rsid w:val="003D17F2"/>
    <w:rsid w:val="003D1BAF"/>
    <w:rsid w:val="003D1FC4"/>
    <w:rsid w:val="003D3063"/>
    <w:rsid w:val="003D31AD"/>
    <w:rsid w:val="003D3451"/>
    <w:rsid w:val="003D37C8"/>
    <w:rsid w:val="003D3803"/>
    <w:rsid w:val="003D3990"/>
    <w:rsid w:val="003D4285"/>
    <w:rsid w:val="003D4287"/>
    <w:rsid w:val="003D4345"/>
    <w:rsid w:val="003D457A"/>
    <w:rsid w:val="003D4FBB"/>
    <w:rsid w:val="003D5CDE"/>
    <w:rsid w:val="003D5EEF"/>
    <w:rsid w:val="003D5F3C"/>
    <w:rsid w:val="003D618F"/>
    <w:rsid w:val="003D6283"/>
    <w:rsid w:val="003D6C52"/>
    <w:rsid w:val="003D6DA7"/>
    <w:rsid w:val="003D6F50"/>
    <w:rsid w:val="003D7311"/>
    <w:rsid w:val="003D7979"/>
    <w:rsid w:val="003D7B14"/>
    <w:rsid w:val="003E00C5"/>
    <w:rsid w:val="003E0482"/>
    <w:rsid w:val="003E04DF"/>
    <w:rsid w:val="003E067B"/>
    <w:rsid w:val="003E0795"/>
    <w:rsid w:val="003E0845"/>
    <w:rsid w:val="003E11B3"/>
    <w:rsid w:val="003E1208"/>
    <w:rsid w:val="003E1273"/>
    <w:rsid w:val="003E1872"/>
    <w:rsid w:val="003E1A0E"/>
    <w:rsid w:val="003E1E2C"/>
    <w:rsid w:val="003E2295"/>
    <w:rsid w:val="003E2920"/>
    <w:rsid w:val="003E2FAF"/>
    <w:rsid w:val="003E306E"/>
    <w:rsid w:val="003E3250"/>
    <w:rsid w:val="003E3577"/>
    <w:rsid w:val="003E3A19"/>
    <w:rsid w:val="003E3BB5"/>
    <w:rsid w:val="003E3BBD"/>
    <w:rsid w:val="003E3BF2"/>
    <w:rsid w:val="003E3F5E"/>
    <w:rsid w:val="003E4188"/>
    <w:rsid w:val="003E4261"/>
    <w:rsid w:val="003E44C5"/>
    <w:rsid w:val="003E45C4"/>
    <w:rsid w:val="003E4784"/>
    <w:rsid w:val="003E5211"/>
    <w:rsid w:val="003E5461"/>
    <w:rsid w:val="003E5758"/>
    <w:rsid w:val="003E5FAE"/>
    <w:rsid w:val="003E6223"/>
    <w:rsid w:val="003E64B5"/>
    <w:rsid w:val="003E684C"/>
    <w:rsid w:val="003E6967"/>
    <w:rsid w:val="003E7618"/>
    <w:rsid w:val="003E7639"/>
    <w:rsid w:val="003E7718"/>
    <w:rsid w:val="003F0457"/>
    <w:rsid w:val="003F0789"/>
    <w:rsid w:val="003F0D27"/>
    <w:rsid w:val="003F0D8E"/>
    <w:rsid w:val="003F0F53"/>
    <w:rsid w:val="003F1ADD"/>
    <w:rsid w:val="003F28E5"/>
    <w:rsid w:val="003F2988"/>
    <w:rsid w:val="003F2C9A"/>
    <w:rsid w:val="003F2FBD"/>
    <w:rsid w:val="003F301D"/>
    <w:rsid w:val="003F31CA"/>
    <w:rsid w:val="003F3CEC"/>
    <w:rsid w:val="003F43C4"/>
    <w:rsid w:val="003F4524"/>
    <w:rsid w:val="003F505E"/>
    <w:rsid w:val="003F50DE"/>
    <w:rsid w:val="003F511D"/>
    <w:rsid w:val="003F5B08"/>
    <w:rsid w:val="003F6378"/>
    <w:rsid w:val="003F64DE"/>
    <w:rsid w:val="003F67BB"/>
    <w:rsid w:val="003F67CE"/>
    <w:rsid w:val="003F71D9"/>
    <w:rsid w:val="003F722C"/>
    <w:rsid w:val="003F7285"/>
    <w:rsid w:val="003F7377"/>
    <w:rsid w:val="003F77CC"/>
    <w:rsid w:val="003F7A73"/>
    <w:rsid w:val="003F7BC4"/>
    <w:rsid w:val="003F7C9E"/>
    <w:rsid w:val="00400194"/>
    <w:rsid w:val="00400551"/>
    <w:rsid w:val="00400814"/>
    <w:rsid w:val="00400967"/>
    <w:rsid w:val="00401210"/>
    <w:rsid w:val="004014FD"/>
    <w:rsid w:val="00401672"/>
    <w:rsid w:val="00401882"/>
    <w:rsid w:val="004019DC"/>
    <w:rsid w:val="004024C8"/>
    <w:rsid w:val="0040254F"/>
    <w:rsid w:val="0040285F"/>
    <w:rsid w:val="00403062"/>
    <w:rsid w:val="004030A8"/>
    <w:rsid w:val="00403B7E"/>
    <w:rsid w:val="00403FB9"/>
    <w:rsid w:val="0040437B"/>
    <w:rsid w:val="00404644"/>
    <w:rsid w:val="00404669"/>
    <w:rsid w:val="00404AA7"/>
    <w:rsid w:val="00405260"/>
    <w:rsid w:val="004052A1"/>
    <w:rsid w:val="00405508"/>
    <w:rsid w:val="004062E9"/>
    <w:rsid w:val="0040669E"/>
    <w:rsid w:val="004067F0"/>
    <w:rsid w:val="00406831"/>
    <w:rsid w:val="00406A10"/>
    <w:rsid w:val="00406A64"/>
    <w:rsid w:val="0040710C"/>
    <w:rsid w:val="00407334"/>
    <w:rsid w:val="0040739C"/>
    <w:rsid w:val="0040759F"/>
    <w:rsid w:val="004079AD"/>
    <w:rsid w:val="00407A34"/>
    <w:rsid w:val="00407BC2"/>
    <w:rsid w:val="00407CB8"/>
    <w:rsid w:val="004100C8"/>
    <w:rsid w:val="00410428"/>
    <w:rsid w:val="00410641"/>
    <w:rsid w:val="004108F1"/>
    <w:rsid w:val="00410A16"/>
    <w:rsid w:val="0041102D"/>
    <w:rsid w:val="0041115D"/>
    <w:rsid w:val="004111E4"/>
    <w:rsid w:val="004114D4"/>
    <w:rsid w:val="0041156E"/>
    <w:rsid w:val="00411ADD"/>
    <w:rsid w:val="00411C92"/>
    <w:rsid w:val="00411D0E"/>
    <w:rsid w:val="004121F9"/>
    <w:rsid w:val="004123E0"/>
    <w:rsid w:val="0041251C"/>
    <w:rsid w:val="00412534"/>
    <w:rsid w:val="00412624"/>
    <w:rsid w:val="00412733"/>
    <w:rsid w:val="00412A16"/>
    <w:rsid w:val="00412ACE"/>
    <w:rsid w:val="00412F3C"/>
    <w:rsid w:val="00413387"/>
    <w:rsid w:val="004134C8"/>
    <w:rsid w:val="0041385E"/>
    <w:rsid w:val="00413873"/>
    <w:rsid w:val="00413ABC"/>
    <w:rsid w:val="00413AF8"/>
    <w:rsid w:val="00413EF6"/>
    <w:rsid w:val="00414150"/>
    <w:rsid w:val="004141F1"/>
    <w:rsid w:val="0041427D"/>
    <w:rsid w:val="00414411"/>
    <w:rsid w:val="00414555"/>
    <w:rsid w:val="004145D6"/>
    <w:rsid w:val="00414D77"/>
    <w:rsid w:val="00414E5E"/>
    <w:rsid w:val="00415378"/>
    <w:rsid w:val="00415458"/>
    <w:rsid w:val="004157AE"/>
    <w:rsid w:val="00415B59"/>
    <w:rsid w:val="00415BF2"/>
    <w:rsid w:val="00415C0C"/>
    <w:rsid w:val="00415CD0"/>
    <w:rsid w:val="00415F37"/>
    <w:rsid w:val="0041630B"/>
    <w:rsid w:val="00416897"/>
    <w:rsid w:val="004169AC"/>
    <w:rsid w:val="0041729B"/>
    <w:rsid w:val="00417C64"/>
    <w:rsid w:val="00417E61"/>
    <w:rsid w:val="0042006B"/>
    <w:rsid w:val="00420244"/>
    <w:rsid w:val="004203D6"/>
    <w:rsid w:val="00420D4C"/>
    <w:rsid w:val="00420F05"/>
    <w:rsid w:val="00420F0E"/>
    <w:rsid w:val="00421027"/>
    <w:rsid w:val="00421A89"/>
    <w:rsid w:val="00421DA1"/>
    <w:rsid w:val="004220A1"/>
    <w:rsid w:val="0042212D"/>
    <w:rsid w:val="0042276D"/>
    <w:rsid w:val="00422DE5"/>
    <w:rsid w:val="00422DE9"/>
    <w:rsid w:val="00422E7D"/>
    <w:rsid w:val="00423072"/>
    <w:rsid w:val="00423277"/>
    <w:rsid w:val="004232D9"/>
    <w:rsid w:val="00423469"/>
    <w:rsid w:val="004237A3"/>
    <w:rsid w:val="00423C1C"/>
    <w:rsid w:val="00423C4F"/>
    <w:rsid w:val="00423CFD"/>
    <w:rsid w:val="004241C9"/>
    <w:rsid w:val="0042431B"/>
    <w:rsid w:val="0042445E"/>
    <w:rsid w:val="004249E8"/>
    <w:rsid w:val="00424CC4"/>
    <w:rsid w:val="00424D0A"/>
    <w:rsid w:val="00425020"/>
    <w:rsid w:val="0042516A"/>
    <w:rsid w:val="004253F0"/>
    <w:rsid w:val="00425616"/>
    <w:rsid w:val="00425722"/>
    <w:rsid w:val="00425B39"/>
    <w:rsid w:val="00425BE8"/>
    <w:rsid w:val="00425C5C"/>
    <w:rsid w:val="00425DDF"/>
    <w:rsid w:val="00426197"/>
    <w:rsid w:val="0042657C"/>
    <w:rsid w:val="00426C10"/>
    <w:rsid w:val="0042740C"/>
    <w:rsid w:val="00427710"/>
    <w:rsid w:val="0043065D"/>
    <w:rsid w:val="00430CF6"/>
    <w:rsid w:val="00430D05"/>
    <w:rsid w:val="00430F4F"/>
    <w:rsid w:val="00430FB3"/>
    <w:rsid w:val="00430FD1"/>
    <w:rsid w:val="0043106A"/>
    <w:rsid w:val="00431249"/>
    <w:rsid w:val="00431C62"/>
    <w:rsid w:val="00431CDA"/>
    <w:rsid w:val="00432294"/>
    <w:rsid w:val="004323A7"/>
    <w:rsid w:val="004326B0"/>
    <w:rsid w:val="00432786"/>
    <w:rsid w:val="004328A8"/>
    <w:rsid w:val="00432A5F"/>
    <w:rsid w:val="00432B4C"/>
    <w:rsid w:val="00432E86"/>
    <w:rsid w:val="00432EC7"/>
    <w:rsid w:val="004338C8"/>
    <w:rsid w:val="00433B71"/>
    <w:rsid w:val="00433E29"/>
    <w:rsid w:val="00434194"/>
    <w:rsid w:val="004344E0"/>
    <w:rsid w:val="0043490B"/>
    <w:rsid w:val="00434C19"/>
    <w:rsid w:val="00434FA8"/>
    <w:rsid w:val="00435399"/>
    <w:rsid w:val="0043547A"/>
    <w:rsid w:val="0043558F"/>
    <w:rsid w:val="00435B71"/>
    <w:rsid w:val="00435BB6"/>
    <w:rsid w:val="0043619D"/>
    <w:rsid w:val="004361C5"/>
    <w:rsid w:val="00436303"/>
    <w:rsid w:val="00436436"/>
    <w:rsid w:val="004365F3"/>
    <w:rsid w:val="0043661C"/>
    <w:rsid w:val="00436891"/>
    <w:rsid w:val="00436D4F"/>
    <w:rsid w:val="00436DA9"/>
    <w:rsid w:val="004371BE"/>
    <w:rsid w:val="0043771B"/>
    <w:rsid w:val="004377D8"/>
    <w:rsid w:val="004401EF"/>
    <w:rsid w:val="00440367"/>
    <w:rsid w:val="004405CB"/>
    <w:rsid w:val="004407EA"/>
    <w:rsid w:val="00440C6A"/>
    <w:rsid w:val="00440FB7"/>
    <w:rsid w:val="004410F5"/>
    <w:rsid w:val="00441597"/>
    <w:rsid w:val="00441877"/>
    <w:rsid w:val="00441DB8"/>
    <w:rsid w:val="0044275D"/>
    <w:rsid w:val="00442AA3"/>
    <w:rsid w:val="00442DE1"/>
    <w:rsid w:val="00443258"/>
    <w:rsid w:val="00443D56"/>
    <w:rsid w:val="00443ECD"/>
    <w:rsid w:val="00444C46"/>
    <w:rsid w:val="00444EDD"/>
    <w:rsid w:val="00445A60"/>
    <w:rsid w:val="00445BA8"/>
    <w:rsid w:val="00446013"/>
    <w:rsid w:val="00446017"/>
    <w:rsid w:val="0044615F"/>
    <w:rsid w:val="004465F6"/>
    <w:rsid w:val="00446660"/>
    <w:rsid w:val="004466D7"/>
    <w:rsid w:val="00446998"/>
    <w:rsid w:val="00446AC0"/>
    <w:rsid w:val="00446B4B"/>
    <w:rsid w:val="0044735A"/>
    <w:rsid w:val="004476E0"/>
    <w:rsid w:val="00447BB2"/>
    <w:rsid w:val="00447CA5"/>
    <w:rsid w:val="00447EE5"/>
    <w:rsid w:val="004505A0"/>
    <w:rsid w:val="00450810"/>
    <w:rsid w:val="00450BC6"/>
    <w:rsid w:val="00450FA2"/>
    <w:rsid w:val="0045114E"/>
    <w:rsid w:val="00451301"/>
    <w:rsid w:val="004514A4"/>
    <w:rsid w:val="00451B09"/>
    <w:rsid w:val="00451C44"/>
    <w:rsid w:val="00451CB0"/>
    <w:rsid w:val="00451DEA"/>
    <w:rsid w:val="00452058"/>
    <w:rsid w:val="00452282"/>
    <w:rsid w:val="0045297E"/>
    <w:rsid w:val="00452985"/>
    <w:rsid w:val="00452B3E"/>
    <w:rsid w:val="00452BA4"/>
    <w:rsid w:val="00452E18"/>
    <w:rsid w:val="004530CD"/>
    <w:rsid w:val="004530FE"/>
    <w:rsid w:val="004533A4"/>
    <w:rsid w:val="0045377F"/>
    <w:rsid w:val="00453DBC"/>
    <w:rsid w:val="004541A3"/>
    <w:rsid w:val="00454676"/>
    <w:rsid w:val="004547DD"/>
    <w:rsid w:val="00454A91"/>
    <w:rsid w:val="00454AFB"/>
    <w:rsid w:val="00454DE0"/>
    <w:rsid w:val="00454EB2"/>
    <w:rsid w:val="00455DCF"/>
    <w:rsid w:val="00455F27"/>
    <w:rsid w:val="00456175"/>
    <w:rsid w:val="004561D7"/>
    <w:rsid w:val="0045632D"/>
    <w:rsid w:val="00456348"/>
    <w:rsid w:val="004563A4"/>
    <w:rsid w:val="004564E5"/>
    <w:rsid w:val="00456B69"/>
    <w:rsid w:val="00456C55"/>
    <w:rsid w:val="00456CC6"/>
    <w:rsid w:val="004572CD"/>
    <w:rsid w:val="004573A3"/>
    <w:rsid w:val="0045744F"/>
    <w:rsid w:val="004576DD"/>
    <w:rsid w:val="00457C2D"/>
    <w:rsid w:val="00457EC6"/>
    <w:rsid w:val="00457EC9"/>
    <w:rsid w:val="00460322"/>
    <w:rsid w:val="00460406"/>
    <w:rsid w:val="0046050F"/>
    <w:rsid w:val="0046051A"/>
    <w:rsid w:val="0046054D"/>
    <w:rsid w:val="00460D45"/>
    <w:rsid w:val="0046125A"/>
    <w:rsid w:val="004614A2"/>
    <w:rsid w:val="004614DE"/>
    <w:rsid w:val="00461630"/>
    <w:rsid w:val="004616D0"/>
    <w:rsid w:val="00461721"/>
    <w:rsid w:val="0046192C"/>
    <w:rsid w:val="004619A8"/>
    <w:rsid w:val="00461AAB"/>
    <w:rsid w:val="00462295"/>
    <w:rsid w:val="004624B1"/>
    <w:rsid w:val="0046261A"/>
    <w:rsid w:val="004628A4"/>
    <w:rsid w:val="00462933"/>
    <w:rsid w:val="004629DF"/>
    <w:rsid w:val="00462EAC"/>
    <w:rsid w:val="00463387"/>
    <w:rsid w:val="00463546"/>
    <w:rsid w:val="0046355B"/>
    <w:rsid w:val="004635B1"/>
    <w:rsid w:val="00463649"/>
    <w:rsid w:val="004637BA"/>
    <w:rsid w:val="00463F0A"/>
    <w:rsid w:val="0046428B"/>
    <w:rsid w:val="00464829"/>
    <w:rsid w:val="00464B55"/>
    <w:rsid w:val="00465488"/>
    <w:rsid w:val="0046557A"/>
    <w:rsid w:val="00465ED7"/>
    <w:rsid w:val="004662A7"/>
    <w:rsid w:val="004662E0"/>
    <w:rsid w:val="0046687B"/>
    <w:rsid w:val="00466AAF"/>
    <w:rsid w:val="00466ADE"/>
    <w:rsid w:val="00466AE8"/>
    <w:rsid w:val="00466CEF"/>
    <w:rsid w:val="00466E46"/>
    <w:rsid w:val="00466EE0"/>
    <w:rsid w:val="00466F7E"/>
    <w:rsid w:val="0046702C"/>
    <w:rsid w:val="00467258"/>
    <w:rsid w:val="0046746F"/>
    <w:rsid w:val="0046768A"/>
    <w:rsid w:val="00467808"/>
    <w:rsid w:val="004679A4"/>
    <w:rsid w:val="004679C6"/>
    <w:rsid w:val="00470109"/>
    <w:rsid w:val="00470462"/>
    <w:rsid w:val="0047051C"/>
    <w:rsid w:val="0047058D"/>
    <w:rsid w:val="00470DA2"/>
    <w:rsid w:val="0047107E"/>
    <w:rsid w:val="004710B6"/>
    <w:rsid w:val="004715E3"/>
    <w:rsid w:val="00471750"/>
    <w:rsid w:val="0047192F"/>
    <w:rsid w:val="00471D66"/>
    <w:rsid w:val="00471FA0"/>
    <w:rsid w:val="00471FE3"/>
    <w:rsid w:val="00472142"/>
    <w:rsid w:val="004726CE"/>
    <w:rsid w:val="00472E6C"/>
    <w:rsid w:val="004731B2"/>
    <w:rsid w:val="0047327D"/>
    <w:rsid w:val="00473E44"/>
    <w:rsid w:val="00473F2B"/>
    <w:rsid w:val="00473F9D"/>
    <w:rsid w:val="004740F2"/>
    <w:rsid w:val="004744F1"/>
    <w:rsid w:val="00474706"/>
    <w:rsid w:val="00474841"/>
    <w:rsid w:val="00474858"/>
    <w:rsid w:val="00474E0C"/>
    <w:rsid w:val="00475232"/>
    <w:rsid w:val="004754B5"/>
    <w:rsid w:val="00475ACA"/>
    <w:rsid w:val="00475BAB"/>
    <w:rsid w:val="00476459"/>
    <w:rsid w:val="00476510"/>
    <w:rsid w:val="0047653D"/>
    <w:rsid w:val="00476868"/>
    <w:rsid w:val="00476E7F"/>
    <w:rsid w:val="00477137"/>
    <w:rsid w:val="00477144"/>
    <w:rsid w:val="0047739E"/>
    <w:rsid w:val="004775F6"/>
    <w:rsid w:val="004803EB"/>
    <w:rsid w:val="00480587"/>
    <w:rsid w:val="004805C8"/>
    <w:rsid w:val="004809CE"/>
    <w:rsid w:val="00480B01"/>
    <w:rsid w:val="00480C89"/>
    <w:rsid w:val="00481196"/>
    <w:rsid w:val="0048136A"/>
    <w:rsid w:val="0048140D"/>
    <w:rsid w:val="00481F7C"/>
    <w:rsid w:val="00482553"/>
    <w:rsid w:val="00482569"/>
    <w:rsid w:val="00482FFB"/>
    <w:rsid w:val="004837AA"/>
    <w:rsid w:val="00483B55"/>
    <w:rsid w:val="00484296"/>
    <w:rsid w:val="004843DE"/>
    <w:rsid w:val="00484589"/>
    <w:rsid w:val="0048472C"/>
    <w:rsid w:val="00484AB1"/>
    <w:rsid w:val="00484ACF"/>
    <w:rsid w:val="00484EE3"/>
    <w:rsid w:val="00485226"/>
    <w:rsid w:val="00485447"/>
    <w:rsid w:val="004858DC"/>
    <w:rsid w:val="00486028"/>
    <w:rsid w:val="00486382"/>
    <w:rsid w:val="00486458"/>
    <w:rsid w:val="00486854"/>
    <w:rsid w:val="0048696D"/>
    <w:rsid w:val="004869B6"/>
    <w:rsid w:val="00486DD0"/>
    <w:rsid w:val="00486FAF"/>
    <w:rsid w:val="00487362"/>
    <w:rsid w:val="00487498"/>
    <w:rsid w:val="00487BE2"/>
    <w:rsid w:val="00487C8B"/>
    <w:rsid w:val="00487D53"/>
    <w:rsid w:val="00487E08"/>
    <w:rsid w:val="0049056B"/>
    <w:rsid w:val="0049059C"/>
    <w:rsid w:val="00490994"/>
    <w:rsid w:val="00490A13"/>
    <w:rsid w:val="00490A99"/>
    <w:rsid w:val="00490E02"/>
    <w:rsid w:val="00490E96"/>
    <w:rsid w:val="004915CA"/>
    <w:rsid w:val="00491A9B"/>
    <w:rsid w:val="00491AEA"/>
    <w:rsid w:val="004926A8"/>
    <w:rsid w:val="004926F8"/>
    <w:rsid w:val="004930B8"/>
    <w:rsid w:val="00493390"/>
    <w:rsid w:val="0049393F"/>
    <w:rsid w:val="00494031"/>
    <w:rsid w:val="004940BD"/>
    <w:rsid w:val="004940FF"/>
    <w:rsid w:val="0049459F"/>
    <w:rsid w:val="00494622"/>
    <w:rsid w:val="00494800"/>
    <w:rsid w:val="00494EEE"/>
    <w:rsid w:val="00495675"/>
    <w:rsid w:val="00495CB3"/>
    <w:rsid w:val="00495DA7"/>
    <w:rsid w:val="00495E68"/>
    <w:rsid w:val="00495E79"/>
    <w:rsid w:val="00495FF4"/>
    <w:rsid w:val="004961F7"/>
    <w:rsid w:val="0049702E"/>
    <w:rsid w:val="0049731E"/>
    <w:rsid w:val="00497633"/>
    <w:rsid w:val="0049779C"/>
    <w:rsid w:val="004979ED"/>
    <w:rsid w:val="00497DEF"/>
    <w:rsid w:val="004A008B"/>
    <w:rsid w:val="004A01AA"/>
    <w:rsid w:val="004A024F"/>
    <w:rsid w:val="004A0290"/>
    <w:rsid w:val="004A0351"/>
    <w:rsid w:val="004A08E2"/>
    <w:rsid w:val="004A0FFF"/>
    <w:rsid w:val="004A1A78"/>
    <w:rsid w:val="004A1C4B"/>
    <w:rsid w:val="004A1E37"/>
    <w:rsid w:val="004A1F27"/>
    <w:rsid w:val="004A23CF"/>
    <w:rsid w:val="004A24E9"/>
    <w:rsid w:val="004A2950"/>
    <w:rsid w:val="004A2D9F"/>
    <w:rsid w:val="004A31CB"/>
    <w:rsid w:val="004A3346"/>
    <w:rsid w:val="004A3721"/>
    <w:rsid w:val="004A3805"/>
    <w:rsid w:val="004A3870"/>
    <w:rsid w:val="004A3A1C"/>
    <w:rsid w:val="004A3EAD"/>
    <w:rsid w:val="004A3EAE"/>
    <w:rsid w:val="004A40C1"/>
    <w:rsid w:val="004A43E6"/>
    <w:rsid w:val="004A4849"/>
    <w:rsid w:val="004A4A79"/>
    <w:rsid w:val="004A4D78"/>
    <w:rsid w:val="004A4D9A"/>
    <w:rsid w:val="004A4F52"/>
    <w:rsid w:val="004A5117"/>
    <w:rsid w:val="004A5202"/>
    <w:rsid w:val="004A54D0"/>
    <w:rsid w:val="004A5512"/>
    <w:rsid w:val="004A5ADB"/>
    <w:rsid w:val="004A5D11"/>
    <w:rsid w:val="004A5EEA"/>
    <w:rsid w:val="004A6250"/>
    <w:rsid w:val="004A67A4"/>
    <w:rsid w:val="004A6C03"/>
    <w:rsid w:val="004A713F"/>
    <w:rsid w:val="004A7484"/>
    <w:rsid w:val="004A774B"/>
    <w:rsid w:val="004A7BCD"/>
    <w:rsid w:val="004B0208"/>
    <w:rsid w:val="004B0AE6"/>
    <w:rsid w:val="004B0F2C"/>
    <w:rsid w:val="004B1135"/>
    <w:rsid w:val="004B11E6"/>
    <w:rsid w:val="004B186A"/>
    <w:rsid w:val="004B1A5B"/>
    <w:rsid w:val="004B1B09"/>
    <w:rsid w:val="004B1CF0"/>
    <w:rsid w:val="004B2130"/>
    <w:rsid w:val="004B2834"/>
    <w:rsid w:val="004B2C15"/>
    <w:rsid w:val="004B32E5"/>
    <w:rsid w:val="004B336D"/>
    <w:rsid w:val="004B3ACA"/>
    <w:rsid w:val="004B407E"/>
    <w:rsid w:val="004B43AE"/>
    <w:rsid w:val="004B4435"/>
    <w:rsid w:val="004B4481"/>
    <w:rsid w:val="004B4575"/>
    <w:rsid w:val="004B4B47"/>
    <w:rsid w:val="004B51C3"/>
    <w:rsid w:val="004B571A"/>
    <w:rsid w:val="004B5764"/>
    <w:rsid w:val="004B5B50"/>
    <w:rsid w:val="004B5F06"/>
    <w:rsid w:val="004B5FFD"/>
    <w:rsid w:val="004B64B5"/>
    <w:rsid w:val="004B6715"/>
    <w:rsid w:val="004B6893"/>
    <w:rsid w:val="004B6A7A"/>
    <w:rsid w:val="004B7440"/>
    <w:rsid w:val="004B7795"/>
    <w:rsid w:val="004B7C48"/>
    <w:rsid w:val="004C007C"/>
    <w:rsid w:val="004C06CB"/>
    <w:rsid w:val="004C0762"/>
    <w:rsid w:val="004C0A3F"/>
    <w:rsid w:val="004C1475"/>
    <w:rsid w:val="004C18A5"/>
    <w:rsid w:val="004C27F9"/>
    <w:rsid w:val="004C2A40"/>
    <w:rsid w:val="004C2A9E"/>
    <w:rsid w:val="004C2BF5"/>
    <w:rsid w:val="004C30ED"/>
    <w:rsid w:val="004C337C"/>
    <w:rsid w:val="004C357D"/>
    <w:rsid w:val="004C3693"/>
    <w:rsid w:val="004C3840"/>
    <w:rsid w:val="004C3859"/>
    <w:rsid w:val="004C3973"/>
    <w:rsid w:val="004C3B34"/>
    <w:rsid w:val="004C42F5"/>
    <w:rsid w:val="004C46FA"/>
    <w:rsid w:val="004C49E8"/>
    <w:rsid w:val="004C4A51"/>
    <w:rsid w:val="004C4D69"/>
    <w:rsid w:val="004C5114"/>
    <w:rsid w:val="004C5597"/>
    <w:rsid w:val="004C6315"/>
    <w:rsid w:val="004C63F4"/>
    <w:rsid w:val="004C6763"/>
    <w:rsid w:val="004C678D"/>
    <w:rsid w:val="004C6D54"/>
    <w:rsid w:val="004C6F5D"/>
    <w:rsid w:val="004C7161"/>
    <w:rsid w:val="004C7183"/>
    <w:rsid w:val="004C753C"/>
    <w:rsid w:val="004C75E9"/>
    <w:rsid w:val="004C7644"/>
    <w:rsid w:val="004C7713"/>
    <w:rsid w:val="004C789B"/>
    <w:rsid w:val="004C7DE1"/>
    <w:rsid w:val="004D0509"/>
    <w:rsid w:val="004D0537"/>
    <w:rsid w:val="004D0624"/>
    <w:rsid w:val="004D087C"/>
    <w:rsid w:val="004D0C05"/>
    <w:rsid w:val="004D0D2E"/>
    <w:rsid w:val="004D0D39"/>
    <w:rsid w:val="004D0E59"/>
    <w:rsid w:val="004D142A"/>
    <w:rsid w:val="004D151C"/>
    <w:rsid w:val="004D1B73"/>
    <w:rsid w:val="004D1E68"/>
    <w:rsid w:val="004D1F79"/>
    <w:rsid w:val="004D208B"/>
    <w:rsid w:val="004D210D"/>
    <w:rsid w:val="004D2304"/>
    <w:rsid w:val="004D23C6"/>
    <w:rsid w:val="004D27AA"/>
    <w:rsid w:val="004D2864"/>
    <w:rsid w:val="004D2A59"/>
    <w:rsid w:val="004D2B06"/>
    <w:rsid w:val="004D2C4B"/>
    <w:rsid w:val="004D2CEE"/>
    <w:rsid w:val="004D343A"/>
    <w:rsid w:val="004D3B88"/>
    <w:rsid w:val="004D3BF4"/>
    <w:rsid w:val="004D3C50"/>
    <w:rsid w:val="004D3F84"/>
    <w:rsid w:val="004D40AD"/>
    <w:rsid w:val="004D45F2"/>
    <w:rsid w:val="004D4944"/>
    <w:rsid w:val="004D49C4"/>
    <w:rsid w:val="004D4E9E"/>
    <w:rsid w:val="004D507C"/>
    <w:rsid w:val="004D5B90"/>
    <w:rsid w:val="004D5C60"/>
    <w:rsid w:val="004D5EE4"/>
    <w:rsid w:val="004D63B2"/>
    <w:rsid w:val="004D65AF"/>
    <w:rsid w:val="004D662F"/>
    <w:rsid w:val="004D6AFF"/>
    <w:rsid w:val="004D6DFD"/>
    <w:rsid w:val="004D6EFE"/>
    <w:rsid w:val="004D72F7"/>
    <w:rsid w:val="004D7519"/>
    <w:rsid w:val="004D76A8"/>
    <w:rsid w:val="004D76B9"/>
    <w:rsid w:val="004D7739"/>
    <w:rsid w:val="004D77ED"/>
    <w:rsid w:val="004D7A01"/>
    <w:rsid w:val="004E0008"/>
    <w:rsid w:val="004E04D8"/>
    <w:rsid w:val="004E066B"/>
    <w:rsid w:val="004E0714"/>
    <w:rsid w:val="004E07D1"/>
    <w:rsid w:val="004E0A44"/>
    <w:rsid w:val="004E0E39"/>
    <w:rsid w:val="004E10D5"/>
    <w:rsid w:val="004E15A8"/>
    <w:rsid w:val="004E180F"/>
    <w:rsid w:val="004E19E2"/>
    <w:rsid w:val="004E1FB9"/>
    <w:rsid w:val="004E203E"/>
    <w:rsid w:val="004E2312"/>
    <w:rsid w:val="004E2CE6"/>
    <w:rsid w:val="004E2DAB"/>
    <w:rsid w:val="004E30B1"/>
    <w:rsid w:val="004E3131"/>
    <w:rsid w:val="004E3136"/>
    <w:rsid w:val="004E3331"/>
    <w:rsid w:val="004E33D7"/>
    <w:rsid w:val="004E3509"/>
    <w:rsid w:val="004E37D0"/>
    <w:rsid w:val="004E3BA1"/>
    <w:rsid w:val="004E3F4D"/>
    <w:rsid w:val="004E3F61"/>
    <w:rsid w:val="004E45D3"/>
    <w:rsid w:val="004E534E"/>
    <w:rsid w:val="004E53A3"/>
    <w:rsid w:val="004E53EF"/>
    <w:rsid w:val="004E5CD4"/>
    <w:rsid w:val="004E5D0B"/>
    <w:rsid w:val="004E5F25"/>
    <w:rsid w:val="004E6030"/>
    <w:rsid w:val="004E6210"/>
    <w:rsid w:val="004E6245"/>
    <w:rsid w:val="004E637B"/>
    <w:rsid w:val="004E64EF"/>
    <w:rsid w:val="004E65AE"/>
    <w:rsid w:val="004E66E2"/>
    <w:rsid w:val="004E6985"/>
    <w:rsid w:val="004E6A88"/>
    <w:rsid w:val="004E6C74"/>
    <w:rsid w:val="004E73C5"/>
    <w:rsid w:val="004E75F3"/>
    <w:rsid w:val="004E7755"/>
    <w:rsid w:val="004E7921"/>
    <w:rsid w:val="004E7A4C"/>
    <w:rsid w:val="004F031C"/>
    <w:rsid w:val="004F0546"/>
    <w:rsid w:val="004F055D"/>
    <w:rsid w:val="004F0736"/>
    <w:rsid w:val="004F0753"/>
    <w:rsid w:val="004F0EC5"/>
    <w:rsid w:val="004F122A"/>
    <w:rsid w:val="004F1364"/>
    <w:rsid w:val="004F15B5"/>
    <w:rsid w:val="004F16B0"/>
    <w:rsid w:val="004F17B4"/>
    <w:rsid w:val="004F19E9"/>
    <w:rsid w:val="004F2123"/>
    <w:rsid w:val="004F2308"/>
    <w:rsid w:val="004F2385"/>
    <w:rsid w:val="004F2740"/>
    <w:rsid w:val="004F2AD4"/>
    <w:rsid w:val="004F2D04"/>
    <w:rsid w:val="004F2EE1"/>
    <w:rsid w:val="004F2F11"/>
    <w:rsid w:val="004F30C6"/>
    <w:rsid w:val="004F310E"/>
    <w:rsid w:val="004F3198"/>
    <w:rsid w:val="004F40A1"/>
    <w:rsid w:val="004F4352"/>
    <w:rsid w:val="004F459C"/>
    <w:rsid w:val="004F4906"/>
    <w:rsid w:val="004F4A48"/>
    <w:rsid w:val="004F4E71"/>
    <w:rsid w:val="004F5372"/>
    <w:rsid w:val="004F5985"/>
    <w:rsid w:val="004F5A2F"/>
    <w:rsid w:val="004F5B22"/>
    <w:rsid w:val="004F5D54"/>
    <w:rsid w:val="004F695B"/>
    <w:rsid w:val="004F6C9D"/>
    <w:rsid w:val="004F715A"/>
    <w:rsid w:val="004F72EC"/>
    <w:rsid w:val="004F73C5"/>
    <w:rsid w:val="004F76DB"/>
    <w:rsid w:val="004F7F57"/>
    <w:rsid w:val="00500015"/>
    <w:rsid w:val="005000C8"/>
    <w:rsid w:val="00500CAD"/>
    <w:rsid w:val="00500E8E"/>
    <w:rsid w:val="005012BF"/>
    <w:rsid w:val="00501660"/>
    <w:rsid w:val="00501A18"/>
    <w:rsid w:val="00501A34"/>
    <w:rsid w:val="00501CFF"/>
    <w:rsid w:val="00502271"/>
    <w:rsid w:val="00502752"/>
    <w:rsid w:val="00502997"/>
    <w:rsid w:val="00502A46"/>
    <w:rsid w:val="00502B75"/>
    <w:rsid w:val="00502BB1"/>
    <w:rsid w:val="00503486"/>
    <w:rsid w:val="005037C7"/>
    <w:rsid w:val="00503B2C"/>
    <w:rsid w:val="00503B56"/>
    <w:rsid w:val="00503E02"/>
    <w:rsid w:val="00504096"/>
    <w:rsid w:val="005040A2"/>
    <w:rsid w:val="005041B4"/>
    <w:rsid w:val="005047FF"/>
    <w:rsid w:val="0050481D"/>
    <w:rsid w:val="005048B3"/>
    <w:rsid w:val="00504B2D"/>
    <w:rsid w:val="00504E74"/>
    <w:rsid w:val="0050546B"/>
    <w:rsid w:val="00505782"/>
    <w:rsid w:val="00505B7F"/>
    <w:rsid w:val="00505C0D"/>
    <w:rsid w:val="00506142"/>
    <w:rsid w:val="0050635E"/>
    <w:rsid w:val="00506821"/>
    <w:rsid w:val="005068DC"/>
    <w:rsid w:val="00506904"/>
    <w:rsid w:val="005069A4"/>
    <w:rsid w:val="005071BE"/>
    <w:rsid w:val="00507336"/>
    <w:rsid w:val="00507779"/>
    <w:rsid w:val="00507D6D"/>
    <w:rsid w:val="00510010"/>
    <w:rsid w:val="00510056"/>
    <w:rsid w:val="005101E8"/>
    <w:rsid w:val="00510E72"/>
    <w:rsid w:val="00511015"/>
    <w:rsid w:val="005110A2"/>
    <w:rsid w:val="00511341"/>
    <w:rsid w:val="005115A6"/>
    <w:rsid w:val="00511955"/>
    <w:rsid w:val="0051200D"/>
    <w:rsid w:val="00512248"/>
    <w:rsid w:val="0051262E"/>
    <w:rsid w:val="005129BD"/>
    <w:rsid w:val="00512A4B"/>
    <w:rsid w:val="00512D74"/>
    <w:rsid w:val="00512ECA"/>
    <w:rsid w:val="005130AE"/>
    <w:rsid w:val="005138B7"/>
    <w:rsid w:val="00513E19"/>
    <w:rsid w:val="0051409F"/>
    <w:rsid w:val="0051416B"/>
    <w:rsid w:val="005141A8"/>
    <w:rsid w:val="0051440A"/>
    <w:rsid w:val="00514533"/>
    <w:rsid w:val="00514836"/>
    <w:rsid w:val="005148EB"/>
    <w:rsid w:val="00514C8D"/>
    <w:rsid w:val="00514E4F"/>
    <w:rsid w:val="00514E83"/>
    <w:rsid w:val="00515293"/>
    <w:rsid w:val="00515626"/>
    <w:rsid w:val="00516157"/>
    <w:rsid w:val="005165C4"/>
    <w:rsid w:val="005168D0"/>
    <w:rsid w:val="00516C9B"/>
    <w:rsid w:val="00516D0B"/>
    <w:rsid w:val="005172A0"/>
    <w:rsid w:val="005172FE"/>
    <w:rsid w:val="005173BC"/>
    <w:rsid w:val="005174AE"/>
    <w:rsid w:val="00517647"/>
    <w:rsid w:val="00517902"/>
    <w:rsid w:val="00517BF7"/>
    <w:rsid w:val="005200FE"/>
    <w:rsid w:val="005203F8"/>
    <w:rsid w:val="005207F1"/>
    <w:rsid w:val="00520A31"/>
    <w:rsid w:val="00520F7B"/>
    <w:rsid w:val="005215C1"/>
    <w:rsid w:val="00521799"/>
    <w:rsid w:val="0052183E"/>
    <w:rsid w:val="00521968"/>
    <w:rsid w:val="00521B5D"/>
    <w:rsid w:val="005225AF"/>
    <w:rsid w:val="00522C23"/>
    <w:rsid w:val="00523445"/>
    <w:rsid w:val="005235F9"/>
    <w:rsid w:val="00523908"/>
    <w:rsid w:val="00523977"/>
    <w:rsid w:val="00524384"/>
    <w:rsid w:val="00524516"/>
    <w:rsid w:val="00524666"/>
    <w:rsid w:val="00524740"/>
    <w:rsid w:val="00524823"/>
    <w:rsid w:val="00524CC4"/>
    <w:rsid w:val="00525062"/>
    <w:rsid w:val="00525AB3"/>
    <w:rsid w:val="00525D57"/>
    <w:rsid w:val="00526087"/>
    <w:rsid w:val="00526291"/>
    <w:rsid w:val="005262E8"/>
    <w:rsid w:val="005267D7"/>
    <w:rsid w:val="005268FF"/>
    <w:rsid w:val="00526BAA"/>
    <w:rsid w:val="00526BEA"/>
    <w:rsid w:val="00526DCD"/>
    <w:rsid w:val="005271E6"/>
    <w:rsid w:val="005272F2"/>
    <w:rsid w:val="00527467"/>
    <w:rsid w:val="0052764D"/>
    <w:rsid w:val="005300D1"/>
    <w:rsid w:val="005303DD"/>
    <w:rsid w:val="00530462"/>
    <w:rsid w:val="005306BE"/>
    <w:rsid w:val="00530876"/>
    <w:rsid w:val="00531453"/>
    <w:rsid w:val="0053179C"/>
    <w:rsid w:val="00531DB2"/>
    <w:rsid w:val="0053221F"/>
    <w:rsid w:val="00532280"/>
    <w:rsid w:val="0053239E"/>
    <w:rsid w:val="005324D5"/>
    <w:rsid w:val="005329F4"/>
    <w:rsid w:val="00532C20"/>
    <w:rsid w:val="00533150"/>
    <w:rsid w:val="005333D6"/>
    <w:rsid w:val="00533474"/>
    <w:rsid w:val="00533819"/>
    <w:rsid w:val="005339DE"/>
    <w:rsid w:val="00533AA8"/>
    <w:rsid w:val="005343A0"/>
    <w:rsid w:val="005350D6"/>
    <w:rsid w:val="00535409"/>
    <w:rsid w:val="00535739"/>
    <w:rsid w:val="005358A5"/>
    <w:rsid w:val="005358CD"/>
    <w:rsid w:val="00535926"/>
    <w:rsid w:val="00535B95"/>
    <w:rsid w:val="00536160"/>
    <w:rsid w:val="0053684D"/>
    <w:rsid w:val="00536AC3"/>
    <w:rsid w:val="00536F13"/>
    <w:rsid w:val="005371E9"/>
    <w:rsid w:val="0053763B"/>
    <w:rsid w:val="00537BCC"/>
    <w:rsid w:val="00537CE7"/>
    <w:rsid w:val="00537F7B"/>
    <w:rsid w:val="005402DA"/>
    <w:rsid w:val="005407D7"/>
    <w:rsid w:val="00540A44"/>
    <w:rsid w:val="005416EE"/>
    <w:rsid w:val="00541B96"/>
    <w:rsid w:val="00541CC0"/>
    <w:rsid w:val="00541F1C"/>
    <w:rsid w:val="005423BA"/>
    <w:rsid w:val="00542465"/>
    <w:rsid w:val="00542C9E"/>
    <w:rsid w:val="0054334A"/>
    <w:rsid w:val="00543624"/>
    <w:rsid w:val="00543903"/>
    <w:rsid w:val="0054391E"/>
    <w:rsid w:val="00543B22"/>
    <w:rsid w:val="00543E21"/>
    <w:rsid w:val="0054405B"/>
    <w:rsid w:val="00544558"/>
    <w:rsid w:val="005445E4"/>
    <w:rsid w:val="005447E6"/>
    <w:rsid w:val="00544B17"/>
    <w:rsid w:val="0054542F"/>
    <w:rsid w:val="005455CC"/>
    <w:rsid w:val="00545611"/>
    <w:rsid w:val="0054584B"/>
    <w:rsid w:val="00545A67"/>
    <w:rsid w:val="00546176"/>
    <w:rsid w:val="0054650E"/>
    <w:rsid w:val="00546674"/>
    <w:rsid w:val="005467AE"/>
    <w:rsid w:val="00546CA1"/>
    <w:rsid w:val="00546FA2"/>
    <w:rsid w:val="00547056"/>
    <w:rsid w:val="005470C0"/>
    <w:rsid w:val="005471F5"/>
    <w:rsid w:val="0054748D"/>
    <w:rsid w:val="005475F7"/>
    <w:rsid w:val="005479F0"/>
    <w:rsid w:val="00547A12"/>
    <w:rsid w:val="00547CD6"/>
    <w:rsid w:val="00547F8B"/>
    <w:rsid w:val="00550191"/>
    <w:rsid w:val="00550406"/>
    <w:rsid w:val="005509E2"/>
    <w:rsid w:val="00550E1A"/>
    <w:rsid w:val="00550EDF"/>
    <w:rsid w:val="0055261B"/>
    <w:rsid w:val="005527F4"/>
    <w:rsid w:val="005529DD"/>
    <w:rsid w:val="00552FFF"/>
    <w:rsid w:val="00553696"/>
    <w:rsid w:val="005536B0"/>
    <w:rsid w:val="00553A03"/>
    <w:rsid w:val="00553C06"/>
    <w:rsid w:val="00553D99"/>
    <w:rsid w:val="00553E02"/>
    <w:rsid w:val="00554051"/>
    <w:rsid w:val="005541B6"/>
    <w:rsid w:val="005544BF"/>
    <w:rsid w:val="00554B88"/>
    <w:rsid w:val="00554C1C"/>
    <w:rsid w:val="00554E84"/>
    <w:rsid w:val="00555622"/>
    <w:rsid w:val="005559A7"/>
    <w:rsid w:val="00555AC1"/>
    <w:rsid w:val="0055677D"/>
    <w:rsid w:val="0055683B"/>
    <w:rsid w:val="005569FE"/>
    <w:rsid w:val="00556B81"/>
    <w:rsid w:val="00557329"/>
    <w:rsid w:val="005573B2"/>
    <w:rsid w:val="005574FB"/>
    <w:rsid w:val="00557656"/>
    <w:rsid w:val="00557FEA"/>
    <w:rsid w:val="005604AB"/>
    <w:rsid w:val="0056061F"/>
    <w:rsid w:val="00560822"/>
    <w:rsid w:val="00561456"/>
    <w:rsid w:val="005616BF"/>
    <w:rsid w:val="00561B47"/>
    <w:rsid w:val="00561EEF"/>
    <w:rsid w:val="0056230F"/>
    <w:rsid w:val="005623FD"/>
    <w:rsid w:val="00562E2A"/>
    <w:rsid w:val="00563439"/>
    <w:rsid w:val="00563582"/>
    <w:rsid w:val="0056363C"/>
    <w:rsid w:val="00563D1F"/>
    <w:rsid w:val="00563D37"/>
    <w:rsid w:val="00563E83"/>
    <w:rsid w:val="00564102"/>
    <w:rsid w:val="005641A1"/>
    <w:rsid w:val="005642BD"/>
    <w:rsid w:val="0056458F"/>
    <w:rsid w:val="005645F8"/>
    <w:rsid w:val="0056469F"/>
    <w:rsid w:val="005649E6"/>
    <w:rsid w:val="00564A49"/>
    <w:rsid w:val="00564A56"/>
    <w:rsid w:val="00564B54"/>
    <w:rsid w:val="00564BED"/>
    <w:rsid w:val="00565162"/>
    <w:rsid w:val="00565317"/>
    <w:rsid w:val="005657A3"/>
    <w:rsid w:val="005657DA"/>
    <w:rsid w:val="005658F9"/>
    <w:rsid w:val="00565AD7"/>
    <w:rsid w:val="00565BA9"/>
    <w:rsid w:val="00565DA8"/>
    <w:rsid w:val="00565E48"/>
    <w:rsid w:val="00565ED1"/>
    <w:rsid w:val="00565F24"/>
    <w:rsid w:val="00565F7E"/>
    <w:rsid w:val="00565F9A"/>
    <w:rsid w:val="005663CD"/>
    <w:rsid w:val="00566658"/>
    <w:rsid w:val="0056674C"/>
    <w:rsid w:val="0056685C"/>
    <w:rsid w:val="005668BA"/>
    <w:rsid w:val="00566D79"/>
    <w:rsid w:val="00566DB0"/>
    <w:rsid w:val="0056707E"/>
    <w:rsid w:val="005671CD"/>
    <w:rsid w:val="005672DE"/>
    <w:rsid w:val="00567557"/>
    <w:rsid w:val="00567D98"/>
    <w:rsid w:val="00567EDB"/>
    <w:rsid w:val="005710D1"/>
    <w:rsid w:val="00571784"/>
    <w:rsid w:val="00571847"/>
    <w:rsid w:val="005718DC"/>
    <w:rsid w:val="00571927"/>
    <w:rsid w:val="00571C92"/>
    <w:rsid w:val="00572457"/>
    <w:rsid w:val="00572823"/>
    <w:rsid w:val="0057293A"/>
    <w:rsid w:val="00572F88"/>
    <w:rsid w:val="0057342D"/>
    <w:rsid w:val="0057364E"/>
    <w:rsid w:val="005736D7"/>
    <w:rsid w:val="00573CF5"/>
    <w:rsid w:val="00574275"/>
    <w:rsid w:val="00574366"/>
    <w:rsid w:val="005743CD"/>
    <w:rsid w:val="00574AD8"/>
    <w:rsid w:val="00574BC9"/>
    <w:rsid w:val="00574F11"/>
    <w:rsid w:val="005750D7"/>
    <w:rsid w:val="00575413"/>
    <w:rsid w:val="0057570E"/>
    <w:rsid w:val="005757CB"/>
    <w:rsid w:val="00575914"/>
    <w:rsid w:val="00575BD2"/>
    <w:rsid w:val="00575BEF"/>
    <w:rsid w:val="00575D04"/>
    <w:rsid w:val="00575ED3"/>
    <w:rsid w:val="00575F58"/>
    <w:rsid w:val="005760A6"/>
    <w:rsid w:val="005760CA"/>
    <w:rsid w:val="005761AF"/>
    <w:rsid w:val="00576379"/>
    <w:rsid w:val="00576679"/>
    <w:rsid w:val="00576DDC"/>
    <w:rsid w:val="0057714A"/>
    <w:rsid w:val="00577180"/>
    <w:rsid w:val="0057724C"/>
    <w:rsid w:val="00577496"/>
    <w:rsid w:val="00577A43"/>
    <w:rsid w:val="00577B12"/>
    <w:rsid w:val="00577D6F"/>
    <w:rsid w:val="00577FF5"/>
    <w:rsid w:val="00580055"/>
    <w:rsid w:val="00580356"/>
    <w:rsid w:val="00580511"/>
    <w:rsid w:val="0058090F"/>
    <w:rsid w:val="00580A73"/>
    <w:rsid w:val="00580CEE"/>
    <w:rsid w:val="00580E18"/>
    <w:rsid w:val="0058114B"/>
    <w:rsid w:val="0058121C"/>
    <w:rsid w:val="0058126F"/>
    <w:rsid w:val="005813C9"/>
    <w:rsid w:val="0058195C"/>
    <w:rsid w:val="00581A52"/>
    <w:rsid w:val="00582121"/>
    <w:rsid w:val="0058213F"/>
    <w:rsid w:val="005827E7"/>
    <w:rsid w:val="0058284B"/>
    <w:rsid w:val="00582952"/>
    <w:rsid w:val="0058296E"/>
    <w:rsid w:val="00582979"/>
    <w:rsid w:val="005830F3"/>
    <w:rsid w:val="00583315"/>
    <w:rsid w:val="0058332F"/>
    <w:rsid w:val="00583556"/>
    <w:rsid w:val="00583563"/>
    <w:rsid w:val="00583C39"/>
    <w:rsid w:val="005841D9"/>
    <w:rsid w:val="0058438C"/>
    <w:rsid w:val="005844DC"/>
    <w:rsid w:val="0058454D"/>
    <w:rsid w:val="00584815"/>
    <w:rsid w:val="00584EE6"/>
    <w:rsid w:val="00585299"/>
    <w:rsid w:val="00585834"/>
    <w:rsid w:val="0058586C"/>
    <w:rsid w:val="00586075"/>
    <w:rsid w:val="0058615B"/>
    <w:rsid w:val="005862AA"/>
    <w:rsid w:val="005864C9"/>
    <w:rsid w:val="00586745"/>
    <w:rsid w:val="0058674F"/>
    <w:rsid w:val="00586ACA"/>
    <w:rsid w:val="00586CA1"/>
    <w:rsid w:val="00586CB6"/>
    <w:rsid w:val="00586CC7"/>
    <w:rsid w:val="00587169"/>
    <w:rsid w:val="00587968"/>
    <w:rsid w:val="00587A0C"/>
    <w:rsid w:val="00587B4B"/>
    <w:rsid w:val="005900AC"/>
    <w:rsid w:val="005907F0"/>
    <w:rsid w:val="00590973"/>
    <w:rsid w:val="005909CF"/>
    <w:rsid w:val="00590A4B"/>
    <w:rsid w:val="00590EE6"/>
    <w:rsid w:val="00590FC8"/>
    <w:rsid w:val="00591309"/>
    <w:rsid w:val="0059152D"/>
    <w:rsid w:val="00591AB4"/>
    <w:rsid w:val="00591CC5"/>
    <w:rsid w:val="00591E20"/>
    <w:rsid w:val="00591E3C"/>
    <w:rsid w:val="00591E71"/>
    <w:rsid w:val="005925A1"/>
    <w:rsid w:val="00592D8E"/>
    <w:rsid w:val="0059333B"/>
    <w:rsid w:val="00593762"/>
    <w:rsid w:val="00593771"/>
    <w:rsid w:val="005937BC"/>
    <w:rsid w:val="005937FC"/>
    <w:rsid w:val="00593BB1"/>
    <w:rsid w:val="00594B23"/>
    <w:rsid w:val="00594E92"/>
    <w:rsid w:val="00594FCA"/>
    <w:rsid w:val="005950DA"/>
    <w:rsid w:val="005955AB"/>
    <w:rsid w:val="0059564D"/>
    <w:rsid w:val="00595819"/>
    <w:rsid w:val="00595965"/>
    <w:rsid w:val="00595F0B"/>
    <w:rsid w:val="00595F3A"/>
    <w:rsid w:val="005962F0"/>
    <w:rsid w:val="00596527"/>
    <w:rsid w:val="00596555"/>
    <w:rsid w:val="00596C02"/>
    <w:rsid w:val="00596D22"/>
    <w:rsid w:val="005977ED"/>
    <w:rsid w:val="00597889"/>
    <w:rsid w:val="00597ECA"/>
    <w:rsid w:val="005A0340"/>
    <w:rsid w:val="005A0A18"/>
    <w:rsid w:val="005A0B21"/>
    <w:rsid w:val="005A0C1B"/>
    <w:rsid w:val="005A0D0E"/>
    <w:rsid w:val="005A1146"/>
    <w:rsid w:val="005A11E6"/>
    <w:rsid w:val="005A14DA"/>
    <w:rsid w:val="005A1779"/>
    <w:rsid w:val="005A189D"/>
    <w:rsid w:val="005A1923"/>
    <w:rsid w:val="005A2037"/>
    <w:rsid w:val="005A2122"/>
    <w:rsid w:val="005A215A"/>
    <w:rsid w:val="005A2378"/>
    <w:rsid w:val="005A2615"/>
    <w:rsid w:val="005A2CD1"/>
    <w:rsid w:val="005A2F5B"/>
    <w:rsid w:val="005A2FB7"/>
    <w:rsid w:val="005A3390"/>
    <w:rsid w:val="005A3464"/>
    <w:rsid w:val="005A3577"/>
    <w:rsid w:val="005A3BC7"/>
    <w:rsid w:val="005A3F2B"/>
    <w:rsid w:val="005A412E"/>
    <w:rsid w:val="005A426B"/>
    <w:rsid w:val="005A4423"/>
    <w:rsid w:val="005A4AB5"/>
    <w:rsid w:val="005A4C8C"/>
    <w:rsid w:val="005A4F93"/>
    <w:rsid w:val="005A5042"/>
    <w:rsid w:val="005A607E"/>
    <w:rsid w:val="005A634B"/>
    <w:rsid w:val="005A63D6"/>
    <w:rsid w:val="005A64C5"/>
    <w:rsid w:val="005A6657"/>
    <w:rsid w:val="005A67D2"/>
    <w:rsid w:val="005A6A40"/>
    <w:rsid w:val="005A6DBB"/>
    <w:rsid w:val="005A71E4"/>
    <w:rsid w:val="005A72C4"/>
    <w:rsid w:val="005A791C"/>
    <w:rsid w:val="005A7B67"/>
    <w:rsid w:val="005A7C1D"/>
    <w:rsid w:val="005A7CF4"/>
    <w:rsid w:val="005A7FB9"/>
    <w:rsid w:val="005B050B"/>
    <w:rsid w:val="005B0954"/>
    <w:rsid w:val="005B13D6"/>
    <w:rsid w:val="005B158F"/>
    <w:rsid w:val="005B1A11"/>
    <w:rsid w:val="005B23DA"/>
    <w:rsid w:val="005B241A"/>
    <w:rsid w:val="005B2643"/>
    <w:rsid w:val="005B2D10"/>
    <w:rsid w:val="005B2EF5"/>
    <w:rsid w:val="005B2F82"/>
    <w:rsid w:val="005B3015"/>
    <w:rsid w:val="005B351E"/>
    <w:rsid w:val="005B365D"/>
    <w:rsid w:val="005B3986"/>
    <w:rsid w:val="005B3C86"/>
    <w:rsid w:val="005B4447"/>
    <w:rsid w:val="005B46A6"/>
    <w:rsid w:val="005B4F88"/>
    <w:rsid w:val="005B51D7"/>
    <w:rsid w:val="005B51FE"/>
    <w:rsid w:val="005B5652"/>
    <w:rsid w:val="005B58D9"/>
    <w:rsid w:val="005B5C95"/>
    <w:rsid w:val="005B6059"/>
    <w:rsid w:val="005B6081"/>
    <w:rsid w:val="005B64EC"/>
    <w:rsid w:val="005B654D"/>
    <w:rsid w:val="005B6C33"/>
    <w:rsid w:val="005B7F8E"/>
    <w:rsid w:val="005C0462"/>
    <w:rsid w:val="005C06ED"/>
    <w:rsid w:val="005C1109"/>
    <w:rsid w:val="005C1B47"/>
    <w:rsid w:val="005C2190"/>
    <w:rsid w:val="005C222E"/>
    <w:rsid w:val="005C2299"/>
    <w:rsid w:val="005C2370"/>
    <w:rsid w:val="005C2E04"/>
    <w:rsid w:val="005C2E48"/>
    <w:rsid w:val="005C2FDF"/>
    <w:rsid w:val="005C308F"/>
    <w:rsid w:val="005C318E"/>
    <w:rsid w:val="005C3211"/>
    <w:rsid w:val="005C3542"/>
    <w:rsid w:val="005C35F5"/>
    <w:rsid w:val="005C372B"/>
    <w:rsid w:val="005C3A62"/>
    <w:rsid w:val="005C3D8D"/>
    <w:rsid w:val="005C4331"/>
    <w:rsid w:val="005C4523"/>
    <w:rsid w:val="005C4647"/>
    <w:rsid w:val="005C47D0"/>
    <w:rsid w:val="005C4ACA"/>
    <w:rsid w:val="005C4C2B"/>
    <w:rsid w:val="005C509E"/>
    <w:rsid w:val="005C522C"/>
    <w:rsid w:val="005C52EC"/>
    <w:rsid w:val="005C53C9"/>
    <w:rsid w:val="005C559A"/>
    <w:rsid w:val="005C5747"/>
    <w:rsid w:val="005C5F39"/>
    <w:rsid w:val="005C6322"/>
    <w:rsid w:val="005C662A"/>
    <w:rsid w:val="005C69E7"/>
    <w:rsid w:val="005C6E3C"/>
    <w:rsid w:val="005C7082"/>
    <w:rsid w:val="005C78A1"/>
    <w:rsid w:val="005C79CA"/>
    <w:rsid w:val="005C79DE"/>
    <w:rsid w:val="005D0027"/>
    <w:rsid w:val="005D01E8"/>
    <w:rsid w:val="005D0454"/>
    <w:rsid w:val="005D0792"/>
    <w:rsid w:val="005D0CE6"/>
    <w:rsid w:val="005D1999"/>
    <w:rsid w:val="005D19D6"/>
    <w:rsid w:val="005D1E07"/>
    <w:rsid w:val="005D23E1"/>
    <w:rsid w:val="005D2523"/>
    <w:rsid w:val="005D25CB"/>
    <w:rsid w:val="005D26CC"/>
    <w:rsid w:val="005D2953"/>
    <w:rsid w:val="005D29AB"/>
    <w:rsid w:val="005D2E5D"/>
    <w:rsid w:val="005D2EEA"/>
    <w:rsid w:val="005D3232"/>
    <w:rsid w:val="005D3F10"/>
    <w:rsid w:val="005D45AF"/>
    <w:rsid w:val="005D46D4"/>
    <w:rsid w:val="005D48D7"/>
    <w:rsid w:val="005D4958"/>
    <w:rsid w:val="005D4F93"/>
    <w:rsid w:val="005D535E"/>
    <w:rsid w:val="005D574F"/>
    <w:rsid w:val="005D6033"/>
    <w:rsid w:val="005D64CD"/>
    <w:rsid w:val="005D65F9"/>
    <w:rsid w:val="005D6F27"/>
    <w:rsid w:val="005D70AB"/>
    <w:rsid w:val="005D72A4"/>
    <w:rsid w:val="005D7305"/>
    <w:rsid w:val="005D75DD"/>
    <w:rsid w:val="005D7959"/>
    <w:rsid w:val="005D7F59"/>
    <w:rsid w:val="005E008A"/>
    <w:rsid w:val="005E0280"/>
    <w:rsid w:val="005E0479"/>
    <w:rsid w:val="005E07CC"/>
    <w:rsid w:val="005E1126"/>
    <w:rsid w:val="005E166B"/>
    <w:rsid w:val="005E1980"/>
    <w:rsid w:val="005E28DC"/>
    <w:rsid w:val="005E315C"/>
    <w:rsid w:val="005E3172"/>
    <w:rsid w:val="005E340A"/>
    <w:rsid w:val="005E363B"/>
    <w:rsid w:val="005E3698"/>
    <w:rsid w:val="005E3889"/>
    <w:rsid w:val="005E3ACF"/>
    <w:rsid w:val="005E3D4D"/>
    <w:rsid w:val="005E430F"/>
    <w:rsid w:val="005E4448"/>
    <w:rsid w:val="005E46FB"/>
    <w:rsid w:val="005E495B"/>
    <w:rsid w:val="005E4CA5"/>
    <w:rsid w:val="005E4F22"/>
    <w:rsid w:val="005E4F57"/>
    <w:rsid w:val="005E5226"/>
    <w:rsid w:val="005E5357"/>
    <w:rsid w:val="005E545C"/>
    <w:rsid w:val="005E563B"/>
    <w:rsid w:val="005E5F36"/>
    <w:rsid w:val="005E5FC2"/>
    <w:rsid w:val="005E5FEF"/>
    <w:rsid w:val="005E6769"/>
    <w:rsid w:val="005E683B"/>
    <w:rsid w:val="005E6D08"/>
    <w:rsid w:val="005E6E80"/>
    <w:rsid w:val="005E7631"/>
    <w:rsid w:val="005F02B3"/>
    <w:rsid w:val="005F0342"/>
    <w:rsid w:val="005F0DBA"/>
    <w:rsid w:val="005F0EFD"/>
    <w:rsid w:val="005F13A4"/>
    <w:rsid w:val="005F15E8"/>
    <w:rsid w:val="005F2034"/>
    <w:rsid w:val="005F229B"/>
    <w:rsid w:val="005F23B2"/>
    <w:rsid w:val="005F265B"/>
    <w:rsid w:val="005F277E"/>
    <w:rsid w:val="005F2BA7"/>
    <w:rsid w:val="005F3704"/>
    <w:rsid w:val="005F3AB3"/>
    <w:rsid w:val="005F45E7"/>
    <w:rsid w:val="005F4695"/>
    <w:rsid w:val="005F4B00"/>
    <w:rsid w:val="005F4CA5"/>
    <w:rsid w:val="005F53D5"/>
    <w:rsid w:val="005F57BB"/>
    <w:rsid w:val="005F5B8C"/>
    <w:rsid w:val="005F5F15"/>
    <w:rsid w:val="005F6411"/>
    <w:rsid w:val="005F65ED"/>
    <w:rsid w:val="005F6834"/>
    <w:rsid w:val="005F6BE0"/>
    <w:rsid w:val="005F6EE1"/>
    <w:rsid w:val="005F6FEB"/>
    <w:rsid w:val="005F73B1"/>
    <w:rsid w:val="005F7575"/>
    <w:rsid w:val="005F7815"/>
    <w:rsid w:val="005F791C"/>
    <w:rsid w:val="005F7A34"/>
    <w:rsid w:val="005F7A71"/>
    <w:rsid w:val="005F7E75"/>
    <w:rsid w:val="0060027A"/>
    <w:rsid w:val="006003A7"/>
    <w:rsid w:val="00600501"/>
    <w:rsid w:val="00600C57"/>
    <w:rsid w:val="00600E92"/>
    <w:rsid w:val="00600F5C"/>
    <w:rsid w:val="00601007"/>
    <w:rsid w:val="006013FA"/>
    <w:rsid w:val="006014B0"/>
    <w:rsid w:val="0060165B"/>
    <w:rsid w:val="00601C0D"/>
    <w:rsid w:val="00601C40"/>
    <w:rsid w:val="00601EC6"/>
    <w:rsid w:val="006027B1"/>
    <w:rsid w:val="00602ACF"/>
    <w:rsid w:val="00602BDD"/>
    <w:rsid w:val="00602D97"/>
    <w:rsid w:val="0060327C"/>
    <w:rsid w:val="0060333F"/>
    <w:rsid w:val="0060360A"/>
    <w:rsid w:val="0060396C"/>
    <w:rsid w:val="006039ED"/>
    <w:rsid w:val="00603AF7"/>
    <w:rsid w:val="00603D0A"/>
    <w:rsid w:val="00603F41"/>
    <w:rsid w:val="00603FDC"/>
    <w:rsid w:val="00604BD2"/>
    <w:rsid w:val="00604CB2"/>
    <w:rsid w:val="00604ED9"/>
    <w:rsid w:val="00604F8C"/>
    <w:rsid w:val="006054E2"/>
    <w:rsid w:val="00605B33"/>
    <w:rsid w:val="00605E56"/>
    <w:rsid w:val="006061B0"/>
    <w:rsid w:val="00606CC5"/>
    <w:rsid w:val="00606E40"/>
    <w:rsid w:val="00606EB4"/>
    <w:rsid w:val="00607963"/>
    <w:rsid w:val="00607A6D"/>
    <w:rsid w:val="00607A86"/>
    <w:rsid w:val="00607B04"/>
    <w:rsid w:val="00607BF1"/>
    <w:rsid w:val="00607E8B"/>
    <w:rsid w:val="00607F84"/>
    <w:rsid w:val="0061008D"/>
    <w:rsid w:val="006100DD"/>
    <w:rsid w:val="006101C8"/>
    <w:rsid w:val="00610306"/>
    <w:rsid w:val="0061039E"/>
    <w:rsid w:val="00610882"/>
    <w:rsid w:val="00610A69"/>
    <w:rsid w:val="00610B85"/>
    <w:rsid w:val="0061105D"/>
    <w:rsid w:val="006110A5"/>
    <w:rsid w:val="0061128F"/>
    <w:rsid w:val="00611293"/>
    <w:rsid w:val="0061130A"/>
    <w:rsid w:val="00611790"/>
    <w:rsid w:val="0061197A"/>
    <w:rsid w:val="00612161"/>
    <w:rsid w:val="00612384"/>
    <w:rsid w:val="0061259D"/>
    <w:rsid w:val="006125A0"/>
    <w:rsid w:val="00612614"/>
    <w:rsid w:val="0061273E"/>
    <w:rsid w:val="00612B0B"/>
    <w:rsid w:val="00612BBA"/>
    <w:rsid w:val="006131F2"/>
    <w:rsid w:val="006133F0"/>
    <w:rsid w:val="00613408"/>
    <w:rsid w:val="006137AC"/>
    <w:rsid w:val="00613B6D"/>
    <w:rsid w:val="00613F18"/>
    <w:rsid w:val="00613FF7"/>
    <w:rsid w:val="0061492C"/>
    <w:rsid w:val="00615338"/>
    <w:rsid w:val="0061547C"/>
    <w:rsid w:val="00615842"/>
    <w:rsid w:val="006159E5"/>
    <w:rsid w:val="00615DF5"/>
    <w:rsid w:val="006160CF"/>
    <w:rsid w:val="00616289"/>
    <w:rsid w:val="0061656A"/>
    <w:rsid w:val="00616646"/>
    <w:rsid w:val="006167FB"/>
    <w:rsid w:val="00616B32"/>
    <w:rsid w:val="00616C3E"/>
    <w:rsid w:val="00616CC6"/>
    <w:rsid w:val="00616D94"/>
    <w:rsid w:val="00617226"/>
    <w:rsid w:val="006177B4"/>
    <w:rsid w:val="00617D07"/>
    <w:rsid w:val="00617E3D"/>
    <w:rsid w:val="00617E52"/>
    <w:rsid w:val="0062013B"/>
    <w:rsid w:val="0062039A"/>
    <w:rsid w:val="00620779"/>
    <w:rsid w:val="006207A7"/>
    <w:rsid w:val="00620D4F"/>
    <w:rsid w:val="00621057"/>
    <w:rsid w:val="00621376"/>
    <w:rsid w:val="006217B6"/>
    <w:rsid w:val="006219D3"/>
    <w:rsid w:val="00621A35"/>
    <w:rsid w:val="00621D36"/>
    <w:rsid w:val="00621E7E"/>
    <w:rsid w:val="00621E94"/>
    <w:rsid w:val="00622160"/>
    <w:rsid w:val="006225AB"/>
    <w:rsid w:val="006228F9"/>
    <w:rsid w:val="00622A76"/>
    <w:rsid w:val="00622B8D"/>
    <w:rsid w:val="00622DA3"/>
    <w:rsid w:val="00622ED8"/>
    <w:rsid w:val="006230D9"/>
    <w:rsid w:val="00623457"/>
    <w:rsid w:val="006235AB"/>
    <w:rsid w:val="00623B47"/>
    <w:rsid w:val="00623C31"/>
    <w:rsid w:val="00623E51"/>
    <w:rsid w:val="00623F39"/>
    <w:rsid w:val="006243D9"/>
    <w:rsid w:val="00624B41"/>
    <w:rsid w:val="006258DC"/>
    <w:rsid w:val="006258F3"/>
    <w:rsid w:val="0062631C"/>
    <w:rsid w:val="00626AF2"/>
    <w:rsid w:val="00626C98"/>
    <w:rsid w:val="0062711C"/>
    <w:rsid w:val="00627213"/>
    <w:rsid w:val="0062741B"/>
    <w:rsid w:val="00627FCE"/>
    <w:rsid w:val="00630004"/>
    <w:rsid w:val="00630655"/>
    <w:rsid w:val="00630A95"/>
    <w:rsid w:val="00630B7B"/>
    <w:rsid w:val="00630D4D"/>
    <w:rsid w:val="006311A8"/>
    <w:rsid w:val="0063129D"/>
    <w:rsid w:val="00631502"/>
    <w:rsid w:val="006317DD"/>
    <w:rsid w:val="00632250"/>
    <w:rsid w:val="00632513"/>
    <w:rsid w:val="00632684"/>
    <w:rsid w:val="00632A74"/>
    <w:rsid w:val="00632AE9"/>
    <w:rsid w:val="00633265"/>
    <w:rsid w:val="0063394D"/>
    <w:rsid w:val="0063402C"/>
    <w:rsid w:val="00634038"/>
    <w:rsid w:val="00634318"/>
    <w:rsid w:val="00634842"/>
    <w:rsid w:val="00634ACE"/>
    <w:rsid w:val="00634BCF"/>
    <w:rsid w:val="00634C77"/>
    <w:rsid w:val="00634F31"/>
    <w:rsid w:val="006355D7"/>
    <w:rsid w:val="00635684"/>
    <w:rsid w:val="00635A69"/>
    <w:rsid w:val="00635ABB"/>
    <w:rsid w:val="00635E77"/>
    <w:rsid w:val="00636719"/>
    <w:rsid w:val="006374EE"/>
    <w:rsid w:val="006400F5"/>
    <w:rsid w:val="00640327"/>
    <w:rsid w:val="0064046A"/>
    <w:rsid w:val="006407E5"/>
    <w:rsid w:val="00640BCF"/>
    <w:rsid w:val="00640F08"/>
    <w:rsid w:val="0064100F"/>
    <w:rsid w:val="00641860"/>
    <w:rsid w:val="00641877"/>
    <w:rsid w:val="00641905"/>
    <w:rsid w:val="00641E49"/>
    <w:rsid w:val="00641EB8"/>
    <w:rsid w:val="00641F0D"/>
    <w:rsid w:val="00642320"/>
    <w:rsid w:val="00642C30"/>
    <w:rsid w:val="00642D65"/>
    <w:rsid w:val="0064324A"/>
    <w:rsid w:val="00643D88"/>
    <w:rsid w:val="00643F4D"/>
    <w:rsid w:val="00643FA5"/>
    <w:rsid w:val="006443A4"/>
    <w:rsid w:val="00644455"/>
    <w:rsid w:val="00644A62"/>
    <w:rsid w:val="00644AE3"/>
    <w:rsid w:val="006453E7"/>
    <w:rsid w:val="00645438"/>
    <w:rsid w:val="0064553C"/>
    <w:rsid w:val="00645598"/>
    <w:rsid w:val="0064595A"/>
    <w:rsid w:val="00645E29"/>
    <w:rsid w:val="00645EE0"/>
    <w:rsid w:val="006461BA"/>
    <w:rsid w:val="006465A9"/>
    <w:rsid w:val="00646665"/>
    <w:rsid w:val="006466C5"/>
    <w:rsid w:val="0064678D"/>
    <w:rsid w:val="00646CD3"/>
    <w:rsid w:val="00646FC7"/>
    <w:rsid w:val="0064715A"/>
    <w:rsid w:val="006475D1"/>
    <w:rsid w:val="006475E5"/>
    <w:rsid w:val="006478C7"/>
    <w:rsid w:val="00647A83"/>
    <w:rsid w:val="00647C13"/>
    <w:rsid w:val="00647E0D"/>
    <w:rsid w:val="006500AB"/>
    <w:rsid w:val="006502D4"/>
    <w:rsid w:val="006506D0"/>
    <w:rsid w:val="0065071E"/>
    <w:rsid w:val="00650D47"/>
    <w:rsid w:val="00651011"/>
    <w:rsid w:val="00651042"/>
    <w:rsid w:val="006513B5"/>
    <w:rsid w:val="0065145D"/>
    <w:rsid w:val="00651D5A"/>
    <w:rsid w:val="00652315"/>
    <w:rsid w:val="006523FA"/>
    <w:rsid w:val="006526F4"/>
    <w:rsid w:val="00652A7B"/>
    <w:rsid w:val="00652AD7"/>
    <w:rsid w:val="00652F20"/>
    <w:rsid w:val="006530AE"/>
    <w:rsid w:val="00653694"/>
    <w:rsid w:val="0065371B"/>
    <w:rsid w:val="00653C17"/>
    <w:rsid w:val="00653C7C"/>
    <w:rsid w:val="00653D04"/>
    <w:rsid w:val="00653F85"/>
    <w:rsid w:val="00653FB1"/>
    <w:rsid w:val="006547C8"/>
    <w:rsid w:val="0065490B"/>
    <w:rsid w:val="0065492B"/>
    <w:rsid w:val="00654CBC"/>
    <w:rsid w:val="006558DF"/>
    <w:rsid w:val="006563D2"/>
    <w:rsid w:val="00656447"/>
    <w:rsid w:val="0065661C"/>
    <w:rsid w:val="0065687D"/>
    <w:rsid w:val="00656B95"/>
    <w:rsid w:val="00656C10"/>
    <w:rsid w:val="00656DE5"/>
    <w:rsid w:val="00657270"/>
    <w:rsid w:val="00657554"/>
    <w:rsid w:val="006577E7"/>
    <w:rsid w:val="00657C20"/>
    <w:rsid w:val="00660372"/>
    <w:rsid w:val="006609C0"/>
    <w:rsid w:val="00660AF6"/>
    <w:rsid w:val="00660B07"/>
    <w:rsid w:val="00660EB1"/>
    <w:rsid w:val="00660F55"/>
    <w:rsid w:val="00661335"/>
    <w:rsid w:val="00661478"/>
    <w:rsid w:val="00661C0F"/>
    <w:rsid w:val="0066278D"/>
    <w:rsid w:val="00662A3E"/>
    <w:rsid w:val="00662B34"/>
    <w:rsid w:val="00662C4C"/>
    <w:rsid w:val="00662EBA"/>
    <w:rsid w:val="00662EED"/>
    <w:rsid w:val="006631CD"/>
    <w:rsid w:val="00663349"/>
    <w:rsid w:val="0066348F"/>
    <w:rsid w:val="006635D0"/>
    <w:rsid w:val="0066383E"/>
    <w:rsid w:val="006643D4"/>
    <w:rsid w:val="00664504"/>
    <w:rsid w:val="006648EB"/>
    <w:rsid w:val="006649E6"/>
    <w:rsid w:val="00664D05"/>
    <w:rsid w:val="00664E4A"/>
    <w:rsid w:val="00664ED5"/>
    <w:rsid w:val="00665088"/>
    <w:rsid w:val="006653DB"/>
    <w:rsid w:val="00665999"/>
    <w:rsid w:val="00665B6B"/>
    <w:rsid w:val="00665C00"/>
    <w:rsid w:val="00665E9F"/>
    <w:rsid w:val="006662E0"/>
    <w:rsid w:val="006665FB"/>
    <w:rsid w:val="00666CA3"/>
    <w:rsid w:val="00666E29"/>
    <w:rsid w:val="00666E54"/>
    <w:rsid w:val="0066742E"/>
    <w:rsid w:val="00667795"/>
    <w:rsid w:val="00667C42"/>
    <w:rsid w:val="00667E50"/>
    <w:rsid w:val="00670642"/>
    <w:rsid w:val="00670713"/>
    <w:rsid w:val="00670A9B"/>
    <w:rsid w:val="0067121C"/>
    <w:rsid w:val="006712A8"/>
    <w:rsid w:val="00671330"/>
    <w:rsid w:val="00671406"/>
    <w:rsid w:val="0067142B"/>
    <w:rsid w:val="00672018"/>
    <w:rsid w:val="00672453"/>
    <w:rsid w:val="00672812"/>
    <w:rsid w:val="0067307B"/>
    <w:rsid w:val="00673B64"/>
    <w:rsid w:val="00673BB3"/>
    <w:rsid w:val="00673D99"/>
    <w:rsid w:val="0067422B"/>
    <w:rsid w:val="006744FC"/>
    <w:rsid w:val="006747C8"/>
    <w:rsid w:val="00674805"/>
    <w:rsid w:val="00675082"/>
    <w:rsid w:val="00675758"/>
    <w:rsid w:val="0067579B"/>
    <w:rsid w:val="00675D02"/>
    <w:rsid w:val="00675FC7"/>
    <w:rsid w:val="006760D1"/>
    <w:rsid w:val="006760F1"/>
    <w:rsid w:val="00676155"/>
    <w:rsid w:val="0067681F"/>
    <w:rsid w:val="0067708F"/>
    <w:rsid w:val="006772D1"/>
    <w:rsid w:val="006775A6"/>
    <w:rsid w:val="006776BA"/>
    <w:rsid w:val="00677711"/>
    <w:rsid w:val="00677928"/>
    <w:rsid w:val="00677A45"/>
    <w:rsid w:val="00677D43"/>
    <w:rsid w:val="00677D81"/>
    <w:rsid w:val="00677E3E"/>
    <w:rsid w:val="00677E8B"/>
    <w:rsid w:val="006802B4"/>
    <w:rsid w:val="006805BE"/>
    <w:rsid w:val="006805F0"/>
    <w:rsid w:val="0068098A"/>
    <w:rsid w:val="00680CBA"/>
    <w:rsid w:val="00680E31"/>
    <w:rsid w:val="00681013"/>
    <w:rsid w:val="0068105D"/>
    <w:rsid w:val="006810AA"/>
    <w:rsid w:val="00681A55"/>
    <w:rsid w:val="006821CB"/>
    <w:rsid w:val="006822EE"/>
    <w:rsid w:val="006824F6"/>
    <w:rsid w:val="0068261F"/>
    <w:rsid w:val="00682DD9"/>
    <w:rsid w:val="006831E1"/>
    <w:rsid w:val="00683472"/>
    <w:rsid w:val="0068373F"/>
    <w:rsid w:val="006838EF"/>
    <w:rsid w:val="00683E77"/>
    <w:rsid w:val="006845AD"/>
    <w:rsid w:val="0068475E"/>
    <w:rsid w:val="006849F8"/>
    <w:rsid w:val="00684E9C"/>
    <w:rsid w:val="00685448"/>
    <w:rsid w:val="006856A7"/>
    <w:rsid w:val="006858C2"/>
    <w:rsid w:val="00685A37"/>
    <w:rsid w:val="00685B4E"/>
    <w:rsid w:val="00685D41"/>
    <w:rsid w:val="00685E06"/>
    <w:rsid w:val="006860C6"/>
    <w:rsid w:val="006861A0"/>
    <w:rsid w:val="0068664D"/>
    <w:rsid w:val="00686E6D"/>
    <w:rsid w:val="0068708B"/>
    <w:rsid w:val="00687177"/>
    <w:rsid w:val="00687547"/>
    <w:rsid w:val="0069002D"/>
    <w:rsid w:val="0069003F"/>
    <w:rsid w:val="006901E0"/>
    <w:rsid w:val="00690484"/>
    <w:rsid w:val="0069074D"/>
    <w:rsid w:val="00690765"/>
    <w:rsid w:val="006907C1"/>
    <w:rsid w:val="00690D51"/>
    <w:rsid w:val="0069131B"/>
    <w:rsid w:val="00691493"/>
    <w:rsid w:val="0069149B"/>
    <w:rsid w:val="006914EA"/>
    <w:rsid w:val="006915EB"/>
    <w:rsid w:val="00691DD9"/>
    <w:rsid w:val="0069275C"/>
    <w:rsid w:val="00692801"/>
    <w:rsid w:val="006928AC"/>
    <w:rsid w:val="00692D1F"/>
    <w:rsid w:val="00692DF8"/>
    <w:rsid w:val="00692E3A"/>
    <w:rsid w:val="00693009"/>
    <w:rsid w:val="0069318F"/>
    <w:rsid w:val="00693782"/>
    <w:rsid w:val="0069378D"/>
    <w:rsid w:val="00693A63"/>
    <w:rsid w:val="00694180"/>
    <w:rsid w:val="0069418C"/>
    <w:rsid w:val="006944E3"/>
    <w:rsid w:val="006945C2"/>
    <w:rsid w:val="00694650"/>
    <w:rsid w:val="006948A7"/>
    <w:rsid w:val="00694A2C"/>
    <w:rsid w:val="00694BE4"/>
    <w:rsid w:val="006950F7"/>
    <w:rsid w:val="00695813"/>
    <w:rsid w:val="00695CAF"/>
    <w:rsid w:val="00696071"/>
    <w:rsid w:val="006966B4"/>
    <w:rsid w:val="006967A0"/>
    <w:rsid w:val="0069694B"/>
    <w:rsid w:val="00696C94"/>
    <w:rsid w:val="00696E61"/>
    <w:rsid w:val="00697726"/>
    <w:rsid w:val="00697901"/>
    <w:rsid w:val="006979A2"/>
    <w:rsid w:val="00697A9D"/>
    <w:rsid w:val="00697B5E"/>
    <w:rsid w:val="00697DA1"/>
    <w:rsid w:val="00697DD7"/>
    <w:rsid w:val="006A0749"/>
    <w:rsid w:val="006A092F"/>
    <w:rsid w:val="006A1117"/>
    <w:rsid w:val="006A2352"/>
    <w:rsid w:val="006A23B8"/>
    <w:rsid w:val="006A2597"/>
    <w:rsid w:val="006A26EF"/>
    <w:rsid w:val="006A2DD5"/>
    <w:rsid w:val="006A3075"/>
    <w:rsid w:val="006A34E6"/>
    <w:rsid w:val="006A3529"/>
    <w:rsid w:val="006A374C"/>
    <w:rsid w:val="006A4200"/>
    <w:rsid w:val="006A435A"/>
    <w:rsid w:val="006A4497"/>
    <w:rsid w:val="006A4655"/>
    <w:rsid w:val="006A472A"/>
    <w:rsid w:val="006A4D9A"/>
    <w:rsid w:val="006A51D8"/>
    <w:rsid w:val="006A56A3"/>
    <w:rsid w:val="006A5D4B"/>
    <w:rsid w:val="006A5E2D"/>
    <w:rsid w:val="006A5F34"/>
    <w:rsid w:val="006A609D"/>
    <w:rsid w:val="006A6828"/>
    <w:rsid w:val="006A69B3"/>
    <w:rsid w:val="006A7516"/>
    <w:rsid w:val="006A758E"/>
    <w:rsid w:val="006A7B23"/>
    <w:rsid w:val="006A7E09"/>
    <w:rsid w:val="006A7F5F"/>
    <w:rsid w:val="006B01C5"/>
    <w:rsid w:val="006B094E"/>
    <w:rsid w:val="006B110C"/>
    <w:rsid w:val="006B1472"/>
    <w:rsid w:val="006B15E7"/>
    <w:rsid w:val="006B181D"/>
    <w:rsid w:val="006B1AB7"/>
    <w:rsid w:val="006B1EB1"/>
    <w:rsid w:val="006B1F8B"/>
    <w:rsid w:val="006B231E"/>
    <w:rsid w:val="006B2494"/>
    <w:rsid w:val="006B2636"/>
    <w:rsid w:val="006B288C"/>
    <w:rsid w:val="006B2FBC"/>
    <w:rsid w:val="006B33EA"/>
    <w:rsid w:val="006B362A"/>
    <w:rsid w:val="006B37A8"/>
    <w:rsid w:val="006B38DE"/>
    <w:rsid w:val="006B39B0"/>
    <w:rsid w:val="006B3A24"/>
    <w:rsid w:val="006B3E55"/>
    <w:rsid w:val="006B3F13"/>
    <w:rsid w:val="006B3F40"/>
    <w:rsid w:val="006B47EC"/>
    <w:rsid w:val="006B50DB"/>
    <w:rsid w:val="006B53F0"/>
    <w:rsid w:val="006B5925"/>
    <w:rsid w:val="006B5A9A"/>
    <w:rsid w:val="006B5C6D"/>
    <w:rsid w:val="006B5E7D"/>
    <w:rsid w:val="006B60EB"/>
    <w:rsid w:val="006B62C3"/>
    <w:rsid w:val="006B64EE"/>
    <w:rsid w:val="006B6636"/>
    <w:rsid w:val="006B692D"/>
    <w:rsid w:val="006B6D28"/>
    <w:rsid w:val="006B6EC4"/>
    <w:rsid w:val="006B6F5B"/>
    <w:rsid w:val="006B7819"/>
    <w:rsid w:val="006B799D"/>
    <w:rsid w:val="006B7A11"/>
    <w:rsid w:val="006B7D83"/>
    <w:rsid w:val="006C0051"/>
    <w:rsid w:val="006C026D"/>
    <w:rsid w:val="006C09D1"/>
    <w:rsid w:val="006C0D79"/>
    <w:rsid w:val="006C1297"/>
    <w:rsid w:val="006C149C"/>
    <w:rsid w:val="006C15A0"/>
    <w:rsid w:val="006C15FC"/>
    <w:rsid w:val="006C1D91"/>
    <w:rsid w:val="006C2102"/>
    <w:rsid w:val="006C2612"/>
    <w:rsid w:val="006C2A1E"/>
    <w:rsid w:val="006C2B94"/>
    <w:rsid w:val="006C2E27"/>
    <w:rsid w:val="006C399C"/>
    <w:rsid w:val="006C3E57"/>
    <w:rsid w:val="006C4452"/>
    <w:rsid w:val="006C4B07"/>
    <w:rsid w:val="006C4E17"/>
    <w:rsid w:val="006C4F13"/>
    <w:rsid w:val="006C5808"/>
    <w:rsid w:val="006C595F"/>
    <w:rsid w:val="006C5B6B"/>
    <w:rsid w:val="006C6017"/>
    <w:rsid w:val="006C609B"/>
    <w:rsid w:val="006C62A0"/>
    <w:rsid w:val="006C6639"/>
    <w:rsid w:val="006C69BA"/>
    <w:rsid w:val="006C6A31"/>
    <w:rsid w:val="006C6D52"/>
    <w:rsid w:val="006C7038"/>
    <w:rsid w:val="006C771A"/>
    <w:rsid w:val="006C7A8F"/>
    <w:rsid w:val="006C7C20"/>
    <w:rsid w:val="006D0226"/>
    <w:rsid w:val="006D06CF"/>
    <w:rsid w:val="006D0BEA"/>
    <w:rsid w:val="006D0C53"/>
    <w:rsid w:val="006D0E8A"/>
    <w:rsid w:val="006D1130"/>
    <w:rsid w:val="006D13DB"/>
    <w:rsid w:val="006D1621"/>
    <w:rsid w:val="006D1A0A"/>
    <w:rsid w:val="006D2222"/>
    <w:rsid w:val="006D2B3E"/>
    <w:rsid w:val="006D2BCA"/>
    <w:rsid w:val="006D31CA"/>
    <w:rsid w:val="006D3889"/>
    <w:rsid w:val="006D38C1"/>
    <w:rsid w:val="006D397F"/>
    <w:rsid w:val="006D41E8"/>
    <w:rsid w:val="006D4246"/>
    <w:rsid w:val="006D4302"/>
    <w:rsid w:val="006D4368"/>
    <w:rsid w:val="006D4390"/>
    <w:rsid w:val="006D43CC"/>
    <w:rsid w:val="006D449C"/>
    <w:rsid w:val="006D464D"/>
    <w:rsid w:val="006D476A"/>
    <w:rsid w:val="006D4912"/>
    <w:rsid w:val="006D4B39"/>
    <w:rsid w:val="006D4D1E"/>
    <w:rsid w:val="006D4DDD"/>
    <w:rsid w:val="006D4FC4"/>
    <w:rsid w:val="006D5664"/>
    <w:rsid w:val="006D5CEC"/>
    <w:rsid w:val="006D5DB8"/>
    <w:rsid w:val="006D6015"/>
    <w:rsid w:val="006D6200"/>
    <w:rsid w:val="006D6493"/>
    <w:rsid w:val="006D66DD"/>
    <w:rsid w:val="006D67FA"/>
    <w:rsid w:val="006D6CAF"/>
    <w:rsid w:val="006D6E4D"/>
    <w:rsid w:val="006D70BC"/>
    <w:rsid w:val="006D75F4"/>
    <w:rsid w:val="006D7648"/>
    <w:rsid w:val="006D7E05"/>
    <w:rsid w:val="006D7F73"/>
    <w:rsid w:val="006E0348"/>
    <w:rsid w:val="006E03E6"/>
    <w:rsid w:val="006E082B"/>
    <w:rsid w:val="006E086A"/>
    <w:rsid w:val="006E0B13"/>
    <w:rsid w:val="006E0C9F"/>
    <w:rsid w:val="006E0F08"/>
    <w:rsid w:val="006E0F57"/>
    <w:rsid w:val="006E12F3"/>
    <w:rsid w:val="006E1A19"/>
    <w:rsid w:val="006E2840"/>
    <w:rsid w:val="006E29AD"/>
    <w:rsid w:val="006E2D6A"/>
    <w:rsid w:val="006E2F2C"/>
    <w:rsid w:val="006E320F"/>
    <w:rsid w:val="006E33B6"/>
    <w:rsid w:val="006E36DB"/>
    <w:rsid w:val="006E3B4A"/>
    <w:rsid w:val="006E3CAE"/>
    <w:rsid w:val="006E3EC9"/>
    <w:rsid w:val="006E4075"/>
    <w:rsid w:val="006E4436"/>
    <w:rsid w:val="006E4B3A"/>
    <w:rsid w:val="006E548C"/>
    <w:rsid w:val="006E5643"/>
    <w:rsid w:val="006E56A7"/>
    <w:rsid w:val="006E571B"/>
    <w:rsid w:val="006E5BB0"/>
    <w:rsid w:val="006E5C7D"/>
    <w:rsid w:val="006E5DED"/>
    <w:rsid w:val="006E5DF2"/>
    <w:rsid w:val="006E5FC4"/>
    <w:rsid w:val="006E6379"/>
    <w:rsid w:val="006E6B52"/>
    <w:rsid w:val="006E6CB2"/>
    <w:rsid w:val="006E6DD0"/>
    <w:rsid w:val="006E7170"/>
    <w:rsid w:val="006E73EF"/>
    <w:rsid w:val="006E7AEE"/>
    <w:rsid w:val="006F006A"/>
    <w:rsid w:val="006F015C"/>
    <w:rsid w:val="006F0331"/>
    <w:rsid w:val="006F0382"/>
    <w:rsid w:val="006F0664"/>
    <w:rsid w:val="006F07EF"/>
    <w:rsid w:val="006F0982"/>
    <w:rsid w:val="006F0B27"/>
    <w:rsid w:val="006F124C"/>
    <w:rsid w:val="006F12F0"/>
    <w:rsid w:val="006F12F4"/>
    <w:rsid w:val="006F17CE"/>
    <w:rsid w:val="006F198F"/>
    <w:rsid w:val="006F1CED"/>
    <w:rsid w:val="006F25B9"/>
    <w:rsid w:val="006F31C3"/>
    <w:rsid w:val="006F33B9"/>
    <w:rsid w:val="006F386D"/>
    <w:rsid w:val="006F3B3B"/>
    <w:rsid w:val="006F406C"/>
    <w:rsid w:val="006F4619"/>
    <w:rsid w:val="006F467F"/>
    <w:rsid w:val="006F50F7"/>
    <w:rsid w:val="006F537E"/>
    <w:rsid w:val="006F5704"/>
    <w:rsid w:val="006F57E7"/>
    <w:rsid w:val="006F59BC"/>
    <w:rsid w:val="006F5CA7"/>
    <w:rsid w:val="006F6031"/>
    <w:rsid w:val="006F6159"/>
    <w:rsid w:val="006F6486"/>
    <w:rsid w:val="006F675D"/>
    <w:rsid w:val="006F68D5"/>
    <w:rsid w:val="006F6A26"/>
    <w:rsid w:val="006F6A74"/>
    <w:rsid w:val="006F6C51"/>
    <w:rsid w:val="006F7245"/>
    <w:rsid w:val="006F7719"/>
    <w:rsid w:val="006F794B"/>
    <w:rsid w:val="006F7A0C"/>
    <w:rsid w:val="006F7C2E"/>
    <w:rsid w:val="006F7D23"/>
    <w:rsid w:val="007008AE"/>
    <w:rsid w:val="00700906"/>
    <w:rsid w:val="00700CB3"/>
    <w:rsid w:val="00700E00"/>
    <w:rsid w:val="00701649"/>
    <w:rsid w:val="0070166F"/>
    <w:rsid w:val="007018AC"/>
    <w:rsid w:val="007018CD"/>
    <w:rsid w:val="00701D94"/>
    <w:rsid w:val="00701DAC"/>
    <w:rsid w:val="0070211E"/>
    <w:rsid w:val="007021DE"/>
    <w:rsid w:val="007025BD"/>
    <w:rsid w:val="0070271E"/>
    <w:rsid w:val="00702B86"/>
    <w:rsid w:val="00703239"/>
    <w:rsid w:val="007032F9"/>
    <w:rsid w:val="00703357"/>
    <w:rsid w:val="007034CC"/>
    <w:rsid w:val="00703538"/>
    <w:rsid w:val="007039B2"/>
    <w:rsid w:val="00703AD0"/>
    <w:rsid w:val="00703DDB"/>
    <w:rsid w:val="00704430"/>
    <w:rsid w:val="0070452B"/>
    <w:rsid w:val="00704746"/>
    <w:rsid w:val="00704858"/>
    <w:rsid w:val="007049C5"/>
    <w:rsid w:val="00704A94"/>
    <w:rsid w:val="00704BC2"/>
    <w:rsid w:val="00704D10"/>
    <w:rsid w:val="00704D9C"/>
    <w:rsid w:val="00705266"/>
    <w:rsid w:val="00705789"/>
    <w:rsid w:val="007057C4"/>
    <w:rsid w:val="00705A21"/>
    <w:rsid w:val="00705C01"/>
    <w:rsid w:val="00705CB9"/>
    <w:rsid w:val="007069E4"/>
    <w:rsid w:val="00706A72"/>
    <w:rsid w:val="00706AF3"/>
    <w:rsid w:val="00706B6D"/>
    <w:rsid w:val="007070A8"/>
    <w:rsid w:val="00707656"/>
    <w:rsid w:val="00707669"/>
    <w:rsid w:val="00707A42"/>
    <w:rsid w:val="00707A4D"/>
    <w:rsid w:val="00710056"/>
    <w:rsid w:val="00710107"/>
    <w:rsid w:val="00710258"/>
    <w:rsid w:val="0071068A"/>
    <w:rsid w:val="00710A2E"/>
    <w:rsid w:val="00710B71"/>
    <w:rsid w:val="00711416"/>
    <w:rsid w:val="00711A65"/>
    <w:rsid w:val="00711A92"/>
    <w:rsid w:val="00711B6F"/>
    <w:rsid w:val="00711C27"/>
    <w:rsid w:val="00711ED1"/>
    <w:rsid w:val="0071202B"/>
    <w:rsid w:val="0071231C"/>
    <w:rsid w:val="00712BE3"/>
    <w:rsid w:val="00712C5E"/>
    <w:rsid w:val="0071309B"/>
    <w:rsid w:val="0071335B"/>
    <w:rsid w:val="00713552"/>
    <w:rsid w:val="00713563"/>
    <w:rsid w:val="007135C9"/>
    <w:rsid w:val="0071425E"/>
    <w:rsid w:val="00714348"/>
    <w:rsid w:val="0071456F"/>
    <w:rsid w:val="007146A9"/>
    <w:rsid w:val="0071472E"/>
    <w:rsid w:val="00714766"/>
    <w:rsid w:val="0071499D"/>
    <w:rsid w:val="00714A0D"/>
    <w:rsid w:val="007152DC"/>
    <w:rsid w:val="0071551B"/>
    <w:rsid w:val="00715A60"/>
    <w:rsid w:val="00715D72"/>
    <w:rsid w:val="00715FA0"/>
    <w:rsid w:val="00716251"/>
    <w:rsid w:val="007162E3"/>
    <w:rsid w:val="007166DC"/>
    <w:rsid w:val="0071670A"/>
    <w:rsid w:val="00716EE3"/>
    <w:rsid w:val="00717344"/>
    <w:rsid w:val="0071745A"/>
    <w:rsid w:val="00717655"/>
    <w:rsid w:val="00717689"/>
    <w:rsid w:val="00717C51"/>
    <w:rsid w:val="00717C63"/>
    <w:rsid w:val="00717F6C"/>
    <w:rsid w:val="0072018A"/>
    <w:rsid w:val="007204CD"/>
    <w:rsid w:val="00720887"/>
    <w:rsid w:val="00720943"/>
    <w:rsid w:val="00720BC3"/>
    <w:rsid w:val="0072103E"/>
    <w:rsid w:val="0072137D"/>
    <w:rsid w:val="0072143E"/>
    <w:rsid w:val="00721581"/>
    <w:rsid w:val="007215E2"/>
    <w:rsid w:val="00721F0D"/>
    <w:rsid w:val="00722372"/>
    <w:rsid w:val="0072249A"/>
    <w:rsid w:val="00722826"/>
    <w:rsid w:val="00722980"/>
    <w:rsid w:val="00722E8D"/>
    <w:rsid w:val="00723343"/>
    <w:rsid w:val="00723718"/>
    <w:rsid w:val="0072382A"/>
    <w:rsid w:val="00723C6E"/>
    <w:rsid w:val="00723CD2"/>
    <w:rsid w:val="00723CEF"/>
    <w:rsid w:val="00723D6B"/>
    <w:rsid w:val="007243D9"/>
    <w:rsid w:val="007247B0"/>
    <w:rsid w:val="007249B7"/>
    <w:rsid w:val="00724A2B"/>
    <w:rsid w:val="00725040"/>
    <w:rsid w:val="00725196"/>
    <w:rsid w:val="00725280"/>
    <w:rsid w:val="007252E3"/>
    <w:rsid w:val="00725444"/>
    <w:rsid w:val="00725498"/>
    <w:rsid w:val="0072568D"/>
    <w:rsid w:val="007257A1"/>
    <w:rsid w:val="007257F2"/>
    <w:rsid w:val="00725998"/>
    <w:rsid w:val="00725DE2"/>
    <w:rsid w:val="00725DE6"/>
    <w:rsid w:val="00726031"/>
    <w:rsid w:val="007262E6"/>
    <w:rsid w:val="007266B7"/>
    <w:rsid w:val="0072683D"/>
    <w:rsid w:val="00726AF8"/>
    <w:rsid w:val="00726C15"/>
    <w:rsid w:val="00726FA9"/>
    <w:rsid w:val="007273D2"/>
    <w:rsid w:val="0072747E"/>
    <w:rsid w:val="007275D3"/>
    <w:rsid w:val="00727BBB"/>
    <w:rsid w:val="00727ECF"/>
    <w:rsid w:val="00727FC9"/>
    <w:rsid w:val="00730027"/>
    <w:rsid w:val="00730262"/>
    <w:rsid w:val="007305E1"/>
    <w:rsid w:val="00730892"/>
    <w:rsid w:val="00730FBD"/>
    <w:rsid w:val="0073124D"/>
    <w:rsid w:val="00731733"/>
    <w:rsid w:val="0073182F"/>
    <w:rsid w:val="00731943"/>
    <w:rsid w:val="00731A7F"/>
    <w:rsid w:val="00731E34"/>
    <w:rsid w:val="00731EC3"/>
    <w:rsid w:val="00731ECC"/>
    <w:rsid w:val="00731F7F"/>
    <w:rsid w:val="00732122"/>
    <w:rsid w:val="007321CF"/>
    <w:rsid w:val="007323F3"/>
    <w:rsid w:val="0073265C"/>
    <w:rsid w:val="007327B1"/>
    <w:rsid w:val="00732A43"/>
    <w:rsid w:val="00732ABF"/>
    <w:rsid w:val="007333D9"/>
    <w:rsid w:val="0073348B"/>
    <w:rsid w:val="00733573"/>
    <w:rsid w:val="00733579"/>
    <w:rsid w:val="0073367E"/>
    <w:rsid w:val="007338D3"/>
    <w:rsid w:val="00733EE6"/>
    <w:rsid w:val="00733F11"/>
    <w:rsid w:val="0073413D"/>
    <w:rsid w:val="00734779"/>
    <w:rsid w:val="00734AF3"/>
    <w:rsid w:val="00734EDC"/>
    <w:rsid w:val="00735117"/>
    <w:rsid w:val="0073525F"/>
    <w:rsid w:val="00735457"/>
    <w:rsid w:val="0073557F"/>
    <w:rsid w:val="007355FF"/>
    <w:rsid w:val="0073583C"/>
    <w:rsid w:val="00735C62"/>
    <w:rsid w:val="00736035"/>
    <w:rsid w:val="0073625E"/>
    <w:rsid w:val="0073679E"/>
    <w:rsid w:val="00736B4D"/>
    <w:rsid w:val="00736F4E"/>
    <w:rsid w:val="00736F94"/>
    <w:rsid w:val="00737191"/>
    <w:rsid w:val="0073728E"/>
    <w:rsid w:val="00737430"/>
    <w:rsid w:val="0073755A"/>
    <w:rsid w:val="00737AC0"/>
    <w:rsid w:val="00737B3E"/>
    <w:rsid w:val="00737B89"/>
    <w:rsid w:val="00740132"/>
    <w:rsid w:val="007402E4"/>
    <w:rsid w:val="00740873"/>
    <w:rsid w:val="00740951"/>
    <w:rsid w:val="00740C30"/>
    <w:rsid w:val="00740E18"/>
    <w:rsid w:val="00741239"/>
    <w:rsid w:val="007413A9"/>
    <w:rsid w:val="00741628"/>
    <w:rsid w:val="007417A6"/>
    <w:rsid w:val="00741C0A"/>
    <w:rsid w:val="0074207D"/>
    <w:rsid w:val="00742429"/>
    <w:rsid w:val="007424FB"/>
    <w:rsid w:val="007425E0"/>
    <w:rsid w:val="00743251"/>
    <w:rsid w:val="00743633"/>
    <w:rsid w:val="00743A12"/>
    <w:rsid w:val="0074400A"/>
    <w:rsid w:val="00744386"/>
    <w:rsid w:val="007444A3"/>
    <w:rsid w:val="007446F3"/>
    <w:rsid w:val="0074472E"/>
    <w:rsid w:val="00744AA0"/>
    <w:rsid w:val="00744D8D"/>
    <w:rsid w:val="00744E66"/>
    <w:rsid w:val="00744F32"/>
    <w:rsid w:val="0074564E"/>
    <w:rsid w:val="007456D6"/>
    <w:rsid w:val="00745705"/>
    <w:rsid w:val="00745A49"/>
    <w:rsid w:val="00745D90"/>
    <w:rsid w:val="00745DCA"/>
    <w:rsid w:val="00745E52"/>
    <w:rsid w:val="0074643D"/>
    <w:rsid w:val="00746442"/>
    <w:rsid w:val="00746D29"/>
    <w:rsid w:val="00746E44"/>
    <w:rsid w:val="00746EF5"/>
    <w:rsid w:val="00746F59"/>
    <w:rsid w:val="00746FD2"/>
    <w:rsid w:val="0074744C"/>
    <w:rsid w:val="0074768E"/>
    <w:rsid w:val="00747C32"/>
    <w:rsid w:val="00750258"/>
    <w:rsid w:val="007504E5"/>
    <w:rsid w:val="00750622"/>
    <w:rsid w:val="007506E0"/>
    <w:rsid w:val="0075081E"/>
    <w:rsid w:val="007508BC"/>
    <w:rsid w:val="007509CB"/>
    <w:rsid w:val="00750B24"/>
    <w:rsid w:val="00750FF6"/>
    <w:rsid w:val="007510B3"/>
    <w:rsid w:val="007517CA"/>
    <w:rsid w:val="00751B62"/>
    <w:rsid w:val="00751BC3"/>
    <w:rsid w:val="00751F3F"/>
    <w:rsid w:val="0075232B"/>
    <w:rsid w:val="00752523"/>
    <w:rsid w:val="0075288E"/>
    <w:rsid w:val="00752966"/>
    <w:rsid w:val="00752C37"/>
    <w:rsid w:val="00752D32"/>
    <w:rsid w:val="00752EFD"/>
    <w:rsid w:val="00752FF4"/>
    <w:rsid w:val="00753539"/>
    <w:rsid w:val="00753684"/>
    <w:rsid w:val="00753748"/>
    <w:rsid w:val="0075376C"/>
    <w:rsid w:val="0075384B"/>
    <w:rsid w:val="0075393A"/>
    <w:rsid w:val="00753B16"/>
    <w:rsid w:val="00753BB3"/>
    <w:rsid w:val="00753C31"/>
    <w:rsid w:val="00753DD2"/>
    <w:rsid w:val="00753FE7"/>
    <w:rsid w:val="00753FF6"/>
    <w:rsid w:val="00754267"/>
    <w:rsid w:val="0075470F"/>
    <w:rsid w:val="00754817"/>
    <w:rsid w:val="00754AA1"/>
    <w:rsid w:val="00754B8C"/>
    <w:rsid w:val="00755009"/>
    <w:rsid w:val="00755074"/>
    <w:rsid w:val="007551F1"/>
    <w:rsid w:val="007554A2"/>
    <w:rsid w:val="00755823"/>
    <w:rsid w:val="007559BA"/>
    <w:rsid w:val="00755F29"/>
    <w:rsid w:val="0075631F"/>
    <w:rsid w:val="00756881"/>
    <w:rsid w:val="007569E4"/>
    <w:rsid w:val="00756A32"/>
    <w:rsid w:val="00756A57"/>
    <w:rsid w:val="007570DB"/>
    <w:rsid w:val="007573E9"/>
    <w:rsid w:val="0075789B"/>
    <w:rsid w:val="0075796A"/>
    <w:rsid w:val="00757AC2"/>
    <w:rsid w:val="0076007E"/>
    <w:rsid w:val="007602D5"/>
    <w:rsid w:val="00760347"/>
    <w:rsid w:val="007604BB"/>
    <w:rsid w:val="00760601"/>
    <w:rsid w:val="00760744"/>
    <w:rsid w:val="00760CC3"/>
    <w:rsid w:val="0076107D"/>
    <w:rsid w:val="007616B4"/>
    <w:rsid w:val="0076196B"/>
    <w:rsid w:val="00761BFF"/>
    <w:rsid w:val="0076201B"/>
    <w:rsid w:val="00762108"/>
    <w:rsid w:val="007622D9"/>
    <w:rsid w:val="00762530"/>
    <w:rsid w:val="00762602"/>
    <w:rsid w:val="0076332F"/>
    <w:rsid w:val="00763453"/>
    <w:rsid w:val="0076348C"/>
    <w:rsid w:val="007634DB"/>
    <w:rsid w:val="007634FC"/>
    <w:rsid w:val="007639A5"/>
    <w:rsid w:val="00763B51"/>
    <w:rsid w:val="00763C97"/>
    <w:rsid w:val="00763F88"/>
    <w:rsid w:val="00764213"/>
    <w:rsid w:val="00764B88"/>
    <w:rsid w:val="00764B8D"/>
    <w:rsid w:val="00764C7F"/>
    <w:rsid w:val="00764D0B"/>
    <w:rsid w:val="00765000"/>
    <w:rsid w:val="0076558D"/>
    <w:rsid w:val="007655E0"/>
    <w:rsid w:val="007655F7"/>
    <w:rsid w:val="0076579D"/>
    <w:rsid w:val="007658B6"/>
    <w:rsid w:val="00765A48"/>
    <w:rsid w:val="00765F8F"/>
    <w:rsid w:val="007660B2"/>
    <w:rsid w:val="0076646E"/>
    <w:rsid w:val="00766897"/>
    <w:rsid w:val="00766E02"/>
    <w:rsid w:val="00766F98"/>
    <w:rsid w:val="00767265"/>
    <w:rsid w:val="00767451"/>
    <w:rsid w:val="0076752A"/>
    <w:rsid w:val="007679CD"/>
    <w:rsid w:val="00767B1E"/>
    <w:rsid w:val="00767CDE"/>
    <w:rsid w:val="007700C2"/>
    <w:rsid w:val="007702D6"/>
    <w:rsid w:val="0077031D"/>
    <w:rsid w:val="00770403"/>
    <w:rsid w:val="007704AD"/>
    <w:rsid w:val="0077057C"/>
    <w:rsid w:val="00770969"/>
    <w:rsid w:val="00770AD9"/>
    <w:rsid w:val="00770B41"/>
    <w:rsid w:val="00770C17"/>
    <w:rsid w:val="00770D96"/>
    <w:rsid w:val="00771346"/>
    <w:rsid w:val="00771488"/>
    <w:rsid w:val="007721AB"/>
    <w:rsid w:val="00772380"/>
    <w:rsid w:val="00772841"/>
    <w:rsid w:val="0077295D"/>
    <w:rsid w:val="00772EA9"/>
    <w:rsid w:val="0077307F"/>
    <w:rsid w:val="00773114"/>
    <w:rsid w:val="00773AA3"/>
    <w:rsid w:val="00773BA4"/>
    <w:rsid w:val="0077410B"/>
    <w:rsid w:val="00774392"/>
    <w:rsid w:val="00774518"/>
    <w:rsid w:val="00774AF1"/>
    <w:rsid w:val="007752F1"/>
    <w:rsid w:val="00775577"/>
    <w:rsid w:val="0077589E"/>
    <w:rsid w:val="00776420"/>
    <w:rsid w:val="00776465"/>
    <w:rsid w:val="007769E2"/>
    <w:rsid w:val="00776CC9"/>
    <w:rsid w:val="00776FFA"/>
    <w:rsid w:val="00777256"/>
    <w:rsid w:val="00777290"/>
    <w:rsid w:val="00777582"/>
    <w:rsid w:val="00777607"/>
    <w:rsid w:val="007778D6"/>
    <w:rsid w:val="00777B70"/>
    <w:rsid w:val="00777BCC"/>
    <w:rsid w:val="0078041D"/>
    <w:rsid w:val="00780700"/>
    <w:rsid w:val="007809D0"/>
    <w:rsid w:val="00780A18"/>
    <w:rsid w:val="00780EBF"/>
    <w:rsid w:val="00781124"/>
    <w:rsid w:val="007813BF"/>
    <w:rsid w:val="007819C4"/>
    <w:rsid w:val="00781A07"/>
    <w:rsid w:val="00781C7C"/>
    <w:rsid w:val="00781CD1"/>
    <w:rsid w:val="00781E7A"/>
    <w:rsid w:val="007822A1"/>
    <w:rsid w:val="0078276C"/>
    <w:rsid w:val="0078292F"/>
    <w:rsid w:val="00782A00"/>
    <w:rsid w:val="00782FB5"/>
    <w:rsid w:val="00783175"/>
    <w:rsid w:val="00783382"/>
    <w:rsid w:val="0078387D"/>
    <w:rsid w:val="00783AF0"/>
    <w:rsid w:val="00783D19"/>
    <w:rsid w:val="00783D8D"/>
    <w:rsid w:val="00783EF8"/>
    <w:rsid w:val="00783FA4"/>
    <w:rsid w:val="0078457E"/>
    <w:rsid w:val="007846A9"/>
    <w:rsid w:val="0078524F"/>
    <w:rsid w:val="0078562A"/>
    <w:rsid w:val="0078599A"/>
    <w:rsid w:val="00785EFE"/>
    <w:rsid w:val="007861AF"/>
    <w:rsid w:val="00786253"/>
    <w:rsid w:val="0078633C"/>
    <w:rsid w:val="007863D9"/>
    <w:rsid w:val="0078642D"/>
    <w:rsid w:val="00786453"/>
    <w:rsid w:val="00786797"/>
    <w:rsid w:val="00786B50"/>
    <w:rsid w:val="00786D9A"/>
    <w:rsid w:val="00786FD2"/>
    <w:rsid w:val="007875AA"/>
    <w:rsid w:val="007875AB"/>
    <w:rsid w:val="00787BF3"/>
    <w:rsid w:val="007900FA"/>
    <w:rsid w:val="00790790"/>
    <w:rsid w:val="00790CB2"/>
    <w:rsid w:val="00790D37"/>
    <w:rsid w:val="00790FC6"/>
    <w:rsid w:val="00791422"/>
    <w:rsid w:val="0079162B"/>
    <w:rsid w:val="00791695"/>
    <w:rsid w:val="00791C44"/>
    <w:rsid w:val="00791D51"/>
    <w:rsid w:val="007920FD"/>
    <w:rsid w:val="00792395"/>
    <w:rsid w:val="00792896"/>
    <w:rsid w:val="007929F8"/>
    <w:rsid w:val="00792ECF"/>
    <w:rsid w:val="00792EEE"/>
    <w:rsid w:val="0079320C"/>
    <w:rsid w:val="007933EF"/>
    <w:rsid w:val="00793A38"/>
    <w:rsid w:val="00793BA3"/>
    <w:rsid w:val="00794228"/>
    <w:rsid w:val="007946B4"/>
    <w:rsid w:val="007947DB"/>
    <w:rsid w:val="00794E06"/>
    <w:rsid w:val="00795490"/>
    <w:rsid w:val="007956F5"/>
    <w:rsid w:val="007959DF"/>
    <w:rsid w:val="00796335"/>
    <w:rsid w:val="0079653B"/>
    <w:rsid w:val="00796803"/>
    <w:rsid w:val="00796AC0"/>
    <w:rsid w:val="00796B1B"/>
    <w:rsid w:val="00796D8C"/>
    <w:rsid w:val="0079766B"/>
    <w:rsid w:val="00797ED6"/>
    <w:rsid w:val="007A000D"/>
    <w:rsid w:val="007A0227"/>
    <w:rsid w:val="007A0592"/>
    <w:rsid w:val="007A0967"/>
    <w:rsid w:val="007A0D90"/>
    <w:rsid w:val="007A1001"/>
    <w:rsid w:val="007A10AE"/>
    <w:rsid w:val="007A1233"/>
    <w:rsid w:val="007A13CA"/>
    <w:rsid w:val="007A16E1"/>
    <w:rsid w:val="007A19C4"/>
    <w:rsid w:val="007A1DA0"/>
    <w:rsid w:val="007A1E3F"/>
    <w:rsid w:val="007A1F63"/>
    <w:rsid w:val="007A2170"/>
    <w:rsid w:val="007A21EB"/>
    <w:rsid w:val="007A26FE"/>
    <w:rsid w:val="007A2B06"/>
    <w:rsid w:val="007A35D8"/>
    <w:rsid w:val="007A3AE0"/>
    <w:rsid w:val="007A3E13"/>
    <w:rsid w:val="007A3E57"/>
    <w:rsid w:val="007A3EAB"/>
    <w:rsid w:val="007A5213"/>
    <w:rsid w:val="007A5413"/>
    <w:rsid w:val="007A578F"/>
    <w:rsid w:val="007A5DA1"/>
    <w:rsid w:val="007A5F19"/>
    <w:rsid w:val="007A6493"/>
    <w:rsid w:val="007A64F9"/>
    <w:rsid w:val="007A6616"/>
    <w:rsid w:val="007A69BF"/>
    <w:rsid w:val="007A6FAD"/>
    <w:rsid w:val="007A7057"/>
    <w:rsid w:val="007A7941"/>
    <w:rsid w:val="007A7A94"/>
    <w:rsid w:val="007A7AF0"/>
    <w:rsid w:val="007A7CFA"/>
    <w:rsid w:val="007A7FCB"/>
    <w:rsid w:val="007B066C"/>
    <w:rsid w:val="007B07D0"/>
    <w:rsid w:val="007B07D3"/>
    <w:rsid w:val="007B0976"/>
    <w:rsid w:val="007B0B2E"/>
    <w:rsid w:val="007B0E52"/>
    <w:rsid w:val="007B0E7A"/>
    <w:rsid w:val="007B141F"/>
    <w:rsid w:val="007B1D0B"/>
    <w:rsid w:val="007B2007"/>
    <w:rsid w:val="007B2035"/>
    <w:rsid w:val="007B2191"/>
    <w:rsid w:val="007B2457"/>
    <w:rsid w:val="007B24D6"/>
    <w:rsid w:val="007B2541"/>
    <w:rsid w:val="007B2BED"/>
    <w:rsid w:val="007B3482"/>
    <w:rsid w:val="007B34A1"/>
    <w:rsid w:val="007B4A66"/>
    <w:rsid w:val="007B4AAF"/>
    <w:rsid w:val="007B4C3B"/>
    <w:rsid w:val="007B524F"/>
    <w:rsid w:val="007B5ABF"/>
    <w:rsid w:val="007B5BAA"/>
    <w:rsid w:val="007B629F"/>
    <w:rsid w:val="007B6533"/>
    <w:rsid w:val="007B693C"/>
    <w:rsid w:val="007B6B48"/>
    <w:rsid w:val="007B6CFD"/>
    <w:rsid w:val="007B6ED7"/>
    <w:rsid w:val="007B7025"/>
    <w:rsid w:val="007B717D"/>
    <w:rsid w:val="007B723B"/>
    <w:rsid w:val="007B7389"/>
    <w:rsid w:val="007B783F"/>
    <w:rsid w:val="007B78CA"/>
    <w:rsid w:val="007C012C"/>
    <w:rsid w:val="007C0358"/>
    <w:rsid w:val="007C084E"/>
    <w:rsid w:val="007C0856"/>
    <w:rsid w:val="007C0901"/>
    <w:rsid w:val="007C09EE"/>
    <w:rsid w:val="007C10FA"/>
    <w:rsid w:val="007C132D"/>
    <w:rsid w:val="007C183F"/>
    <w:rsid w:val="007C1904"/>
    <w:rsid w:val="007C1A4E"/>
    <w:rsid w:val="007C1BFD"/>
    <w:rsid w:val="007C2228"/>
    <w:rsid w:val="007C2253"/>
    <w:rsid w:val="007C28DB"/>
    <w:rsid w:val="007C2E77"/>
    <w:rsid w:val="007C2F17"/>
    <w:rsid w:val="007C2FC9"/>
    <w:rsid w:val="007C32CB"/>
    <w:rsid w:val="007C3353"/>
    <w:rsid w:val="007C36C9"/>
    <w:rsid w:val="007C3706"/>
    <w:rsid w:val="007C371F"/>
    <w:rsid w:val="007C380B"/>
    <w:rsid w:val="007C3F35"/>
    <w:rsid w:val="007C40F5"/>
    <w:rsid w:val="007C495C"/>
    <w:rsid w:val="007C4C42"/>
    <w:rsid w:val="007C4CAB"/>
    <w:rsid w:val="007C4F0F"/>
    <w:rsid w:val="007C5169"/>
    <w:rsid w:val="007C56AD"/>
    <w:rsid w:val="007C5C24"/>
    <w:rsid w:val="007C5ED5"/>
    <w:rsid w:val="007C6179"/>
    <w:rsid w:val="007C628D"/>
    <w:rsid w:val="007C650C"/>
    <w:rsid w:val="007C66B7"/>
    <w:rsid w:val="007C67AF"/>
    <w:rsid w:val="007C6A51"/>
    <w:rsid w:val="007C6A95"/>
    <w:rsid w:val="007C6AC2"/>
    <w:rsid w:val="007C7153"/>
    <w:rsid w:val="007C7543"/>
    <w:rsid w:val="007C789F"/>
    <w:rsid w:val="007D0295"/>
    <w:rsid w:val="007D06F7"/>
    <w:rsid w:val="007D0B2C"/>
    <w:rsid w:val="007D0BA9"/>
    <w:rsid w:val="007D0E12"/>
    <w:rsid w:val="007D1076"/>
    <w:rsid w:val="007D118B"/>
    <w:rsid w:val="007D1214"/>
    <w:rsid w:val="007D13D9"/>
    <w:rsid w:val="007D1D45"/>
    <w:rsid w:val="007D1D9F"/>
    <w:rsid w:val="007D22DB"/>
    <w:rsid w:val="007D2346"/>
    <w:rsid w:val="007D2363"/>
    <w:rsid w:val="007D27FF"/>
    <w:rsid w:val="007D29D8"/>
    <w:rsid w:val="007D2DA3"/>
    <w:rsid w:val="007D32E2"/>
    <w:rsid w:val="007D33B7"/>
    <w:rsid w:val="007D33F6"/>
    <w:rsid w:val="007D3682"/>
    <w:rsid w:val="007D3748"/>
    <w:rsid w:val="007D38F4"/>
    <w:rsid w:val="007D3DE7"/>
    <w:rsid w:val="007D3E50"/>
    <w:rsid w:val="007D4057"/>
    <w:rsid w:val="007D441B"/>
    <w:rsid w:val="007D44B3"/>
    <w:rsid w:val="007D47BB"/>
    <w:rsid w:val="007D4BCA"/>
    <w:rsid w:val="007D4BFD"/>
    <w:rsid w:val="007D5294"/>
    <w:rsid w:val="007D5A6B"/>
    <w:rsid w:val="007D5B1A"/>
    <w:rsid w:val="007D5E17"/>
    <w:rsid w:val="007D6644"/>
    <w:rsid w:val="007D6826"/>
    <w:rsid w:val="007D6959"/>
    <w:rsid w:val="007D6C6E"/>
    <w:rsid w:val="007D6FA0"/>
    <w:rsid w:val="007D71BE"/>
    <w:rsid w:val="007D72C7"/>
    <w:rsid w:val="007D74BA"/>
    <w:rsid w:val="007D788A"/>
    <w:rsid w:val="007D79A3"/>
    <w:rsid w:val="007D7A79"/>
    <w:rsid w:val="007E01E4"/>
    <w:rsid w:val="007E03E6"/>
    <w:rsid w:val="007E0546"/>
    <w:rsid w:val="007E05F0"/>
    <w:rsid w:val="007E1041"/>
    <w:rsid w:val="007E118A"/>
    <w:rsid w:val="007E11A9"/>
    <w:rsid w:val="007E135F"/>
    <w:rsid w:val="007E1616"/>
    <w:rsid w:val="007E1926"/>
    <w:rsid w:val="007E1942"/>
    <w:rsid w:val="007E29B0"/>
    <w:rsid w:val="007E2D10"/>
    <w:rsid w:val="007E302E"/>
    <w:rsid w:val="007E306A"/>
    <w:rsid w:val="007E339C"/>
    <w:rsid w:val="007E397C"/>
    <w:rsid w:val="007E3A1E"/>
    <w:rsid w:val="007E3E64"/>
    <w:rsid w:val="007E40C3"/>
    <w:rsid w:val="007E43C0"/>
    <w:rsid w:val="007E4601"/>
    <w:rsid w:val="007E51C5"/>
    <w:rsid w:val="007E5666"/>
    <w:rsid w:val="007E57B0"/>
    <w:rsid w:val="007E58A1"/>
    <w:rsid w:val="007E6044"/>
    <w:rsid w:val="007E625A"/>
    <w:rsid w:val="007E677D"/>
    <w:rsid w:val="007E67CE"/>
    <w:rsid w:val="007E67E4"/>
    <w:rsid w:val="007E68BF"/>
    <w:rsid w:val="007E6BE4"/>
    <w:rsid w:val="007E6C6C"/>
    <w:rsid w:val="007E6F3D"/>
    <w:rsid w:val="007E73DA"/>
    <w:rsid w:val="007E7892"/>
    <w:rsid w:val="007E7EB5"/>
    <w:rsid w:val="007E7F5A"/>
    <w:rsid w:val="007F0808"/>
    <w:rsid w:val="007F0975"/>
    <w:rsid w:val="007F0A12"/>
    <w:rsid w:val="007F12AF"/>
    <w:rsid w:val="007F14EF"/>
    <w:rsid w:val="007F1650"/>
    <w:rsid w:val="007F1671"/>
    <w:rsid w:val="007F169F"/>
    <w:rsid w:val="007F1BFE"/>
    <w:rsid w:val="007F20AC"/>
    <w:rsid w:val="007F2305"/>
    <w:rsid w:val="007F2363"/>
    <w:rsid w:val="007F23F8"/>
    <w:rsid w:val="007F2912"/>
    <w:rsid w:val="007F299D"/>
    <w:rsid w:val="007F2CD8"/>
    <w:rsid w:val="007F2F02"/>
    <w:rsid w:val="007F2F30"/>
    <w:rsid w:val="007F30DB"/>
    <w:rsid w:val="007F37CD"/>
    <w:rsid w:val="007F3874"/>
    <w:rsid w:val="007F3A9C"/>
    <w:rsid w:val="007F3C47"/>
    <w:rsid w:val="007F3F3D"/>
    <w:rsid w:val="007F4247"/>
    <w:rsid w:val="007F476A"/>
    <w:rsid w:val="007F4C0F"/>
    <w:rsid w:val="007F4C39"/>
    <w:rsid w:val="007F547D"/>
    <w:rsid w:val="007F56BA"/>
    <w:rsid w:val="007F5742"/>
    <w:rsid w:val="007F59A6"/>
    <w:rsid w:val="007F59D7"/>
    <w:rsid w:val="007F5B9B"/>
    <w:rsid w:val="007F615A"/>
    <w:rsid w:val="007F61E9"/>
    <w:rsid w:val="007F6C4F"/>
    <w:rsid w:val="007F6C70"/>
    <w:rsid w:val="007F7107"/>
    <w:rsid w:val="007F7352"/>
    <w:rsid w:val="007F756D"/>
    <w:rsid w:val="007F75B8"/>
    <w:rsid w:val="007F7F70"/>
    <w:rsid w:val="007F7FAA"/>
    <w:rsid w:val="0080062D"/>
    <w:rsid w:val="008006F4"/>
    <w:rsid w:val="008008DB"/>
    <w:rsid w:val="00800E88"/>
    <w:rsid w:val="008011F2"/>
    <w:rsid w:val="00801A2E"/>
    <w:rsid w:val="00801C87"/>
    <w:rsid w:val="00801C91"/>
    <w:rsid w:val="008023AD"/>
    <w:rsid w:val="008026B0"/>
    <w:rsid w:val="00802D5A"/>
    <w:rsid w:val="0080324C"/>
    <w:rsid w:val="00803394"/>
    <w:rsid w:val="0080353C"/>
    <w:rsid w:val="00803690"/>
    <w:rsid w:val="00804172"/>
    <w:rsid w:val="00804838"/>
    <w:rsid w:val="008049BB"/>
    <w:rsid w:val="0080527F"/>
    <w:rsid w:val="00805362"/>
    <w:rsid w:val="00805683"/>
    <w:rsid w:val="00805950"/>
    <w:rsid w:val="0080599C"/>
    <w:rsid w:val="0080617C"/>
    <w:rsid w:val="0080643E"/>
    <w:rsid w:val="0080675E"/>
    <w:rsid w:val="008068F2"/>
    <w:rsid w:val="0080696E"/>
    <w:rsid w:val="00806CC7"/>
    <w:rsid w:val="00807001"/>
    <w:rsid w:val="00807004"/>
    <w:rsid w:val="00807504"/>
    <w:rsid w:val="00807FDE"/>
    <w:rsid w:val="0081030F"/>
    <w:rsid w:val="0081047F"/>
    <w:rsid w:val="00811501"/>
    <w:rsid w:val="008116C5"/>
    <w:rsid w:val="00811E52"/>
    <w:rsid w:val="00811E84"/>
    <w:rsid w:val="00811F90"/>
    <w:rsid w:val="008120D6"/>
    <w:rsid w:val="00812779"/>
    <w:rsid w:val="00812F58"/>
    <w:rsid w:val="008132E4"/>
    <w:rsid w:val="00813749"/>
    <w:rsid w:val="00813E54"/>
    <w:rsid w:val="00813FC1"/>
    <w:rsid w:val="00814104"/>
    <w:rsid w:val="008144EC"/>
    <w:rsid w:val="008145D3"/>
    <w:rsid w:val="00814799"/>
    <w:rsid w:val="0081489C"/>
    <w:rsid w:val="00814EA8"/>
    <w:rsid w:val="0081536E"/>
    <w:rsid w:val="00815817"/>
    <w:rsid w:val="00815F53"/>
    <w:rsid w:val="00816949"/>
    <w:rsid w:val="008169AB"/>
    <w:rsid w:val="00816E3E"/>
    <w:rsid w:val="0081710A"/>
    <w:rsid w:val="00817897"/>
    <w:rsid w:val="008178DE"/>
    <w:rsid w:val="00817AB3"/>
    <w:rsid w:val="00817D86"/>
    <w:rsid w:val="00820255"/>
    <w:rsid w:val="0082051D"/>
    <w:rsid w:val="0082087D"/>
    <w:rsid w:val="00820F59"/>
    <w:rsid w:val="00821434"/>
    <w:rsid w:val="00821EFC"/>
    <w:rsid w:val="0082238A"/>
    <w:rsid w:val="0082291E"/>
    <w:rsid w:val="0082295B"/>
    <w:rsid w:val="00822967"/>
    <w:rsid w:val="00822F00"/>
    <w:rsid w:val="008236C2"/>
    <w:rsid w:val="00823B10"/>
    <w:rsid w:val="00823EDB"/>
    <w:rsid w:val="00823F9E"/>
    <w:rsid w:val="00824196"/>
    <w:rsid w:val="008242EB"/>
    <w:rsid w:val="0082497C"/>
    <w:rsid w:val="00824C8D"/>
    <w:rsid w:val="00825406"/>
    <w:rsid w:val="0082562D"/>
    <w:rsid w:val="00825714"/>
    <w:rsid w:val="0082586F"/>
    <w:rsid w:val="00825CC6"/>
    <w:rsid w:val="00825EC7"/>
    <w:rsid w:val="008261BB"/>
    <w:rsid w:val="00826627"/>
    <w:rsid w:val="008266FE"/>
    <w:rsid w:val="00826A68"/>
    <w:rsid w:val="00826A6A"/>
    <w:rsid w:val="00826C0D"/>
    <w:rsid w:val="00826EF9"/>
    <w:rsid w:val="00826F16"/>
    <w:rsid w:val="00827244"/>
    <w:rsid w:val="00827488"/>
    <w:rsid w:val="0082757F"/>
    <w:rsid w:val="00827683"/>
    <w:rsid w:val="0082791A"/>
    <w:rsid w:val="008300C4"/>
    <w:rsid w:val="0083073F"/>
    <w:rsid w:val="008308DF"/>
    <w:rsid w:val="008309AB"/>
    <w:rsid w:val="00830E13"/>
    <w:rsid w:val="00830F4D"/>
    <w:rsid w:val="0083168D"/>
    <w:rsid w:val="00831B3F"/>
    <w:rsid w:val="00831ED7"/>
    <w:rsid w:val="0083233D"/>
    <w:rsid w:val="00832351"/>
    <w:rsid w:val="00832455"/>
    <w:rsid w:val="0083270D"/>
    <w:rsid w:val="008327AF"/>
    <w:rsid w:val="00832A58"/>
    <w:rsid w:val="00832DA1"/>
    <w:rsid w:val="008334D4"/>
    <w:rsid w:val="008343E0"/>
    <w:rsid w:val="00834D64"/>
    <w:rsid w:val="00834D9C"/>
    <w:rsid w:val="008352E0"/>
    <w:rsid w:val="008355AE"/>
    <w:rsid w:val="008359DF"/>
    <w:rsid w:val="00835C85"/>
    <w:rsid w:val="00836550"/>
    <w:rsid w:val="0083665D"/>
    <w:rsid w:val="0083686E"/>
    <w:rsid w:val="00836C84"/>
    <w:rsid w:val="00836F79"/>
    <w:rsid w:val="00837086"/>
    <w:rsid w:val="0083710F"/>
    <w:rsid w:val="00837B42"/>
    <w:rsid w:val="00837E75"/>
    <w:rsid w:val="00840153"/>
    <w:rsid w:val="008402F6"/>
    <w:rsid w:val="008402F8"/>
    <w:rsid w:val="0084041D"/>
    <w:rsid w:val="00840599"/>
    <w:rsid w:val="008405CF"/>
    <w:rsid w:val="0084067C"/>
    <w:rsid w:val="008408F0"/>
    <w:rsid w:val="00840BC3"/>
    <w:rsid w:val="008411B4"/>
    <w:rsid w:val="0084124C"/>
    <w:rsid w:val="008414E1"/>
    <w:rsid w:val="008416A9"/>
    <w:rsid w:val="00841836"/>
    <w:rsid w:val="00841C15"/>
    <w:rsid w:val="008424C2"/>
    <w:rsid w:val="00842B35"/>
    <w:rsid w:val="00842DFC"/>
    <w:rsid w:val="00842F9F"/>
    <w:rsid w:val="008432FB"/>
    <w:rsid w:val="0084357A"/>
    <w:rsid w:val="008438A2"/>
    <w:rsid w:val="00844043"/>
    <w:rsid w:val="00844198"/>
    <w:rsid w:val="008441B4"/>
    <w:rsid w:val="00844277"/>
    <w:rsid w:val="0084448E"/>
    <w:rsid w:val="008448F3"/>
    <w:rsid w:val="00844A6F"/>
    <w:rsid w:val="00844EFC"/>
    <w:rsid w:val="00845FBC"/>
    <w:rsid w:val="0084601B"/>
    <w:rsid w:val="008462CA"/>
    <w:rsid w:val="0084642D"/>
    <w:rsid w:val="00846675"/>
    <w:rsid w:val="00846682"/>
    <w:rsid w:val="0084691E"/>
    <w:rsid w:val="00846945"/>
    <w:rsid w:val="00846C8A"/>
    <w:rsid w:val="00846FA2"/>
    <w:rsid w:val="0084709B"/>
    <w:rsid w:val="008473A0"/>
    <w:rsid w:val="008475DF"/>
    <w:rsid w:val="00847A15"/>
    <w:rsid w:val="00850257"/>
    <w:rsid w:val="0085025F"/>
    <w:rsid w:val="008502FB"/>
    <w:rsid w:val="0085060A"/>
    <w:rsid w:val="00851573"/>
    <w:rsid w:val="00851834"/>
    <w:rsid w:val="00851952"/>
    <w:rsid w:val="00851C7D"/>
    <w:rsid w:val="00851D23"/>
    <w:rsid w:val="00851E6E"/>
    <w:rsid w:val="0085216C"/>
    <w:rsid w:val="00852E25"/>
    <w:rsid w:val="008531A8"/>
    <w:rsid w:val="008536C8"/>
    <w:rsid w:val="00853908"/>
    <w:rsid w:val="00853C87"/>
    <w:rsid w:val="00854050"/>
    <w:rsid w:val="00854961"/>
    <w:rsid w:val="00854BA6"/>
    <w:rsid w:val="00854BDA"/>
    <w:rsid w:val="00854C92"/>
    <w:rsid w:val="008550BB"/>
    <w:rsid w:val="0085518A"/>
    <w:rsid w:val="008551B9"/>
    <w:rsid w:val="008551D0"/>
    <w:rsid w:val="008555EB"/>
    <w:rsid w:val="00855766"/>
    <w:rsid w:val="008559D1"/>
    <w:rsid w:val="00855D4F"/>
    <w:rsid w:val="00855E3D"/>
    <w:rsid w:val="00855E84"/>
    <w:rsid w:val="0085609E"/>
    <w:rsid w:val="00856264"/>
    <w:rsid w:val="008562FD"/>
    <w:rsid w:val="00856590"/>
    <w:rsid w:val="00856794"/>
    <w:rsid w:val="0085693A"/>
    <w:rsid w:val="008569C2"/>
    <w:rsid w:val="008569CC"/>
    <w:rsid w:val="00856ECB"/>
    <w:rsid w:val="00856F85"/>
    <w:rsid w:val="008573B3"/>
    <w:rsid w:val="008573F6"/>
    <w:rsid w:val="008575C9"/>
    <w:rsid w:val="008578DA"/>
    <w:rsid w:val="00857A36"/>
    <w:rsid w:val="00857DD4"/>
    <w:rsid w:val="00860054"/>
    <w:rsid w:val="008600EF"/>
    <w:rsid w:val="00860238"/>
    <w:rsid w:val="0086061E"/>
    <w:rsid w:val="008606A6"/>
    <w:rsid w:val="0086082C"/>
    <w:rsid w:val="008619BE"/>
    <w:rsid w:val="00861F64"/>
    <w:rsid w:val="008625F7"/>
    <w:rsid w:val="00862837"/>
    <w:rsid w:val="00863499"/>
    <w:rsid w:val="0086352C"/>
    <w:rsid w:val="0086393D"/>
    <w:rsid w:val="008639BA"/>
    <w:rsid w:val="00863AEB"/>
    <w:rsid w:val="00863BEE"/>
    <w:rsid w:val="00863C3D"/>
    <w:rsid w:val="00863C5C"/>
    <w:rsid w:val="00863D05"/>
    <w:rsid w:val="00863EE1"/>
    <w:rsid w:val="00863EFD"/>
    <w:rsid w:val="0086431A"/>
    <w:rsid w:val="0086447C"/>
    <w:rsid w:val="0086457F"/>
    <w:rsid w:val="008645EA"/>
    <w:rsid w:val="0086461F"/>
    <w:rsid w:val="00864ADC"/>
    <w:rsid w:val="00864CD6"/>
    <w:rsid w:val="00864D9F"/>
    <w:rsid w:val="00864F44"/>
    <w:rsid w:val="00865349"/>
    <w:rsid w:val="0086558C"/>
    <w:rsid w:val="00865699"/>
    <w:rsid w:val="00865861"/>
    <w:rsid w:val="00865AE0"/>
    <w:rsid w:val="00865FB5"/>
    <w:rsid w:val="0086616B"/>
    <w:rsid w:val="008665A7"/>
    <w:rsid w:val="0086665B"/>
    <w:rsid w:val="00866D08"/>
    <w:rsid w:val="00866DD2"/>
    <w:rsid w:val="00866FF8"/>
    <w:rsid w:val="008670BA"/>
    <w:rsid w:val="00867716"/>
    <w:rsid w:val="008677B8"/>
    <w:rsid w:val="00867A28"/>
    <w:rsid w:val="00870139"/>
    <w:rsid w:val="00870553"/>
    <w:rsid w:val="008705E6"/>
    <w:rsid w:val="008708C0"/>
    <w:rsid w:val="008714AB"/>
    <w:rsid w:val="00871C10"/>
    <w:rsid w:val="00872159"/>
    <w:rsid w:val="00872181"/>
    <w:rsid w:val="0087218D"/>
    <w:rsid w:val="008721C4"/>
    <w:rsid w:val="00872780"/>
    <w:rsid w:val="00872899"/>
    <w:rsid w:val="00872BAA"/>
    <w:rsid w:val="0087300E"/>
    <w:rsid w:val="0087335F"/>
    <w:rsid w:val="008734FE"/>
    <w:rsid w:val="00873E1C"/>
    <w:rsid w:val="008741D0"/>
    <w:rsid w:val="00874419"/>
    <w:rsid w:val="0087486F"/>
    <w:rsid w:val="008748A3"/>
    <w:rsid w:val="0087503F"/>
    <w:rsid w:val="0087515A"/>
    <w:rsid w:val="008752CE"/>
    <w:rsid w:val="00875372"/>
    <w:rsid w:val="008755AD"/>
    <w:rsid w:val="00875B08"/>
    <w:rsid w:val="00875CA6"/>
    <w:rsid w:val="0087611F"/>
    <w:rsid w:val="008763B9"/>
    <w:rsid w:val="0087640C"/>
    <w:rsid w:val="00876411"/>
    <w:rsid w:val="00876479"/>
    <w:rsid w:val="0087691D"/>
    <w:rsid w:val="00877220"/>
    <w:rsid w:val="008773D7"/>
    <w:rsid w:val="008774F7"/>
    <w:rsid w:val="00877581"/>
    <w:rsid w:val="00877AB2"/>
    <w:rsid w:val="00877BE6"/>
    <w:rsid w:val="00877E2A"/>
    <w:rsid w:val="00877EFB"/>
    <w:rsid w:val="00880153"/>
    <w:rsid w:val="0088043D"/>
    <w:rsid w:val="0088048C"/>
    <w:rsid w:val="00880870"/>
    <w:rsid w:val="00880A00"/>
    <w:rsid w:val="00880D13"/>
    <w:rsid w:val="00880D34"/>
    <w:rsid w:val="00880F97"/>
    <w:rsid w:val="00880FAC"/>
    <w:rsid w:val="00881037"/>
    <w:rsid w:val="00881254"/>
    <w:rsid w:val="0088133A"/>
    <w:rsid w:val="008814A0"/>
    <w:rsid w:val="00881899"/>
    <w:rsid w:val="00881A12"/>
    <w:rsid w:val="00881B0D"/>
    <w:rsid w:val="00881C23"/>
    <w:rsid w:val="00881CCB"/>
    <w:rsid w:val="00881E62"/>
    <w:rsid w:val="00881FB8"/>
    <w:rsid w:val="0088234B"/>
    <w:rsid w:val="00882736"/>
    <w:rsid w:val="00882774"/>
    <w:rsid w:val="00882A1F"/>
    <w:rsid w:val="00882BE3"/>
    <w:rsid w:val="00882DDC"/>
    <w:rsid w:val="00882EA8"/>
    <w:rsid w:val="00883293"/>
    <w:rsid w:val="0088340B"/>
    <w:rsid w:val="008837BE"/>
    <w:rsid w:val="00884642"/>
    <w:rsid w:val="00884651"/>
    <w:rsid w:val="0088477C"/>
    <w:rsid w:val="00884EE5"/>
    <w:rsid w:val="008850F6"/>
    <w:rsid w:val="0088513E"/>
    <w:rsid w:val="0088521C"/>
    <w:rsid w:val="008854F7"/>
    <w:rsid w:val="0088552E"/>
    <w:rsid w:val="00885545"/>
    <w:rsid w:val="0088562B"/>
    <w:rsid w:val="008858D8"/>
    <w:rsid w:val="00885EE3"/>
    <w:rsid w:val="00885F7B"/>
    <w:rsid w:val="00886087"/>
    <w:rsid w:val="008861F8"/>
    <w:rsid w:val="008869F6"/>
    <w:rsid w:val="00886C8B"/>
    <w:rsid w:val="008875A6"/>
    <w:rsid w:val="0088785E"/>
    <w:rsid w:val="0088786D"/>
    <w:rsid w:val="0088789B"/>
    <w:rsid w:val="00887DB5"/>
    <w:rsid w:val="00887F6C"/>
    <w:rsid w:val="00890011"/>
    <w:rsid w:val="008900BD"/>
    <w:rsid w:val="0089019E"/>
    <w:rsid w:val="00890407"/>
    <w:rsid w:val="00890461"/>
    <w:rsid w:val="00890571"/>
    <w:rsid w:val="0089066C"/>
    <w:rsid w:val="0089071C"/>
    <w:rsid w:val="00890A55"/>
    <w:rsid w:val="00890BBA"/>
    <w:rsid w:val="00890D57"/>
    <w:rsid w:val="00891089"/>
    <w:rsid w:val="008912B7"/>
    <w:rsid w:val="008912EF"/>
    <w:rsid w:val="008916F2"/>
    <w:rsid w:val="00891A39"/>
    <w:rsid w:val="0089205B"/>
    <w:rsid w:val="00892671"/>
    <w:rsid w:val="008926EC"/>
    <w:rsid w:val="00892757"/>
    <w:rsid w:val="0089285E"/>
    <w:rsid w:val="00892902"/>
    <w:rsid w:val="00892A4D"/>
    <w:rsid w:val="00892AF4"/>
    <w:rsid w:val="00892B64"/>
    <w:rsid w:val="00892C22"/>
    <w:rsid w:val="00893589"/>
    <w:rsid w:val="008940DC"/>
    <w:rsid w:val="0089436C"/>
    <w:rsid w:val="008947CC"/>
    <w:rsid w:val="00894CD0"/>
    <w:rsid w:val="0089548C"/>
    <w:rsid w:val="00895627"/>
    <w:rsid w:val="008956B9"/>
    <w:rsid w:val="0089584A"/>
    <w:rsid w:val="00895C37"/>
    <w:rsid w:val="00895C55"/>
    <w:rsid w:val="00895F79"/>
    <w:rsid w:val="00896437"/>
    <w:rsid w:val="008965F7"/>
    <w:rsid w:val="00896711"/>
    <w:rsid w:val="00896907"/>
    <w:rsid w:val="00896B0E"/>
    <w:rsid w:val="00896C66"/>
    <w:rsid w:val="00896F44"/>
    <w:rsid w:val="00897083"/>
    <w:rsid w:val="00897392"/>
    <w:rsid w:val="00897429"/>
    <w:rsid w:val="008978B6"/>
    <w:rsid w:val="00897A42"/>
    <w:rsid w:val="00897BFE"/>
    <w:rsid w:val="00897C4B"/>
    <w:rsid w:val="008A0425"/>
    <w:rsid w:val="008A057D"/>
    <w:rsid w:val="008A05DB"/>
    <w:rsid w:val="008A078B"/>
    <w:rsid w:val="008A0CC1"/>
    <w:rsid w:val="008A0CCE"/>
    <w:rsid w:val="008A1097"/>
    <w:rsid w:val="008A11D9"/>
    <w:rsid w:val="008A1421"/>
    <w:rsid w:val="008A197C"/>
    <w:rsid w:val="008A1C7F"/>
    <w:rsid w:val="008A20C5"/>
    <w:rsid w:val="008A21D8"/>
    <w:rsid w:val="008A249E"/>
    <w:rsid w:val="008A2B61"/>
    <w:rsid w:val="008A2E39"/>
    <w:rsid w:val="008A30D6"/>
    <w:rsid w:val="008A30F3"/>
    <w:rsid w:val="008A346D"/>
    <w:rsid w:val="008A379F"/>
    <w:rsid w:val="008A3AA2"/>
    <w:rsid w:val="008A3CDF"/>
    <w:rsid w:val="008A3EB6"/>
    <w:rsid w:val="008A4113"/>
    <w:rsid w:val="008A4187"/>
    <w:rsid w:val="008A41D1"/>
    <w:rsid w:val="008A4426"/>
    <w:rsid w:val="008A4565"/>
    <w:rsid w:val="008A47FF"/>
    <w:rsid w:val="008A4A97"/>
    <w:rsid w:val="008A4B3E"/>
    <w:rsid w:val="008A532A"/>
    <w:rsid w:val="008A549B"/>
    <w:rsid w:val="008A5836"/>
    <w:rsid w:val="008A5E1C"/>
    <w:rsid w:val="008A604F"/>
    <w:rsid w:val="008A62A4"/>
    <w:rsid w:val="008A6449"/>
    <w:rsid w:val="008A6488"/>
    <w:rsid w:val="008A663C"/>
    <w:rsid w:val="008A69A5"/>
    <w:rsid w:val="008A6BBB"/>
    <w:rsid w:val="008A6CA0"/>
    <w:rsid w:val="008A6CFD"/>
    <w:rsid w:val="008A7040"/>
    <w:rsid w:val="008A71B9"/>
    <w:rsid w:val="008A740F"/>
    <w:rsid w:val="008A7507"/>
    <w:rsid w:val="008A7879"/>
    <w:rsid w:val="008A7880"/>
    <w:rsid w:val="008A7BC7"/>
    <w:rsid w:val="008A7ECA"/>
    <w:rsid w:val="008B0C9F"/>
    <w:rsid w:val="008B0FA3"/>
    <w:rsid w:val="008B1292"/>
    <w:rsid w:val="008B137F"/>
    <w:rsid w:val="008B16BC"/>
    <w:rsid w:val="008B16E5"/>
    <w:rsid w:val="008B19A4"/>
    <w:rsid w:val="008B1B46"/>
    <w:rsid w:val="008B1C4C"/>
    <w:rsid w:val="008B21E9"/>
    <w:rsid w:val="008B221C"/>
    <w:rsid w:val="008B23F6"/>
    <w:rsid w:val="008B286E"/>
    <w:rsid w:val="008B2965"/>
    <w:rsid w:val="008B2DD2"/>
    <w:rsid w:val="008B3690"/>
    <w:rsid w:val="008B3C81"/>
    <w:rsid w:val="008B444E"/>
    <w:rsid w:val="008B4A5F"/>
    <w:rsid w:val="008B4B13"/>
    <w:rsid w:val="008B53C7"/>
    <w:rsid w:val="008B555F"/>
    <w:rsid w:val="008B5FFD"/>
    <w:rsid w:val="008B607D"/>
    <w:rsid w:val="008B6436"/>
    <w:rsid w:val="008B684A"/>
    <w:rsid w:val="008B68D3"/>
    <w:rsid w:val="008B6C85"/>
    <w:rsid w:val="008B7064"/>
    <w:rsid w:val="008B7299"/>
    <w:rsid w:val="008C07F0"/>
    <w:rsid w:val="008C0F34"/>
    <w:rsid w:val="008C1093"/>
    <w:rsid w:val="008C13FC"/>
    <w:rsid w:val="008C15C1"/>
    <w:rsid w:val="008C15D3"/>
    <w:rsid w:val="008C18A0"/>
    <w:rsid w:val="008C1987"/>
    <w:rsid w:val="008C1B8A"/>
    <w:rsid w:val="008C1C1B"/>
    <w:rsid w:val="008C1F0F"/>
    <w:rsid w:val="008C26AC"/>
    <w:rsid w:val="008C2877"/>
    <w:rsid w:val="008C2A33"/>
    <w:rsid w:val="008C2AE0"/>
    <w:rsid w:val="008C2E20"/>
    <w:rsid w:val="008C2F7C"/>
    <w:rsid w:val="008C3945"/>
    <w:rsid w:val="008C3C2F"/>
    <w:rsid w:val="008C4337"/>
    <w:rsid w:val="008C47D8"/>
    <w:rsid w:val="008C4955"/>
    <w:rsid w:val="008C505C"/>
    <w:rsid w:val="008C58A7"/>
    <w:rsid w:val="008C6063"/>
    <w:rsid w:val="008C651C"/>
    <w:rsid w:val="008C67B4"/>
    <w:rsid w:val="008C6D12"/>
    <w:rsid w:val="008C6D75"/>
    <w:rsid w:val="008C6EFD"/>
    <w:rsid w:val="008C73A0"/>
    <w:rsid w:val="008C7611"/>
    <w:rsid w:val="008C78BA"/>
    <w:rsid w:val="008C7B36"/>
    <w:rsid w:val="008C7E7F"/>
    <w:rsid w:val="008D0120"/>
    <w:rsid w:val="008D04B2"/>
    <w:rsid w:val="008D0830"/>
    <w:rsid w:val="008D0EC1"/>
    <w:rsid w:val="008D0F9B"/>
    <w:rsid w:val="008D10D6"/>
    <w:rsid w:val="008D1105"/>
    <w:rsid w:val="008D1144"/>
    <w:rsid w:val="008D120B"/>
    <w:rsid w:val="008D13F8"/>
    <w:rsid w:val="008D1761"/>
    <w:rsid w:val="008D1DF9"/>
    <w:rsid w:val="008D1FBE"/>
    <w:rsid w:val="008D2137"/>
    <w:rsid w:val="008D219D"/>
    <w:rsid w:val="008D238A"/>
    <w:rsid w:val="008D27B8"/>
    <w:rsid w:val="008D3032"/>
    <w:rsid w:val="008D350D"/>
    <w:rsid w:val="008D3619"/>
    <w:rsid w:val="008D3EEB"/>
    <w:rsid w:val="008D4829"/>
    <w:rsid w:val="008D49B8"/>
    <w:rsid w:val="008D4B98"/>
    <w:rsid w:val="008D4B9C"/>
    <w:rsid w:val="008D4FB5"/>
    <w:rsid w:val="008D5586"/>
    <w:rsid w:val="008D5B68"/>
    <w:rsid w:val="008D5CFF"/>
    <w:rsid w:val="008D6171"/>
    <w:rsid w:val="008D61BA"/>
    <w:rsid w:val="008D6562"/>
    <w:rsid w:val="008D7737"/>
    <w:rsid w:val="008D7744"/>
    <w:rsid w:val="008D7C5C"/>
    <w:rsid w:val="008D7CF4"/>
    <w:rsid w:val="008D7D0D"/>
    <w:rsid w:val="008E014F"/>
    <w:rsid w:val="008E0571"/>
    <w:rsid w:val="008E0683"/>
    <w:rsid w:val="008E0E1B"/>
    <w:rsid w:val="008E0F02"/>
    <w:rsid w:val="008E11E4"/>
    <w:rsid w:val="008E1D76"/>
    <w:rsid w:val="008E1DDD"/>
    <w:rsid w:val="008E1E1D"/>
    <w:rsid w:val="008E2161"/>
    <w:rsid w:val="008E2562"/>
    <w:rsid w:val="008E2BAB"/>
    <w:rsid w:val="008E2E8A"/>
    <w:rsid w:val="008E2ED8"/>
    <w:rsid w:val="008E3074"/>
    <w:rsid w:val="008E316F"/>
    <w:rsid w:val="008E32C8"/>
    <w:rsid w:val="008E3361"/>
    <w:rsid w:val="008E3364"/>
    <w:rsid w:val="008E33B7"/>
    <w:rsid w:val="008E35F1"/>
    <w:rsid w:val="008E3AFF"/>
    <w:rsid w:val="008E3BA8"/>
    <w:rsid w:val="008E42BA"/>
    <w:rsid w:val="008E43FE"/>
    <w:rsid w:val="008E4725"/>
    <w:rsid w:val="008E4D77"/>
    <w:rsid w:val="008E50AD"/>
    <w:rsid w:val="008E5A62"/>
    <w:rsid w:val="008E5A98"/>
    <w:rsid w:val="008E5B95"/>
    <w:rsid w:val="008E69CB"/>
    <w:rsid w:val="008E6CE5"/>
    <w:rsid w:val="008E6D1F"/>
    <w:rsid w:val="008E709E"/>
    <w:rsid w:val="008E7147"/>
    <w:rsid w:val="008E760A"/>
    <w:rsid w:val="008F0BE5"/>
    <w:rsid w:val="008F0D14"/>
    <w:rsid w:val="008F14A5"/>
    <w:rsid w:val="008F165C"/>
    <w:rsid w:val="008F171A"/>
    <w:rsid w:val="008F19EE"/>
    <w:rsid w:val="008F22AD"/>
    <w:rsid w:val="008F23B5"/>
    <w:rsid w:val="008F2574"/>
    <w:rsid w:val="008F2728"/>
    <w:rsid w:val="008F2A76"/>
    <w:rsid w:val="008F30DB"/>
    <w:rsid w:val="008F3235"/>
    <w:rsid w:val="008F3BD3"/>
    <w:rsid w:val="008F3D04"/>
    <w:rsid w:val="008F46D1"/>
    <w:rsid w:val="008F4AC3"/>
    <w:rsid w:val="008F4CD9"/>
    <w:rsid w:val="008F4FBA"/>
    <w:rsid w:val="008F554B"/>
    <w:rsid w:val="008F55E0"/>
    <w:rsid w:val="008F59A9"/>
    <w:rsid w:val="008F5A30"/>
    <w:rsid w:val="008F5EA0"/>
    <w:rsid w:val="008F62E0"/>
    <w:rsid w:val="008F638E"/>
    <w:rsid w:val="008F6462"/>
    <w:rsid w:val="008F6788"/>
    <w:rsid w:val="008F7080"/>
    <w:rsid w:val="008F718E"/>
    <w:rsid w:val="008F72A1"/>
    <w:rsid w:val="008F7785"/>
    <w:rsid w:val="008F782F"/>
    <w:rsid w:val="008F7C80"/>
    <w:rsid w:val="008F7C90"/>
    <w:rsid w:val="008F7E93"/>
    <w:rsid w:val="008F7EF2"/>
    <w:rsid w:val="0090007E"/>
    <w:rsid w:val="009002DC"/>
    <w:rsid w:val="0090051A"/>
    <w:rsid w:val="00900C3D"/>
    <w:rsid w:val="00901005"/>
    <w:rsid w:val="0090116D"/>
    <w:rsid w:val="00901686"/>
    <w:rsid w:val="0090194E"/>
    <w:rsid w:val="0090199A"/>
    <w:rsid w:val="00901B24"/>
    <w:rsid w:val="00901C5E"/>
    <w:rsid w:val="00901EC9"/>
    <w:rsid w:val="0090260A"/>
    <w:rsid w:val="009028B0"/>
    <w:rsid w:val="00902D9D"/>
    <w:rsid w:val="009030BF"/>
    <w:rsid w:val="0090319D"/>
    <w:rsid w:val="0090381D"/>
    <w:rsid w:val="00903A91"/>
    <w:rsid w:val="00903AEF"/>
    <w:rsid w:val="00903B4C"/>
    <w:rsid w:val="00903F9C"/>
    <w:rsid w:val="0090406F"/>
    <w:rsid w:val="0090457F"/>
    <w:rsid w:val="0090458C"/>
    <w:rsid w:val="00904925"/>
    <w:rsid w:val="009049E5"/>
    <w:rsid w:val="00904B30"/>
    <w:rsid w:val="00904B58"/>
    <w:rsid w:val="00904F67"/>
    <w:rsid w:val="009054CC"/>
    <w:rsid w:val="0090563B"/>
    <w:rsid w:val="00905844"/>
    <w:rsid w:val="009058F5"/>
    <w:rsid w:val="00905A9F"/>
    <w:rsid w:val="00905E80"/>
    <w:rsid w:val="00905FD8"/>
    <w:rsid w:val="009063B7"/>
    <w:rsid w:val="00906469"/>
    <w:rsid w:val="00906644"/>
    <w:rsid w:val="0090692C"/>
    <w:rsid w:val="00906931"/>
    <w:rsid w:val="00906A60"/>
    <w:rsid w:val="00906E02"/>
    <w:rsid w:val="0090715D"/>
    <w:rsid w:val="009073F1"/>
    <w:rsid w:val="009076BC"/>
    <w:rsid w:val="00907A09"/>
    <w:rsid w:val="00907D7D"/>
    <w:rsid w:val="00910235"/>
    <w:rsid w:val="009102F3"/>
    <w:rsid w:val="00910467"/>
    <w:rsid w:val="009104E7"/>
    <w:rsid w:val="00910676"/>
    <w:rsid w:val="00910DCA"/>
    <w:rsid w:val="0091132C"/>
    <w:rsid w:val="0091136C"/>
    <w:rsid w:val="00911BD6"/>
    <w:rsid w:val="00911C87"/>
    <w:rsid w:val="009122CF"/>
    <w:rsid w:val="00912739"/>
    <w:rsid w:val="00912D6E"/>
    <w:rsid w:val="00913645"/>
    <w:rsid w:val="0091384D"/>
    <w:rsid w:val="00913A1B"/>
    <w:rsid w:val="00913CDB"/>
    <w:rsid w:val="00913D74"/>
    <w:rsid w:val="0091406E"/>
    <w:rsid w:val="00914368"/>
    <w:rsid w:val="00914418"/>
    <w:rsid w:val="009144C1"/>
    <w:rsid w:val="00914AC7"/>
    <w:rsid w:val="00914B36"/>
    <w:rsid w:val="00914EBD"/>
    <w:rsid w:val="00914FE8"/>
    <w:rsid w:val="00915234"/>
    <w:rsid w:val="0091542A"/>
    <w:rsid w:val="0091565B"/>
    <w:rsid w:val="00915CFA"/>
    <w:rsid w:val="00916406"/>
    <w:rsid w:val="00916803"/>
    <w:rsid w:val="00916EE8"/>
    <w:rsid w:val="00917014"/>
    <w:rsid w:val="009170BC"/>
    <w:rsid w:val="009170FF"/>
    <w:rsid w:val="0091737B"/>
    <w:rsid w:val="00917417"/>
    <w:rsid w:val="009174C8"/>
    <w:rsid w:val="009179F7"/>
    <w:rsid w:val="00917CD8"/>
    <w:rsid w:val="00920226"/>
    <w:rsid w:val="00920374"/>
    <w:rsid w:val="009204C2"/>
    <w:rsid w:val="00920B0B"/>
    <w:rsid w:val="00921224"/>
    <w:rsid w:val="009217BA"/>
    <w:rsid w:val="00921841"/>
    <w:rsid w:val="00921B91"/>
    <w:rsid w:val="00921CE0"/>
    <w:rsid w:val="00921E25"/>
    <w:rsid w:val="00921F56"/>
    <w:rsid w:val="00922436"/>
    <w:rsid w:val="009229C6"/>
    <w:rsid w:val="00922B39"/>
    <w:rsid w:val="00922C9F"/>
    <w:rsid w:val="00922F98"/>
    <w:rsid w:val="009230D3"/>
    <w:rsid w:val="0092359F"/>
    <w:rsid w:val="009235B0"/>
    <w:rsid w:val="00923A31"/>
    <w:rsid w:val="00923B18"/>
    <w:rsid w:val="00923F0B"/>
    <w:rsid w:val="0092408B"/>
    <w:rsid w:val="00924920"/>
    <w:rsid w:val="00924BBC"/>
    <w:rsid w:val="00924C26"/>
    <w:rsid w:val="00925048"/>
    <w:rsid w:val="009250BD"/>
    <w:rsid w:val="0092548E"/>
    <w:rsid w:val="009256E0"/>
    <w:rsid w:val="00925DC0"/>
    <w:rsid w:val="00926272"/>
    <w:rsid w:val="009264D3"/>
    <w:rsid w:val="009264FC"/>
    <w:rsid w:val="00926774"/>
    <w:rsid w:val="0092686B"/>
    <w:rsid w:val="00926947"/>
    <w:rsid w:val="00926FF2"/>
    <w:rsid w:val="009274AD"/>
    <w:rsid w:val="00927968"/>
    <w:rsid w:val="00927A41"/>
    <w:rsid w:val="00927EC9"/>
    <w:rsid w:val="00930070"/>
    <w:rsid w:val="00930D9D"/>
    <w:rsid w:val="00930EF8"/>
    <w:rsid w:val="00930EFE"/>
    <w:rsid w:val="00931076"/>
    <w:rsid w:val="009319E5"/>
    <w:rsid w:val="00931FD5"/>
    <w:rsid w:val="009320BD"/>
    <w:rsid w:val="00932176"/>
    <w:rsid w:val="00932A5E"/>
    <w:rsid w:val="00932B3B"/>
    <w:rsid w:val="00932B3F"/>
    <w:rsid w:val="00932BC2"/>
    <w:rsid w:val="00932EB6"/>
    <w:rsid w:val="009333EC"/>
    <w:rsid w:val="0093345A"/>
    <w:rsid w:val="0093379E"/>
    <w:rsid w:val="009337F0"/>
    <w:rsid w:val="00933AA4"/>
    <w:rsid w:val="00933B6F"/>
    <w:rsid w:val="00933E6F"/>
    <w:rsid w:val="0093448F"/>
    <w:rsid w:val="009345BF"/>
    <w:rsid w:val="009345D9"/>
    <w:rsid w:val="00934B15"/>
    <w:rsid w:val="00934B2F"/>
    <w:rsid w:val="00934B93"/>
    <w:rsid w:val="00934C6C"/>
    <w:rsid w:val="009353AC"/>
    <w:rsid w:val="00935620"/>
    <w:rsid w:val="0093588E"/>
    <w:rsid w:val="00935E23"/>
    <w:rsid w:val="009361AB"/>
    <w:rsid w:val="0093677F"/>
    <w:rsid w:val="00936925"/>
    <w:rsid w:val="00936BC3"/>
    <w:rsid w:val="00936F99"/>
    <w:rsid w:val="00937439"/>
    <w:rsid w:val="0093755A"/>
    <w:rsid w:val="00937F0A"/>
    <w:rsid w:val="00940026"/>
    <w:rsid w:val="0094044B"/>
    <w:rsid w:val="00940F6C"/>
    <w:rsid w:val="009413EC"/>
    <w:rsid w:val="0094166E"/>
    <w:rsid w:val="00941869"/>
    <w:rsid w:val="00942196"/>
    <w:rsid w:val="00942A99"/>
    <w:rsid w:val="00942B62"/>
    <w:rsid w:val="00942F8F"/>
    <w:rsid w:val="00943052"/>
    <w:rsid w:val="00943172"/>
    <w:rsid w:val="00943215"/>
    <w:rsid w:val="009433FB"/>
    <w:rsid w:val="00943659"/>
    <w:rsid w:val="00943729"/>
    <w:rsid w:val="00943B2C"/>
    <w:rsid w:val="00943C9B"/>
    <w:rsid w:val="00944296"/>
    <w:rsid w:val="0094436A"/>
    <w:rsid w:val="00944484"/>
    <w:rsid w:val="00944931"/>
    <w:rsid w:val="00944B6C"/>
    <w:rsid w:val="00944BE1"/>
    <w:rsid w:val="00944EB7"/>
    <w:rsid w:val="00944F82"/>
    <w:rsid w:val="009450F1"/>
    <w:rsid w:val="00945100"/>
    <w:rsid w:val="00945211"/>
    <w:rsid w:val="00945829"/>
    <w:rsid w:val="00945A7E"/>
    <w:rsid w:val="00945B42"/>
    <w:rsid w:val="00945D54"/>
    <w:rsid w:val="00946013"/>
    <w:rsid w:val="0094624A"/>
    <w:rsid w:val="009463C2"/>
    <w:rsid w:val="0094673E"/>
    <w:rsid w:val="0094684B"/>
    <w:rsid w:val="00946ABF"/>
    <w:rsid w:val="00946C21"/>
    <w:rsid w:val="00946CB4"/>
    <w:rsid w:val="00947403"/>
    <w:rsid w:val="009478DB"/>
    <w:rsid w:val="00947B36"/>
    <w:rsid w:val="00947CDD"/>
    <w:rsid w:val="00947D2C"/>
    <w:rsid w:val="00947E21"/>
    <w:rsid w:val="00950093"/>
    <w:rsid w:val="009500B6"/>
    <w:rsid w:val="00950818"/>
    <w:rsid w:val="00950FC9"/>
    <w:rsid w:val="00951107"/>
    <w:rsid w:val="0095122E"/>
    <w:rsid w:val="00951ED2"/>
    <w:rsid w:val="00951FFB"/>
    <w:rsid w:val="00952220"/>
    <w:rsid w:val="00952340"/>
    <w:rsid w:val="009524D2"/>
    <w:rsid w:val="009524EB"/>
    <w:rsid w:val="00952534"/>
    <w:rsid w:val="009526EA"/>
    <w:rsid w:val="009530B9"/>
    <w:rsid w:val="00953304"/>
    <w:rsid w:val="0095341E"/>
    <w:rsid w:val="00953C75"/>
    <w:rsid w:val="00954135"/>
    <w:rsid w:val="00954201"/>
    <w:rsid w:val="00954224"/>
    <w:rsid w:val="0095487F"/>
    <w:rsid w:val="009549EF"/>
    <w:rsid w:val="00954F5E"/>
    <w:rsid w:val="009550F7"/>
    <w:rsid w:val="00955394"/>
    <w:rsid w:val="00955446"/>
    <w:rsid w:val="00955A2E"/>
    <w:rsid w:val="00955A78"/>
    <w:rsid w:val="0095633F"/>
    <w:rsid w:val="009563D2"/>
    <w:rsid w:val="00956826"/>
    <w:rsid w:val="009569E8"/>
    <w:rsid w:val="00956A0C"/>
    <w:rsid w:val="00956A5B"/>
    <w:rsid w:val="00956AEC"/>
    <w:rsid w:val="00956BD9"/>
    <w:rsid w:val="00956E84"/>
    <w:rsid w:val="00956F08"/>
    <w:rsid w:val="00956F78"/>
    <w:rsid w:val="009573E8"/>
    <w:rsid w:val="00957670"/>
    <w:rsid w:val="00957955"/>
    <w:rsid w:val="00957D71"/>
    <w:rsid w:val="00957EA9"/>
    <w:rsid w:val="00957F70"/>
    <w:rsid w:val="009602DB"/>
    <w:rsid w:val="009602FE"/>
    <w:rsid w:val="00960717"/>
    <w:rsid w:val="00960C9A"/>
    <w:rsid w:val="0096118E"/>
    <w:rsid w:val="009617F6"/>
    <w:rsid w:val="00962239"/>
    <w:rsid w:val="00962489"/>
    <w:rsid w:val="009626FD"/>
    <w:rsid w:val="00962A05"/>
    <w:rsid w:val="00962AEA"/>
    <w:rsid w:val="00963A1C"/>
    <w:rsid w:val="00963BE5"/>
    <w:rsid w:val="00963D7C"/>
    <w:rsid w:val="009640BD"/>
    <w:rsid w:val="00964231"/>
    <w:rsid w:val="009642CC"/>
    <w:rsid w:val="00964570"/>
    <w:rsid w:val="00964D65"/>
    <w:rsid w:val="00964D98"/>
    <w:rsid w:val="00964E55"/>
    <w:rsid w:val="00964E8C"/>
    <w:rsid w:val="0096533D"/>
    <w:rsid w:val="00965381"/>
    <w:rsid w:val="0096571C"/>
    <w:rsid w:val="00965908"/>
    <w:rsid w:val="00965D73"/>
    <w:rsid w:val="009661D2"/>
    <w:rsid w:val="009663F4"/>
    <w:rsid w:val="00966825"/>
    <w:rsid w:val="00966F16"/>
    <w:rsid w:val="00966F57"/>
    <w:rsid w:val="00966F7B"/>
    <w:rsid w:val="00967306"/>
    <w:rsid w:val="00967357"/>
    <w:rsid w:val="0096741F"/>
    <w:rsid w:val="00967F3C"/>
    <w:rsid w:val="00970173"/>
    <w:rsid w:val="00970362"/>
    <w:rsid w:val="0097052A"/>
    <w:rsid w:val="0097055B"/>
    <w:rsid w:val="00970616"/>
    <w:rsid w:val="00970A51"/>
    <w:rsid w:val="00970A67"/>
    <w:rsid w:val="00970B14"/>
    <w:rsid w:val="00970DA4"/>
    <w:rsid w:val="0097174F"/>
    <w:rsid w:val="0097191F"/>
    <w:rsid w:val="00971E23"/>
    <w:rsid w:val="00971E6B"/>
    <w:rsid w:val="00972046"/>
    <w:rsid w:val="009721B7"/>
    <w:rsid w:val="00972373"/>
    <w:rsid w:val="009725F7"/>
    <w:rsid w:val="00972AF4"/>
    <w:rsid w:val="00972C86"/>
    <w:rsid w:val="00972DD7"/>
    <w:rsid w:val="009731C4"/>
    <w:rsid w:val="009737F9"/>
    <w:rsid w:val="00973A29"/>
    <w:rsid w:val="00973B10"/>
    <w:rsid w:val="00973CFD"/>
    <w:rsid w:val="00973F8E"/>
    <w:rsid w:val="009746CB"/>
    <w:rsid w:val="009749BC"/>
    <w:rsid w:val="00974CA2"/>
    <w:rsid w:val="00974E64"/>
    <w:rsid w:val="0097505C"/>
    <w:rsid w:val="009751F9"/>
    <w:rsid w:val="0097567C"/>
    <w:rsid w:val="009758D9"/>
    <w:rsid w:val="00975A92"/>
    <w:rsid w:val="00975FD5"/>
    <w:rsid w:val="009762AC"/>
    <w:rsid w:val="00976477"/>
    <w:rsid w:val="00976594"/>
    <w:rsid w:val="009765FB"/>
    <w:rsid w:val="00976B43"/>
    <w:rsid w:val="00976C7B"/>
    <w:rsid w:val="00977547"/>
    <w:rsid w:val="00977AB3"/>
    <w:rsid w:val="00977F06"/>
    <w:rsid w:val="0098005A"/>
    <w:rsid w:val="0098012B"/>
    <w:rsid w:val="0098070C"/>
    <w:rsid w:val="00980879"/>
    <w:rsid w:val="009809F6"/>
    <w:rsid w:val="00980CF3"/>
    <w:rsid w:val="00980FD7"/>
    <w:rsid w:val="00981442"/>
    <w:rsid w:val="0098154D"/>
    <w:rsid w:val="00981A96"/>
    <w:rsid w:val="00981F3C"/>
    <w:rsid w:val="009826A9"/>
    <w:rsid w:val="00982836"/>
    <w:rsid w:val="00982A64"/>
    <w:rsid w:val="00982A70"/>
    <w:rsid w:val="00982CC2"/>
    <w:rsid w:val="00982D6E"/>
    <w:rsid w:val="00982E89"/>
    <w:rsid w:val="00982EE0"/>
    <w:rsid w:val="0098308B"/>
    <w:rsid w:val="009833A4"/>
    <w:rsid w:val="00983487"/>
    <w:rsid w:val="0098388B"/>
    <w:rsid w:val="00983992"/>
    <w:rsid w:val="00983C51"/>
    <w:rsid w:val="0098418B"/>
    <w:rsid w:val="009842D2"/>
    <w:rsid w:val="00984736"/>
    <w:rsid w:val="00984C14"/>
    <w:rsid w:val="00984CF3"/>
    <w:rsid w:val="00985027"/>
    <w:rsid w:val="00985396"/>
    <w:rsid w:val="009858DC"/>
    <w:rsid w:val="00985B01"/>
    <w:rsid w:val="00985B4C"/>
    <w:rsid w:val="00985B93"/>
    <w:rsid w:val="00985F8C"/>
    <w:rsid w:val="00986140"/>
    <w:rsid w:val="009862B6"/>
    <w:rsid w:val="009864C1"/>
    <w:rsid w:val="00986808"/>
    <w:rsid w:val="00986985"/>
    <w:rsid w:val="00986CD9"/>
    <w:rsid w:val="0098713D"/>
    <w:rsid w:val="00987469"/>
    <w:rsid w:val="00987AA8"/>
    <w:rsid w:val="00987CFB"/>
    <w:rsid w:val="00990220"/>
    <w:rsid w:val="00990302"/>
    <w:rsid w:val="0099044E"/>
    <w:rsid w:val="00990DCE"/>
    <w:rsid w:val="009914C3"/>
    <w:rsid w:val="009914FD"/>
    <w:rsid w:val="00991609"/>
    <w:rsid w:val="009916C8"/>
    <w:rsid w:val="009916CF"/>
    <w:rsid w:val="0099175B"/>
    <w:rsid w:val="00991F8B"/>
    <w:rsid w:val="0099204A"/>
    <w:rsid w:val="009921C6"/>
    <w:rsid w:val="009922EF"/>
    <w:rsid w:val="0099234D"/>
    <w:rsid w:val="0099286C"/>
    <w:rsid w:val="00992879"/>
    <w:rsid w:val="0099291B"/>
    <w:rsid w:val="00993126"/>
    <w:rsid w:val="0099317C"/>
    <w:rsid w:val="00993315"/>
    <w:rsid w:val="009936F9"/>
    <w:rsid w:val="00993959"/>
    <w:rsid w:val="00993D63"/>
    <w:rsid w:val="0099406B"/>
    <w:rsid w:val="009941BE"/>
    <w:rsid w:val="00994575"/>
    <w:rsid w:val="00994A56"/>
    <w:rsid w:val="009962FF"/>
    <w:rsid w:val="009963B6"/>
    <w:rsid w:val="009965D2"/>
    <w:rsid w:val="0099673D"/>
    <w:rsid w:val="00996AFF"/>
    <w:rsid w:val="00996FC9"/>
    <w:rsid w:val="00997321"/>
    <w:rsid w:val="00997676"/>
    <w:rsid w:val="0099777D"/>
    <w:rsid w:val="00997BFD"/>
    <w:rsid w:val="00997F64"/>
    <w:rsid w:val="009A0483"/>
    <w:rsid w:val="009A055A"/>
    <w:rsid w:val="009A0707"/>
    <w:rsid w:val="009A09A9"/>
    <w:rsid w:val="009A0A9E"/>
    <w:rsid w:val="009A0B19"/>
    <w:rsid w:val="009A0E86"/>
    <w:rsid w:val="009A12C1"/>
    <w:rsid w:val="009A1AFC"/>
    <w:rsid w:val="009A2125"/>
    <w:rsid w:val="009A2170"/>
    <w:rsid w:val="009A22A7"/>
    <w:rsid w:val="009A2772"/>
    <w:rsid w:val="009A302D"/>
    <w:rsid w:val="009A349A"/>
    <w:rsid w:val="009A3766"/>
    <w:rsid w:val="009A3961"/>
    <w:rsid w:val="009A3B97"/>
    <w:rsid w:val="009A3E7B"/>
    <w:rsid w:val="009A40D8"/>
    <w:rsid w:val="009A424E"/>
    <w:rsid w:val="009A47B8"/>
    <w:rsid w:val="009A480F"/>
    <w:rsid w:val="009A49EC"/>
    <w:rsid w:val="009A4D30"/>
    <w:rsid w:val="009A50A5"/>
    <w:rsid w:val="009A5130"/>
    <w:rsid w:val="009A55C3"/>
    <w:rsid w:val="009A55C6"/>
    <w:rsid w:val="009A5872"/>
    <w:rsid w:val="009A5913"/>
    <w:rsid w:val="009A5BF8"/>
    <w:rsid w:val="009A6144"/>
    <w:rsid w:val="009A6263"/>
    <w:rsid w:val="009A6397"/>
    <w:rsid w:val="009A65E6"/>
    <w:rsid w:val="009A6BEE"/>
    <w:rsid w:val="009A6BF6"/>
    <w:rsid w:val="009A6D5E"/>
    <w:rsid w:val="009A6E2C"/>
    <w:rsid w:val="009A6F58"/>
    <w:rsid w:val="009A6FDC"/>
    <w:rsid w:val="009A7566"/>
    <w:rsid w:val="009A7A0D"/>
    <w:rsid w:val="009A7C04"/>
    <w:rsid w:val="009A7D9C"/>
    <w:rsid w:val="009B0135"/>
    <w:rsid w:val="009B02AF"/>
    <w:rsid w:val="009B04A5"/>
    <w:rsid w:val="009B0993"/>
    <w:rsid w:val="009B0E87"/>
    <w:rsid w:val="009B119D"/>
    <w:rsid w:val="009B1221"/>
    <w:rsid w:val="009B1ACD"/>
    <w:rsid w:val="009B1EC3"/>
    <w:rsid w:val="009B25A6"/>
    <w:rsid w:val="009B26D4"/>
    <w:rsid w:val="009B285F"/>
    <w:rsid w:val="009B300D"/>
    <w:rsid w:val="009B34AD"/>
    <w:rsid w:val="009B3C88"/>
    <w:rsid w:val="009B3CAF"/>
    <w:rsid w:val="009B418E"/>
    <w:rsid w:val="009B4588"/>
    <w:rsid w:val="009B473F"/>
    <w:rsid w:val="009B4ABE"/>
    <w:rsid w:val="009B4E91"/>
    <w:rsid w:val="009B522F"/>
    <w:rsid w:val="009B5869"/>
    <w:rsid w:val="009B58D7"/>
    <w:rsid w:val="009B5A03"/>
    <w:rsid w:val="009B5BC2"/>
    <w:rsid w:val="009B5C98"/>
    <w:rsid w:val="009B5E34"/>
    <w:rsid w:val="009B6125"/>
    <w:rsid w:val="009B61FF"/>
    <w:rsid w:val="009B631B"/>
    <w:rsid w:val="009B64E2"/>
    <w:rsid w:val="009B65C3"/>
    <w:rsid w:val="009B66FA"/>
    <w:rsid w:val="009B6D16"/>
    <w:rsid w:val="009B71B8"/>
    <w:rsid w:val="009B7439"/>
    <w:rsid w:val="009B751D"/>
    <w:rsid w:val="009B76C6"/>
    <w:rsid w:val="009B77BC"/>
    <w:rsid w:val="009B7B6C"/>
    <w:rsid w:val="009B7F71"/>
    <w:rsid w:val="009B7F74"/>
    <w:rsid w:val="009C011B"/>
    <w:rsid w:val="009C0D03"/>
    <w:rsid w:val="009C18B7"/>
    <w:rsid w:val="009C1BDB"/>
    <w:rsid w:val="009C1D25"/>
    <w:rsid w:val="009C20FF"/>
    <w:rsid w:val="009C23FC"/>
    <w:rsid w:val="009C24C8"/>
    <w:rsid w:val="009C24D8"/>
    <w:rsid w:val="009C2563"/>
    <w:rsid w:val="009C28D5"/>
    <w:rsid w:val="009C2A4B"/>
    <w:rsid w:val="009C2D71"/>
    <w:rsid w:val="009C34CC"/>
    <w:rsid w:val="009C3548"/>
    <w:rsid w:val="009C371F"/>
    <w:rsid w:val="009C3859"/>
    <w:rsid w:val="009C38A2"/>
    <w:rsid w:val="009C39CF"/>
    <w:rsid w:val="009C3A7D"/>
    <w:rsid w:val="009C3AD3"/>
    <w:rsid w:val="009C3B12"/>
    <w:rsid w:val="009C426E"/>
    <w:rsid w:val="009C42D8"/>
    <w:rsid w:val="009C455A"/>
    <w:rsid w:val="009C4698"/>
    <w:rsid w:val="009C4A72"/>
    <w:rsid w:val="009C5471"/>
    <w:rsid w:val="009C56E8"/>
    <w:rsid w:val="009C5F5A"/>
    <w:rsid w:val="009C5F9E"/>
    <w:rsid w:val="009C5FB8"/>
    <w:rsid w:val="009C672F"/>
    <w:rsid w:val="009C6D48"/>
    <w:rsid w:val="009C6D7B"/>
    <w:rsid w:val="009C6E6C"/>
    <w:rsid w:val="009C6F25"/>
    <w:rsid w:val="009C70DD"/>
    <w:rsid w:val="009C719A"/>
    <w:rsid w:val="009C72EB"/>
    <w:rsid w:val="009C7370"/>
    <w:rsid w:val="009C7DA4"/>
    <w:rsid w:val="009C7EFA"/>
    <w:rsid w:val="009D002A"/>
    <w:rsid w:val="009D00FA"/>
    <w:rsid w:val="009D053E"/>
    <w:rsid w:val="009D0548"/>
    <w:rsid w:val="009D0F15"/>
    <w:rsid w:val="009D124C"/>
    <w:rsid w:val="009D1739"/>
    <w:rsid w:val="009D17BE"/>
    <w:rsid w:val="009D2C4B"/>
    <w:rsid w:val="009D30E2"/>
    <w:rsid w:val="009D32FF"/>
    <w:rsid w:val="009D362C"/>
    <w:rsid w:val="009D363D"/>
    <w:rsid w:val="009D3817"/>
    <w:rsid w:val="009D43D6"/>
    <w:rsid w:val="009D4994"/>
    <w:rsid w:val="009D51B4"/>
    <w:rsid w:val="009D52B2"/>
    <w:rsid w:val="009D5C97"/>
    <w:rsid w:val="009D62A9"/>
    <w:rsid w:val="009D655C"/>
    <w:rsid w:val="009D679A"/>
    <w:rsid w:val="009D6923"/>
    <w:rsid w:val="009D6A29"/>
    <w:rsid w:val="009D6A80"/>
    <w:rsid w:val="009D6E68"/>
    <w:rsid w:val="009D6F9C"/>
    <w:rsid w:val="009D72AC"/>
    <w:rsid w:val="009D759E"/>
    <w:rsid w:val="009D7939"/>
    <w:rsid w:val="009D7BB7"/>
    <w:rsid w:val="009E06F0"/>
    <w:rsid w:val="009E0792"/>
    <w:rsid w:val="009E0B6F"/>
    <w:rsid w:val="009E1040"/>
    <w:rsid w:val="009E14AD"/>
    <w:rsid w:val="009E1AD9"/>
    <w:rsid w:val="009E1D05"/>
    <w:rsid w:val="009E23D6"/>
    <w:rsid w:val="009E259F"/>
    <w:rsid w:val="009E293E"/>
    <w:rsid w:val="009E2CB3"/>
    <w:rsid w:val="009E3349"/>
    <w:rsid w:val="009E342B"/>
    <w:rsid w:val="009E3BA1"/>
    <w:rsid w:val="009E436C"/>
    <w:rsid w:val="009E451F"/>
    <w:rsid w:val="009E4674"/>
    <w:rsid w:val="009E467E"/>
    <w:rsid w:val="009E4686"/>
    <w:rsid w:val="009E49FC"/>
    <w:rsid w:val="009E4B6C"/>
    <w:rsid w:val="009E4F07"/>
    <w:rsid w:val="009E53C3"/>
    <w:rsid w:val="009E5B6E"/>
    <w:rsid w:val="009E5E05"/>
    <w:rsid w:val="009E6548"/>
    <w:rsid w:val="009E6A8B"/>
    <w:rsid w:val="009E714A"/>
    <w:rsid w:val="009E761E"/>
    <w:rsid w:val="009E7A42"/>
    <w:rsid w:val="009E7ABF"/>
    <w:rsid w:val="009E7C39"/>
    <w:rsid w:val="009F0357"/>
    <w:rsid w:val="009F06B9"/>
    <w:rsid w:val="009F0D11"/>
    <w:rsid w:val="009F0D48"/>
    <w:rsid w:val="009F0F2A"/>
    <w:rsid w:val="009F0F32"/>
    <w:rsid w:val="009F11DF"/>
    <w:rsid w:val="009F1489"/>
    <w:rsid w:val="009F1A35"/>
    <w:rsid w:val="009F1D8D"/>
    <w:rsid w:val="009F2045"/>
    <w:rsid w:val="009F222E"/>
    <w:rsid w:val="009F2584"/>
    <w:rsid w:val="009F2BC7"/>
    <w:rsid w:val="009F2D87"/>
    <w:rsid w:val="009F2F68"/>
    <w:rsid w:val="009F2FBD"/>
    <w:rsid w:val="009F4569"/>
    <w:rsid w:val="009F4C90"/>
    <w:rsid w:val="009F4E5F"/>
    <w:rsid w:val="009F4EDE"/>
    <w:rsid w:val="009F503F"/>
    <w:rsid w:val="009F5887"/>
    <w:rsid w:val="009F5BC7"/>
    <w:rsid w:val="009F604E"/>
    <w:rsid w:val="009F63D8"/>
    <w:rsid w:val="009F696D"/>
    <w:rsid w:val="009F6A39"/>
    <w:rsid w:val="009F6BC6"/>
    <w:rsid w:val="009F6D2C"/>
    <w:rsid w:val="009F73DD"/>
    <w:rsid w:val="009F7629"/>
    <w:rsid w:val="009F7892"/>
    <w:rsid w:val="009F7A8F"/>
    <w:rsid w:val="009F7DE6"/>
    <w:rsid w:val="00A00951"/>
    <w:rsid w:val="00A00AB0"/>
    <w:rsid w:val="00A00C40"/>
    <w:rsid w:val="00A00E3B"/>
    <w:rsid w:val="00A00ED9"/>
    <w:rsid w:val="00A01217"/>
    <w:rsid w:val="00A014E8"/>
    <w:rsid w:val="00A0161E"/>
    <w:rsid w:val="00A01638"/>
    <w:rsid w:val="00A016B7"/>
    <w:rsid w:val="00A01758"/>
    <w:rsid w:val="00A01B08"/>
    <w:rsid w:val="00A01B5A"/>
    <w:rsid w:val="00A021FA"/>
    <w:rsid w:val="00A023BB"/>
    <w:rsid w:val="00A02563"/>
    <w:rsid w:val="00A02800"/>
    <w:rsid w:val="00A02942"/>
    <w:rsid w:val="00A02B34"/>
    <w:rsid w:val="00A02B91"/>
    <w:rsid w:val="00A0372C"/>
    <w:rsid w:val="00A03A7F"/>
    <w:rsid w:val="00A03D43"/>
    <w:rsid w:val="00A03D7E"/>
    <w:rsid w:val="00A03EDA"/>
    <w:rsid w:val="00A03F07"/>
    <w:rsid w:val="00A043C1"/>
    <w:rsid w:val="00A043E8"/>
    <w:rsid w:val="00A0457C"/>
    <w:rsid w:val="00A04611"/>
    <w:rsid w:val="00A0470D"/>
    <w:rsid w:val="00A0483A"/>
    <w:rsid w:val="00A05466"/>
    <w:rsid w:val="00A0565F"/>
    <w:rsid w:val="00A0592F"/>
    <w:rsid w:val="00A05BD3"/>
    <w:rsid w:val="00A05DD5"/>
    <w:rsid w:val="00A05EF1"/>
    <w:rsid w:val="00A0633F"/>
    <w:rsid w:val="00A06389"/>
    <w:rsid w:val="00A063D9"/>
    <w:rsid w:val="00A0640E"/>
    <w:rsid w:val="00A06AAB"/>
    <w:rsid w:val="00A072EA"/>
    <w:rsid w:val="00A07416"/>
    <w:rsid w:val="00A07708"/>
    <w:rsid w:val="00A07882"/>
    <w:rsid w:val="00A0796B"/>
    <w:rsid w:val="00A07F9A"/>
    <w:rsid w:val="00A100A4"/>
    <w:rsid w:val="00A10374"/>
    <w:rsid w:val="00A1045A"/>
    <w:rsid w:val="00A1072E"/>
    <w:rsid w:val="00A10BB8"/>
    <w:rsid w:val="00A10F67"/>
    <w:rsid w:val="00A10F68"/>
    <w:rsid w:val="00A11155"/>
    <w:rsid w:val="00A11723"/>
    <w:rsid w:val="00A11B36"/>
    <w:rsid w:val="00A120A4"/>
    <w:rsid w:val="00A121CB"/>
    <w:rsid w:val="00A12808"/>
    <w:rsid w:val="00A12A16"/>
    <w:rsid w:val="00A1303A"/>
    <w:rsid w:val="00A130DF"/>
    <w:rsid w:val="00A13557"/>
    <w:rsid w:val="00A13745"/>
    <w:rsid w:val="00A139D8"/>
    <w:rsid w:val="00A13B0A"/>
    <w:rsid w:val="00A13B89"/>
    <w:rsid w:val="00A13DE3"/>
    <w:rsid w:val="00A14122"/>
    <w:rsid w:val="00A1415B"/>
    <w:rsid w:val="00A1417D"/>
    <w:rsid w:val="00A145C3"/>
    <w:rsid w:val="00A145E9"/>
    <w:rsid w:val="00A14845"/>
    <w:rsid w:val="00A14D91"/>
    <w:rsid w:val="00A14DBC"/>
    <w:rsid w:val="00A14E32"/>
    <w:rsid w:val="00A1557E"/>
    <w:rsid w:val="00A15838"/>
    <w:rsid w:val="00A1598A"/>
    <w:rsid w:val="00A15FA1"/>
    <w:rsid w:val="00A160D9"/>
    <w:rsid w:val="00A16567"/>
    <w:rsid w:val="00A16760"/>
    <w:rsid w:val="00A167C8"/>
    <w:rsid w:val="00A16A2B"/>
    <w:rsid w:val="00A16FD5"/>
    <w:rsid w:val="00A1701B"/>
    <w:rsid w:val="00A1707B"/>
    <w:rsid w:val="00A17328"/>
    <w:rsid w:val="00A173B8"/>
    <w:rsid w:val="00A17424"/>
    <w:rsid w:val="00A17B9A"/>
    <w:rsid w:val="00A17C2C"/>
    <w:rsid w:val="00A201B6"/>
    <w:rsid w:val="00A203E2"/>
    <w:rsid w:val="00A20489"/>
    <w:rsid w:val="00A20761"/>
    <w:rsid w:val="00A20A3F"/>
    <w:rsid w:val="00A20CF3"/>
    <w:rsid w:val="00A20F78"/>
    <w:rsid w:val="00A20F8D"/>
    <w:rsid w:val="00A2112D"/>
    <w:rsid w:val="00A215CA"/>
    <w:rsid w:val="00A215E0"/>
    <w:rsid w:val="00A217E2"/>
    <w:rsid w:val="00A219BD"/>
    <w:rsid w:val="00A219F3"/>
    <w:rsid w:val="00A21A9F"/>
    <w:rsid w:val="00A21E29"/>
    <w:rsid w:val="00A21E99"/>
    <w:rsid w:val="00A220D9"/>
    <w:rsid w:val="00A2213E"/>
    <w:rsid w:val="00A22788"/>
    <w:rsid w:val="00A22922"/>
    <w:rsid w:val="00A22BB3"/>
    <w:rsid w:val="00A23035"/>
    <w:rsid w:val="00A23C6D"/>
    <w:rsid w:val="00A24131"/>
    <w:rsid w:val="00A2445B"/>
    <w:rsid w:val="00A24994"/>
    <w:rsid w:val="00A249D5"/>
    <w:rsid w:val="00A24EDD"/>
    <w:rsid w:val="00A251F9"/>
    <w:rsid w:val="00A253D7"/>
    <w:rsid w:val="00A258B7"/>
    <w:rsid w:val="00A259C1"/>
    <w:rsid w:val="00A25FDF"/>
    <w:rsid w:val="00A25FFE"/>
    <w:rsid w:val="00A26973"/>
    <w:rsid w:val="00A269EF"/>
    <w:rsid w:val="00A26D20"/>
    <w:rsid w:val="00A26F1D"/>
    <w:rsid w:val="00A2703A"/>
    <w:rsid w:val="00A27952"/>
    <w:rsid w:val="00A30528"/>
    <w:rsid w:val="00A3073B"/>
    <w:rsid w:val="00A30D99"/>
    <w:rsid w:val="00A31386"/>
    <w:rsid w:val="00A315E8"/>
    <w:rsid w:val="00A31922"/>
    <w:rsid w:val="00A31CAD"/>
    <w:rsid w:val="00A31F7F"/>
    <w:rsid w:val="00A32587"/>
    <w:rsid w:val="00A326CC"/>
    <w:rsid w:val="00A32732"/>
    <w:rsid w:val="00A32AE5"/>
    <w:rsid w:val="00A33121"/>
    <w:rsid w:val="00A331FA"/>
    <w:rsid w:val="00A335C3"/>
    <w:rsid w:val="00A3367E"/>
    <w:rsid w:val="00A33753"/>
    <w:rsid w:val="00A33B23"/>
    <w:rsid w:val="00A33D92"/>
    <w:rsid w:val="00A33DFF"/>
    <w:rsid w:val="00A34137"/>
    <w:rsid w:val="00A34198"/>
    <w:rsid w:val="00A34397"/>
    <w:rsid w:val="00A34E23"/>
    <w:rsid w:val="00A34F6A"/>
    <w:rsid w:val="00A34FFE"/>
    <w:rsid w:val="00A35006"/>
    <w:rsid w:val="00A35115"/>
    <w:rsid w:val="00A35335"/>
    <w:rsid w:val="00A35488"/>
    <w:rsid w:val="00A363DD"/>
    <w:rsid w:val="00A36559"/>
    <w:rsid w:val="00A374B5"/>
    <w:rsid w:val="00A37BAE"/>
    <w:rsid w:val="00A4064A"/>
    <w:rsid w:val="00A40A61"/>
    <w:rsid w:val="00A41643"/>
    <w:rsid w:val="00A4174A"/>
    <w:rsid w:val="00A418D6"/>
    <w:rsid w:val="00A4190B"/>
    <w:rsid w:val="00A41A1A"/>
    <w:rsid w:val="00A41BFA"/>
    <w:rsid w:val="00A41C6F"/>
    <w:rsid w:val="00A41D15"/>
    <w:rsid w:val="00A41E42"/>
    <w:rsid w:val="00A41EEE"/>
    <w:rsid w:val="00A422F6"/>
    <w:rsid w:val="00A426E3"/>
    <w:rsid w:val="00A42915"/>
    <w:rsid w:val="00A4291F"/>
    <w:rsid w:val="00A42B09"/>
    <w:rsid w:val="00A430AF"/>
    <w:rsid w:val="00A430DC"/>
    <w:rsid w:val="00A430FD"/>
    <w:rsid w:val="00A43322"/>
    <w:rsid w:val="00A4341F"/>
    <w:rsid w:val="00A43424"/>
    <w:rsid w:val="00A4346D"/>
    <w:rsid w:val="00A434F9"/>
    <w:rsid w:val="00A43567"/>
    <w:rsid w:val="00A4366A"/>
    <w:rsid w:val="00A43AE2"/>
    <w:rsid w:val="00A43B15"/>
    <w:rsid w:val="00A43D82"/>
    <w:rsid w:val="00A440CD"/>
    <w:rsid w:val="00A44383"/>
    <w:rsid w:val="00A443BF"/>
    <w:rsid w:val="00A44551"/>
    <w:rsid w:val="00A44775"/>
    <w:rsid w:val="00A44936"/>
    <w:rsid w:val="00A44C93"/>
    <w:rsid w:val="00A45158"/>
    <w:rsid w:val="00A4538B"/>
    <w:rsid w:val="00A453D0"/>
    <w:rsid w:val="00A4558F"/>
    <w:rsid w:val="00A456A2"/>
    <w:rsid w:val="00A45735"/>
    <w:rsid w:val="00A457A7"/>
    <w:rsid w:val="00A457F5"/>
    <w:rsid w:val="00A4595E"/>
    <w:rsid w:val="00A45995"/>
    <w:rsid w:val="00A461EF"/>
    <w:rsid w:val="00A46403"/>
    <w:rsid w:val="00A465EF"/>
    <w:rsid w:val="00A466D6"/>
    <w:rsid w:val="00A468D4"/>
    <w:rsid w:val="00A46B60"/>
    <w:rsid w:val="00A46E6C"/>
    <w:rsid w:val="00A4712C"/>
    <w:rsid w:val="00A47178"/>
    <w:rsid w:val="00A4729F"/>
    <w:rsid w:val="00A4751A"/>
    <w:rsid w:val="00A4796E"/>
    <w:rsid w:val="00A47A8E"/>
    <w:rsid w:val="00A47FEC"/>
    <w:rsid w:val="00A501AF"/>
    <w:rsid w:val="00A501E7"/>
    <w:rsid w:val="00A5036B"/>
    <w:rsid w:val="00A503C9"/>
    <w:rsid w:val="00A505E8"/>
    <w:rsid w:val="00A505F8"/>
    <w:rsid w:val="00A50C0E"/>
    <w:rsid w:val="00A50DE6"/>
    <w:rsid w:val="00A50ECC"/>
    <w:rsid w:val="00A510AC"/>
    <w:rsid w:val="00A51558"/>
    <w:rsid w:val="00A516AE"/>
    <w:rsid w:val="00A51ADD"/>
    <w:rsid w:val="00A522FC"/>
    <w:rsid w:val="00A524AC"/>
    <w:rsid w:val="00A524CE"/>
    <w:rsid w:val="00A5268E"/>
    <w:rsid w:val="00A52DCE"/>
    <w:rsid w:val="00A531AC"/>
    <w:rsid w:val="00A53587"/>
    <w:rsid w:val="00A53769"/>
    <w:rsid w:val="00A53ABE"/>
    <w:rsid w:val="00A53DCC"/>
    <w:rsid w:val="00A540DD"/>
    <w:rsid w:val="00A54442"/>
    <w:rsid w:val="00A5448E"/>
    <w:rsid w:val="00A5470F"/>
    <w:rsid w:val="00A549D4"/>
    <w:rsid w:val="00A55014"/>
    <w:rsid w:val="00A554AB"/>
    <w:rsid w:val="00A55574"/>
    <w:rsid w:val="00A55906"/>
    <w:rsid w:val="00A55954"/>
    <w:rsid w:val="00A55A37"/>
    <w:rsid w:val="00A55BF5"/>
    <w:rsid w:val="00A55F2C"/>
    <w:rsid w:val="00A56216"/>
    <w:rsid w:val="00A56AB3"/>
    <w:rsid w:val="00A56EB6"/>
    <w:rsid w:val="00A5736B"/>
    <w:rsid w:val="00A574E4"/>
    <w:rsid w:val="00A57514"/>
    <w:rsid w:val="00A6034D"/>
    <w:rsid w:val="00A60454"/>
    <w:rsid w:val="00A6068C"/>
    <w:rsid w:val="00A606B1"/>
    <w:rsid w:val="00A6115E"/>
    <w:rsid w:val="00A6134D"/>
    <w:rsid w:val="00A613A4"/>
    <w:rsid w:val="00A615A5"/>
    <w:rsid w:val="00A6175E"/>
    <w:rsid w:val="00A61ADF"/>
    <w:rsid w:val="00A61D9C"/>
    <w:rsid w:val="00A61DF1"/>
    <w:rsid w:val="00A61E14"/>
    <w:rsid w:val="00A621A5"/>
    <w:rsid w:val="00A62221"/>
    <w:rsid w:val="00A62222"/>
    <w:rsid w:val="00A629CD"/>
    <w:rsid w:val="00A62C2E"/>
    <w:rsid w:val="00A6307B"/>
    <w:rsid w:val="00A632BE"/>
    <w:rsid w:val="00A63750"/>
    <w:rsid w:val="00A63AD0"/>
    <w:rsid w:val="00A64331"/>
    <w:rsid w:val="00A646A4"/>
    <w:rsid w:val="00A64925"/>
    <w:rsid w:val="00A64C65"/>
    <w:rsid w:val="00A64CCB"/>
    <w:rsid w:val="00A65142"/>
    <w:rsid w:val="00A656E3"/>
    <w:rsid w:val="00A65929"/>
    <w:rsid w:val="00A65CF7"/>
    <w:rsid w:val="00A65CF9"/>
    <w:rsid w:val="00A66561"/>
    <w:rsid w:val="00A66A4C"/>
    <w:rsid w:val="00A66F04"/>
    <w:rsid w:val="00A70131"/>
    <w:rsid w:val="00A702CB"/>
    <w:rsid w:val="00A703F4"/>
    <w:rsid w:val="00A7040A"/>
    <w:rsid w:val="00A70809"/>
    <w:rsid w:val="00A70AD3"/>
    <w:rsid w:val="00A712F4"/>
    <w:rsid w:val="00A7138F"/>
    <w:rsid w:val="00A715CA"/>
    <w:rsid w:val="00A719A7"/>
    <w:rsid w:val="00A71DD5"/>
    <w:rsid w:val="00A726E7"/>
    <w:rsid w:val="00A7282A"/>
    <w:rsid w:val="00A72908"/>
    <w:rsid w:val="00A7330C"/>
    <w:rsid w:val="00A734CD"/>
    <w:rsid w:val="00A7354D"/>
    <w:rsid w:val="00A73853"/>
    <w:rsid w:val="00A739CA"/>
    <w:rsid w:val="00A73E21"/>
    <w:rsid w:val="00A73EF7"/>
    <w:rsid w:val="00A741E7"/>
    <w:rsid w:val="00A741EC"/>
    <w:rsid w:val="00A741FD"/>
    <w:rsid w:val="00A7432F"/>
    <w:rsid w:val="00A74418"/>
    <w:rsid w:val="00A74535"/>
    <w:rsid w:val="00A748F2"/>
    <w:rsid w:val="00A74B45"/>
    <w:rsid w:val="00A74FF3"/>
    <w:rsid w:val="00A74FF4"/>
    <w:rsid w:val="00A7501C"/>
    <w:rsid w:val="00A75226"/>
    <w:rsid w:val="00A75285"/>
    <w:rsid w:val="00A7555C"/>
    <w:rsid w:val="00A75727"/>
    <w:rsid w:val="00A7611D"/>
    <w:rsid w:val="00A76330"/>
    <w:rsid w:val="00A7634A"/>
    <w:rsid w:val="00A76AED"/>
    <w:rsid w:val="00A76B62"/>
    <w:rsid w:val="00A76D5B"/>
    <w:rsid w:val="00A76DBC"/>
    <w:rsid w:val="00A76F74"/>
    <w:rsid w:val="00A772FB"/>
    <w:rsid w:val="00A77457"/>
    <w:rsid w:val="00A77631"/>
    <w:rsid w:val="00A7767D"/>
    <w:rsid w:val="00A77995"/>
    <w:rsid w:val="00A779EA"/>
    <w:rsid w:val="00A77C88"/>
    <w:rsid w:val="00A80532"/>
    <w:rsid w:val="00A80DFC"/>
    <w:rsid w:val="00A81316"/>
    <w:rsid w:val="00A813C3"/>
    <w:rsid w:val="00A816AA"/>
    <w:rsid w:val="00A81B7A"/>
    <w:rsid w:val="00A8202A"/>
    <w:rsid w:val="00A82051"/>
    <w:rsid w:val="00A821D5"/>
    <w:rsid w:val="00A823F5"/>
    <w:rsid w:val="00A82D67"/>
    <w:rsid w:val="00A83542"/>
    <w:rsid w:val="00A83712"/>
    <w:rsid w:val="00A83B2D"/>
    <w:rsid w:val="00A8428A"/>
    <w:rsid w:val="00A8432E"/>
    <w:rsid w:val="00A84371"/>
    <w:rsid w:val="00A8450A"/>
    <w:rsid w:val="00A8490B"/>
    <w:rsid w:val="00A84C9D"/>
    <w:rsid w:val="00A84DF1"/>
    <w:rsid w:val="00A850A1"/>
    <w:rsid w:val="00A85404"/>
    <w:rsid w:val="00A85A3A"/>
    <w:rsid w:val="00A85E87"/>
    <w:rsid w:val="00A85F9A"/>
    <w:rsid w:val="00A86095"/>
    <w:rsid w:val="00A867F8"/>
    <w:rsid w:val="00A86B94"/>
    <w:rsid w:val="00A86C04"/>
    <w:rsid w:val="00A87020"/>
    <w:rsid w:val="00A87197"/>
    <w:rsid w:val="00A87A6F"/>
    <w:rsid w:val="00A87A86"/>
    <w:rsid w:val="00A87D14"/>
    <w:rsid w:val="00A90600"/>
    <w:rsid w:val="00A9079B"/>
    <w:rsid w:val="00A90861"/>
    <w:rsid w:val="00A909D8"/>
    <w:rsid w:val="00A9127D"/>
    <w:rsid w:val="00A912E2"/>
    <w:rsid w:val="00A9149D"/>
    <w:rsid w:val="00A9159D"/>
    <w:rsid w:val="00A91958"/>
    <w:rsid w:val="00A91F55"/>
    <w:rsid w:val="00A92955"/>
    <w:rsid w:val="00A92B6D"/>
    <w:rsid w:val="00A92CC0"/>
    <w:rsid w:val="00A92DA9"/>
    <w:rsid w:val="00A93228"/>
    <w:rsid w:val="00A93682"/>
    <w:rsid w:val="00A93C22"/>
    <w:rsid w:val="00A942F3"/>
    <w:rsid w:val="00A94585"/>
    <w:rsid w:val="00A94597"/>
    <w:rsid w:val="00A947C6"/>
    <w:rsid w:val="00A949D5"/>
    <w:rsid w:val="00A94C2B"/>
    <w:rsid w:val="00A94C8C"/>
    <w:rsid w:val="00A94DCA"/>
    <w:rsid w:val="00A94FA6"/>
    <w:rsid w:val="00A95236"/>
    <w:rsid w:val="00A9526B"/>
    <w:rsid w:val="00A9552F"/>
    <w:rsid w:val="00A955E5"/>
    <w:rsid w:val="00A95DA6"/>
    <w:rsid w:val="00A962FD"/>
    <w:rsid w:val="00A9636D"/>
    <w:rsid w:val="00A9668F"/>
    <w:rsid w:val="00A96C78"/>
    <w:rsid w:val="00A96EA8"/>
    <w:rsid w:val="00A971C0"/>
    <w:rsid w:val="00A97553"/>
    <w:rsid w:val="00A977CA"/>
    <w:rsid w:val="00A97FB6"/>
    <w:rsid w:val="00AA03FF"/>
    <w:rsid w:val="00AA0960"/>
    <w:rsid w:val="00AA0AC1"/>
    <w:rsid w:val="00AA12D1"/>
    <w:rsid w:val="00AA14A7"/>
    <w:rsid w:val="00AA1A87"/>
    <w:rsid w:val="00AA1AE6"/>
    <w:rsid w:val="00AA22B4"/>
    <w:rsid w:val="00AA27A7"/>
    <w:rsid w:val="00AA2894"/>
    <w:rsid w:val="00AA2927"/>
    <w:rsid w:val="00AA3339"/>
    <w:rsid w:val="00AA36CF"/>
    <w:rsid w:val="00AA376D"/>
    <w:rsid w:val="00AA39D3"/>
    <w:rsid w:val="00AA3A68"/>
    <w:rsid w:val="00AA3A73"/>
    <w:rsid w:val="00AA4D3D"/>
    <w:rsid w:val="00AA4DC9"/>
    <w:rsid w:val="00AA4FB9"/>
    <w:rsid w:val="00AA50D8"/>
    <w:rsid w:val="00AA55A1"/>
    <w:rsid w:val="00AA5693"/>
    <w:rsid w:val="00AA5744"/>
    <w:rsid w:val="00AA5A26"/>
    <w:rsid w:val="00AA6710"/>
    <w:rsid w:val="00AA67D6"/>
    <w:rsid w:val="00AA6BC6"/>
    <w:rsid w:val="00AA6FBB"/>
    <w:rsid w:val="00AA770E"/>
    <w:rsid w:val="00AB01E2"/>
    <w:rsid w:val="00AB0431"/>
    <w:rsid w:val="00AB0681"/>
    <w:rsid w:val="00AB06E8"/>
    <w:rsid w:val="00AB08D4"/>
    <w:rsid w:val="00AB0B11"/>
    <w:rsid w:val="00AB0F13"/>
    <w:rsid w:val="00AB0F14"/>
    <w:rsid w:val="00AB0F37"/>
    <w:rsid w:val="00AB0FE7"/>
    <w:rsid w:val="00AB1029"/>
    <w:rsid w:val="00AB15DA"/>
    <w:rsid w:val="00AB1898"/>
    <w:rsid w:val="00AB1BC4"/>
    <w:rsid w:val="00AB213A"/>
    <w:rsid w:val="00AB22B2"/>
    <w:rsid w:val="00AB240A"/>
    <w:rsid w:val="00AB2CBD"/>
    <w:rsid w:val="00AB2F2B"/>
    <w:rsid w:val="00AB384A"/>
    <w:rsid w:val="00AB3941"/>
    <w:rsid w:val="00AB3D56"/>
    <w:rsid w:val="00AB43B0"/>
    <w:rsid w:val="00AB45FF"/>
    <w:rsid w:val="00AB4AA8"/>
    <w:rsid w:val="00AB4BA1"/>
    <w:rsid w:val="00AB5020"/>
    <w:rsid w:val="00AB520B"/>
    <w:rsid w:val="00AB582F"/>
    <w:rsid w:val="00AB5842"/>
    <w:rsid w:val="00AB5954"/>
    <w:rsid w:val="00AB59B6"/>
    <w:rsid w:val="00AB5D28"/>
    <w:rsid w:val="00AB672C"/>
    <w:rsid w:val="00AB6883"/>
    <w:rsid w:val="00AB6FE5"/>
    <w:rsid w:val="00AB705E"/>
    <w:rsid w:val="00AB71B8"/>
    <w:rsid w:val="00AB77F2"/>
    <w:rsid w:val="00AC00AC"/>
    <w:rsid w:val="00AC02D0"/>
    <w:rsid w:val="00AC089E"/>
    <w:rsid w:val="00AC0E0D"/>
    <w:rsid w:val="00AC0EF9"/>
    <w:rsid w:val="00AC0EFD"/>
    <w:rsid w:val="00AC10DB"/>
    <w:rsid w:val="00AC13F6"/>
    <w:rsid w:val="00AC15CF"/>
    <w:rsid w:val="00AC1B3A"/>
    <w:rsid w:val="00AC1B57"/>
    <w:rsid w:val="00AC1DAB"/>
    <w:rsid w:val="00AC2383"/>
    <w:rsid w:val="00AC257D"/>
    <w:rsid w:val="00AC2616"/>
    <w:rsid w:val="00AC2B16"/>
    <w:rsid w:val="00AC2FE6"/>
    <w:rsid w:val="00AC31B2"/>
    <w:rsid w:val="00AC33DA"/>
    <w:rsid w:val="00AC35FF"/>
    <w:rsid w:val="00AC3B80"/>
    <w:rsid w:val="00AC3C91"/>
    <w:rsid w:val="00AC4497"/>
    <w:rsid w:val="00AC459C"/>
    <w:rsid w:val="00AC47B6"/>
    <w:rsid w:val="00AC48D7"/>
    <w:rsid w:val="00AC5056"/>
    <w:rsid w:val="00AC5313"/>
    <w:rsid w:val="00AC5697"/>
    <w:rsid w:val="00AC5719"/>
    <w:rsid w:val="00AC5966"/>
    <w:rsid w:val="00AC59D6"/>
    <w:rsid w:val="00AC5BCF"/>
    <w:rsid w:val="00AC6062"/>
    <w:rsid w:val="00AC63C4"/>
    <w:rsid w:val="00AC6559"/>
    <w:rsid w:val="00AC6710"/>
    <w:rsid w:val="00AC71E3"/>
    <w:rsid w:val="00AC72E3"/>
    <w:rsid w:val="00AC7569"/>
    <w:rsid w:val="00AC7746"/>
    <w:rsid w:val="00AD0234"/>
    <w:rsid w:val="00AD0329"/>
    <w:rsid w:val="00AD0FEE"/>
    <w:rsid w:val="00AD1292"/>
    <w:rsid w:val="00AD1829"/>
    <w:rsid w:val="00AD19CF"/>
    <w:rsid w:val="00AD1D01"/>
    <w:rsid w:val="00AD1DA7"/>
    <w:rsid w:val="00AD1EDF"/>
    <w:rsid w:val="00AD1F6E"/>
    <w:rsid w:val="00AD21BE"/>
    <w:rsid w:val="00AD2243"/>
    <w:rsid w:val="00AD29C9"/>
    <w:rsid w:val="00AD2EA3"/>
    <w:rsid w:val="00AD2F4F"/>
    <w:rsid w:val="00AD3AF4"/>
    <w:rsid w:val="00AD3CF1"/>
    <w:rsid w:val="00AD407F"/>
    <w:rsid w:val="00AD4456"/>
    <w:rsid w:val="00AD52AB"/>
    <w:rsid w:val="00AD572A"/>
    <w:rsid w:val="00AD5D0D"/>
    <w:rsid w:val="00AD6374"/>
    <w:rsid w:val="00AD65CB"/>
    <w:rsid w:val="00AD6A08"/>
    <w:rsid w:val="00AD6D45"/>
    <w:rsid w:val="00AD6DA1"/>
    <w:rsid w:val="00AD72B6"/>
    <w:rsid w:val="00AD7AFD"/>
    <w:rsid w:val="00AE02FE"/>
    <w:rsid w:val="00AE0972"/>
    <w:rsid w:val="00AE09B0"/>
    <w:rsid w:val="00AE0C3F"/>
    <w:rsid w:val="00AE0C4F"/>
    <w:rsid w:val="00AE0E73"/>
    <w:rsid w:val="00AE10B8"/>
    <w:rsid w:val="00AE17D0"/>
    <w:rsid w:val="00AE1CEC"/>
    <w:rsid w:val="00AE1D5E"/>
    <w:rsid w:val="00AE21F7"/>
    <w:rsid w:val="00AE28AF"/>
    <w:rsid w:val="00AE2B65"/>
    <w:rsid w:val="00AE30E1"/>
    <w:rsid w:val="00AE3101"/>
    <w:rsid w:val="00AE3206"/>
    <w:rsid w:val="00AE3208"/>
    <w:rsid w:val="00AE37AE"/>
    <w:rsid w:val="00AE3A12"/>
    <w:rsid w:val="00AE3C3C"/>
    <w:rsid w:val="00AE3E27"/>
    <w:rsid w:val="00AE414A"/>
    <w:rsid w:val="00AE494F"/>
    <w:rsid w:val="00AE4B67"/>
    <w:rsid w:val="00AE50B5"/>
    <w:rsid w:val="00AE5190"/>
    <w:rsid w:val="00AE5516"/>
    <w:rsid w:val="00AE58AB"/>
    <w:rsid w:val="00AE5E3E"/>
    <w:rsid w:val="00AE61A6"/>
    <w:rsid w:val="00AE6AB0"/>
    <w:rsid w:val="00AE7266"/>
    <w:rsid w:val="00AE729B"/>
    <w:rsid w:val="00AE7A08"/>
    <w:rsid w:val="00AE7B7A"/>
    <w:rsid w:val="00AE7DA1"/>
    <w:rsid w:val="00AE7E2F"/>
    <w:rsid w:val="00AF0562"/>
    <w:rsid w:val="00AF05CA"/>
    <w:rsid w:val="00AF137A"/>
    <w:rsid w:val="00AF143A"/>
    <w:rsid w:val="00AF19D9"/>
    <w:rsid w:val="00AF1E52"/>
    <w:rsid w:val="00AF1F34"/>
    <w:rsid w:val="00AF209F"/>
    <w:rsid w:val="00AF20B9"/>
    <w:rsid w:val="00AF239F"/>
    <w:rsid w:val="00AF2A12"/>
    <w:rsid w:val="00AF2A2C"/>
    <w:rsid w:val="00AF2A3F"/>
    <w:rsid w:val="00AF2C0E"/>
    <w:rsid w:val="00AF2E23"/>
    <w:rsid w:val="00AF2FA9"/>
    <w:rsid w:val="00AF33B6"/>
    <w:rsid w:val="00AF3668"/>
    <w:rsid w:val="00AF36A6"/>
    <w:rsid w:val="00AF3D99"/>
    <w:rsid w:val="00AF3FA5"/>
    <w:rsid w:val="00AF40CC"/>
    <w:rsid w:val="00AF4654"/>
    <w:rsid w:val="00AF4866"/>
    <w:rsid w:val="00AF48D1"/>
    <w:rsid w:val="00AF4EC0"/>
    <w:rsid w:val="00AF5279"/>
    <w:rsid w:val="00AF52EC"/>
    <w:rsid w:val="00AF52F5"/>
    <w:rsid w:val="00AF5DD9"/>
    <w:rsid w:val="00AF5F1A"/>
    <w:rsid w:val="00AF5F9C"/>
    <w:rsid w:val="00AF5FAD"/>
    <w:rsid w:val="00AF60E1"/>
    <w:rsid w:val="00AF705B"/>
    <w:rsid w:val="00AF774E"/>
    <w:rsid w:val="00AF7757"/>
    <w:rsid w:val="00AF77B7"/>
    <w:rsid w:val="00AF7B3E"/>
    <w:rsid w:val="00AF7B70"/>
    <w:rsid w:val="00AF7C40"/>
    <w:rsid w:val="00AF7C46"/>
    <w:rsid w:val="00AF7DB0"/>
    <w:rsid w:val="00AF7F3A"/>
    <w:rsid w:val="00B0035E"/>
    <w:rsid w:val="00B009B4"/>
    <w:rsid w:val="00B00A3A"/>
    <w:rsid w:val="00B00FE2"/>
    <w:rsid w:val="00B010EA"/>
    <w:rsid w:val="00B012AD"/>
    <w:rsid w:val="00B016A3"/>
    <w:rsid w:val="00B016D5"/>
    <w:rsid w:val="00B02235"/>
    <w:rsid w:val="00B0266B"/>
    <w:rsid w:val="00B02C07"/>
    <w:rsid w:val="00B02C3D"/>
    <w:rsid w:val="00B030E2"/>
    <w:rsid w:val="00B03183"/>
    <w:rsid w:val="00B0319E"/>
    <w:rsid w:val="00B039A1"/>
    <w:rsid w:val="00B03CEA"/>
    <w:rsid w:val="00B03DEE"/>
    <w:rsid w:val="00B0400B"/>
    <w:rsid w:val="00B04361"/>
    <w:rsid w:val="00B0451B"/>
    <w:rsid w:val="00B04575"/>
    <w:rsid w:val="00B049E8"/>
    <w:rsid w:val="00B04A99"/>
    <w:rsid w:val="00B054C3"/>
    <w:rsid w:val="00B05530"/>
    <w:rsid w:val="00B0574D"/>
    <w:rsid w:val="00B05901"/>
    <w:rsid w:val="00B05946"/>
    <w:rsid w:val="00B05BA1"/>
    <w:rsid w:val="00B05C63"/>
    <w:rsid w:val="00B05F3B"/>
    <w:rsid w:val="00B05F4E"/>
    <w:rsid w:val="00B061AC"/>
    <w:rsid w:val="00B0652A"/>
    <w:rsid w:val="00B06795"/>
    <w:rsid w:val="00B069E4"/>
    <w:rsid w:val="00B06D95"/>
    <w:rsid w:val="00B0707A"/>
    <w:rsid w:val="00B07458"/>
    <w:rsid w:val="00B07BAA"/>
    <w:rsid w:val="00B07C7F"/>
    <w:rsid w:val="00B07C93"/>
    <w:rsid w:val="00B07E30"/>
    <w:rsid w:val="00B1013E"/>
    <w:rsid w:val="00B1020D"/>
    <w:rsid w:val="00B10222"/>
    <w:rsid w:val="00B10243"/>
    <w:rsid w:val="00B103B0"/>
    <w:rsid w:val="00B10638"/>
    <w:rsid w:val="00B10697"/>
    <w:rsid w:val="00B113D8"/>
    <w:rsid w:val="00B116C7"/>
    <w:rsid w:val="00B116F2"/>
    <w:rsid w:val="00B118EC"/>
    <w:rsid w:val="00B11A4D"/>
    <w:rsid w:val="00B11B0E"/>
    <w:rsid w:val="00B11BF4"/>
    <w:rsid w:val="00B11C80"/>
    <w:rsid w:val="00B11CBB"/>
    <w:rsid w:val="00B11D73"/>
    <w:rsid w:val="00B124D6"/>
    <w:rsid w:val="00B1254B"/>
    <w:rsid w:val="00B12A3B"/>
    <w:rsid w:val="00B12E81"/>
    <w:rsid w:val="00B12E9A"/>
    <w:rsid w:val="00B12FD7"/>
    <w:rsid w:val="00B139AC"/>
    <w:rsid w:val="00B13A4D"/>
    <w:rsid w:val="00B13A8C"/>
    <w:rsid w:val="00B13C5C"/>
    <w:rsid w:val="00B13E68"/>
    <w:rsid w:val="00B1423B"/>
    <w:rsid w:val="00B1485B"/>
    <w:rsid w:val="00B14D04"/>
    <w:rsid w:val="00B15118"/>
    <w:rsid w:val="00B15453"/>
    <w:rsid w:val="00B15E47"/>
    <w:rsid w:val="00B160CA"/>
    <w:rsid w:val="00B162B6"/>
    <w:rsid w:val="00B16324"/>
    <w:rsid w:val="00B164FF"/>
    <w:rsid w:val="00B165EC"/>
    <w:rsid w:val="00B16727"/>
    <w:rsid w:val="00B16CEC"/>
    <w:rsid w:val="00B16CFE"/>
    <w:rsid w:val="00B1725D"/>
    <w:rsid w:val="00B179FC"/>
    <w:rsid w:val="00B17A69"/>
    <w:rsid w:val="00B17ADF"/>
    <w:rsid w:val="00B17B6A"/>
    <w:rsid w:val="00B17C51"/>
    <w:rsid w:val="00B17CC4"/>
    <w:rsid w:val="00B200A2"/>
    <w:rsid w:val="00B201C7"/>
    <w:rsid w:val="00B203E8"/>
    <w:rsid w:val="00B20485"/>
    <w:rsid w:val="00B2052A"/>
    <w:rsid w:val="00B213FC"/>
    <w:rsid w:val="00B214D1"/>
    <w:rsid w:val="00B215DF"/>
    <w:rsid w:val="00B21865"/>
    <w:rsid w:val="00B21D9D"/>
    <w:rsid w:val="00B220CD"/>
    <w:rsid w:val="00B22510"/>
    <w:rsid w:val="00B22D1E"/>
    <w:rsid w:val="00B23387"/>
    <w:rsid w:val="00B23431"/>
    <w:rsid w:val="00B23C09"/>
    <w:rsid w:val="00B23D8C"/>
    <w:rsid w:val="00B23F83"/>
    <w:rsid w:val="00B243BC"/>
    <w:rsid w:val="00B248A3"/>
    <w:rsid w:val="00B24B70"/>
    <w:rsid w:val="00B24F2C"/>
    <w:rsid w:val="00B2514E"/>
    <w:rsid w:val="00B258D3"/>
    <w:rsid w:val="00B25CB3"/>
    <w:rsid w:val="00B25D61"/>
    <w:rsid w:val="00B25EBD"/>
    <w:rsid w:val="00B25F58"/>
    <w:rsid w:val="00B26054"/>
    <w:rsid w:val="00B2649B"/>
    <w:rsid w:val="00B264CE"/>
    <w:rsid w:val="00B265F7"/>
    <w:rsid w:val="00B26828"/>
    <w:rsid w:val="00B26B8F"/>
    <w:rsid w:val="00B2708D"/>
    <w:rsid w:val="00B2745A"/>
    <w:rsid w:val="00B276AB"/>
    <w:rsid w:val="00B27879"/>
    <w:rsid w:val="00B27B7F"/>
    <w:rsid w:val="00B30153"/>
    <w:rsid w:val="00B30191"/>
    <w:rsid w:val="00B30269"/>
    <w:rsid w:val="00B30481"/>
    <w:rsid w:val="00B30676"/>
    <w:rsid w:val="00B30838"/>
    <w:rsid w:val="00B30A69"/>
    <w:rsid w:val="00B30E49"/>
    <w:rsid w:val="00B31214"/>
    <w:rsid w:val="00B31605"/>
    <w:rsid w:val="00B31712"/>
    <w:rsid w:val="00B31E2D"/>
    <w:rsid w:val="00B32380"/>
    <w:rsid w:val="00B32867"/>
    <w:rsid w:val="00B32940"/>
    <w:rsid w:val="00B32D35"/>
    <w:rsid w:val="00B334D2"/>
    <w:rsid w:val="00B3374B"/>
    <w:rsid w:val="00B33F4F"/>
    <w:rsid w:val="00B34710"/>
    <w:rsid w:val="00B34884"/>
    <w:rsid w:val="00B34ABF"/>
    <w:rsid w:val="00B34B3B"/>
    <w:rsid w:val="00B34BE9"/>
    <w:rsid w:val="00B34C18"/>
    <w:rsid w:val="00B34D18"/>
    <w:rsid w:val="00B35120"/>
    <w:rsid w:val="00B351FA"/>
    <w:rsid w:val="00B354E2"/>
    <w:rsid w:val="00B3564E"/>
    <w:rsid w:val="00B358AF"/>
    <w:rsid w:val="00B35A44"/>
    <w:rsid w:val="00B36092"/>
    <w:rsid w:val="00B36400"/>
    <w:rsid w:val="00B36561"/>
    <w:rsid w:val="00B368A2"/>
    <w:rsid w:val="00B36A25"/>
    <w:rsid w:val="00B36D86"/>
    <w:rsid w:val="00B36DED"/>
    <w:rsid w:val="00B37076"/>
    <w:rsid w:val="00B3737F"/>
    <w:rsid w:val="00B37E67"/>
    <w:rsid w:val="00B40E45"/>
    <w:rsid w:val="00B40F51"/>
    <w:rsid w:val="00B41049"/>
    <w:rsid w:val="00B410EC"/>
    <w:rsid w:val="00B41140"/>
    <w:rsid w:val="00B411BB"/>
    <w:rsid w:val="00B412D7"/>
    <w:rsid w:val="00B412E2"/>
    <w:rsid w:val="00B4147D"/>
    <w:rsid w:val="00B41A6D"/>
    <w:rsid w:val="00B41BC4"/>
    <w:rsid w:val="00B41E41"/>
    <w:rsid w:val="00B42159"/>
    <w:rsid w:val="00B4254B"/>
    <w:rsid w:val="00B42D94"/>
    <w:rsid w:val="00B430E7"/>
    <w:rsid w:val="00B4318B"/>
    <w:rsid w:val="00B43223"/>
    <w:rsid w:val="00B43405"/>
    <w:rsid w:val="00B434FE"/>
    <w:rsid w:val="00B43B21"/>
    <w:rsid w:val="00B43B83"/>
    <w:rsid w:val="00B43E8F"/>
    <w:rsid w:val="00B44337"/>
    <w:rsid w:val="00B44481"/>
    <w:rsid w:val="00B4456B"/>
    <w:rsid w:val="00B445CB"/>
    <w:rsid w:val="00B44983"/>
    <w:rsid w:val="00B44E03"/>
    <w:rsid w:val="00B45119"/>
    <w:rsid w:val="00B45243"/>
    <w:rsid w:val="00B45B24"/>
    <w:rsid w:val="00B45C55"/>
    <w:rsid w:val="00B45F2C"/>
    <w:rsid w:val="00B45FB6"/>
    <w:rsid w:val="00B468E1"/>
    <w:rsid w:val="00B46A5E"/>
    <w:rsid w:val="00B46FE0"/>
    <w:rsid w:val="00B47575"/>
    <w:rsid w:val="00B47681"/>
    <w:rsid w:val="00B47833"/>
    <w:rsid w:val="00B47CD7"/>
    <w:rsid w:val="00B47F72"/>
    <w:rsid w:val="00B47FE7"/>
    <w:rsid w:val="00B50263"/>
    <w:rsid w:val="00B5093C"/>
    <w:rsid w:val="00B50A63"/>
    <w:rsid w:val="00B511AD"/>
    <w:rsid w:val="00B514C4"/>
    <w:rsid w:val="00B5171D"/>
    <w:rsid w:val="00B519E4"/>
    <w:rsid w:val="00B51CFD"/>
    <w:rsid w:val="00B523AB"/>
    <w:rsid w:val="00B52758"/>
    <w:rsid w:val="00B52CD9"/>
    <w:rsid w:val="00B53359"/>
    <w:rsid w:val="00B535DA"/>
    <w:rsid w:val="00B537CF"/>
    <w:rsid w:val="00B5381F"/>
    <w:rsid w:val="00B53E7E"/>
    <w:rsid w:val="00B53E80"/>
    <w:rsid w:val="00B540C9"/>
    <w:rsid w:val="00B5418F"/>
    <w:rsid w:val="00B5431E"/>
    <w:rsid w:val="00B544BC"/>
    <w:rsid w:val="00B544D3"/>
    <w:rsid w:val="00B5457F"/>
    <w:rsid w:val="00B54594"/>
    <w:rsid w:val="00B5472C"/>
    <w:rsid w:val="00B54BF8"/>
    <w:rsid w:val="00B54CB2"/>
    <w:rsid w:val="00B54CBA"/>
    <w:rsid w:val="00B557B2"/>
    <w:rsid w:val="00B558A1"/>
    <w:rsid w:val="00B559D2"/>
    <w:rsid w:val="00B55A8E"/>
    <w:rsid w:val="00B55BF9"/>
    <w:rsid w:val="00B55C3C"/>
    <w:rsid w:val="00B55C63"/>
    <w:rsid w:val="00B55E40"/>
    <w:rsid w:val="00B5657E"/>
    <w:rsid w:val="00B566E2"/>
    <w:rsid w:val="00B56FB1"/>
    <w:rsid w:val="00B5737B"/>
    <w:rsid w:val="00B575F4"/>
    <w:rsid w:val="00B57C45"/>
    <w:rsid w:val="00B57FCF"/>
    <w:rsid w:val="00B603B1"/>
    <w:rsid w:val="00B60481"/>
    <w:rsid w:val="00B60500"/>
    <w:rsid w:val="00B609E9"/>
    <w:rsid w:val="00B60A49"/>
    <w:rsid w:val="00B60C6B"/>
    <w:rsid w:val="00B60CE0"/>
    <w:rsid w:val="00B610ED"/>
    <w:rsid w:val="00B613EE"/>
    <w:rsid w:val="00B6145C"/>
    <w:rsid w:val="00B61510"/>
    <w:rsid w:val="00B61678"/>
    <w:rsid w:val="00B618D8"/>
    <w:rsid w:val="00B61BC7"/>
    <w:rsid w:val="00B61E76"/>
    <w:rsid w:val="00B620D3"/>
    <w:rsid w:val="00B62674"/>
    <w:rsid w:val="00B6276F"/>
    <w:rsid w:val="00B63010"/>
    <w:rsid w:val="00B63105"/>
    <w:rsid w:val="00B63272"/>
    <w:rsid w:val="00B6342E"/>
    <w:rsid w:val="00B634C2"/>
    <w:rsid w:val="00B63691"/>
    <w:rsid w:val="00B63800"/>
    <w:rsid w:val="00B63B83"/>
    <w:rsid w:val="00B63D57"/>
    <w:rsid w:val="00B640F6"/>
    <w:rsid w:val="00B6426C"/>
    <w:rsid w:val="00B64728"/>
    <w:rsid w:val="00B64964"/>
    <w:rsid w:val="00B64E10"/>
    <w:rsid w:val="00B6576C"/>
    <w:rsid w:val="00B65D6E"/>
    <w:rsid w:val="00B65E87"/>
    <w:rsid w:val="00B66203"/>
    <w:rsid w:val="00B66769"/>
    <w:rsid w:val="00B667BE"/>
    <w:rsid w:val="00B66924"/>
    <w:rsid w:val="00B66FB1"/>
    <w:rsid w:val="00B66FDC"/>
    <w:rsid w:val="00B67424"/>
    <w:rsid w:val="00B67470"/>
    <w:rsid w:val="00B67571"/>
    <w:rsid w:val="00B67B92"/>
    <w:rsid w:val="00B70405"/>
    <w:rsid w:val="00B70474"/>
    <w:rsid w:val="00B704A4"/>
    <w:rsid w:val="00B70608"/>
    <w:rsid w:val="00B70742"/>
    <w:rsid w:val="00B70F78"/>
    <w:rsid w:val="00B7110A"/>
    <w:rsid w:val="00B7113F"/>
    <w:rsid w:val="00B71234"/>
    <w:rsid w:val="00B7184A"/>
    <w:rsid w:val="00B71A71"/>
    <w:rsid w:val="00B71D5B"/>
    <w:rsid w:val="00B71DDB"/>
    <w:rsid w:val="00B71E61"/>
    <w:rsid w:val="00B72266"/>
    <w:rsid w:val="00B722B7"/>
    <w:rsid w:val="00B723BC"/>
    <w:rsid w:val="00B72B59"/>
    <w:rsid w:val="00B72D61"/>
    <w:rsid w:val="00B73107"/>
    <w:rsid w:val="00B734A5"/>
    <w:rsid w:val="00B73531"/>
    <w:rsid w:val="00B73690"/>
    <w:rsid w:val="00B73D89"/>
    <w:rsid w:val="00B743ED"/>
    <w:rsid w:val="00B74439"/>
    <w:rsid w:val="00B744AB"/>
    <w:rsid w:val="00B74566"/>
    <w:rsid w:val="00B74AC1"/>
    <w:rsid w:val="00B75031"/>
    <w:rsid w:val="00B751B4"/>
    <w:rsid w:val="00B75955"/>
    <w:rsid w:val="00B75A02"/>
    <w:rsid w:val="00B75F4D"/>
    <w:rsid w:val="00B75FBB"/>
    <w:rsid w:val="00B761E0"/>
    <w:rsid w:val="00B76631"/>
    <w:rsid w:val="00B7682A"/>
    <w:rsid w:val="00B76882"/>
    <w:rsid w:val="00B768AB"/>
    <w:rsid w:val="00B76B9D"/>
    <w:rsid w:val="00B7721A"/>
    <w:rsid w:val="00B77248"/>
    <w:rsid w:val="00B773F5"/>
    <w:rsid w:val="00B7770E"/>
    <w:rsid w:val="00B77AF9"/>
    <w:rsid w:val="00B77B55"/>
    <w:rsid w:val="00B77B94"/>
    <w:rsid w:val="00B77EB1"/>
    <w:rsid w:val="00B80162"/>
    <w:rsid w:val="00B80220"/>
    <w:rsid w:val="00B805F6"/>
    <w:rsid w:val="00B80994"/>
    <w:rsid w:val="00B80C01"/>
    <w:rsid w:val="00B80C21"/>
    <w:rsid w:val="00B80CA0"/>
    <w:rsid w:val="00B8159C"/>
    <w:rsid w:val="00B81EDA"/>
    <w:rsid w:val="00B82043"/>
    <w:rsid w:val="00B820C5"/>
    <w:rsid w:val="00B827A9"/>
    <w:rsid w:val="00B82B2F"/>
    <w:rsid w:val="00B82B5D"/>
    <w:rsid w:val="00B830BF"/>
    <w:rsid w:val="00B83793"/>
    <w:rsid w:val="00B8385F"/>
    <w:rsid w:val="00B8397F"/>
    <w:rsid w:val="00B83F0B"/>
    <w:rsid w:val="00B8428C"/>
    <w:rsid w:val="00B84417"/>
    <w:rsid w:val="00B84C36"/>
    <w:rsid w:val="00B84DE4"/>
    <w:rsid w:val="00B84E59"/>
    <w:rsid w:val="00B84EB7"/>
    <w:rsid w:val="00B84FBC"/>
    <w:rsid w:val="00B852B6"/>
    <w:rsid w:val="00B85784"/>
    <w:rsid w:val="00B85B20"/>
    <w:rsid w:val="00B861AA"/>
    <w:rsid w:val="00B86ABB"/>
    <w:rsid w:val="00B873BE"/>
    <w:rsid w:val="00B8760E"/>
    <w:rsid w:val="00B87DDC"/>
    <w:rsid w:val="00B90395"/>
    <w:rsid w:val="00B90421"/>
    <w:rsid w:val="00B904B6"/>
    <w:rsid w:val="00B906F5"/>
    <w:rsid w:val="00B90749"/>
    <w:rsid w:val="00B90796"/>
    <w:rsid w:val="00B908DB"/>
    <w:rsid w:val="00B90E41"/>
    <w:rsid w:val="00B914BE"/>
    <w:rsid w:val="00B91733"/>
    <w:rsid w:val="00B91ADE"/>
    <w:rsid w:val="00B91D49"/>
    <w:rsid w:val="00B92118"/>
    <w:rsid w:val="00B9211E"/>
    <w:rsid w:val="00B92328"/>
    <w:rsid w:val="00B92362"/>
    <w:rsid w:val="00B923E8"/>
    <w:rsid w:val="00B9292F"/>
    <w:rsid w:val="00B92D04"/>
    <w:rsid w:val="00B93213"/>
    <w:rsid w:val="00B94501"/>
    <w:rsid w:val="00B948D1"/>
    <w:rsid w:val="00B9496F"/>
    <w:rsid w:val="00B94A67"/>
    <w:rsid w:val="00B94AAA"/>
    <w:rsid w:val="00B9522D"/>
    <w:rsid w:val="00B9545D"/>
    <w:rsid w:val="00B9555D"/>
    <w:rsid w:val="00B955A1"/>
    <w:rsid w:val="00B95C75"/>
    <w:rsid w:val="00B95DDF"/>
    <w:rsid w:val="00B960FC"/>
    <w:rsid w:val="00B963C4"/>
    <w:rsid w:val="00B96ECB"/>
    <w:rsid w:val="00B970EF"/>
    <w:rsid w:val="00B97330"/>
    <w:rsid w:val="00B9738A"/>
    <w:rsid w:val="00B97B8C"/>
    <w:rsid w:val="00B97DF4"/>
    <w:rsid w:val="00B97EE2"/>
    <w:rsid w:val="00BA011D"/>
    <w:rsid w:val="00BA0534"/>
    <w:rsid w:val="00BA12F5"/>
    <w:rsid w:val="00BA13E3"/>
    <w:rsid w:val="00BA1C58"/>
    <w:rsid w:val="00BA2204"/>
    <w:rsid w:val="00BA2836"/>
    <w:rsid w:val="00BA28F5"/>
    <w:rsid w:val="00BA290A"/>
    <w:rsid w:val="00BA2B1D"/>
    <w:rsid w:val="00BA31E5"/>
    <w:rsid w:val="00BA34A7"/>
    <w:rsid w:val="00BA373B"/>
    <w:rsid w:val="00BA3F5B"/>
    <w:rsid w:val="00BA3F63"/>
    <w:rsid w:val="00BA3FFD"/>
    <w:rsid w:val="00BA4100"/>
    <w:rsid w:val="00BA45CB"/>
    <w:rsid w:val="00BA4938"/>
    <w:rsid w:val="00BA4B4D"/>
    <w:rsid w:val="00BA4DA0"/>
    <w:rsid w:val="00BA5139"/>
    <w:rsid w:val="00BA5539"/>
    <w:rsid w:val="00BA5ADB"/>
    <w:rsid w:val="00BA5C4B"/>
    <w:rsid w:val="00BA6002"/>
    <w:rsid w:val="00BA656E"/>
    <w:rsid w:val="00BA66E1"/>
    <w:rsid w:val="00BA68D2"/>
    <w:rsid w:val="00BA6930"/>
    <w:rsid w:val="00BA6C7C"/>
    <w:rsid w:val="00BA6E2A"/>
    <w:rsid w:val="00BA73B6"/>
    <w:rsid w:val="00BA74BD"/>
    <w:rsid w:val="00BA7B85"/>
    <w:rsid w:val="00BA7BA2"/>
    <w:rsid w:val="00BA7C83"/>
    <w:rsid w:val="00BA7DD7"/>
    <w:rsid w:val="00BA7E79"/>
    <w:rsid w:val="00BA7ED2"/>
    <w:rsid w:val="00BA7F65"/>
    <w:rsid w:val="00BB0353"/>
    <w:rsid w:val="00BB093D"/>
    <w:rsid w:val="00BB0E4B"/>
    <w:rsid w:val="00BB0F08"/>
    <w:rsid w:val="00BB1006"/>
    <w:rsid w:val="00BB1514"/>
    <w:rsid w:val="00BB18EE"/>
    <w:rsid w:val="00BB193F"/>
    <w:rsid w:val="00BB197A"/>
    <w:rsid w:val="00BB1AB8"/>
    <w:rsid w:val="00BB2145"/>
    <w:rsid w:val="00BB2165"/>
    <w:rsid w:val="00BB22D9"/>
    <w:rsid w:val="00BB24B7"/>
    <w:rsid w:val="00BB2E35"/>
    <w:rsid w:val="00BB2F13"/>
    <w:rsid w:val="00BB2F24"/>
    <w:rsid w:val="00BB34C6"/>
    <w:rsid w:val="00BB3525"/>
    <w:rsid w:val="00BB35CB"/>
    <w:rsid w:val="00BB38DF"/>
    <w:rsid w:val="00BB3D0A"/>
    <w:rsid w:val="00BB40AF"/>
    <w:rsid w:val="00BB4154"/>
    <w:rsid w:val="00BB416B"/>
    <w:rsid w:val="00BB41F8"/>
    <w:rsid w:val="00BB4270"/>
    <w:rsid w:val="00BB4ED5"/>
    <w:rsid w:val="00BB4F4C"/>
    <w:rsid w:val="00BB4FCD"/>
    <w:rsid w:val="00BB52CD"/>
    <w:rsid w:val="00BB5630"/>
    <w:rsid w:val="00BB56AF"/>
    <w:rsid w:val="00BB56DE"/>
    <w:rsid w:val="00BB58A6"/>
    <w:rsid w:val="00BB5BBF"/>
    <w:rsid w:val="00BB5D1D"/>
    <w:rsid w:val="00BB5D41"/>
    <w:rsid w:val="00BB5D55"/>
    <w:rsid w:val="00BB5E42"/>
    <w:rsid w:val="00BB5F4F"/>
    <w:rsid w:val="00BB6092"/>
    <w:rsid w:val="00BB6376"/>
    <w:rsid w:val="00BB682C"/>
    <w:rsid w:val="00BB6DF1"/>
    <w:rsid w:val="00BB6F71"/>
    <w:rsid w:val="00BB7748"/>
    <w:rsid w:val="00BB7B00"/>
    <w:rsid w:val="00BB7C12"/>
    <w:rsid w:val="00BB7DE4"/>
    <w:rsid w:val="00BC0252"/>
    <w:rsid w:val="00BC0506"/>
    <w:rsid w:val="00BC0F76"/>
    <w:rsid w:val="00BC10AA"/>
    <w:rsid w:val="00BC1257"/>
    <w:rsid w:val="00BC158A"/>
    <w:rsid w:val="00BC16C1"/>
    <w:rsid w:val="00BC19EB"/>
    <w:rsid w:val="00BC1FAF"/>
    <w:rsid w:val="00BC21E0"/>
    <w:rsid w:val="00BC261B"/>
    <w:rsid w:val="00BC2958"/>
    <w:rsid w:val="00BC2A19"/>
    <w:rsid w:val="00BC2B06"/>
    <w:rsid w:val="00BC2BED"/>
    <w:rsid w:val="00BC2C48"/>
    <w:rsid w:val="00BC2D9B"/>
    <w:rsid w:val="00BC2DEA"/>
    <w:rsid w:val="00BC2ED7"/>
    <w:rsid w:val="00BC3143"/>
    <w:rsid w:val="00BC3215"/>
    <w:rsid w:val="00BC39A2"/>
    <w:rsid w:val="00BC3CFC"/>
    <w:rsid w:val="00BC3D11"/>
    <w:rsid w:val="00BC4BA5"/>
    <w:rsid w:val="00BC4C47"/>
    <w:rsid w:val="00BC4C68"/>
    <w:rsid w:val="00BC4CE3"/>
    <w:rsid w:val="00BC4FF2"/>
    <w:rsid w:val="00BC5EFC"/>
    <w:rsid w:val="00BC5F82"/>
    <w:rsid w:val="00BC60F5"/>
    <w:rsid w:val="00BC6132"/>
    <w:rsid w:val="00BC62E6"/>
    <w:rsid w:val="00BC63EB"/>
    <w:rsid w:val="00BC6414"/>
    <w:rsid w:val="00BC654D"/>
    <w:rsid w:val="00BC669D"/>
    <w:rsid w:val="00BC6964"/>
    <w:rsid w:val="00BC7047"/>
    <w:rsid w:val="00BC71A2"/>
    <w:rsid w:val="00BC7887"/>
    <w:rsid w:val="00BC7D26"/>
    <w:rsid w:val="00BC7E6B"/>
    <w:rsid w:val="00BC7F8C"/>
    <w:rsid w:val="00BD0066"/>
    <w:rsid w:val="00BD01C9"/>
    <w:rsid w:val="00BD021E"/>
    <w:rsid w:val="00BD06F6"/>
    <w:rsid w:val="00BD0824"/>
    <w:rsid w:val="00BD0866"/>
    <w:rsid w:val="00BD0876"/>
    <w:rsid w:val="00BD0A6A"/>
    <w:rsid w:val="00BD0EAD"/>
    <w:rsid w:val="00BD13EA"/>
    <w:rsid w:val="00BD15ED"/>
    <w:rsid w:val="00BD20A4"/>
    <w:rsid w:val="00BD23B1"/>
    <w:rsid w:val="00BD28CC"/>
    <w:rsid w:val="00BD2DBB"/>
    <w:rsid w:val="00BD350A"/>
    <w:rsid w:val="00BD354A"/>
    <w:rsid w:val="00BD383F"/>
    <w:rsid w:val="00BD3F61"/>
    <w:rsid w:val="00BD43DD"/>
    <w:rsid w:val="00BD4417"/>
    <w:rsid w:val="00BD4666"/>
    <w:rsid w:val="00BD4E8F"/>
    <w:rsid w:val="00BD50CF"/>
    <w:rsid w:val="00BD52DA"/>
    <w:rsid w:val="00BD536B"/>
    <w:rsid w:val="00BD54D4"/>
    <w:rsid w:val="00BD5518"/>
    <w:rsid w:val="00BD552F"/>
    <w:rsid w:val="00BD58F8"/>
    <w:rsid w:val="00BD5BBF"/>
    <w:rsid w:val="00BD60FB"/>
    <w:rsid w:val="00BD6121"/>
    <w:rsid w:val="00BD63EA"/>
    <w:rsid w:val="00BD640B"/>
    <w:rsid w:val="00BD6750"/>
    <w:rsid w:val="00BD69C9"/>
    <w:rsid w:val="00BD6FD3"/>
    <w:rsid w:val="00BD7113"/>
    <w:rsid w:val="00BD72D8"/>
    <w:rsid w:val="00BD7675"/>
    <w:rsid w:val="00BD77E2"/>
    <w:rsid w:val="00BD7C1A"/>
    <w:rsid w:val="00BD7D84"/>
    <w:rsid w:val="00BD7EC1"/>
    <w:rsid w:val="00BE0499"/>
    <w:rsid w:val="00BE07AE"/>
    <w:rsid w:val="00BE128F"/>
    <w:rsid w:val="00BE137D"/>
    <w:rsid w:val="00BE1987"/>
    <w:rsid w:val="00BE1BEF"/>
    <w:rsid w:val="00BE1C0E"/>
    <w:rsid w:val="00BE1C83"/>
    <w:rsid w:val="00BE1EEC"/>
    <w:rsid w:val="00BE1EFE"/>
    <w:rsid w:val="00BE1FDA"/>
    <w:rsid w:val="00BE24B8"/>
    <w:rsid w:val="00BE250D"/>
    <w:rsid w:val="00BE28D1"/>
    <w:rsid w:val="00BE293A"/>
    <w:rsid w:val="00BE2B22"/>
    <w:rsid w:val="00BE2C51"/>
    <w:rsid w:val="00BE2D70"/>
    <w:rsid w:val="00BE2F42"/>
    <w:rsid w:val="00BE31E2"/>
    <w:rsid w:val="00BE3808"/>
    <w:rsid w:val="00BE3967"/>
    <w:rsid w:val="00BE3D73"/>
    <w:rsid w:val="00BE477B"/>
    <w:rsid w:val="00BE49EA"/>
    <w:rsid w:val="00BE5086"/>
    <w:rsid w:val="00BE513C"/>
    <w:rsid w:val="00BE5162"/>
    <w:rsid w:val="00BE5278"/>
    <w:rsid w:val="00BE5555"/>
    <w:rsid w:val="00BE5C2C"/>
    <w:rsid w:val="00BE609F"/>
    <w:rsid w:val="00BE6174"/>
    <w:rsid w:val="00BE64B1"/>
    <w:rsid w:val="00BE66A8"/>
    <w:rsid w:val="00BE6B64"/>
    <w:rsid w:val="00BE756A"/>
    <w:rsid w:val="00BE7AA2"/>
    <w:rsid w:val="00BE7D37"/>
    <w:rsid w:val="00BF0418"/>
    <w:rsid w:val="00BF0BFE"/>
    <w:rsid w:val="00BF0DF4"/>
    <w:rsid w:val="00BF0E24"/>
    <w:rsid w:val="00BF121A"/>
    <w:rsid w:val="00BF14DB"/>
    <w:rsid w:val="00BF15BE"/>
    <w:rsid w:val="00BF1752"/>
    <w:rsid w:val="00BF19F4"/>
    <w:rsid w:val="00BF1C0E"/>
    <w:rsid w:val="00BF2143"/>
    <w:rsid w:val="00BF2392"/>
    <w:rsid w:val="00BF2B3F"/>
    <w:rsid w:val="00BF30B5"/>
    <w:rsid w:val="00BF3176"/>
    <w:rsid w:val="00BF3285"/>
    <w:rsid w:val="00BF32F9"/>
    <w:rsid w:val="00BF3357"/>
    <w:rsid w:val="00BF33A1"/>
    <w:rsid w:val="00BF3656"/>
    <w:rsid w:val="00BF3CF0"/>
    <w:rsid w:val="00BF41A7"/>
    <w:rsid w:val="00BF43E0"/>
    <w:rsid w:val="00BF4920"/>
    <w:rsid w:val="00BF4A93"/>
    <w:rsid w:val="00BF50CF"/>
    <w:rsid w:val="00BF55EB"/>
    <w:rsid w:val="00BF587B"/>
    <w:rsid w:val="00BF5A77"/>
    <w:rsid w:val="00BF5E2A"/>
    <w:rsid w:val="00BF60B7"/>
    <w:rsid w:val="00BF6439"/>
    <w:rsid w:val="00BF679D"/>
    <w:rsid w:val="00BF69DD"/>
    <w:rsid w:val="00BF6A80"/>
    <w:rsid w:val="00BF6BE9"/>
    <w:rsid w:val="00BF6E24"/>
    <w:rsid w:val="00BF7271"/>
    <w:rsid w:val="00BF734F"/>
    <w:rsid w:val="00BF767A"/>
    <w:rsid w:val="00BF76F4"/>
    <w:rsid w:val="00BF7830"/>
    <w:rsid w:val="00BF7933"/>
    <w:rsid w:val="00BF7A50"/>
    <w:rsid w:val="00BF7F40"/>
    <w:rsid w:val="00BF7FA2"/>
    <w:rsid w:val="00C00239"/>
    <w:rsid w:val="00C00317"/>
    <w:rsid w:val="00C003BF"/>
    <w:rsid w:val="00C00899"/>
    <w:rsid w:val="00C0097A"/>
    <w:rsid w:val="00C00ACE"/>
    <w:rsid w:val="00C00C85"/>
    <w:rsid w:val="00C00D03"/>
    <w:rsid w:val="00C00E8B"/>
    <w:rsid w:val="00C00E95"/>
    <w:rsid w:val="00C00F19"/>
    <w:rsid w:val="00C0136B"/>
    <w:rsid w:val="00C014B8"/>
    <w:rsid w:val="00C01F65"/>
    <w:rsid w:val="00C01F80"/>
    <w:rsid w:val="00C01F8F"/>
    <w:rsid w:val="00C02390"/>
    <w:rsid w:val="00C02FA4"/>
    <w:rsid w:val="00C03119"/>
    <w:rsid w:val="00C03166"/>
    <w:rsid w:val="00C03546"/>
    <w:rsid w:val="00C03F24"/>
    <w:rsid w:val="00C03F81"/>
    <w:rsid w:val="00C04103"/>
    <w:rsid w:val="00C04624"/>
    <w:rsid w:val="00C046EC"/>
    <w:rsid w:val="00C04970"/>
    <w:rsid w:val="00C04C9E"/>
    <w:rsid w:val="00C04E5D"/>
    <w:rsid w:val="00C05439"/>
    <w:rsid w:val="00C0618F"/>
    <w:rsid w:val="00C061EE"/>
    <w:rsid w:val="00C062E9"/>
    <w:rsid w:val="00C06403"/>
    <w:rsid w:val="00C064FA"/>
    <w:rsid w:val="00C0661F"/>
    <w:rsid w:val="00C068A1"/>
    <w:rsid w:val="00C06ADA"/>
    <w:rsid w:val="00C06C94"/>
    <w:rsid w:val="00C06CBA"/>
    <w:rsid w:val="00C06D80"/>
    <w:rsid w:val="00C070F6"/>
    <w:rsid w:val="00C0790E"/>
    <w:rsid w:val="00C07CAD"/>
    <w:rsid w:val="00C07FAD"/>
    <w:rsid w:val="00C1008E"/>
    <w:rsid w:val="00C10393"/>
    <w:rsid w:val="00C1040A"/>
    <w:rsid w:val="00C10509"/>
    <w:rsid w:val="00C10845"/>
    <w:rsid w:val="00C11120"/>
    <w:rsid w:val="00C11389"/>
    <w:rsid w:val="00C114A1"/>
    <w:rsid w:val="00C11B78"/>
    <w:rsid w:val="00C11D03"/>
    <w:rsid w:val="00C11D2F"/>
    <w:rsid w:val="00C11FA2"/>
    <w:rsid w:val="00C12020"/>
    <w:rsid w:val="00C127DE"/>
    <w:rsid w:val="00C12ACA"/>
    <w:rsid w:val="00C12D32"/>
    <w:rsid w:val="00C12E21"/>
    <w:rsid w:val="00C1321F"/>
    <w:rsid w:val="00C133B0"/>
    <w:rsid w:val="00C134D4"/>
    <w:rsid w:val="00C13721"/>
    <w:rsid w:val="00C137E2"/>
    <w:rsid w:val="00C139B8"/>
    <w:rsid w:val="00C142DB"/>
    <w:rsid w:val="00C14634"/>
    <w:rsid w:val="00C1475C"/>
    <w:rsid w:val="00C14C7A"/>
    <w:rsid w:val="00C14D72"/>
    <w:rsid w:val="00C14FAF"/>
    <w:rsid w:val="00C1551D"/>
    <w:rsid w:val="00C158B1"/>
    <w:rsid w:val="00C159FF"/>
    <w:rsid w:val="00C15C34"/>
    <w:rsid w:val="00C16534"/>
    <w:rsid w:val="00C16576"/>
    <w:rsid w:val="00C165AC"/>
    <w:rsid w:val="00C172B0"/>
    <w:rsid w:val="00C17A48"/>
    <w:rsid w:val="00C17C85"/>
    <w:rsid w:val="00C17D2F"/>
    <w:rsid w:val="00C201AB"/>
    <w:rsid w:val="00C201B5"/>
    <w:rsid w:val="00C2154F"/>
    <w:rsid w:val="00C219C6"/>
    <w:rsid w:val="00C21A1F"/>
    <w:rsid w:val="00C21B75"/>
    <w:rsid w:val="00C21EBF"/>
    <w:rsid w:val="00C21EFD"/>
    <w:rsid w:val="00C22416"/>
    <w:rsid w:val="00C224D6"/>
    <w:rsid w:val="00C22732"/>
    <w:rsid w:val="00C2307E"/>
    <w:rsid w:val="00C236DB"/>
    <w:rsid w:val="00C23836"/>
    <w:rsid w:val="00C23D0B"/>
    <w:rsid w:val="00C23DFA"/>
    <w:rsid w:val="00C23E1E"/>
    <w:rsid w:val="00C24289"/>
    <w:rsid w:val="00C242DD"/>
    <w:rsid w:val="00C24779"/>
    <w:rsid w:val="00C2491A"/>
    <w:rsid w:val="00C24F19"/>
    <w:rsid w:val="00C254CC"/>
    <w:rsid w:val="00C2563C"/>
    <w:rsid w:val="00C25674"/>
    <w:rsid w:val="00C257E9"/>
    <w:rsid w:val="00C268DF"/>
    <w:rsid w:val="00C26AB8"/>
    <w:rsid w:val="00C26B52"/>
    <w:rsid w:val="00C26BFC"/>
    <w:rsid w:val="00C27020"/>
    <w:rsid w:val="00C271D0"/>
    <w:rsid w:val="00C2771E"/>
    <w:rsid w:val="00C2797F"/>
    <w:rsid w:val="00C27CBB"/>
    <w:rsid w:val="00C27FA8"/>
    <w:rsid w:val="00C3000A"/>
    <w:rsid w:val="00C3015E"/>
    <w:rsid w:val="00C302E9"/>
    <w:rsid w:val="00C306AF"/>
    <w:rsid w:val="00C30BA8"/>
    <w:rsid w:val="00C30EB5"/>
    <w:rsid w:val="00C30EEE"/>
    <w:rsid w:val="00C30EFB"/>
    <w:rsid w:val="00C30F3E"/>
    <w:rsid w:val="00C30FF5"/>
    <w:rsid w:val="00C310B8"/>
    <w:rsid w:val="00C311BE"/>
    <w:rsid w:val="00C31332"/>
    <w:rsid w:val="00C31379"/>
    <w:rsid w:val="00C31D91"/>
    <w:rsid w:val="00C32769"/>
    <w:rsid w:val="00C32C11"/>
    <w:rsid w:val="00C32C28"/>
    <w:rsid w:val="00C32C65"/>
    <w:rsid w:val="00C33596"/>
    <w:rsid w:val="00C33A50"/>
    <w:rsid w:val="00C33F43"/>
    <w:rsid w:val="00C33F51"/>
    <w:rsid w:val="00C3410C"/>
    <w:rsid w:val="00C343A4"/>
    <w:rsid w:val="00C34668"/>
    <w:rsid w:val="00C34A06"/>
    <w:rsid w:val="00C3546F"/>
    <w:rsid w:val="00C354B7"/>
    <w:rsid w:val="00C3558D"/>
    <w:rsid w:val="00C35A4C"/>
    <w:rsid w:val="00C35F5A"/>
    <w:rsid w:val="00C36095"/>
    <w:rsid w:val="00C36189"/>
    <w:rsid w:val="00C362EA"/>
    <w:rsid w:val="00C3643F"/>
    <w:rsid w:val="00C3670E"/>
    <w:rsid w:val="00C3677F"/>
    <w:rsid w:val="00C367A7"/>
    <w:rsid w:val="00C3681A"/>
    <w:rsid w:val="00C36856"/>
    <w:rsid w:val="00C36E12"/>
    <w:rsid w:val="00C36F3C"/>
    <w:rsid w:val="00C37137"/>
    <w:rsid w:val="00C37CA5"/>
    <w:rsid w:val="00C37E86"/>
    <w:rsid w:val="00C40289"/>
    <w:rsid w:val="00C406DC"/>
    <w:rsid w:val="00C40A1C"/>
    <w:rsid w:val="00C40A89"/>
    <w:rsid w:val="00C40B3F"/>
    <w:rsid w:val="00C40CFB"/>
    <w:rsid w:val="00C40ED4"/>
    <w:rsid w:val="00C41039"/>
    <w:rsid w:val="00C415C8"/>
    <w:rsid w:val="00C41648"/>
    <w:rsid w:val="00C41D53"/>
    <w:rsid w:val="00C42453"/>
    <w:rsid w:val="00C43051"/>
    <w:rsid w:val="00C43749"/>
    <w:rsid w:val="00C44002"/>
    <w:rsid w:val="00C4409E"/>
    <w:rsid w:val="00C440DD"/>
    <w:rsid w:val="00C44578"/>
    <w:rsid w:val="00C446C8"/>
    <w:rsid w:val="00C447E5"/>
    <w:rsid w:val="00C45679"/>
    <w:rsid w:val="00C45768"/>
    <w:rsid w:val="00C457BC"/>
    <w:rsid w:val="00C45A00"/>
    <w:rsid w:val="00C45AE7"/>
    <w:rsid w:val="00C4610E"/>
    <w:rsid w:val="00C4615C"/>
    <w:rsid w:val="00C464F5"/>
    <w:rsid w:val="00C4699E"/>
    <w:rsid w:val="00C46C06"/>
    <w:rsid w:val="00C46CAC"/>
    <w:rsid w:val="00C47312"/>
    <w:rsid w:val="00C47AE7"/>
    <w:rsid w:val="00C50138"/>
    <w:rsid w:val="00C5023E"/>
    <w:rsid w:val="00C50726"/>
    <w:rsid w:val="00C50798"/>
    <w:rsid w:val="00C50944"/>
    <w:rsid w:val="00C50BCA"/>
    <w:rsid w:val="00C511D5"/>
    <w:rsid w:val="00C516BB"/>
    <w:rsid w:val="00C51B2B"/>
    <w:rsid w:val="00C52346"/>
    <w:rsid w:val="00C527AA"/>
    <w:rsid w:val="00C52952"/>
    <w:rsid w:val="00C52CFF"/>
    <w:rsid w:val="00C52FD1"/>
    <w:rsid w:val="00C530D5"/>
    <w:rsid w:val="00C531F9"/>
    <w:rsid w:val="00C53428"/>
    <w:rsid w:val="00C53497"/>
    <w:rsid w:val="00C539C1"/>
    <w:rsid w:val="00C53B9E"/>
    <w:rsid w:val="00C53CCF"/>
    <w:rsid w:val="00C53D67"/>
    <w:rsid w:val="00C543F4"/>
    <w:rsid w:val="00C5455C"/>
    <w:rsid w:val="00C54957"/>
    <w:rsid w:val="00C54EEA"/>
    <w:rsid w:val="00C55602"/>
    <w:rsid w:val="00C557AE"/>
    <w:rsid w:val="00C55BF6"/>
    <w:rsid w:val="00C56127"/>
    <w:rsid w:val="00C56241"/>
    <w:rsid w:val="00C563D0"/>
    <w:rsid w:val="00C566F3"/>
    <w:rsid w:val="00C56A8D"/>
    <w:rsid w:val="00C56CD8"/>
    <w:rsid w:val="00C56F5B"/>
    <w:rsid w:val="00C56F85"/>
    <w:rsid w:val="00C570B7"/>
    <w:rsid w:val="00C57488"/>
    <w:rsid w:val="00C574D0"/>
    <w:rsid w:val="00C576B4"/>
    <w:rsid w:val="00C5788D"/>
    <w:rsid w:val="00C578CB"/>
    <w:rsid w:val="00C57A8B"/>
    <w:rsid w:val="00C57B77"/>
    <w:rsid w:val="00C57BD9"/>
    <w:rsid w:val="00C601C2"/>
    <w:rsid w:val="00C603B8"/>
    <w:rsid w:val="00C604D8"/>
    <w:rsid w:val="00C605F0"/>
    <w:rsid w:val="00C6092F"/>
    <w:rsid w:val="00C610E1"/>
    <w:rsid w:val="00C6132B"/>
    <w:rsid w:val="00C615A4"/>
    <w:rsid w:val="00C61786"/>
    <w:rsid w:val="00C61BB8"/>
    <w:rsid w:val="00C61CC4"/>
    <w:rsid w:val="00C61DC6"/>
    <w:rsid w:val="00C61F90"/>
    <w:rsid w:val="00C62156"/>
    <w:rsid w:val="00C62424"/>
    <w:rsid w:val="00C62485"/>
    <w:rsid w:val="00C624A3"/>
    <w:rsid w:val="00C62568"/>
    <w:rsid w:val="00C628F8"/>
    <w:rsid w:val="00C6291C"/>
    <w:rsid w:val="00C62EA6"/>
    <w:rsid w:val="00C633CB"/>
    <w:rsid w:val="00C633FF"/>
    <w:rsid w:val="00C6351C"/>
    <w:rsid w:val="00C6368D"/>
    <w:rsid w:val="00C63A77"/>
    <w:rsid w:val="00C63AEA"/>
    <w:rsid w:val="00C63C64"/>
    <w:rsid w:val="00C64127"/>
    <w:rsid w:val="00C642D6"/>
    <w:rsid w:val="00C645F0"/>
    <w:rsid w:val="00C6482A"/>
    <w:rsid w:val="00C64AAA"/>
    <w:rsid w:val="00C64C78"/>
    <w:rsid w:val="00C6513D"/>
    <w:rsid w:val="00C656DF"/>
    <w:rsid w:val="00C65C2D"/>
    <w:rsid w:val="00C66563"/>
    <w:rsid w:val="00C66687"/>
    <w:rsid w:val="00C667C1"/>
    <w:rsid w:val="00C66B2C"/>
    <w:rsid w:val="00C66E91"/>
    <w:rsid w:val="00C66F12"/>
    <w:rsid w:val="00C67034"/>
    <w:rsid w:val="00C673EE"/>
    <w:rsid w:val="00C674FF"/>
    <w:rsid w:val="00C67567"/>
    <w:rsid w:val="00C701FB"/>
    <w:rsid w:val="00C7073B"/>
    <w:rsid w:val="00C70B88"/>
    <w:rsid w:val="00C70DFD"/>
    <w:rsid w:val="00C71091"/>
    <w:rsid w:val="00C71346"/>
    <w:rsid w:val="00C71982"/>
    <w:rsid w:val="00C71BC7"/>
    <w:rsid w:val="00C723BB"/>
    <w:rsid w:val="00C725AD"/>
    <w:rsid w:val="00C730C5"/>
    <w:rsid w:val="00C73100"/>
    <w:rsid w:val="00C731C5"/>
    <w:rsid w:val="00C732D5"/>
    <w:rsid w:val="00C73438"/>
    <w:rsid w:val="00C7345A"/>
    <w:rsid w:val="00C73812"/>
    <w:rsid w:val="00C73AB2"/>
    <w:rsid w:val="00C73AE0"/>
    <w:rsid w:val="00C74044"/>
    <w:rsid w:val="00C740C4"/>
    <w:rsid w:val="00C74607"/>
    <w:rsid w:val="00C746B5"/>
    <w:rsid w:val="00C74923"/>
    <w:rsid w:val="00C74B32"/>
    <w:rsid w:val="00C74EC4"/>
    <w:rsid w:val="00C756EF"/>
    <w:rsid w:val="00C758B9"/>
    <w:rsid w:val="00C758C5"/>
    <w:rsid w:val="00C75938"/>
    <w:rsid w:val="00C7599F"/>
    <w:rsid w:val="00C76600"/>
    <w:rsid w:val="00C7685B"/>
    <w:rsid w:val="00C76A57"/>
    <w:rsid w:val="00C76C96"/>
    <w:rsid w:val="00C77089"/>
    <w:rsid w:val="00C7722C"/>
    <w:rsid w:val="00C777BC"/>
    <w:rsid w:val="00C77D5A"/>
    <w:rsid w:val="00C8006A"/>
    <w:rsid w:val="00C80165"/>
    <w:rsid w:val="00C80198"/>
    <w:rsid w:val="00C80573"/>
    <w:rsid w:val="00C80697"/>
    <w:rsid w:val="00C80934"/>
    <w:rsid w:val="00C80A35"/>
    <w:rsid w:val="00C80B6B"/>
    <w:rsid w:val="00C80C1C"/>
    <w:rsid w:val="00C80F6B"/>
    <w:rsid w:val="00C81086"/>
    <w:rsid w:val="00C81092"/>
    <w:rsid w:val="00C81175"/>
    <w:rsid w:val="00C8136D"/>
    <w:rsid w:val="00C8158E"/>
    <w:rsid w:val="00C8168D"/>
    <w:rsid w:val="00C827C1"/>
    <w:rsid w:val="00C828D4"/>
    <w:rsid w:val="00C83032"/>
    <w:rsid w:val="00C83472"/>
    <w:rsid w:val="00C83507"/>
    <w:rsid w:val="00C83551"/>
    <w:rsid w:val="00C835D1"/>
    <w:rsid w:val="00C83737"/>
    <w:rsid w:val="00C83B9E"/>
    <w:rsid w:val="00C83BEE"/>
    <w:rsid w:val="00C83D8A"/>
    <w:rsid w:val="00C83FC0"/>
    <w:rsid w:val="00C84528"/>
    <w:rsid w:val="00C84691"/>
    <w:rsid w:val="00C847A8"/>
    <w:rsid w:val="00C84D5F"/>
    <w:rsid w:val="00C84D86"/>
    <w:rsid w:val="00C84DA2"/>
    <w:rsid w:val="00C84DB9"/>
    <w:rsid w:val="00C8510F"/>
    <w:rsid w:val="00C85159"/>
    <w:rsid w:val="00C852F5"/>
    <w:rsid w:val="00C854C2"/>
    <w:rsid w:val="00C855E1"/>
    <w:rsid w:val="00C8575B"/>
    <w:rsid w:val="00C85B5E"/>
    <w:rsid w:val="00C85CBD"/>
    <w:rsid w:val="00C85CF2"/>
    <w:rsid w:val="00C85E75"/>
    <w:rsid w:val="00C86653"/>
    <w:rsid w:val="00C86951"/>
    <w:rsid w:val="00C86B91"/>
    <w:rsid w:val="00C86C50"/>
    <w:rsid w:val="00C873B6"/>
    <w:rsid w:val="00C8751E"/>
    <w:rsid w:val="00C8762C"/>
    <w:rsid w:val="00C8767A"/>
    <w:rsid w:val="00C8778A"/>
    <w:rsid w:val="00C877EB"/>
    <w:rsid w:val="00C87F78"/>
    <w:rsid w:val="00C90649"/>
    <w:rsid w:val="00C90A2A"/>
    <w:rsid w:val="00C91239"/>
    <w:rsid w:val="00C91921"/>
    <w:rsid w:val="00C91BA2"/>
    <w:rsid w:val="00C91DE6"/>
    <w:rsid w:val="00C920AF"/>
    <w:rsid w:val="00C92566"/>
    <w:rsid w:val="00C93320"/>
    <w:rsid w:val="00C9339F"/>
    <w:rsid w:val="00C936DE"/>
    <w:rsid w:val="00C93CD9"/>
    <w:rsid w:val="00C93DC4"/>
    <w:rsid w:val="00C93E54"/>
    <w:rsid w:val="00C93F8E"/>
    <w:rsid w:val="00C9403E"/>
    <w:rsid w:val="00C944D0"/>
    <w:rsid w:val="00C94555"/>
    <w:rsid w:val="00C94783"/>
    <w:rsid w:val="00C9512D"/>
    <w:rsid w:val="00C95984"/>
    <w:rsid w:val="00C95C1F"/>
    <w:rsid w:val="00C96499"/>
    <w:rsid w:val="00C9649F"/>
    <w:rsid w:val="00C9704A"/>
    <w:rsid w:val="00C972BA"/>
    <w:rsid w:val="00C972E5"/>
    <w:rsid w:val="00C978C3"/>
    <w:rsid w:val="00C97A4C"/>
    <w:rsid w:val="00C97A52"/>
    <w:rsid w:val="00C97C61"/>
    <w:rsid w:val="00C97F2F"/>
    <w:rsid w:val="00CA00F9"/>
    <w:rsid w:val="00CA0447"/>
    <w:rsid w:val="00CA0E3B"/>
    <w:rsid w:val="00CA102E"/>
    <w:rsid w:val="00CA10A0"/>
    <w:rsid w:val="00CA127A"/>
    <w:rsid w:val="00CA12AB"/>
    <w:rsid w:val="00CA161E"/>
    <w:rsid w:val="00CA184E"/>
    <w:rsid w:val="00CA270B"/>
    <w:rsid w:val="00CA2797"/>
    <w:rsid w:val="00CA2961"/>
    <w:rsid w:val="00CA2CCE"/>
    <w:rsid w:val="00CA2FA8"/>
    <w:rsid w:val="00CA3828"/>
    <w:rsid w:val="00CA3AE3"/>
    <w:rsid w:val="00CA40CC"/>
    <w:rsid w:val="00CA419F"/>
    <w:rsid w:val="00CA44BB"/>
    <w:rsid w:val="00CA4620"/>
    <w:rsid w:val="00CA474D"/>
    <w:rsid w:val="00CA4B68"/>
    <w:rsid w:val="00CA5359"/>
    <w:rsid w:val="00CA54BD"/>
    <w:rsid w:val="00CA554D"/>
    <w:rsid w:val="00CA6301"/>
    <w:rsid w:val="00CA655F"/>
    <w:rsid w:val="00CA65D7"/>
    <w:rsid w:val="00CA69AB"/>
    <w:rsid w:val="00CA6AE2"/>
    <w:rsid w:val="00CA6F4C"/>
    <w:rsid w:val="00CA7080"/>
    <w:rsid w:val="00CA70D4"/>
    <w:rsid w:val="00CA7867"/>
    <w:rsid w:val="00CA7BDC"/>
    <w:rsid w:val="00CA7E26"/>
    <w:rsid w:val="00CB0059"/>
    <w:rsid w:val="00CB0279"/>
    <w:rsid w:val="00CB0792"/>
    <w:rsid w:val="00CB1081"/>
    <w:rsid w:val="00CB126E"/>
    <w:rsid w:val="00CB144B"/>
    <w:rsid w:val="00CB14ED"/>
    <w:rsid w:val="00CB1841"/>
    <w:rsid w:val="00CB2966"/>
    <w:rsid w:val="00CB2C1E"/>
    <w:rsid w:val="00CB2D79"/>
    <w:rsid w:val="00CB3143"/>
    <w:rsid w:val="00CB3249"/>
    <w:rsid w:val="00CB3506"/>
    <w:rsid w:val="00CB3547"/>
    <w:rsid w:val="00CB3878"/>
    <w:rsid w:val="00CB38AA"/>
    <w:rsid w:val="00CB3A1E"/>
    <w:rsid w:val="00CB3AA6"/>
    <w:rsid w:val="00CB41E4"/>
    <w:rsid w:val="00CB4472"/>
    <w:rsid w:val="00CB46B2"/>
    <w:rsid w:val="00CB4B9C"/>
    <w:rsid w:val="00CB4F4A"/>
    <w:rsid w:val="00CB50D7"/>
    <w:rsid w:val="00CB5252"/>
    <w:rsid w:val="00CB5659"/>
    <w:rsid w:val="00CB5759"/>
    <w:rsid w:val="00CB5968"/>
    <w:rsid w:val="00CB5FDE"/>
    <w:rsid w:val="00CB618C"/>
    <w:rsid w:val="00CB61AF"/>
    <w:rsid w:val="00CB63A8"/>
    <w:rsid w:val="00CB66E8"/>
    <w:rsid w:val="00CB67E4"/>
    <w:rsid w:val="00CB6A35"/>
    <w:rsid w:val="00CB7177"/>
    <w:rsid w:val="00CB7A26"/>
    <w:rsid w:val="00CC0100"/>
    <w:rsid w:val="00CC02B2"/>
    <w:rsid w:val="00CC02E7"/>
    <w:rsid w:val="00CC0519"/>
    <w:rsid w:val="00CC08BE"/>
    <w:rsid w:val="00CC0D54"/>
    <w:rsid w:val="00CC1071"/>
    <w:rsid w:val="00CC1360"/>
    <w:rsid w:val="00CC1998"/>
    <w:rsid w:val="00CC1A40"/>
    <w:rsid w:val="00CC1BBB"/>
    <w:rsid w:val="00CC1CFD"/>
    <w:rsid w:val="00CC1EB0"/>
    <w:rsid w:val="00CC257F"/>
    <w:rsid w:val="00CC25F5"/>
    <w:rsid w:val="00CC2629"/>
    <w:rsid w:val="00CC29FE"/>
    <w:rsid w:val="00CC2BA0"/>
    <w:rsid w:val="00CC2DE4"/>
    <w:rsid w:val="00CC2E16"/>
    <w:rsid w:val="00CC3697"/>
    <w:rsid w:val="00CC382D"/>
    <w:rsid w:val="00CC3DE5"/>
    <w:rsid w:val="00CC45CC"/>
    <w:rsid w:val="00CC47FE"/>
    <w:rsid w:val="00CC4946"/>
    <w:rsid w:val="00CC4C1A"/>
    <w:rsid w:val="00CC4C47"/>
    <w:rsid w:val="00CC51A2"/>
    <w:rsid w:val="00CC585A"/>
    <w:rsid w:val="00CC604A"/>
    <w:rsid w:val="00CC66FB"/>
    <w:rsid w:val="00CC6772"/>
    <w:rsid w:val="00CC694E"/>
    <w:rsid w:val="00CC6D25"/>
    <w:rsid w:val="00CC6D6A"/>
    <w:rsid w:val="00CC6E42"/>
    <w:rsid w:val="00CC6FEC"/>
    <w:rsid w:val="00CC709A"/>
    <w:rsid w:val="00CC79E2"/>
    <w:rsid w:val="00CC7B79"/>
    <w:rsid w:val="00CC7CE3"/>
    <w:rsid w:val="00CC7D17"/>
    <w:rsid w:val="00CC7E20"/>
    <w:rsid w:val="00CC7F27"/>
    <w:rsid w:val="00CD01E4"/>
    <w:rsid w:val="00CD0249"/>
    <w:rsid w:val="00CD0514"/>
    <w:rsid w:val="00CD05F0"/>
    <w:rsid w:val="00CD07C1"/>
    <w:rsid w:val="00CD07F1"/>
    <w:rsid w:val="00CD0CF8"/>
    <w:rsid w:val="00CD0EBD"/>
    <w:rsid w:val="00CD1153"/>
    <w:rsid w:val="00CD14A1"/>
    <w:rsid w:val="00CD167B"/>
    <w:rsid w:val="00CD16D7"/>
    <w:rsid w:val="00CD2906"/>
    <w:rsid w:val="00CD294B"/>
    <w:rsid w:val="00CD2E96"/>
    <w:rsid w:val="00CD306F"/>
    <w:rsid w:val="00CD3BE2"/>
    <w:rsid w:val="00CD3C62"/>
    <w:rsid w:val="00CD4139"/>
    <w:rsid w:val="00CD41CF"/>
    <w:rsid w:val="00CD44D0"/>
    <w:rsid w:val="00CD492B"/>
    <w:rsid w:val="00CD516A"/>
    <w:rsid w:val="00CD51EA"/>
    <w:rsid w:val="00CD5325"/>
    <w:rsid w:val="00CD5389"/>
    <w:rsid w:val="00CD593A"/>
    <w:rsid w:val="00CD5E15"/>
    <w:rsid w:val="00CD5F34"/>
    <w:rsid w:val="00CD608A"/>
    <w:rsid w:val="00CD6349"/>
    <w:rsid w:val="00CD63FC"/>
    <w:rsid w:val="00CD659E"/>
    <w:rsid w:val="00CD6782"/>
    <w:rsid w:val="00CD6903"/>
    <w:rsid w:val="00CD6B47"/>
    <w:rsid w:val="00CD6F93"/>
    <w:rsid w:val="00CD6FFF"/>
    <w:rsid w:val="00CD706E"/>
    <w:rsid w:val="00CD7216"/>
    <w:rsid w:val="00CD72D4"/>
    <w:rsid w:val="00CD7309"/>
    <w:rsid w:val="00CD74E8"/>
    <w:rsid w:val="00CD797C"/>
    <w:rsid w:val="00CD7D8C"/>
    <w:rsid w:val="00CD7E06"/>
    <w:rsid w:val="00CD7E93"/>
    <w:rsid w:val="00CD7FE0"/>
    <w:rsid w:val="00CE0537"/>
    <w:rsid w:val="00CE0AA1"/>
    <w:rsid w:val="00CE0CB8"/>
    <w:rsid w:val="00CE12C5"/>
    <w:rsid w:val="00CE131C"/>
    <w:rsid w:val="00CE1417"/>
    <w:rsid w:val="00CE1419"/>
    <w:rsid w:val="00CE149B"/>
    <w:rsid w:val="00CE19FF"/>
    <w:rsid w:val="00CE1D5E"/>
    <w:rsid w:val="00CE1F66"/>
    <w:rsid w:val="00CE23F4"/>
    <w:rsid w:val="00CE2523"/>
    <w:rsid w:val="00CE2F36"/>
    <w:rsid w:val="00CE3358"/>
    <w:rsid w:val="00CE3653"/>
    <w:rsid w:val="00CE37BC"/>
    <w:rsid w:val="00CE4015"/>
    <w:rsid w:val="00CE40D5"/>
    <w:rsid w:val="00CE43F7"/>
    <w:rsid w:val="00CE4542"/>
    <w:rsid w:val="00CE4AF9"/>
    <w:rsid w:val="00CE4E95"/>
    <w:rsid w:val="00CE523B"/>
    <w:rsid w:val="00CE52B5"/>
    <w:rsid w:val="00CE5754"/>
    <w:rsid w:val="00CE5852"/>
    <w:rsid w:val="00CE5E05"/>
    <w:rsid w:val="00CE609A"/>
    <w:rsid w:val="00CE6B29"/>
    <w:rsid w:val="00CE7707"/>
    <w:rsid w:val="00CF0267"/>
    <w:rsid w:val="00CF0432"/>
    <w:rsid w:val="00CF0582"/>
    <w:rsid w:val="00CF05AB"/>
    <w:rsid w:val="00CF063B"/>
    <w:rsid w:val="00CF0911"/>
    <w:rsid w:val="00CF0A65"/>
    <w:rsid w:val="00CF1096"/>
    <w:rsid w:val="00CF10C0"/>
    <w:rsid w:val="00CF11BF"/>
    <w:rsid w:val="00CF144A"/>
    <w:rsid w:val="00CF1D7B"/>
    <w:rsid w:val="00CF1E70"/>
    <w:rsid w:val="00CF1E85"/>
    <w:rsid w:val="00CF1F60"/>
    <w:rsid w:val="00CF22A9"/>
    <w:rsid w:val="00CF24D7"/>
    <w:rsid w:val="00CF263E"/>
    <w:rsid w:val="00CF26D6"/>
    <w:rsid w:val="00CF2B42"/>
    <w:rsid w:val="00CF2C96"/>
    <w:rsid w:val="00CF2DB2"/>
    <w:rsid w:val="00CF320B"/>
    <w:rsid w:val="00CF3291"/>
    <w:rsid w:val="00CF34B5"/>
    <w:rsid w:val="00CF385D"/>
    <w:rsid w:val="00CF3A18"/>
    <w:rsid w:val="00CF3BC6"/>
    <w:rsid w:val="00CF3BD9"/>
    <w:rsid w:val="00CF3E65"/>
    <w:rsid w:val="00CF4139"/>
    <w:rsid w:val="00CF490B"/>
    <w:rsid w:val="00CF4999"/>
    <w:rsid w:val="00CF4CB1"/>
    <w:rsid w:val="00CF4F06"/>
    <w:rsid w:val="00CF5079"/>
    <w:rsid w:val="00CF5118"/>
    <w:rsid w:val="00CF534A"/>
    <w:rsid w:val="00CF5EC7"/>
    <w:rsid w:val="00CF6541"/>
    <w:rsid w:val="00CF67C7"/>
    <w:rsid w:val="00CF7096"/>
    <w:rsid w:val="00CF709F"/>
    <w:rsid w:val="00CF7309"/>
    <w:rsid w:val="00CF74A8"/>
    <w:rsid w:val="00CF74C0"/>
    <w:rsid w:val="00CF7950"/>
    <w:rsid w:val="00CF7AB4"/>
    <w:rsid w:val="00D004F2"/>
    <w:rsid w:val="00D008EA"/>
    <w:rsid w:val="00D00B85"/>
    <w:rsid w:val="00D00BDB"/>
    <w:rsid w:val="00D00F8A"/>
    <w:rsid w:val="00D011A7"/>
    <w:rsid w:val="00D0140A"/>
    <w:rsid w:val="00D01735"/>
    <w:rsid w:val="00D01C9E"/>
    <w:rsid w:val="00D02150"/>
    <w:rsid w:val="00D0217C"/>
    <w:rsid w:val="00D0249F"/>
    <w:rsid w:val="00D02992"/>
    <w:rsid w:val="00D02BA9"/>
    <w:rsid w:val="00D02C38"/>
    <w:rsid w:val="00D02F7A"/>
    <w:rsid w:val="00D03826"/>
    <w:rsid w:val="00D038F5"/>
    <w:rsid w:val="00D03975"/>
    <w:rsid w:val="00D03993"/>
    <w:rsid w:val="00D03D6E"/>
    <w:rsid w:val="00D03FA5"/>
    <w:rsid w:val="00D040BB"/>
    <w:rsid w:val="00D04133"/>
    <w:rsid w:val="00D0474D"/>
    <w:rsid w:val="00D049CE"/>
    <w:rsid w:val="00D04B31"/>
    <w:rsid w:val="00D04DF1"/>
    <w:rsid w:val="00D04ED7"/>
    <w:rsid w:val="00D04FB2"/>
    <w:rsid w:val="00D057F8"/>
    <w:rsid w:val="00D05AD8"/>
    <w:rsid w:val="00D06205"/>
    <w:rsid w:val="00D0681F"/>
    <w:rsid w:val="00D0685B"/>
    <w:rsid w:val="00D06B5C"/>
    <w:rsid w:val="00D07592"/>
    <w:rsid w:val="00D0761B"/>
    <w:rsid w:val="00D0791F"/>
    <w:rsid w:val="00D105DF"/>
    <w:rsid w:val="00D10998"/>
    <w:rsid w:val="00D10A94"/>
    <w:rsid w:val="00D10E6C"/>
    <w:rsid w:val="00D1151B"/>
    <w:rsid w:val="00D116B6"/>
    <w:rsid w:val="00D1231D"/>
    <w:rsid w:val="00D12612"/>
    <w:rsid w:val="00D1292A"/>
    <w:rsid w:val="00D1336A"/>
    <w:rsid w:val="00D13911"/>
    <w:rsid w:val="00D13C88"/>
    <w:rsid w:val="00D13D6A"/>
    <w:rsid w:val="00D13E5A"/>
    <w:rsid w:val="00D14B64"/>
    <w:rsid w:val="00D14FB0"/>
    <w:rsid w:val="00D1539E"/>
    <w:rsid w:val="00D1546A"/>
    <w:rsid w:val="00D155E2"/>
    <w:rsid w:val="00D157EB"/>
    <w:rsid w:val="00D159F9"/>
    <w:rsid w:val="00D15A54"/>
    <w:rsid w:val="00D15B0B"/>
    <w:rsid w:val="00D15C13"/>
    <w:rsid w:val="00D15C5C"/>
    <w:rsid w:val="00D15DB3"/>
    <w:rsid w:val="00D15E03"/>
    <w:rsid w:val="00D15EE4"/>
    <w:rsid w:val="00D1604E"/>
    <w:rsid w:val="00D1668F"/>
    <w:rsid w:val="00D16C77"/>
    <w:rsid w:val="00D16F4E"/>
    <w:rsid w:val="00D171EA"/>
    <w:rsid w:val="00D173F6"/>
    <w:rsid w:val="00D1752A"/>
    <w:rsid w:val="00D17E6B"/>
    <w:rsid w:val="00D20132"/>
    <w:rsid w:val="00D20472"/>
    <w:rsid w:val="00D20C59"/>
    <w:rsid w:val="00D20E27"/>
    <w:rsid w:val="00D20EE3"/>
    <w:rsid w:val="00D20FF3"/>
    <w:rsid w:val="00D21075"/>
    <w:rsid w:val="00D210EA"/>
    <w:rsid w:val="00D219AE"/>
    <w:rsid w:val="00D22365"/>
    <w:rsid w:val="00D22868"/>
    <w:rsid w:val="00D2286C"/>
    <w:rsid w:val="00D22B23"/>
    <w:rsid w:val="00D233BE"/>
    <w:rsid w:val="00D233E5"/>
    <w:rsid w:val="00D233F3"/>
    <w:rsid w:val="00D23466"/>
    <w:rsid w:val="00D235F0"/>
    <w:rsid w:val="00D23696"/>
    <w:rsid w:val="00D23765"/>
    <w:rsid w:val="00D23B74"/>
    <w:rsid w:val="00D23C4B"/>
    <w:rsid w:val="00D23D43"/>
    <w:rsid w:val="00D23D9E"/>
    <w:rsid w:val="00D24056"/>
    <w:rsid w:val="00D244B5"/>
    <w:rsid w:val="00D24A5E"/>
    <w:rsid w:val="00D24B80"/>
    <w:rsid w:val="00D24E9D"/>
    <w:rsid w:val="00D2552D"/>
    <w:rsid w:val="00D2579C"/>
    <w:rsid w:val="00D25BCE"/>
    <w:rsid w:val="00D26051"/>
    <w:rsid w:val="00D2615B"/>
    <w:rsid w:val="00D264E4"/>
    <w:rsid w:val="00D26E6E"/>
    <w:rsid w:val="00D26FEA"/>
    <w:rsid w:val="00D27076"/>
    <w:rsid w:val="00D270A4"/>
    <w:rsid w:val="00D27298"/>
    <w:rsid w:val="00D27334"/>
    <w:rsid w:val="00D274B3"/>
    <w:rsid w:val="00D274BB"/>
    <w:rsid w:val="00D27509"/>
    <w:rsid w:val="00D2751D"/>
    <w:rsid w:val="00D278ED"/>
    <w:rsid w:val="00D27A67"/>
    <w:rsid w:val="00D27A74"/>
    <w:rsid w:val="00D27C35"/>
    <w:rsid w:val="00D303DA"/>
    <w:rsid w:val="00D305F2"/>
    <w:rsid w:val="00D30642"/>
    <w:rsid w:val="00D30A11"/>
    <w:rsid w:val="00D311D3"/>
    <w:rsid w:val="00D31666"/>
    <w:rsid w:val="00D3187F"/>
    <w:rsid w:val="00D31ACF"/>
    <w:rsid w:val="00D31FB2"/>
    <w:rsid w:val="00D32609"/>
    <w:rsid w:val="00D32A26"/>
    <w:rsid w:val="00D32A33"/>
    <w:rsid w:val="00D32ACA"/>
    <w:rsid w:val="00D330C8"/>
    <w:rsid w:val="00D339A7"/>
    <w:rsid w:val="00D33BD0"/>
    <w:rsid w:val="00D33C90"/>
    <w:rsid w:val="00D33F44"/>
    <w:rsid w:val="00D34399"/>
    <w:rsid w:val="00D344B3"/>
    <w:rsid w:val="00D34532"/>
    <w:rsid w:val="00D34E1B"/>
    <w:rsid w:val="00D35471"/>
    <w:rsid w:val="00D354D3"/>
    <w:rsid w:val="00D35BC6"/>
    <w:rsid w:val="00D35FAD"/>
    <w:rsid w:val="00D36A60"/>
    <w:rsid w:val="00D36BD5"/>
    <w:rsid w:val="00D36D70"/>
    <w:rsid w:val="00D36E2F"/>
    <w:rsid w:val="00D37155"/>
    <w:rsid w:val="00D3728F"/>
    <w:rsid w:val="00D3749F"/>
    <w:rsid w:val="00D376E3"/>
    <w:rsid w:val="00D37837"/>
    <w:rsid w:val="00D37921"/>
    <w:rsid w:val="00D40142"/>
    <w:rsid w:val="00D4038B"/>
    <w:rsid w:val="00D40C79"/>
    <w:rsid w:val="00D41218"/>
    <w:rsid w:val="00D41313"/>
    <w:rsid w:val="00D414A2"/>
    <w:rsid w:val="00D416EC"/>
    <w:rsid w:val="00D4178D"/>
    <w:rsid w:val="00D4191E"/>
    <w:rsid w:val="00D41AFF"/>
    <w:rsid w:val="00D41C77"/>
    <w:rsid w:val="00D420B8"/>
    <w:rsid w:val="00D42683"/>
    <w:rsid w:val="00D42A15"/>
    <w:rsid w:val="00D4325A"/>
    <w:rsid w:val="00D436B7"/>
    <w:rsid w:val="00D437A4"/>
    <w:rsid w:val="00D4386D"/>
    <w:rsid w:val="00D439BE"/>
    <w:rsid w:val="00D43FA3"/>
    <w:rsid w:val="00D449B7"/>
    <w:rsid w:val="00D450E7"/>
    <w:rsid w:val="00D45367"/>
    <w:rsid w:val="00D456F9"/>
    <w:rsid w:val="00D457F4"/>
    <w:rsid w:val="00D458B0"/>
    <w:rsid w:val="00D45BB3"/>
    <w:rsid w:val="00D467F7"/>
    <w:rsid w:val="00D46827"/>
    <w:rsid w:val="00D470FD"/>
    <w:rsid w:val="00D4753A"/>
    <w:rsid w:val="00D47549"/>
    <w:rsid w:val="00D47702"/>
    <w:rsid w:val="00D478D2"/>
    <w:rsid w:val="00D47994"/>
    <w:rsid w:val="00D479CA"/>
    <w:rsid w:val="00D47A99"/>
    <w:rsid w:val="00D47B9B"/>
    <w:rsid w:val="00D47E60"/>
    <w:rsid w:val="00D50C1E"/>
    <w:rsid w:val="00D51700"/>
    <w:rsid w:val="00D5194B"/>
    <w:rsid w:val="00D51A0B"/>
    <w:rsid w:val="00D51D8F"/>
    <w:rsid w:val="00D51E02"/>
    <w:rsid w:val="00D51FFE"/>
    <w:rsid w:val="00D52096"/>
    <w:rsid w:val="00D52117"/>
    <w:rsid w:val="00D521EF"/>
    <w:rsid w:val="00D5228C"/>
    <w:rsid w:val="00D525DB"/>
    <w:rsid w:val="00D5264F"/>
    <w:rsid w:val="00D52670"/>
    <w:rsid w:val="00D52CE3"/>
    <w:rsid w:val="00D52D72"/>
    <w:rsid w:val="00D53F5F"/>
    <w:rsid w:val="00D54500"/>
    <w:rsid w:val="00D545CE"/>
    <w:rsid w:val="00D546B3"/>
    <w:rsid w:val="00D549D3"/>
    <w:rsid w:val="00D5512A"/>
    <w:rsid w:val="00D557A1"/>
    <w:rsid w:val="00D5589F"/>
    <w:rsid w:val="00D55A38"/>
    <w:rsid w:val="00D55D2A"/>
    <w:rsid w:val="00D55ED6"/>
    <w:rsid w:val="00D56014"/>
    <w:rsid w:val="00D568D1"/>
    <w:rsid w:val="00D56B12"/>
    <w:rsid w:val="00D56D26"/>
    <w:rsid w:val="00D57486"/>
    <w:rsid w:val="00D5749C"/>
    <w:rsid w:val="00D578CD"/>
    <w:rsid w:val="00D57A9E"/>
    <w:rsid w:val="00D57CB3"/>
    <w:rsid w:val="00D57E9E"/>
    <w:rsid w:val="00D57FDC"/>
    <w:rsid w:val="00D6019E"/>
    <w:rsid w:val="00D60309"/>
    <w:rsid w:val="00D604E8"/>
    <w:rsid w:val="00D60E06"/>
    <w:rsid w:val="00D61085"/>
    <w:rsid w:val="00D612FF"/>
    <w:rsid w:val="00D61585"/>
    <w:rsid w:val="00D618AC"/>
    <w:rsid w:val="00D61B44"/>
    <w:rsid w:val="00D61D91"/>
    <w:rsid w:val="00D62052"/>
    <w:rsid w:val="00D62634"/>
    <w:rsid w:val="00D62728"/>
    <w:rsid w:val="00D62A44"/>
    <w:rsid w:val="00D6328C"/>
    <w:rsid w:val="00D63696"/>
    <w:rsid w:val="00D63C86"/>
    <w:rsid w:val="00D63CE1"/>
    <w:rsid w:val="00D63D73"/>
    <w:rsid w:val="00D63DAE"/>
    <w:rsid w:val="00D63F56"/>
    <w:rsid w:val="00D640DA"/>
    <w:rsid w:val="00D64B9E"/>
    <w:rsid w:val="00D64FC9"/>
    <w:rsid w:val="00D6511E"/>
    <w:rsid w:val="00D651DF"/>
    <w:rsid w:val="00D6542B"/>
    <w:rsid w:val="00D65752"/>
    <w:rsid w:val="00D65941"/>
    <w:rsid w:val="00D65A38"/>
    <w:rsid w:val="00D65B74"/>
    <w:rsid w:val="00D65D6D"/>
    <w:rsid w:val="00D66397"/>
    <w:rsid w:val="00D663F1"/>
    <w:rsid w:val="00D66427"/>
    <w:rsid w:val="00D66745"/>
    <w:rsid w:val="00D669C0"/>
    <w:rsid w:val="00D66A97"/>
    <w:rsid w:val="00D66E1E"/>
    <w:rsid w:val="00D674D1"/>
    <w:rsid w:val="00D674D7"/>
    <w:rsid w:val="00D6750C"/>
    <w:rsid w:val="00D6759F"/>
    <w:rsid w:val="00D6771E"/>
    <w:rsid w:val="00D677F2"/>
    <w:rsid w:val="00D67803"/>
    <w:rsid w:val="00D67CCD"/>
    <w:rsid w:val="00D67ECD"/>
    <w:rsid w:val="00D67F89"/>
    <w:rsid w:val="00D702ED"/>
    <w:rsid w:val="00D7063B"/>
    <w:rsid w:val="00D709D5"/>
    <w:rsid w:val="00D70EC5"/>
    <w:rsid w:val="00D71382"/>
    <w:rsid w:val="00D714BD"/>
    <w:rsid w:val="00D71D65"/>
    <w:rsid w:val="00D725AC"/>
    <w:rsid w:val="00D72954"/>
    <w:rsid w:val="00D73413"/>
    <w:rsid w:val="00D7377F"/>
    <w:rsid w:val="00D737D4"/>
    <w:rsid w:val="00D738E5"/>
    <w:rsid w:val="00D7395D"/>
    <w:rsid w:val="00D73DFC"/>
    <w:rsid w:val="00D74014"/>
    <w:rsid w:val="00D741BD"/>
    <w:rsid w:val="00D7484E"/>
    <w:rsid w:val="00D74871"/>
    <w:rsid w:val="00D74A1A"/>
    <w:rsid w:val="00D74A9F"/>
    <w:rsid w:val="00D74FFC"/>
    <w:rsid w:val="00D7501B"/>
    <w:rsid w:val="00D755DF"/>
    <w:rsid w:val="00D755EE"/>
    <w:rsid w:val="00D75722"/>
    <w:rsid w:val="00D757ED"/>
    <w:rsid w:val="00D758DC"/>
    <w:rsid w:val="00D75959"/>
    <w:rsid w:val="00D75968"/>
    <w:rsid w:val="00D75F94"/>
    <w:rsid w:val="00D76206"/>
    <w:rsid w:val="00D76443"/>
    <w:rsid w:val="00D76633"/>
    <w:rsid w:val="00D7681A"/>
    <w:rsid w:val="00D76840"/>
    <w:rsid w:val="00D76AB0"/>
    <w:rsid w:val="00D779F2"/>
    <w:rsid w:val="00D803C6"/>
    <w:rsid w:val="00D80641"/>
    <w:rsid w:val="00D806CF"/>
    <w:rsid w:val="00D810D2"/>
    <w:rsid w:val="00D8119D"/>
    <w:rsid w:val="00D812B8"/>
    <w:rsid w:val="00D81486"/>
    <w:rsid w:val="00D81833"/>
    <w:rsid w:val="00D81A39"/>
    <w:rsid w:val="00D81F9A"/>
    <w:rsid w:val="00D820E2"/>
    <w:rsid w:val="00D8210A"/>
    <w:rsid w:val="00D82241"/>
    <w:rsid w:val="00D822BE"/>
    <w:rsid w:val="00D822E6"/>
    <w:rsid w:val="00D8283A"/>
    <w:rsid w:val="00D82A79"/>
    <w:rsid w:val="00D83924"/>
    <w:rsid w:val="00D83F3B"/>
    <w:rsid w:val="00D84172"/>
    <w:rsid w:val="00D847C2"/>
    <w:rsid w:val="00D85031"/>
    <w:rsid w:val="00D85329"/>
    <w:rsid w:val="00D8548A"/>
    <w:rsid w:val="00D85876"/>
    <w:rsid w:val="00D859D7"/>
    <w:rsid w:val="00D85D91"/>
    <w:rsid w:val="00D860A9"/>
    <w:rsid w:val="00D8668D"/>
    <w:rsid w:val="00D867EB"/>
    <w:rsid w:val="00D86837"/>
    <w:rsid w:val="00D86B3E"/>
    <w:rsid w:val="00D86D9D"/>
    <w:rsid w:val="00D87606"/>
    <w:rsid w:val="00D87704"/>
    <w:rsid w:val="00D878E5"/>
    <w:rsid w:val="00D879EF"/>
    <w:rsid w:val="00D87B28"/>
    <w:rsid w:val="00D87BA2"/>
    <w:rsid w:val="00D87F2C"/>
    <w:rsid w:val="00D91383"/>
    <w:rsid w:val="00D91967"/>
    <w:rsid w:val="00D91A08"/>
    <w:rsid w:val="00D91AF1"/>
    <w:rsid w:val="00D91D93"/>
    <w:rsid w:val="00D92116"/>
    <w:rsid w:val="00D92A22"/>
    <w:rsid w:val="00D92DBC"/>
    <w:rsid w:val="00D92E7B"/>
    <w:rsid w:val="00D9327F"/>
    <w:rsid w:val="00D936A2"/>
    <w:rsid w:val="00D936CC"/>
    <w:rsid w:val="00D93B9C"/>
    <w:rsid w:val="00D93C88"/>
    <w:rsid w:val="00D93E07"/>
    <w:rsid w:val="00D93EC4"/>
    <w:rsid w:val="00D940F3"/>
    <w:rsid w:val="00D941FB"/>
    <w:rsid w:val="00D946F9"/>
    <w:rsid w:val="00D94AC7"/>
    <w:rsid w:val="00D94B74"/>
    <w:rsid w:val="00D94D23"/>
    <w:rsid w:val="00D95274"/>
    <w:rsid w:val="00D954EE"/>
    <w:rsid w:val="00D956B1"/>
    <w:rsid w:val="00D958D6"/>
    <w:rsid w:val="00D95E06"/>
    <w:rsid w:val="00D96386"/>
    <w:rsid w:val="00D96B85"/>
    <w:rsid w:val="00D96BA4"/>
    <w:rsid w:val="00D96C11"/>
    <w:rsid w:val="00D96D10"/>
    <w:rsid w:val="00D96F72"/>
    <w:rsid w:val="00D972D0"/>
    <w:rsid w:val="00D973DF"/>
    <w:rsid w:val="00D97592"/>
    <w:rsid w:val="00DA0165"/>
    <w:rsid w:val="00DA0168"/>
    <w:rsid w:val="00DA0193"/>
    <w:rsid w:val="00DA0691"/>
    <w:rsid w:val="00DA075C"/>
    <w:rsid w:val="00DA08C5"/>
    <w:rsid w:val="00DA0F27"/>
    <w:rsid w:val="00DA1125"/>
    <w:rsid w:val="00DA120E"/>
    <w:rsid w:val="00DA12A5"/>
    <w:rsid w:val="00DA1789"/>
    <w:rsid w:val="00DA2015"/>
    <w:rsid w:val="00DA2354"/>
    <w:rsid w:val="00DA2943"/>
    <w:rsid w:val="00DA3129"/>
    <w:rsid w:val="00DA3532"/>
    <w:rsid w:val="00DA373C"/>
    <w:rsid w:val="00DA380D"/>
    <w:rsid w:val="00DA3AE1"/>
    <w:rsid w:val="00DA3CBD"/>
    <w:rsid w:val="00DA3D79"/>
    <w:rsid w:val="00DA3E93"/>
    <w:rsid w:val="00DA44FD"/>
    <w:rsid w:val="00DA532F"/>
    <w:rsid w:val="00DA55A6"/>
    <w:rsid w:val="00DA564E"/>
    <w:rsid w:val="00DA6091"/>
    <w:rsid w:val="00DA6396"/>
    <w:rsid w:val="00DA6656"/>
    <w:rsid w:val="00DA6812"/>
    <w:rsid w:val="00DA695B"/>
    <w:rsid w:val="00DA6B85"/>
    <w:rsid w:val="00DA73E5"/>
    <w:rsid w:val="00DA7468"/>
    <w:rsid w:val="00DA7882"/>
    <w:rsid w:val="00DB00FC"/>
    <w:rsid w:val="00DB03E5"/>
    <w:rsid w:val="00DB06A1"/>
    <w:rsid w:val="00DB0CEC"/>
    <w:rsid w:val="00DB1204"/>
    <w:rsid w:val="00DB1480"/>
    <w:rsid w:val="00DB151A"/>
    <w:rsid w:val="00DB1755"/>
    <w:rsid w:val="00DB199E"/>
    <w:rsid w:val="00DB1BC8"/>
    <w:rsid w:val="00DB1D10"/>
    <w:rsid w:val="00DB1EAD"/>
    <w:rsid w:val="00DB20B7"/>
    <w:rsid w:val="00DB24C9"/>
    <w:rsid w:val="00DB2638"/>
    <w:rsid w:val="00DB270B"/>
    <w:rsid w:val="00DB2939"/>
    <w:rsid w:val="00DB384A"/>
    <w:rsid w:val="00DB399E"/>
    <w:rsid w:val="00DB3A04"/>
    <w:rsid w:val="00DB4166"/>
    <w:rsid w:val="00DB4593"/>
    <w:rsid w:val="00DB482D"/>
    <w:rsid w:val="00DB4E90"/>
    <w:rsid w:val="00DB5726"/>
    <w:rsid w:val="00DB5734"/>
    <w:rsid w:val="00DB6206"/>
    <w:rsid w:val="00DB6785"/>
    <w:rsid w:val="00DB67C9"/>
    <w:rsid w:val="00DB6BE7"/>
    <w:rsid w:val="00DB6E70"/>
    <w:rsid w:val="00DB6F1A"/>
    <w:rsid w:val="00DB6FD9"/>
    <w:rsid w:val="00DB70AD"/>
    <w:rsid w:val="00DB7399"/>
    <w:rsid w:val="00DB7801"/>
    <w:rsid w:val="00DB786A"/>
    <w:rsid w:val="00DB7BAB"/>
    <w:rsid w:val="00DB7DFB"/>
    <w:rsid w:val="00DC0228"/>
    <w:rsid w:val="00DC04F0"/>
    <w:rsid w:val="00DC0789"/>
    <w:rsid w:val="00DC0C95"/>
    <w:rsid w:val="00DC0F03"/>
    <w:rsid w:val="00DC1599"/>
    <w:rsid w:val="00DC1A92"/>
    <w:rsid w:val="00DC1B07"/>
    <w:rsid w:val="00DC2E7E"/>
    <w:rsid w:val="00DC3010"/>
    <w:rsid w:val="00DC336E"/>
    <w:rsid w:val="00DC37E1"/>
    <w:rsid w:val="00DC3920"/>
    <w:rsid w:val="00DC3B31"/>
    <w:rsid w:val="00DC3D81"/>
    <w:rsid w:val="00DC42DD"/>
    <w:rsid w:val="00DC4545"/>
    <w:rsid w:val="00DC4782"/>
    <w:rsid w:val="00DC4DA9"/>
    <w:rsid w:val="00DC4E9B"/>
    <w:rsid w:val="00DC4FAD"/>
    <w:rsid w:val="00DC5D54"/>
    <w:rsid w:val="00DC5E16"/>
    <w:rsid w:val="00DC5E58"/>
    <w:rsid w:val="00DC62B4"/>
    <w:rsid w:val="00DC6D6D"/>
    <w:rsid w:val="00DC7412"/>
    <w:rsid w:val="00DC748F"/>
    <w:rsid w:val="00DC75B5"/>
    <w:rsid w:val="00DC76F4"/>
    <w:rsid w:val="00DC793F"/>
    <w:rsid w:val="00DC7B95"/>
    <w:rsid w:val="00DC7F30"/>
    <w:rsid w:val="00DD0036"/>
    <w:rsid w:val="00DD00F0"/>
    <w:rsid w:val="00DD012D"/>
    <w:rsid w:val="00DD0946"/>
    <w:rsid w:val="00DD0CE8"/>
    <w:rsid w:val="00DD1057"/>
    <w:rsid w:val="00DD125A"/>
    <w:rsid w:val="00DD13B0"/>
    <w:rsid w:val="00DD192E"/>
    <w:rsid w:val="00DD1A24"/>
    <w:rsid w:val="00DD1FC7"/>
    <w:rsid w:val="00DD2548"/>
    <w:rsid w:val="00DD2735"/>
    <w:rsid w:val="00DD291C"/>
    <w:rsid w:val="00DD2954"/>
    <w:rsid w:val="00DD2A86"/>
    <w:rsid w:val="00DD2E7E"/>
    <w:rsid w:val="00DD36A1"/>
    <w:rsid w:val="00DD3D0C"/>
    <w:rsid w:val="00DD4002"/>
    <w:rsid w:val="00DD40B9"/>
    <w:rsid w:val="00DD454B"/>
    <w:rsid w:val="00DD4A16"/>
    <w:rsid w:val="00DD5202"/>
    <w:rsid w:val="00DD52F4"/>
    <w:rsid w:val="00DD55A5"/>
    <w:rsid w:val="00DD570D"/>
    <w:rsid w:val="00DD5CC7"/>
    <w:rsid w:val="00DD5E72"/>
    <w:rsid w:val="00DD60BF"/>
    <w:rsid w:val="00DD64CE"/>
    <w:rsid w:val="00DD6564"/>
    <w:rsid w:val="00DD6580"/>
    <w:rsid w:val="00DD6956"/>
    <w:rsid w:val="00DD6B06"/>
    <w:rsid w:val="00DD70D0"/>
    <w:rsid w:val="00DD73A8"/>
    <w:rsid w:val="00DD744E"/>
    <w:rsid w:val="00DD77F8"/>
    <w:rsid w:val="00DD79AB"/>
    <w:rsid w:val="00DD7AB2"/>
    <w:rsid w:val="00DE01A6"/>
    <w:rsid w:val="00DE0702"/>
    <w:rsid w:val="00DE0ADE"/>
    <w:rsid w:val="00DE0CAA"/>
    <w:rsid w:val="00DE0DC2"/>
    <w:rsid w:val="00DE1193"/>
    <w:rsid w:val="00DE1771"/>
    <w:rsid w:val="00DE1D24"/>
    <w:rsid w:val="00DE1E44"/>
    <w:rsid w:val="00DE2078"/>
    <w:rsid w:val="00DE2130"/>
    <w:rsid w:val="00DE21B9"/>
    <w:rsid w:val="00DE220D"/>
    <w:rsid w:val="00DE2220"/>
    <w:rsid w:val="00DE2783"/>
    <w:rsid w:val="00DE27C8"/>
    <w:rsid w:val="00DE2879"/>
    <w:rsid w:val="00DE2885"/>
    <w:rsid w:val="00DE295F"/>
    <w:rsid w:val="00DE29AE"/>
    <w:rsid w:val="00DE2A36"/>
    <w:rsid w:val="00DE2C6C"/>
    <w:rsid w:val="00DE2CA9"/>
    <w:rsid w:val="00DE3294"/>
    <w:rsid w:val="00DE35AD"/>
    <w:rsid w:val="00DE36F2"/>
    <w:rsid w:val="00DE3A13"/>
    <w:rsid w:val="00DE3CB1"/>
    <w:rsid w:val="00DE3DAE"/>
    <w:rsid w:val="00DE41C0"/>
    <w:rsid w:val="00DE4218"/>
    <w:rsid w:val="00DE4D7D"/>
    <w:rsid w:val="00DE4F6E"/>
    <w:rsid w:val="00DE4FB4"/>
    <w:rsid w:val="00DE5069"/>
    <w:rsid w:val="00DE52F0"/>
    <w:rsid w:val="00DE5528"/>
    <w:rsid w:val="00DE580A"/>
    <w:rsid w:val="00DE5F2F"/>
    <w:rsid w:val="00DE5FF5"/>
    <w:rsid w:val="00DE6842"/>
    <w:rsid w:val="00DE6A0D"/>
    <w:rsid w:val="00DE6B23"/>
    <w:rsid w:val="00DE6FF3"/>
    <w:rsid w:val="00DE7625"/>
    <w:rsid w:val="00DE77A5"/>
    <w:rsid w:val="00DE77A9"/>
    <w:rsid w:val="00DE7AA3"/>
    <w:rsid w:val="00DE7B08"/>
    <w:rsid w:val="00DF0294"/>
    <w:rsid w:val="00DF040F"/>
    <w:rsid w:val="00DF0714"/>
    <w:rsid w:val="00DF075D"/>
    <w:rsid w:val="00DF0B98"/>
    <w:rsid w:val="00DF0E2C"/>
    <w:rsid w:val="00DF0FCE"/>
    <w:rsid w:val="00DF108C"/>
    <w:rsid w:val="00DF1255"/>
    <w:rsid w:val="00DF12D0"/>
    <w:rsid w:val="00DF13DC"/>
    <w:rsid w:val="00DF167E"/>
    <w:rsid w:val="00DF185C"/>
    <w:rsid w:val="00DF1A19"/>
    <w:rsid w:val="00DF1F3B"/>
    <w:rsid w:val="00DF2429"/>
    <w:rsid w:val="00DF244B"/>
    <w:rsid w:val="00DF2B19"/>
    <w:rsid w:val="00DF32AF"/>
    <w:rsid w:val="00DF32C4"/>
    <w:rsid w:val="00DF36BE"/>
    <w:rsid w:val="00DF37A6"/>
    <w:rsid w:val="00DF3B2F"/>
    <w:rsid w:val="00DF3C39"/>
    <w:rsid w:val="00DF4148"/>
    <w:rsid w:val="00DF41A1"/>
    <w:rsid w:val="00DF41B2"/>
    <w:rsid w:val="00DF42D0"/>
    <w:rsid w:val="00DF4407"/>
    <w:rsid w:val="00DF45E7"/>
    <w:rsid w:val="00DF463B"/>
    <w:rsid w:val="00DF4672"/>
    <w:rsid w:val="00DF4A29"/>
    <w:rsid w:val="00DF4C20"/>
    <w:rsid w:val="00DF4C53"/>
    <w:rsid w:val="00DF53A6"/>
    <w:rsid w:val="00DF611E"/>
    <w:rsid w:val="00DF63A4"/>
    <w:rsid w:val="00DF6558"/>
    <w:rsid w:val="00DF659A"/>
    <w:rsid w:val="00DF65F7"/>
    <w:rsid w:val="00DF6667"/>
    <w:rsid w:val="00DF69C0"/>
    <w:rsid w:val="00DF6F21"/>
    <w:rsid w:val="00DF6F3B"/>
    <w:rsid w:val="00DF7128"/>
    <w:rsid w:val="00DF7678"/>
    <w:rsid w:val="00DF768A"/>
    <w:rsid w:val="00DF776A"/>
    <w:rsid w:val="00DF78AF"/>
    <w:rsid w:val="00E00147"/>
    <w:rsid w:val="00E00539"/>
    <w:rsid w:val="00E00857"/>
    <w:rsid w:val="00E00AF1"/>
    <w:rsid w:val="00E00B00"/>
    <w:rsid w:val="00E00E03"/>
    <w:rsid w:val="00E01192"/>
    <w:rsid w:val="00E015B9"/>
    <w:rsid w:val="00E01857"/>
    <w:rsid w:val="00E019A4"/>
    <w:rsid w:val="00E01B29"/>
    <w:rsid w:val="00E02220"/>
    <w:rsid w:val="00E0225F"/>
    <w:rsid w:val="00E02642"/>
    <w:rsid w:val="00E0295B"/>
    <w:rsid w:val="00E02C3B"/>
    <w:rsid w:val="00E02E6F"/>
    <w:rsid w:val="00E0309E"/>
    <w:rsid w:val="00E031EB"/>
    <w:rsid w:val="00E03365"/>
    <w:rsid w:val="00E03488"/>
    <w:rsid w:val="00E03C99"/>
    <w:rsid w:val="00E0413D"/>
    <w:rsid w:val="00E044F0"/>
    <w:rsid w:val="00E05387"/>
    <w:rsid w:val="00E058A4"/>
    <w:rsid w:val="00E05A82"/>
    <w:rsid w:val="00E05A90"/>
    <w:rsid w:val="00E05B07"/>
    <w:rsid w:val="00E05DAD"/>
    <w:rsid w:val="00E0642F"/>
    <w:rsid w:val="00E06686"/>
    <w:rsid w:val="00E066A5"/>
    <w:rsid w:val="00E06820"/>
    <w:rsid w:val="00E074E0"/>
    <w:rsid w:val="00E07D02"/>
    <w:rsid w:val="00E07E10"/>
    <w:rsid w:val="00E101C4"/>
    <w:rsid w:val="00E10D3D"/>
    <w:rsid w:val="00E10F18"/>
    <w:rsid w:val="00E11218"/>
    <w:rsid w:val="00E113AE"/>
    <w:rsid w:val="00E11443"/>
    <w:rsid w:val="00E121E0"/>
    <w:rsid w:val="00E121EA"/>
    <w:rsid w:val="00E12465"/>
    <w:rsid w:val="00E12485"/>
    <w:rsid w:val="00E124A5"/>
    <w:rsid w:val="00E12788"/>
    <w:rsid w:val="00E12BDB"/>
    <w:rsid w:val="00E13075"/>
    <w:rsid w:val="00E13192"/>
    <w:rsid w:val="00E132A0"/>
    <w:rsid w:val="00E13426"/>
    <w:rsid w:val="00E137B6"/>
    <w:rsid w:val="00E13EED"/>
    <w:rsid w:val="00E14202"/>
    <w:rsid w:val="00E142CC"/>
    <w:rsid w:val="00E1432A"/>
    <w:rsid w:val="00E14450"/>
    <w:rsid w:val="00E14A44"/>
    <w:rsid w:val="00E14ED5"/>
    <w:rsid w:val="00E152FB"/>
    <w:rsid w:val="00E15BC1"/>
    <w:rsid w:val="00E1600E"/>
    <w:rsid w:val="00E1650F"/>
    <w:rsid w:val="00E16A86"/>
    <w:rsid w:val="00E16C46"/>
    <w:rsid w:val="00E17113"/>
    <w:rsid w:val="00E176A1"/>
    <w:rsid w:val="00E178D6"/>
    <w:rsid w:val="00E178F8"/>
    <w:rsid w:val="00E17908"/>
    <w:rsid w:val="00E17C72"/>
    <w:rsid w:val="00E17E01"/>
    <w:rsid w:val="00E202BF"/>
    <w:rsid w:val="00E20344"/>
    <w:rsid w:val="00E210F5"/>
    <w:rsid w:val="00E2168C"/>
    <w:rsid w:val="00E21823"/>
    <w:rsid w:val="00E21AC0"/>
    <w:rsid w:val="00E21C02"/>
    <w:rsid w:val="00E21C17"/>
    <w:rsid w:val="00E21CF1"/>
    <w:rsid w:val="00E21D47"/>
    <w:rsid w:val="00E21E82"/>
    <w:rsid w:val="00E22192"/>
    <w:rsid w:val="00E225AC"/>
    <w:rsid w:val="00E225F9"/>
    <w:rsid w:val="00E22AAF"/>
    <w:rsid w:val="00E22DB1"/>
    <w:rsid w:val="00E22E4C"/>
    <w:rsid w:val="00E22EF0"/>
    <w:rsid w:val="00E22F5D"/>
    <w:rsid w:val="00E233B1"/>
    <w:rsid w:val="00E2369C"/>
    <w:rsid w:val="00E2379C"/>
    <w:rsid w:val="00E242DC"/>
    <w:rsid w:val="00E2444E"/>
    <w:rsid w:val="00E246E3"/>
    <w:rsid w:val="00E24C71"/>
    <w:rsid w:val="00E24FCA"/>
    <w:rsid w:val="00E25C01"/>
    <w:rsid w:val="00E25CA6"/>
    <w:rsid w:val="00E25D03"/>
    <w:rsid w:val="00E26639"/>
    <w:rsid w:val="00E267FA"/>
    <w:rsid w:val="00E26CCB"/>
    <w:rsid w:val="00E27379"/>
    <w:rsid w:val="00E276C1"/>
    <w:rsid w:val="00E2787A"/>
    <w:rsid w:val="00E279F5"/>
    <w:rsid w:val="00E27CAA"/>
    <w:rsid w:val="00E300C9"/>
    <w:rsid w:val="00E303A8"/>
    <w:rsid w:val="00E30458"/>
    <w:rsid w:val="00E304BD"/>
    <w:rsid w:val="00E30B9A"/>
    <w:rsid w:val="00E30C54"/>
    <w:rsid w:val="00E3133E"/>
    <w:rsid w:val="00E31E89"/>
    <w:rsid w:val="00E31F08"/>
    <w:rsid w:val="00E31F44"/>
    <w:rsid w:val="00E321B8"/>
    <w:rsid w:val="00E325E8"/>
    <w:rsid w:val="00E32965"/>
    <w:rsid w:val="00E3298D"/>
    <w:rsid w:val="00E32A8C"/>
    <w:rsid w:val="00E32F15"/>
    <w:rsid w:val="00E32F19"/>
    <w:rsid w:val="00E33043"/>
    <w:rsid w:val="00E33D92"/>
    <w:rsid w:val="00E33E55"/>
    <w:rsid w:val="00E3488B"/>
    <w:rsid w:val="00E34A2F"/>
    <w:rsid w:val="00E34B5F"/>
    <w:rsid w:val="00E34F9F"/>
    <w:rsid w:val="00E3532E"/>
    <w:rsid w:val="00E3591C"/>
    <w:rsid w:val="00E35AE5"/>
    <w:rsid w:val="00E3601B"/>
    <w:rsid w:val="00E36246"/>
    <w:rsid w:val="00E366AC"/>
    <w:rsid w:val="00E36AC7"/>
    <w:rsid w:val="00E36C7E"/>
    <w:rsid w:val="00E36CA3"/>
    <w:rsid w:val="00E37300"/>
    <w:rsid w:val="00E377BC"/>
    <w:rsid w:val="00E37851"/>
    <w:rsid w:val="00E37B70"/>
    <w:rsid w:val="00E37D33"/>
    <w:rsid w:val="00E37EA8"/>
    <w:rsid w:val="00E4084E"/>
    <w:rsid w:val="00E40933"/>
    <w:rsid w:val="00E40B68"/>
    <w:rsid w:val="00E40EA0"/>
    <w:rsid w:val="00E411E4"/>
    <w:rsid w:val="00E414C3"/>
    <w:rsid w:val="00E418AA"/>
    <w:rsid w:val="00E41B06"/>
    <w:rsid w:val="00E41B2F"/>
    <w:rsid w:val="00E41FB2"/>
    <w:rsid w:val="00E428B4"/>
    <w:rsid w:val="00E42B18"/>
    <w:rsid w:val="00E42D83"/>
    <w:rsid w:val="00E42E27"/>
    <w:rsid w:val="00E42FEB"/>
    <w:rsid w:val="00E43284"/>
    <w:rsid w:val="00E43460"/>
    <w:rsid w:val="00E43471"/>
    <w:rsid w:val="00E43593"/>
    <w:rsid w:val="00E435BD"/>
    <w:rsid w:val="00E43606"/>
    <w:rsid w:val="00E436B7"/>
    <w:rsid w:val="00E438D3"/>
    <w:rsid w:val="00E43B6D"/>
    <w:rsid w:val="00E43D24"/>
    <w:rsid w:val="00E43ED3"/>
    <w:rsid w:val="00E43EF2"/>
    <w:rsid w:val="00E44368"/>
    <w:rsid w:val="00E449C0"/>
    <w:rsid w:val="00E44C23"/>
    <w:rsid w:val="00E44D36"/>
    <w:rsid w:val="00E45392"/>
    <w:rsid w:val="00E456AD"/>
    <w:rsid w:val="00E457DA"/>
    <w:rsid w:val="00E45F52"/>
    <w:rsid w:val="00E46171"/>
    <w:rsid w:val="00E4640D"/>
    <w:rsid w:val="00E46990"/>
    <w:rsid w:val="00E46B65"/>
    <w:rsid w:val="00E46BDD"/>
    <w:rsid w:val="00E46CD6"/>
    <w:rsid w:val="00E46DFB"/>
    <w:rsid w:val="00E476F7"/>
    <w:rsid w:val="00E477A7"/>
    <w:rsid w:val="00E504F9"/>
    <w:rsid w:val="00E5071D"/>
    <w:rsid w:val="00E5073B"/>
    <w:rsid w:val="00E50F21"/>
    <w:rsid w:val="00E50F31"/>
    <w:rsid w:val="00E50F6E"/>
    <w:rsid w:val="00E511C7"/>
    <w:rsid w:val="00E51463"/>
    <w:rsid w:val="00E515D3"/>
    <w:rsid w:val="00E518A6"/>
    <w:rsid w:val="00E51928"/>
    <w:rsid w:val="00E51E31"/>
    <w:rsid w:val="00E51EFA"/>
    <w:rsid w:val="00E52072"/>
    <w:rsid w:val="00E52374"/>
    <w:rsid w:val="00E523DC"/>
    <w:rsid w:val="00E52627"/>
    <w:rsid w:val="00E527DE"/>
    <w:rsid w:val="00E52851"/>
    <w:rsid w:val="00E5286C"/>
    <w:rsid w:val="00E5290E"/>
    <w:rsid w:val="00E52BC7"/>
    <w:rsid w:val="00E52D09"/>
    <w:rsid w:val="00E52E66"/>
    <w:rsid w:val="00E52F36"/>
    <w:rsid w:val="00E52F4A"/>
    <w:rsid w:val="00E52FED"/>
    <w:rsid w:val="00E53080"/>
    <w:rsid w:val="00E5324B"/>
    <w:rsid w:val="00E5352C"/>
    <w:rsid w:val="00E5388D"/>
    <w:rsid w:val="00E53DF7"/>
    <w:rsid w:val="00E53FCF"/>
    <w:rsid w:val="00E540DE"/>
    <w:rsid w:val="00E54100"/>
    <w:rsid w:val="00E547C3"/>
    <w:rsid w:val="00E54B77"/>
    <w:rsid w:val="00E551D7"/>
    <w:rsid w:val="00E55360"/>
    <w:rsid w:val="00E557A6"/>
    <w:rsid w:val="00E55A3A"/>
    <w:rsid w:val="00E55C87"/>
    <w:rsid w:val="00E5604E"/>
    <w:rsid w:val="00E5604F"/>
    <w:rsid w:val="00E56379"/>
    <w:rsid w:val="00E565B3"/>
    <w:rsid w:val="00E5684D"/>
    <w:rsid w:val="00E56EEA"/>
    <w:rsid w:val="00E57579"/>
    <w:rsid w:val="00E5761F"/>
    <w:rsid w:val="00E57683"/>
    <w:rsid w:val="00E579F0"/>
    <w:rsid w:val="00E57A2F"/>
    <w:rsid w:val="00E57DEE"/>
    <w:rsid w:val="00E6002F"/>
    <w:rsid w:val="00E602A4"/>
    <w:rsid w:val="00E602B4"/>
    <w:rsid w:val="00E60467"/>
    <w:rsid w:val="00E60484"/>
    <w:rsid w:val="00E60553"/>
    <w:rsid w:val="00E60630"/>
    <w:rsid w:val="00E607F7"/>
    <w:rsid w:val="00E608F5"/>
    <w:rsid w:val="00E609C2"/>
    <w:rsid w:val="00E60F65"/>
    <w:rsid w:val="00E619E9"/>
    <w:rsid w:val="00E61FAC"/>
    <w:rsid w:val="00E620C5"/>
    <w:rsid w:val="00E621FC"/>
    <w:rsid w:val="00E6220B"/>
    <w:rsid w:val="00E62304"/>
    <w:rsid w:val="00E6290C"/>
    <w:rsid w:val="00E62B30"/>
    <w:rsid w:val="00E62F1F"/>
    <w:rsid w:val="00E63040"/>
    <w:rsid w:val="00E634D5"/>
    <w:rsid w:val="00E63933"/>
    <w:rsid w:val="00E642E8"/>
    <w:rsid w:val="00E644FB"/>
    <w:rsid w:val="00E6485F"/>
    <w:rsid w:val="00E648CF"/>
    <w:rsid w:val="00E64C93"/>
    <w:rsid w:val="00E65149"/>
    <w:rsid w:val="00E653E4"/>
    <w:rsid w:val="00E6550A"/>
    <w:rsid w:val="00E655EA"/>
    <w:rsid w:val="00E659F0"/>
    <w:rsid w:val="00E65ABB"/>
    <w:rsid w:val="00E65CB4"/>
    <w:rsid w:val="00E65E3E"/>
    <w:rsid w:val="00E65FBB"/>
    <w:rsid w:val="00E6664D"/>
    <w:rsid w:val="00E669E2"/>
    <w:rsid w:val="00E66BE3"/>
    <w:rsid w:val="00E66CBB"/>
    <w:rsid w:val="00E670C3"/>
    <w:rsid w:val="00E67455"/>
    <w:rsid w:val="00E67752"/>
    <w:rsid w:val="00E7092D"/>
    <w:rsid w:val="00E709E1"/>
    <w:rsid w:val="00E71542"/>
    <w:rsid w:val="00E716CC"/>
    <w:rsid w:val="00E717C4"/>
    <w:rsid w:val="00E721ED"/>
    <w:rsid w:val="00E7244A"/>
    <w:rsid w:val="00E72841"/>
    <w:rsid w:val="00E7286F"/>
    <w:rsid w:val="00E72EAF"/>
    <w:rsid w:val="00E733CF"/>
    <w:rsid w:val="00E73740"/>
    <w:rsid w:val="00E73BAF"/>
    <w:rsid w:val="00E73BE1"/>
    <w:rsid w:val="00E744F2"/>
    <w:rsid w:val="00E74520"/>
    <w:rsid w:val="00E747A5"/>
    <w:rsid w:val="00E74FBC"/>
    <w:rsid w:val="00E755DA"/>
    <w:rsid w:val="00E75697"/>
    <w:rsid w:val="00E75969"/>
    <w:rsid w:val="00E75F37"/>
    <w:rsid w:val="00E76088"/>
    <w:rsid w:val="00E76135"/>
    <w:rsid w:val="00E76161"/>
    <w:rsid w:val="00E7662B"/>
    <w:rsid w:val="00E766EC"/>
    <w:rsid w:val="00E76BA2"/>
    <w:rsid w:val="00E76BCB"/>
    <w:rsid w:val="00E76D5E"/>
    <w:rsid w:val="00E77290"/>
    <w:rsid w:val="00E7762E"/>
    <w:rsid w:val="00E7789B"/>
    <w:rsid w:val="00E77CBC"/>
    <w:rsid w:val="00E800E3"/>
    <w:rsid w:val="00E8081F"/>
    <w:rsid w:val="00E80927"/>
    <w:rsid w:val="00E80B41"/>
    <w:rsid w:val="00E818DA"/>
    <w:rsid w:val="00E8196B"/>
    <w:rsid w:val="00E81E36"/>
    <w:rsid w:val="00E821B6"/>
    <w:rsid w:val="00E825A7"/>
    <w:rsid w:val="00E82838"/>
    <w:rsid w:val="00E828F1"/>
    <w:rsid w:val="00E82CD4"/>
    <w:rsid w:val="00E82F35"/>
    <w:rsid w:val="00E83642"/>
    <w:rsid w:val="00E83874"/>
    <w:rsid w:val="00E8398D"/>
    <w:rsid w:val="00E83CD2"/>
    <w:rsid w:val="00E83FDE"/>
    <w:rsid w:val="00E841C6"/>
    <w:rsid w:val="00E8441F"/>
    <w:rsid w:val="00E845CD"/>
    <w:rsid w:val="00E848AD"/>
    <w:rsid w:val="00E848D6"/>
    <w:rsid w:val="00E84C2B"/>
    <w:rsid w:val="00E84F5E"/>
    <w:rsid w:val="00E85160"/>
    <w:rsid w:val="00E8543C"/>
    <w:rsid w:val="00E858A2"/>
    <w:rsid w:val="00E85BFA"/>
    <w:rsid w:val="00E86302"/>
    <w:rsid w:val="00E86A2D"/>
    <w:rsid w:val="00E86C03"/>
    <w:rsid w:val="00E86D2A"/>
    <w:rsid w:val="00E86EEE"/>
    <w:rsid w:val="00E87318"/>
    <w:rsid w:val="00E879E6"/>
    <w:rsid w:val="00E87A0C"/>
    <w:rsid w:val="00E87BC2"/>
    <w:rsid w:val="00E87C8E"/>
    <w:rsid w:val="00E87DDF"/>
    <w:rsid w:val="00E90043"/>
    <w:rsid w:val="00E90C0A"/>
    <w:rsid w:val="00E90E6B"/>
    <w:rsid w:val="00E91089"/>
    <w:rsid w:val="00E911DF"/>
    <w:rsid w:val="00E913E9"/>
    <w:rsid w:val="00E91D61"/>
    <w:rsid w:val="00E921E6"/>
    <w:rsid w:val="00E923C3"/>
    <w:rsid w:val="00E923FC"/>
    <w:rsid w:val="00E92F42"/>
    <w:rsid w:val="00E92F7B"/>
    <w:rsid w:val="00E9342B"/>
    <w:rsid w:val="00E934E0"/>
    <w:rsid w:val="00E93805"/>
    <w:rsid w:val="00E93F2C"/>
    <w:rsid w:val="00E94268"/>
    <w:rsid w:val="00E946EC"/>
    <w:rsid w:val="00E94745"/>
    <w:rsid w:val="00E94881"/>
    <w:rsid w:val="00E94F92"/>
    <w:rsid w:val="00E95699"/>
    <w:rsid w:val="00E95AC5"/>
    <w:rsid w:val="00E95FCA"/>
    <w:rsid w:val="00E95FDE"/>
    <w:rsid w:val="00E965D7"/>
    <w:rsid w:val="00E96735"/>
    <w:rsid w:val="00E9697F"/>
    <w:rsid w:val="00E972FC"/>
    <w:rsid w:val="00E97405"/>
    <w:rsid w:val="00E976A2"/>
    <w:rsid w:val="00E97762"/>
    <w:rsid w:val="00E97940"/>
    <w:rsid w:val="00E97FE6"/>
    <w:rsid w:val="00EA041E"/>
    <w:rsid w:val="00EA0464"/>
    <w:rsid w:val="00EA0F43"/>
    <w:rsid w:val="00EA0FD7"/>
    <w:rsid w:val="00EA131B"/>
    <w:rsid w:val="00EA1426"/>
    <w:rsid w:val="00EA17D2"/>
    <w:rsid w:val="00EA1927"/>
    <w:rsid w:val="00EA1A98"/>
    <w:rsid w:val="00EA1DC0"/>
    <w:rsid w:val="00EA2270"/>
    <w:rsid w:val="00EA27BD"/>
    <w:rsid w:val="00EA2BC2"/>
    <w:rsid w:val="00EA2E2B"/>
    <w:rsid w:val="00EA3147"/>
    <w:rsid w:val="00EA3B9B"/>
    <w:rsid w:val="00EA4211"/>
    <w:rsid w:val="00EA4319"/>
    <w:rsid w:val="00EA4EA3"/>
    <w:rsid w:val="00EA4F61"/>
    <w:rsid w:val="00EA53E4"/>
    <w:rsid w:val="00EA5675"/>
    <w:rsid w:val="00EA5694"/>
    <w:rsid w:val="00EA59B1"/>
    <w:rsid w:val="00EA5D53"/>
    <w:rsid w:val="00EA5D61"/>
    <w:rsid w:val="00EA5E13"/>
    <w:rsid w:val="00EA5E7D"/>
    <w:rsid w:val="00EA6B3C"/>
    <w:rsid w:val="00EA6DD8"/>
    <w:rsid w:val="00EA70F7"/>
    <w:rsid w:val="00EA7208"/>
    <w:rsid w:val="00EA733C"/>
    <w:rsid w:val="00EA7742"/>
    <w:rsid w:val="00EA7857"/>
    <w:rsid w:val="00EA79F0"/>
    <w:rsid w:val="00EA7CD7"/>
    <w:rsid w:val="00EA7E85"/>
    <w:rsid w:val="00EB061A"/>
    <w:rsid w:val="00EB08E8"/>
    <w:rsid w:val="00EB117B"/>
    <w:rsid w:val="00EB1812"/>
    <w:rsid w:val="00EB182B"/>
    <w:rsid w:val="00EB1A56"/>
    <w:rsid w:val="00EB1D5A"/>
    <w:rsid w:val="00EB22FA"/>
    <w:rsid w:val="00EB2762"/>
    <w:rsid w:val="00EB2857"/>
    <w:rsid w:val="00EB2D01"/>
    <w:rsid w:val="00EB2F23"/>
    <w:rsid w:val="00EB345D"/>
    <w:rsid w:val="00EB3500"/>
    <w:rsid w:val="00EB37CB"/>
    <w:rsid w:val="00EB38F5"/>
    <w:rsid w:val="00EB3D04"/>
    <w:rsid w:val="00EB42AB"/>
    <w:rsid w:val="00EB43AF"/>
    <w:rsid w:val="00EB4586"/>
    <w:rsid w:val="00EB4754"/>
    <w:rsid w:val="00EB4791"/>
    <w:rsid w:val="00EB48A6"/>
    <w:rsid w:val="00EB4B57"/>
    <w:rsid w:val="00EB4E3E"/>
    <w:rsid w:val="00EB50C4"/>
    <w:rsid w:val="00EB5628"/>
    <w:rsid w:val="00EB5CC5"/>
    <w:rsid w:val="00EB6077"/>
    <w:rsid w:val="00EB67E1"/>
    <w:rsid w:val="00EB67F4"/>
    <w:rsid w:val="00EB6B2E"/>
    <w:rsid w:val="00EB6F8D"/>
    <w:rsid w:val="00EB73C4"/>
    <w:rsid w:val="00EB7441"/>
    <w:rsid w:val="00EB7757"/>
    <w:rsid w:val="00EB77AE"/>
    <w:rsid w:val="00EB7E78"/>
    <w:rsid w:val="00EC0197"/>
    <w:rsid w:val="00EC021A"/>
    <w:rsid w:val="00EC0222"/>
    <w:rsid w:val="00EC0317"/>
    <w:rsid w:val="00EC0731"/>
    <w:rsid w:val="00EC09E1"/>
    <w:rsid w:val="00EC1020"/>
    <w:rsid w:val="00EC14BF"/>
    <w:rsid w:val="00EC1E93"/>
    <w:rsid w:val="00EC3CA1"/>
    <w:rsid w:val="00EC3F3A"/>
    <w:rsid w:val="00EC41B8"/>
    <w:rsid w:val="00EC41CC"/>
    <w:rsid w:val="00EC41FA"/>
    <w:rsid w:val="00EC4319"/>
    <w:rsid w:val="00EC4498"/>
    <w:rsid w:val="00EC47F7"/>
    <w:rsid w:val="00EC4801"/>
    <w:rsid w:val="00EC481A"/>
    <w:rsid w:val="00EC486A"/>
    <w:rsid w:val="00EC4FA4"/>
    <w:rsid w:val="00EC5009"/>
    <w:rsid w:val="00EC5816"/>
    <w:rsid w:val="00EC5C13"/>
    <w:rsid w:val="00EC5DB3"/>
    <w:rsid w:val="00EC608A"/>
    <w:rsid w:val="00EC62DD"/>
    <w:rsid w:val="00EC636C"/>
    <w:rsid w:val="00EC63E8"/>
    <w:rsid w:val="00EC6A60"/>
    <w:rsid w:val="00EC6B5E"/>
    <w:rsid w:val="00EC6C7A"/>
    <w:rsid w:val="00EC6CF3"/>
    <w:rsid w:val="00EC7078"/>
    <w:rsid w:val="00EC7512"/>
    <w:rsid w:val="00EC75C3"/>
    <w:rsid w:val="00EC796E"/>
    <w:rsid w:val="00EC7AF5"/>
    <w:rsid w:val="00ED0470"/>
    <w:rsid w:val="00ED04B7"/>
    <w:rsid w:val="00ED05E2"/>
    <w:rsid w:val="00ED061E"/>
    <w:rsid w:val="00ED0B1A"/>
    <w:rsid w:val="00ED182A"/>
    <w:rsid w:val="00ED1F59"/>
    <w:rsid w:val="00ED2034"/>
    <w:rsid w:val="00ED208C"/>
    <w:rsid w:val="00ED234B"/>
    <w:rsid w:val="00ED239E"/>
    <w:rsid w:val="00ED27F5"/>
    <w:rsid w:val="00ED2ACD"/>
    <w:rsid w:val="00ED2D59"/>
    <w:rsid w:val="00ED2E16"/>
    <w:rsid w:val="00ED2E8D"/>
    <w:rsid w:val="00ED308B"/>
    <w:rsid w:val="00ED360E"/>
    <w:rsid w:val="00ED3873"/>
    <w:rsid w:val="00ED3AF4"/>
    <w:rsid w:val="00ED3F31"/>
    <w:rsid w:val="00ED4224"/>
    <w:rsid w:val="00ED42D0"/>
    <w:rsid w:val="00ED43CD"/>
    <w:rsid w:val="00ED4553"/>
    <w:rsid w:val="00ED4A7E"/>
    <w:rsid w:val="00ED4BFB"/>
    <w:rsid w:val="00ED4EC3"/>
    <w:rsid w:val="00ED4F2B"/>
    <w:rsid w:val="00ED51F7"/>
    <w:rsid w:val="00ED56C3"/>
    <w:rsid w:val="00ED5845"/>
    <w:rsid w:val="00ED5955"/>
    <w:rsid w:val="00ED5C56"/>
    <w:rsid w:val="00ED5C9A"/>
    <w:rsid w:val="00ED6489"/>
    <w:rsid w:val="00ED6996"/>
    <w:rsid w:val="00ED6D34"/>
    <w:rsid w:val="00ED6EAD"/>
    <w:rsid w:val="00ED7640"/>
    <w:rsid w:val="00ED7C88"/>
    <w:rsid w:val="00ED7D95"/>
    <w:rsid w:val="00EE0344"/>
    <w:rsid w:val="00EE0AD4"/>
    <w:rsid w:val="00EE1520"/>
    <w:rsid w:val="00EE1559"/>
    <w:rsid w:val="00EE1CCF"/>
    <w:rsid w:val="00EE2931"/>
    <w:rsid w:val="00EE2A1A"/>
    <w:rsid w:val="00EE2BF2"/>
    <w:rsid w:val="00EE2F62"/>
    <w:rsid w:val="00EE310A"/>
    <w:rsid w:val="00EE374C"/>
    <w:rsid w:val="00EE3777"/>
    <w:rsid w:val="00EE4055"/>
    <w:rsid w:val="00EE409D"/>
    <w:rsid w:val="00EE45E2"/>
    <w:rsid w:val="00EE4E91"/>
    <w:rsid w:val="00EE4EB4"/>
    <w:rsid w:val="00EE5006"/>
    <w:rsid w:val="00EE5B49"/>
    <w:rsid w:val="00EE5C1A"/>
    <w:rsid w:val="00EE60D8"/>
    <w:rsid w:val="00EE6174"/>
    <w:rsid w:val="00EE65E9"/>
    <w:rsid w:val="00EE667D"/>
    <w:rsid w:val="00EE6691"/>
    <w:rsid w:val="00EE6D7E"/>
    <w:rsid w:val="00EE718F"/>
    <w:rsid w:val="00EE7211"/>
    <w:rsid w:val="00EE74AA"/>
    <w:rsid w:val="00EE78CC"/>
    <w:rsid w:val="00EE7BBF"/>
    <w:rsid w:val="00EF01DC"/>
    <w:rsid w:val="00EF081E"/>
    <w:rsid w:val="00EF0AA4"/>
    <w:rsid w:val="00EF0BB4"/>
    <w:rsid w:val="00EF0EB8"/>
    <w:rsid w:val="00EF1A18"/>
    <w:rsid w:val="00EF1D14"/>
    <w:rsid w:val="00EF2015"/>
    <w:rsid w:val="00EF20FE"/>
    <w:rsid w:val="00EF2240"/>
    <w:rsid w:val="00EF23FC"/>
    <w:rsid w:val="00EF251A"/>
    <w:rsid w:val="00EF2624"/>
    <w:rsid w:val="00EF305D"/>
    <w:rsid w:val="00EF3699"/>
    <w:rsid w:val="00EF369B"/>
    <w:rsid w:val="00EF3843"/>
    <w:rsid w:val="00EF3854"/>
    <w:rsid w:val="00EF3902"/>
    <w:rsid w:val="00EF4446"/>
    <w:rsid w:val="00EF495B"/>
    <w:rsid w:val="00EF4B04"/>
    <w:rsid w:val="00EF4D35"/>
    <w:rsid w:val="00EF5381"/>
    <w:rsid w:val="00EF540C"/>
    <w:rsid w:val="00EF54A7"/>
    <w:rsid w:val="00EF55FC"/>
    <w:rsid w:val="00EF5AED"/>
    <w:rsid w:val="00EF5BE4"/>
    <w:rsid w:val="00EF5CAD"/>
    <w:rsid w:val="00EF6C04"/>
    <w:rsid w:val="00EF700B"/>
    <w:rsid w:val="00EF7020"/>
    <w:rsid w:val="00EF7082"/>
    <w:rsid w:val="00EF70C9"/>
    <w:rsid w:val="00EF765A"/>
    <w:rsid w:val="00EF7B96"/>
    <w:rsid w:val="00EF7E3C"/>
    <w:rsid w:val="00F000C9"/>
    <w:rsid w:val="00F003D6"/>
    <w:rsid w:val="00F0062B"/>
    <w:rsid w:val="00F00640"/>
    <w:rsid w:val="00F00749"/>
    <w:rsid w:val="00F00B27"/>
    <w:rsid w:val="00F00C01"/>
    <w:rsid w:val="00F00DEF"/>
    <w:rsid w:val="00F010F9"/>
    <w:rsid w:val="00F01AAF"/>
    <w:rsid w:val="00F01CF1"/>
    <w:rsid w:val="00F01EFA"/>
    <w:rsid w:val="00F023B1"/>
    <w:rsid w:val="00F02456"/>
    <w:rsid w:val="00F02682"/>
    <w:rsid w:val="00F02A46"/>
    <w:rsid w:val="00F02F35"/>
    <w:rsid w:val="00F03AB2"/>
    <w:rsid w:val="00F03B4D"/>
    <w:rsid w:val="00F03EB1"/>
    <w:rsid w:val="00F040F3"/>
    <w:rsid w:val="00F04129"/>
    <w:rsid w:val="00F04219"/>
    <w:rsid w:val="00F04254"/>
    <w:rsid w:val="00F04517"/>
    <w:rsid w:val="00F0454A"/>
    <w:rsid w:val="00F045E4"/>
    <w:rsid w:val="00F04724"/>
    <w:rsid w:val="00F04761"/>
    <w:rsid w:val="00F04A20"/>
    <w:rsid w:val="00F04CC8"/>
    <w:rsid w:val="00F04D40"/>
    <w:rsid w:val="00F04E87"/>
    <w:rsid w:val="00F0551B"/>
    <w:rsid w:val="00F056D7"/>
    <w:rsid w:val="00F056FC"/>
    <w:rsid w:val="00F05D73"/>
    <w:rsid w:val="00F05D8A"/>
    <w:rsid w:val="00F05F9E"/>
    <w:rsid w:val="00F066BC"/>
    <w:rsid w:val="00F06CA7"/>
    <w:rsid w:val="00F06F4F"/>
    <w:rsid w:val="00F072B6"/>
    <w:rsid w:val="00F079CA"/>
    <w:rsid w:val="00F10009"/>
    <w:rsid w:val="00F1030F"/>
    <w:rsid w:val="00F109CF"/>
    <w:rsid w:val="00F109D0"/>
    <w:rsid w:val="00F10E1E"/>
    <w:rsid w:val="00F10F98"/>
    <w:rsid w:val="00F10FCF"/>
    <w:rsid w:val="00F114CC"/>
    <w:rsid w:val="00F114E1"/>
    <w:rsid w:val="00F1150D"/>
    <w:rsid w:val="00F11AFC"/>
    <w:rsid w:val="00F11B67"/>
    <w:rsid w:val="00F11B8D"/>
    <w:rsid w:val="00F12168"/>
    <w:rsid w:val="00F12776"/>
    <w:rsid w:val="00F133CE"/>
    <w:rsid w:val="00F134C7"/>
    <w:rsid w:val="00F135D8"/>
    <w:rsid w:val="00F13864"/>
    <w:rsid w:val="00F13C00"/>
    <w:rsid w:val="00F14038"/>
    <w:rsid w:val="00F140ED"/>
    <w:rsid w:val="00F14112"/>
    <w:rsid w:val="00F141C2"/>
    <w:rsid w:val="00F1436B"/>
    <w:rsid w:val="00F147CD"/>
    <w:rsid w:val="00F14C03"/>
    <w:rsid w:val="00F14D97"/>
    <w:rsid w:val="00F152F4"/>
    <w:rsid w:val="00F15557"/>
    <w:rsid w:val="00F15577"/>
    <w:rsid w:val="00F156B8"/>
    <w:rsid w:val="00F15A39"/>
    <w:rsid w:val="00F15B1D"/>
    <w:rsid w:val="00F15C44"/>
    <w:rsid w:val="00F15CDA"/>
    <w:rsid w:val="00F15F8A"/>
    <w:rsid w:val="00F161A0"/>
    <w:rsid w:val="00F1643C"/>
    <w:rsid w:val="00F1657F"/>
    <w:rsid w:val="00F16B40"/>
    <w:rsid w:val="00F16CCB"/>
    <w:rsid w:val="00F16CF2"/>
    <w:rsid w:val="00F16CF7"/>
    <w:rsid w:val="00F16DD3"/>
    <w:rsid w:val="00F16EBB"/>
    <w:rsid w:val="00F1710C"/>
    <w:rsid w:val="00F17261"/>
    <w:rsid w:val="00F1759B"/>
    <w:rsid w:val="00F17BA2"/>
    <w:rsid w:val="00F20157"/>
    <w:rsid w:val="00F20258"/>
    <w:rsid w:val="00F20750"/>
    <w:rsid w:val="00F208DE"/>
    <w:rsid w:val="00F20AAD"/>
    <w:rsid w:val="00F20C63"/>
    <w:rsid w:val="00F20D7B"/>
    <w:rsid w:val="00F20E37"/>
    <w:rsid w:val="00F21015"/>
    <w:rsid w:val="00F21363"/>
    <w:rsid w:val="00F21396"/>
    <w:rsid w:val="00F2167E"/>
    <w:rsid w:val="00F21854"/>
    <w:rsid w:val="00F21C1D"/>
    <w:rsid w:val="00F21D74"/>
    <w:rsid w:val="00F21DB3"/>
    <w:rsid w:val="00F22238"/>
    <w:rsid w:val="00F22851"/>
    <w:rsid w:val="00F22E3B"/>
    <w:rsid w:val="00F22E79"/>
    <w:rsid w:val="00F2314A"/>
    <w:rsid w:val="00F235D6"/>
    <w:rsid w:val="00F23BDB"/>
    <w:rsid w:val="00F23CE8"/>
    <w:rsid w:val="00F23D2B"/>
    <w:rsid w:val="00F23E4B"/>
    <w:rsid w:val="00F242AB"/>
    <w:rsid w:val="00F244B7"/>
    <w:rsid w:val="00F24603"/>
    <w:rsid w:val="00F248B8"/>
    <w:rsid w:val="00F249A5"/>
    <w:rsid w:val="00F24B64"/>
    <w:rsid w:val="00F25300"/>
    <w:rsid w:val="00F257D4"/>
    <w:rsid w:val="00F26573"/>
    <w:rsid w:val="00F26606"/>
    <w:rsid w:val="00F26842"/>
    <w:rsid w:val="00F26D5E"/>
    <w:rsid w:val="00F27136"/>
    <w:rsid w:val="00F2718E"/>
    <w:rsid w:val="00F272F5"/>
    <w:rsid w:val="00F273E9"/>
    <w:rsid w:val="00F275E3"/>
    <w:rsid w:val="00F27A09"/>
    <w:rsid w:val="00F27CE0"/>
    <w:rsid w:val="00F27D00"/>
    <w:rsid w:val="00F27DED"/>
    <w:rsid w:val="00F3008F"/>
    <w:rsid w:val="00F3042D"/>
    <w:rsid w:val="00F306D1"/>
    <w:rsid w:val="00F3089E"/>
    <w:rsid w:val="00F30D29"/>
    <w:rsid w:val="00F3119C"/>
    <w:rsid w:val="00F311E0"/>
    <w:rsid w:val="00F31299"/>
    <w:rsid w:val="00F31504"/>
    <w:rsid w:val="00F3186D"/>
    <w:rsid w:val="00F319A0"/>
    <w:rsid w:val="00F31C54"/>
    <w:rsid w:val="00F322D8"/>
    <w:rsid w:val="00F3243E"/>
    <w:rsid w:val="00F32BD4"/>
    <w:rsid w:val="00F32C37"/>
    <w:rsid w:val="00F32F6A"/>
    <w:rsid w:val="00F3306C"/>
    <w:rsid w:val="00F332A3"/>
    <w:rsid w:val="00F33488"/>
    <w:rsid w:val="00F33BAF"/>
    <w:rsid w:val="00F33C0D"/>
    <w:rsid w:val="00F33DD0"/>
    <w:rsid w:val="00F33F49"/>
    <w:rsid w:val="00F34423"/>
    <w:rsid w:val="00F3450F"/>
    <w:rsid w:val="00F3461D"/>
    <w:rsid w:val="00F349E7"/>
    <w:rsid w:val="00F34CB2"/>
    <w:rsid w:val="00F3514D"/>
    <w:rsid w:val="00F35256"/>
    <w:rsid w:val="00F3534A"/>
    <w:rsid w:val="00F35EF8"/>
    <w:rsid w:val="00F35F5B"/>
    <w:rsid w:val="00F364CF"/>
    <w:rsid w:val="00F36B1E"/>
    <w:rsid w:val="00F36BC4"/>
    <w:rsid w:val="00F3707B"/>
    <w:rsid w:val="00F37BAB"/>
    <w:rsid w:val="00F37FB3"/>
    <w:rsid w:val="00F40256"/>
    <w:rsid w:val="00F40901"/>
    <w:rsid w:val="00F409B4"/>
    <w:rsid w:val="00F40E69"/>
    <w:rsid w:val="00F40EAE"/>
    <w:rsid w:val="00F41255"/>
    <w:rsid w:val="00F412E4"/>
    <w:rsid w:val="00F418E1"/>
    <w:rsid w:val="00F41BA8"/>
    <w:rsid w:val="00F4239E"/>
    <w:rsid w:val="00F428DC"/>
    <w:rsid w:val="00F42A2B"/>
    <w:rsid w:val="00F42A35"/>
    <w:rsid w:val="00F42AC5"/>
    <w:rsid w:val="00F42E80"/>
    <w:rsid w:val="00F43304"/>
    <w:rsid w:val="00F433AD"/>
    <w:rsid w:val="00F4384E"/>
    <w:rsid w:val="00F43E56"/>
    <w:rsid w:val="00F43FAA"/>
    <w:rsid w:val="00F444C4"/>
    <w:rsid w:val="00F444C6"/>
    <w:rsid w:val="00F447C8"/>
    <w:rsid w:val="00F44837"/>
    <w:rsid w:val="00F448BD"/>
    <w:rsid w:val="00F44DC3"/>
    <w:rsid w:val="00F44E27"/>
    <w:rsid w:val="00F458CD"/>
    <w:rsid w:val="00F45A7E"/>
    <w:rsid w:val="00F45B35"/>
    <w:rsid w:val="00F45E11"/>
    <w:rsid w:val="00F45E75"/>
    <w:rsid w:val="00F45F36"/>
    <w:rsid w:val="00F4613B"/>
    <w:rsid w:val="00F46498"/>
    <w:rsid w:val="00F4658C"/>
    <w:rsid w:val="00F469BB"/>
    <w:rsid w:val="00F46D5E"/>
    <w:rsid w:val="00F46F44"/>
    <w:rsid w:val="00F473DC"/>
    <w:rsid w:val="00F47872"/>
    <w:rsid w:val="00F47CDE"/>
    <w:rsid w:val="00F50202"/>
    <w:rsid w:val="00F5027B"/>
    <w:rsid w:val="00F504B6"/>
    <w:rsid w:val="00F50990"/>
    <w:rsid w:val="00F50D26"/>
    <w:rsid w:val="00F50DD4"/>
    <w:rsid w:val="00F51091"/>
    <w:rsid w:val="00F510AB"/>
    <w:rsid w:val="00F51354"/>
    <w:rsid w:val="00F516F9"/>
    <w:rsid w:val="00F518CD"/>
    <w:rsid w:val="00F51985"/>
    <w:rsid w:val="00F51C17"/>
    <w:rsid w:val="00F51E05"/>
    <w:rsid w:val="00F52417"/>
    <w:rsid w:val="00F5267B"/>
    <w:rsid w:val="00F530A7"/>
    <w:rsid w:val="00F53428"/>
    <w:rsid w:val="00F534E6"/>
    <w:rsid w:val="00F53658"/>
    <w:rsid w:val="00F538DC"/>
    <w:rsid w:val="00F53CA8"/>
    <w:rsid w:val="00F54590"/>
    <w:rsid w:val="00F54A71"/>
    <w:rsid w:val="00F54DC5"/>
    <w:rsid w:val="00F551C4"/>
    <w:rsid w:val="00F55246"/>
    <w:rsid w:val="00F5564D"/>
    <w:rsid w:val="00F55798"/>
    <w:rsid w:val="00F557E3"/>
    <w:rsid w:val="00F56C08"/>
    <w:rsid w:val="00F56C97"/>
    <w:rsid w:val="00F56D26"/>
    <w:rsid w:val="00F56EB4"/>
    <w:rsid w:val="00F5707E"/>
    <w:rsid w:val="00F570CB"/>
    <w:rsid w:val="00F572C8"/>
    <w:rsid w:val="00F576F3"/>
    <w:rsid w:val="00F577C4"/>
    <w:rsid w:val="00F57B18"/>
    <w:rsid w:val="00F57C39"/>
    <w:rsid w:val="00F57CCE"/>
    <w:rsid w:val="00F6040B"/>
    <w:rsid w:val="00F609AF"/>
    <w:rsid w:val="00F60D74"/>
    <w:rsid w:val="00F60E88"/>
    <w:rsid w:val="00F61052"/>
    <w:rsid w:val="00F612F8"/>
    <w:rsid w:val="00F6176D"/>
    <w:rsid w:val="00F61D8A"/>
    <w:rsid w:val="00F624E0"/>
    <w:rsid w:val="00F62732"/>
    <w:rsid w:val="00F628B4"/>
    <w:rsid w:val="00F62C56"/>
    <w:rsid w:val="00F63391"/>
    <w:rsid w:val="00F63B38"/>
    <w:rsid w:val="00F63CDE"/>
    <w:rsid w:val="00F63E5A"/>
    <w:rsid w:val="00F63FF2"/>
    <w:rsid w:val="00F64332"/>
    <w:rsid w:val="00F6437F"/>
    <w:rsid w:val="00F64B3E"/>
    <w:rsid w:val="00F64BF8"/>
    <w:rsid w:val="00F65266"/>
    <w:rsid w:val="00F65BC5"/>
    <w:rsid w:val="00F65CC6"/>
    <w:rsid w:val="00F6618C"/>
    <w:rsid w:val="00F6660B"/>
    <w:rsid w:val="00F66656"/>
    <w:rsid w:val="00F666CF"/>
    <w:rsid w:val="00F668A4"/>
    <w:rsid w:val="00F66B1E"/>
    <w:rsid w:val="00F6708B"/>
    <w:rsid w:val="00F672AB"/>
    <w:rsid w:val="00F672B6"/>
    <w:rsid w:val="00F67C9D"/>
    <w:rsid w:val="00F67DE4"/>
    <w:rsid w:val="00F702CD"/>
    <w:rsid w:val="00F70868"/>
    <w:rsid w:val="00F70C11"/>
    <w:rsid w:val="00F71321"/>
    <w:rsid w:val="00F71947"/>
    <w:rsid w:val="00F71D8F"/>
    <w:rsid w:val="00F71E10"/>
    <w:rsid w:val="00F72B7A"/>
    <w:rsid w:val="00F72D56"/>
    <w:rsid w:val="00F72FCD"/>
    <w:rsid w:val="00F731A0"/>
    <w:rsid w:val="00F73258"/>
    <w:rsid w:val="00F73449"/>
    <w:rsid w:val="00F7384F"/>
    <w:rsid w:val="00F73E23"/>
    <w:rsid w:val="00F73E9F"/>
    <w:rsid w:val="00F73FEE"/>
    <w:rsid w:val="00F7418F"/>
    <w:rsid w:val="00F747A1"/>
    <w:rsid w:val="00F74E55"/>
    <w:rsid w:val="00F75031"/>
    <w:rsid w:val="00F75444"/>
    <w:rsid w:val="00F754E1"/>
    <w:rsid w:val="00F75A5C"/>
    <w:rsid w:val="00F7616C"/>
    <w:rsid w:val="00F761A5"/>
    <w:rsid w:val="00F761AD"/>
    <w:rsid w:val="00F76494"/>
    <w:rsid w:val="00F7677C"/>
    <w:rsid w:val="00F7685E"/>
    <w:rsid w:val="00F76A02"/>
    <w:rsid w:val="00F76BB9"/>
    <w:rsid w:val="00F76C54"/>
    <w:rsid w:val="00F77002"/>
    <w:rsid w:val="00F772AC"/>
    <w:rsid w:val="00F7770F"/>
    <w:rsid w:val="00F7774A"/>
    <w:rsid w:val="00F7775E"/>
    <w:rsid w:val="00F7778E"/>
    <w:rsid w:val="00F77CAB"/>
    <w:rsid w:val="00F80037"/>
    <w:rsid w:val="00F80314"/>
    <w:rsid w:val="00F8073E"/>
    <w:rsid w:val="00F807C2"/>
    <w:rsid w:val="00F808B7"/>
    <w:rsid w:val="00F80B54"/>
    <w:rsid w:val="00F80C47"/>
    <w:rsid w:val="00F80E62"/>
    <w:rsid w:val="00F80E91"/>
    <w:rsid w:val="00F80ED3"/>
    <w:rsid w:val="00F810AE"/>
    <w:rsid w:val="00F816F7"/>
    <w:rsid w:val="00F81912"/>
    <w:rsid w:val="00F81A7C"/>
    <w:rsid w:val="00F81C7E"/>
    <w:rsid w:val="00F81EF7"/>
    <w:rsid w:val="00F82278"/>
    <w:rsid w:val="00F82333"/>
    <w:rsid w:val="00F8236D"/>
    <w:rsid w:val="00F823CC"/>
    <w:rsid w:val="00F82B48"/>
    <w:rsid w:val="00F82C63"/>
    <w:rsid w:val="00F82C86"/>
    <w:rsid w:val="00F82E50"/>
    <w:rsid w:val="00F83155"/>
    <w:rsid w:val="00F833AB"/>
    <w:rsid w:val="00F83852"/>
    <w:rsid w:val="00F83884"/>
    <w:rsid w:val="00F83BF1"/>
    <w:rsid w:val="00F83D06"/>
    <w:rsid w:val="00F83DE5"/>
    <w:rsid w:val="00F83F2F"/>
    <w:rsid w:val="00F84378"/>
    <w:rsid w:val="00F84473"/>
    <w:rsid w:val="00F846AC"/>
    <w:rsid w:val="00F849CA"/>
    <w:rsid w:val="00F84ADD"/>
    <w:rsid w:val="00F85325"/>
    <w:rsid w:val="00F85354"/>
    <w:rsid w:val="00F859D1"/>
    <w:rsid w:val="00F85B04"/>
    <w:rsid w:val="00F86A95"/>
    <w:rsid w:val="00F86D02"/>
    <w:rsid w:val="00F86DF2"/>
    <w:rsid w:val="00F86E0C"/>
    <w:rsid w:val="00F873B0"/>
    <w:rsid w:val="00F875A1"/>
    <w:rsid w:val="00F877BD"/>
    <w:rsid w:val="00F87845"/>
    <w:rsid w:val="00F878B0"/>
    <w:rsid w:val="00F87A28"/>
    <w:rsid w:val="00F87A6E"/>
    <w:rsid w:val="00F87C20"/>
    <w:rsid w:val="00F87D31"/>
    <w:rsid w:val="00F87EF3"/>
    <w:rsid w:val="00F902C1"/>
    <w:rsid w:val="00F90AE3"/>
    <w:rsid w:val="00F91398"/>
    <w:rsid w:val="00F913A6"/>
    <w:rsid w:val="00F9185B"/>
    <w:rsid w:val="00F91EE9"/>
    <w:rsid w:val="00F91F77"/>
    <w:rsid w:val="00F924B6"/>
    <w:rsid w:val="00F9252D"/>
    <w:rsid w:val="00F92535"/>
    <w:rsid w:val="00F928C2"/>
    <w:rsid w:val="00F931B4"/>
    <w:rsid w:val="00F93273"/>
    <w:rsid w:val="00F93CD5"/>
    <w:rsid w:val="00F93FF1"/>
    <w:rsid w:val="00F94344"/>
    <w:rsid w:val="00F94447"/>
    <w:rsid w:val="00F94A03"/>
    <w:rsid w:val="00F954E6"/>
    <w:rsid w:val="00F95909"/>
    <w:rsid w:val="00F95ACC"/>
    <w:rsid w:val="00F95C20"/>
    <w:rsid w:val="00F95DDC"/>
    <w:rsid w:val="00F95DFF"/>
    <w:rsid w:val="00F96DB5"/>
    <w:rsid w:val="00F97049"/>
    <w:rsid w:val="00F971A2"/>
    <w:rsid w:val="00F9721D"/>
    <w:rsid w:val="00F973E9"/>
    <w:rsid w:val="00F9791D"/>
    <w:rsid w:val="00F97BB5"/>
    <w:rsid w:val="00F97C96"/>
    <w:rsid w:val="00FA044C"/>
    <w:rsid w:val="00FA0501"/>
    <w:rsid w:val="00FA0E96"/>
    <w:rsid w:val="00FA10B6"/>
    <w:rsid w:val="00FA189C"/>
    <w:rsid w:val="00FA1A0E"/>
    <w:rsid w:val="00FA1C5A"/>
    <w:rsid w:val="00FA1D5A"/>
    <w:rsid w:val="00FA22CC"/>
    <w:rsid w:val="00FA254B"/>
    <w:rsid w:val="00FA290D"/>
    <w:rsid w:val="00FA2B62"/>
    <w:rsid w:val="00FA2C13"/>
    <w:rsid w:val="00FA2E1D"/>
    <w:rsid w:val="00FA3177"/>
    <w:rsid w:val="00FA38DE"/>
    <w:rsid w:val="00FA3B60"/>
    <w:rsid w:val="00FA4CEB"/>
    <w:rsid w:val="00FA4EF1"/>
    <w:rsid w:val="00FA5220"/>
    <w:rsid w:val="00FA529B"/>
    <w:rsid w:val="00FA54BA"/>
    <w:rsid w:val="00FA557E"/>
    <w:rsid w:val="00FA5D37"/>
    <w:rsid w:val="00FA5D5E"/>
    <w:rsid w:val="00FA6567"/>
    <w:rsid w:val="00FA668C"/>
    <w:rsid w:val="00FA676A"/>
    <w:rsid w:val="00FA6975"/>
    <w:rsid w:val="00FA6AB5"/>
    <w:rsid w:val="00FA77C9"/>
    <w:rsid w:val="00FA7C5E"/>
    <w:rsid w:val="00FA7F5E"/>
    <w:rsid w:val="00FB07F0"/>
    <w:rsid w:val="00FB0910"/>
    <w:rsid w:val="00FB0AA2"/>
    <w:rsid w:val="00FB0EE8"/>
    <w:rsid w:val="00FB0F45"/>
    <w:rsid w:val="00FB1175"/>
    <w:rsid w:val="00FB1295"/>
    <w:rsid w:val="00FB136A"/>
    <w:rsid w:val="00FB19EA"/>
    <w:rsid w:val="00FB23AC"/>
    <w:rsid w:val="00FB2535"/>
    <w:rsid w:val="00FB271A"/>
    <w:rsid w:val="00FB2876"/>
    <w:rsid w:val="00FB2D6C"/>
    <w:rsid w:val="00FB2EB3"/>
    <w:rsid w:val="00FB3046"/>
    <w:rsid w:val="00FB31B3"/>
    <w:rsid w:val="00FB3260"/>
    <w:rsid w:val="00FB33C2"/>
    <w:rsid w:val="00FB38EB"/>
    <w:rsid w:val="00FB3CD2"/>
    <w:rsid w:val="00FB3FA7"/>
    <w:rsid w:val="00FB40BD"/>
    <w:rsid w:val="00FB41D3"/>
    <w:rsid w:val="00FB47AA"/>
    <w:rsid w:val="00FB4851"/>
    <w:rsid w:val="00FB4F70"/>
    <w:rsid w:val="00FB5022"/>
    <w:rsid w:val="00FB5419"/>
    <w:rsid w:val="00FB64F8"/>
    <w:rsid w:val="00FB6A3D"/>
    <w:rsid w:val="00FB7137"/>
    <w:rsid w:val="00FB7989"/>
    <w:rsid w:val="00FB7CEA"/>
    <w:rsid w:val="00FB7F01"/>
    <w:rsid w:val="00FC035B"/>
    <w:rsid w:val="00FC0641"/>
    <w:rsid w:val="00FC0CC5"/>
    <w:rsid w:val="00FC133B"/>
    <w:rsid w:val="00FC15EA"/>
    <w:rsid w:val="00FC1657"/>
    <w:rsid w:val="00FC18C8"/>
    <w:rsid w:val="00FC1962"/>
    <w:rsid w:val="00FC1D63"/>
    <w:rsid w:val="00FC1FE8"/>
    <w:rsid w:val="00FC277B"/>
    <w:rsid w:val="00FC3108"/>
    <w:rsid w:val="00FC3580"/>
    <w:rsid w:val="00FC3C08"/>
    <w:rsid w:val="00FC417F"/>
    <w:rsid w:val="00FC4AB3"/>
    <w:rsid w:val="00FC4BD7"/>
    <w:rsid w:val="00FC4D28"/>
    <w:rsid w:val="00FC4E4C"/>
    <w:rsid w:val="00FC5122"/>
    <w:rsid w:val="00FC5170"/>
    <w:rsid w:val="00FC528D"/>
    <w:rsid w:val="00FC5B94"/>
    <w:rsid w:val="00FC65B5"/>
    <w:rsid w:val="00FC6B98"/>
    <w:rsid w:val="00FC70EE"/>
    <w:rsid w:val="00FC760B"/>
    <w:rsid w:val="00FC7B3A"/>
    <w:rsid w:val="00FD02A3"/>
    <w:rsid w:val="00FD0EEB"/>
    <w:rsid w:val="00FD122E"/>
    <w:rsid w:val="00FD137C"/>
    <w:rsid w:val="00FD14E1"/>
    <w:rsid w:val="00FD195B"/>
    <w:rsid w:val="00FD19A5"/>
    <w:rsid w:val="00FD1BCE"/>
    <w:rsid w:val="00FD1CD6"/>
    <w:rsid w:val="00FD1D0C"/>
    <w:rsid w:val="00FD1E41"/>
    <w:rsid w:val="00FD2181"/>
    <w:rsid w:val="00FD22B1"/>
    <w:rsid w:val="00FD23CD"/>
    <w:rsid w:val="00FD23E0"/>
    <w:rsid w:val="00FD24EF"/>
    <w:rsid w:val="00FD25D7"/>
    <w:rsid w:val="00FD27EA"/>
    <w:rsid w:val="00FD2D5F"/>
    <w:rsid w:val="00FD2EE2"/>
    <w:rsid w:val="00FD2F5E"/>
    <w:rsid w:val="00FD307D"/>
    <w:rsid w:val="00FD31E3"/>
    <w:rsid w:val="00FD3349"/>
    <w:rsid w:val="00FD37E9"/>
    <w:rsid w:val="00FD3891"/>
    <w:rsid w:val="00FD3D68"/>
    <w:rsid w:val="00FD3F48"/>
    <w:rsid w:val="00FD3FD4"/>
    <w:rsid w:val="00FD4286"/>
    <w:rsid w:val="00FD4520"/>
    <w:rsid w:val="00FD458D"/>
    <w:rsid w:val="00FD483F"/>
    <w:rsid w:val="00FD49DE"/>
    <w:rsid w:val="00FD49FC"/>
    <w:rsid w:val="00FD4A1F"/>
    <w:rsid w:val="00FD4B93"/>
    <w:rsid w:val="00FD50FC"/>
    <w:rsid w:val="00FD5168"/>
    <w:rsid w:val="00FD537A"/>
    <w:rsid w:val="00FD5879"/>
    <w:rsid w:val="00FD58AA"/>
    <w:rsid w:val="00FD5BE8"/>
    <w:rsid w:val="00FD6088"/>
    <w:rsid w:val="00FD659B"/>
    <w:rsid w:val="00FD6840"/>
    <w:rsid w:val="00FD68B9"/>
    <w:rsid w:val="00FD69EB"/>
    <w:rsid w:val="00FD6AB9"/>
    <w:rsid w:val="00FD6DB5"/>
    <w:rsid w:val="00FD6FAD"/>
    <w:rsid w:val="00FD7626"/>
    <w:rsid w:val="00FD78D8"/>
    <w:rsid w:val="00FD79CD"/>
    <w:rsid w:val="00FD79D8"/>
    <w:rsid w:val="00FD7A92"/>
    <w:rsid w:val="00FD7C72"/>
    <w:rsid w:val="00FD7E37"/>
    <w:rsid w:val="00FD7FD5"/>
    <w:rsid w:val="00FE09AA"/>
    <w:rsid w:val="00FE0D59"/>
    <w:rsid w:val="00FE1294"/>
    <w:rsid w:val="00FE1455"/>
    <w:rsid w:val="00FE18BB"/>
    <w:rsid w:val="00FE1B2F"/>
    <w:rsid w:val="00FE1DE7"/>
    <w:rsid w:val="00FE2181"/>
    <w:rsid w:val="00FE2C05"/>
    <w:rsid w:val="00FE2C79"/>
    <w:rsid w:val="00FE3362"/>
    <w:rsid w:val="00FE3579"/>
    <w:rsid w:val="00FE35CF"/>
    <w:rsid w:val="00FE3844"/>
    <w:rsid w:val="00FE3FD5"/>
    <w:rsid w:val="00FE5771"/>
    <w:rsid w:val="00FE677A"/>
    <w:rsid w:val="00FE67C0"/>
    <w:rsid w:val="00FE6C36"/>
    <w:rsid w:val="00FE6CD0"/>
    <w:rsid w:val="00FE6D18"/>
    <w:rsid w:val="00FE6FD3"/>
    <w:rsid w:val="00FE6FF0"/>
    <w:rsid w:val="00FE7088"/>
    <w:rsid w:val="00FE70D7"/>
    <w:rsid w:val="00FE7484"/>
    <w:rsid w:val="00FE7691"/>
    <w:rsid w:val="00FE76FF"/>
    <w:rsid w:val="00FE7902"/>
    <w:rsid w:val="00FE7917"/>
    <w:rsid w:val="00FE7A96"/>
    <w:rsid w:val="00FE7F63"/>
    <w:rsid w:val="00FF0455"/>
    <w:rsid w:val="00FF05B2"/>
    <w:rsid w:val="00FF05C9"/>
    <w:rsid w:val="00FF0E24"/>
    <w:rsid w:val="00FF0E91"/>
    <w:rsid w:val="00FF0EED"/>
    <w:rsid w:val="00FF19C9"/>
    <w:rsid w:val="00FF1A4B"/>
    <w:rsid w:val="00FF1B14"/>
    <w:rsid w:val="00FF1BCC"/>
    <w:rsid w:val="00FF1C53"/>
    <w:rsid w:val="00FF1EDD"/>
    <w:rsid w:val="00FF25B4"/>
    <w:rsid w:val="00FF2914"/>
    <w:rsid w:val="00FF2BFF"/>
    <w:rsid w:val="00FF2CF2"/>
    <w:rsid w:val="00FF2D10"/>
    <w:rsid w:val="00FF308D"/>
    <w:rsid w:val="00FF342F"/>
    <w:rsid w:val="00FF3AB0"/>
    <w:rsid w:val="00FF3B45"/>
    <w:rsid w:val="00FF3E06"/>
    <w:rsid w:val="00FF4064"/>
    <w:rsid w:val="00FF4143"/>
    <w:rsid w:val="00FF51D0"/>
    <w:rsid w:val="00FF53AD"/>
    <w:rsid w:val="00FF53BE"/>
    <w:rsid w:val="00FF5AC5"/>
    <w:rsid w:val="00FF5D8E"/>
    <w:rsid w:val="00FF65C1"/>
    <w:rsid w:val="00FF6681"/>
    <w:rsid w:val="00FF6793"/>
    <w:rsid w:val="00FF6952"/>
    <w:rsid w:val="00FF6AE7"/>
    <w:rsid w:val="00FF6DC3"/>
    <w:rsid w:val="00FF700E"/>
    <w:rsid w:val="00FF73DF"/>
    <w:rsid w:val="00FF7D08"/>
    <w:rsid w:val="00FF7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3B4F1428"/>
  <w15:docId w15:val="{E438D228-4053-487E-AC01-B04E0F5C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0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D15C5C"/>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15C5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15C5C"/>
    <w:pPr>
      <w:spacing w:before="560" w:line="320" w:lineRule="exact"/>
      <w:ind w:left="0" w:firstLine="0"/>
      <w:outlineLvl w:val="2"/>
    </w:pPr>
    <w:rPr>
      <w:sz w:val="26"/>
    </w:rPr>
  </w:style>
  <w:style w:type="paragraph" w:styleId="Heading4">
    <w:name w:val="heading 4"/>
    <w:basedOn w:val="Heading3"/>
    <w:next w:val="BodyText"/>
    <w:qFormat/>
    <w:rsid w:val="00D15C5C"/>
    <w:pPr>
      <w:spacing w:before="480"/>
      <w:outlineLvl w:val="3"/>
    </w:pPr>
    <w:rPr>
      <w:b w:val="0"/>
      <w:sz w:val="24"/>
    </w:rPr>
  </w:style>
  <w:style w:type="paragraph" w:styleId="Heading5">
    <w:name w:val="heading 5"/>
    <w:basedOn w:val="Normal"/>
    <w:next w:val="Normal"/>
    <w:link w:val="Heading5Char"/>
    <w:uiPriority w:val="9"/>
    <w:unhideWhenUsed/>
    <w:qFormat/>
    <w:rsid w:val="002E7533"/>
    <w:pPr>
      <w:keepNext/>
      <w:keepLines/>
      <w:spacing w:before="40" w:after="0"/>
      <w:outlineLvl w:val="4"/>
    </w:pPr>
    <w:rPr>
      <w:rFonts w:asciiTheme="majorHAnsi" w:eastAsiaTheme="majorEastAsia" w:hAnsiTheme="majorHAnsi" w:cstheme="majorBidi"/>
      <w:color w:val="597923" w:themeColor="accent1" w:themeShade="BF"/>
    </w:rPr>
  </w:style>
  <w:style w:type="paragraph" w:styleId="Heading6">
    <w:name w:val="heading 6"/>
    <w:basedOn w:val="BodyText"/>
    <w:next w:val="BodyText"/>
    <w:rsid w:val="00D15C5C"/>
    <w:pPr>
      <w:spacing w:after="60"/>
      <w:jc w:val="left"/>
      <w:outlineLvl w:val="5"/>
    </w:pPr>
    <w:rPr>
      <w:i/>
      <w:sz w:val="22"/>
    </w:rPr>
  </w:style>
  <w:style w:type="paragraph" w:styleId="Heading7">
    <w:name w:val="heading 7"/>
    <w:basedOn w:val="BodyText"/>
    <w:next w:val="BodyText"/>
    <w:rsid w:val="00D15C5C"/>
    <w:pPr>
      <w:spacing w:after="60" w:line="240" w:lineRule="auto"/>
      <w:jc w:val="left"/>
      <w:outlineLvl w:val="6"/>
    </w:pPr>
    <w:rPr>
      <w:rFonts w:ascii="Arial" w:hAnsi="Arial"/>
      <w:sz w:val="20"/>
    </w:rPr>
  </w:style>
  <w:style w:type="paragraph" w:styleId="Heading8">
    <w:name w:val="heading 8"/>
    <w:basedOn w:val="BodyText"/>
    <w:next w:val="BodyText"/>
    <w:rsid w:val="00D15C5C"/>
    <w:pPr>
      <w:spacing w:after="60" w:line="240" w:lineRule="auto"/>
      <w:jc w:val="left"/>
      <w:outlineLvl w:val="7"/>
    </w:pPr>
    <w:rPr>
      <w:rFonts w:ascii="Arial" w:hAnsi="Arial"/>
      <w:i/>
      <w:sz w:val="20"/>
    </w:rPr>
  </w:style>
  <w:style w:type="paragraph" w:styleId="Heading9">
    <w:name w:val="heading 9"/>
    <w:basedOn w:val="BodyText"/>
    <w:next w:val="BodyText"/>
    <w:rsid w:val="00D15C5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17D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D07"/>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617D07"/>
    <w:pPr>
      <w:spacing w:before="240" w:line="300" w:lineRule="atLeast"/>
      <w:jc w:val="both"/>
    </w:pPr>
    <w:rPr>
      <w:sz w:val="24"/>
    </w:rPr>
  </w:style>
  <w:style w:type="paragraph" w:customStyle="1" w:styleId="Chapter">
    <w:name w:val="Chapter"/>
    <w:basedOn w:val="Heading1"/>
    <w:next w:val="BodyText"/>
    <w:semiHidden/>
    <w:rsid w:val="00D15C5C"/>
    <w:pPr>
      <w:ind w:left="0" w:firstLine="0"/>
      <w:outlineLvl w:val="9"/>
    </w:pPr>
  </w:style>
  <w:style w:type="paragraph" w:styleId="Footer">
    <w:name w:val="footer"/>
    <w:basedOn w:val="BodyText"/>
    <w:link w:val="FooterChar"/>
    <w:rsid w:val="00D15C5C"/>
    <w:pPr>
      <w:spacing w:before="80" w:line="200" w:lineRule="exact"/>
      <w:ind w:right="6"/>
      <w:jc w:val="left"/>
    </w:pPr>
    <w:rPr>
      <w:rFonts w:ascii="Arial" w:hAnsi="Arial"/>
      <w:caps/>
      <w:spacing w:val="-4"/>
      <w:sz w:val="16"/>
    </w:rPr>
  </w:style>
  <w:style w:type="paragraph" w:customStyle="1" w:styleId="FooterEnd">
    <w:name w:val="Footer End"/>
    <w:basedOn w:val="Footer"/>
    <w:rsid w:val="00D15C5C"/>
    <w:pPr>
      <w:spacing w:before="0" w:line="20" w:lineRule="exact"/>
    </w:pPr>
  </w:style>
  <w:style w:type="paragraph" w:styleId="Header">
    <w:name w:val="header"/>
    <w:basedOn w:val="BodyText"/>
    <w:rsid w:val="00D15C5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15C5C"/>
    <w:pPr>
      <w:spacing w:line="20" w:lineRule="exact"/>
    </w:pPr>
    <w:rPr>
      <w:sz w:val="16"/>
    </w:rPr>
  </w:style>
  <w:style w:type="paragraph" w:customStyle="1" w:styleId="HeaderEven">
    <w:name w:val="Header Even"/>
    <w:basedOn w:val="Header"/>
    <w:semiHidden/>
    <w:rsid w:val="00D15C5C"/>
  </w:style>
  <w:style w:type="paragraph" w:customStyle="1" w:styleId="HeaderOdd">
    <w:name w:val="Header Odd"/>
    <w:basedOn w:val="Header"/>
    <w:rsid w:val="00D15C5C"/>
  </w:style>
  <w:style w:type="character" w:styleId="PageNumber">
    <w:name w:val="page number"/>
    <w:basedOn w:val="DefaultParagraphFont"/>
    <w:rsid w:val="00D15C5C"/>
    <w:rPr>
      <w:rFonts w:ascii="Arial" w:hAnsi="Arial"/>
      <w:b/>
      <w:sz w:val="16"/>
    </w:rPr>
  </w:style>
  <w:style w:type="paragraph" w:customStyle="1" w:styleId="Abbreviation">
    <w:name w:val="Abbreviation"/>
    <w:basedOn w:val="BodyText"/>
    <w:rsid w:val="00D15C5C"/>
    <w:pPr>
      <w:spacing w:before="120"/>
      <w:ind w:left="2381" w:hanging="2381"/>
      <w:jc w:val="left"/>
    </w:pPr>
  </w:style>
  <w:style w:type="paragraph" w:customStyle="1" w:styleId="Box">
    <w:name w:val="Box"/>
    <w:basedOn w:val="BodyText"/>
    <w:link w:val="BoxChar"/>
    <w:qFormat/>
    <w:rsid w:val="00D15C5C"/>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D15C5C"/>
    <w:pPr>
      <w:spacing w:before="180" w:line="220" w:lineRule="exact"/>
      <w:jc w:val="right"/>
    </w:pPr>
    <w:rPr>
      <w:rFonts w:ascii="Arial" w:hAnsi="Arial"/>
      <w:sz w:val="18"/>
    </w:rPr>
  </w:style>
  <w:style w:type="paragraph" w:customStyle="1" w:styleId="BoxHeading1">
    <w:name w:val="Box Heading 1"/>
    <w:basedOn w:val="BodyText"/>
    <w:next w:val="Box"/>
    <w:rsid w:val="00D15C5C"/>
    <w:pPr>
      <w:keepNext/>
      <w:spacing w:before="200" w:line="280" w:lineRule="atLeast"/>
    </w:pPr>
    <w:rPr>
      <w:rFonts w:ascii="Arial" w:hAnsi="Arial"/>
      <w:b/>
      <w:sz w:val="22"/>
    </w:rPr>
  </w:style>
  <w:style w:type="paragraph" w:customStyle="1" w:styleId="BoxHeading2">
    <w:name w:val="Box Heading 2"/>
    <w:basedOn w:val="BoxHeading1"/>
    <w:next w:val="Normal"/>
    <w:rsid w:val="00D15C5C"/>
    <w:rPr>
      <w:b w:val="0"/>
      <w:i/>
    </w:rPr>
  </w:style>
  <w:style w:type="paragraph" w:customStyle="1" w:styleId="BoxListBullet">
    <w:name w:val="Box List Bullet"/>
    <w:basedOn w:val="BodyText"/>
    <w:link w:val="BoxListBulletChar"/>
    <w:rsid w:val="00D15C5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15C5C"/>
    <w:pPr>
      <w:numPr>
        <w:numId w:val="2"/>
      </w:numPr>
      <w:ind w:left="568" w:hanging="284"/>
    </w:pPr>
  </w:style>
  <w:style w:type="paragraph" w:customStyle="1" w:styleId="BoxListNumber">
    <w:name w:val="Box List Number"/>
    <w:basedOn w:val="BodyText"/>
    <w:rsid w:val="00D15C5C"/>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15C5C"/>
    <w:pPr>
      <w:numPr>
        <w:ilvl w:val="1"/>
      </w:numPr>
      <w:ind w:left="681" w:hanging="397"/>
    </w:pPr>
  </w:style>
  <w:style w:type="paragraph" w:customStyle="1" w:styleId="BoxQuote">
    <w:name w:val="Box Quote"/>
    <w:basedOn w:val="BodyText"/>
    <w:next w:val="Box"/>
    <w:qFormat/>
    <w:rsid w:val="00D15C5C"/>
    <w:pPr>
      <w:keepNext/>
      <w:spacing w:before="60" w:line="240" w:lineRule="exact"/>
      <w:ind w:left="284"/>
    </w:pPr>
    <w:rPr>
      <w:rFonts w:ascii="Arial" w:hAnsi="Arial"/>
      <w:sz w:val="18"/>
    </w:rPr>
  </w:style>
  <w:style w:type="paragraph" w:customStyle="1" w:styleId="Note">
    <w:name w:val="Note"/>
    <w:basedOn w:val="BodyText"/>
    <w:next w:val="BodyText"/>
    <w:link w:val="NoteChar"/>
    <w:rsid w:val="00D15C5C"/>
    <w:pPr>
      <w:keepLines/>
      <w:spacing w:before="80" w:line="220" w:lineRule="exact"/>
    </w:pPr>
    <w:rPr>
      <w:rFonts w:ascii="Arial" w:hAnsi="Arial"/>
      <w:sz w:val="18"/>
    </w:rPr>
  </w:style>
  <w:style w:type="paragraph" w:customStyle="1" w:styleId="Source">
    <w:name w:val="Source"/>
    <w:basedOn w:val="Normal"/>
    <w:next w:val="BodyText"/>
    <w:link w:val="SourceChar"/>
    <w:rsid w:val="00D15C5C"/>
    <w:pPr>
      <w:keepLines/>
      <w:spacing w:before="80" w:line="220" w:lineRule="exact"/>
      <w:jc w:val="both"/>
    </w:pPr>
    <w:rPr>
      <w:rFonts w:ascii="Arial" w:hAnsi="Arial"/>
      <w:sz w:val="18"/>
      <w:szCs w:val="20"/>
    </w:rPr>
  </w:style>
  <w:style w:type="paragraph" w:customStyle="1" w:styleId="BoxSource">
    <w:name w:val="Box Source"/>
    <w:basedOn w:val="Source"/>
    <w:next w:val="BodyText"/>
    <w:rsid w:val="00D15C5C"/>
    <w:pPr>
      <w:spacing w:before="120"/>
    </w:pPr>
  </w:style>
  <w:style w:type="paragraph" w:customStyle="1" w:styleId="BoxSpace">
    <w:name w:val="Box Space"/>
    <w:basedOn w:val="BodyText"/>
    <w:rsid w:val="003C39D8"/>
    <w:pPr>
      <w:keepNext/>
      <w:spacing w:before="360" w:line="80" w:lineRule="exact"/>
      <w:jc w:val="left"/>
    </w:pPr>
  </w:style>
  <w:style w:type="paragraph" w:styleId="Caption">
    <w:name w:val="caption"/>
    <w:basedOn w:val="Normal"/>
    <w:next w:val="BodyText"/>
    <w:rsid w:val="00D15C5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15C5C"/>
    <w:pPr>
      <w:spacing w:before="120" w:after="0"/>
    </w:pPr>
  </w:style>
  <w:style w:type="paragraph" w:customStyle="1" w:styleId="BoxSubtitle">
    <w:name w:val="Box Subtitle"/>
    <w:basedOn w:val="BoxTitle"/>
    <w:next w:val="Normal"/>
    <w:rsid w:val="00D15C5C"/>
    <w:pPr>
      <w:spacing w:after="80" w:line="200" w:lineRule="exact"/>
      <w:ind w:firstLine="0"/>
    </w:pPr>
    <w:rPr>
      <w:b w:val="0"/>
      <w:sz w:val="20"/>
    </w:rPr>
  </w:style>
  <w:style w:type="paragraph" w:customStyle="1" w:styleId="ChapterSummary">
    <w:name w:val="Chapter Summary"/>
    <w:basedOn w:val="BodyText"/>
    <w:rsid w:val="00D15C5C"/>
    <w:pPr>
      <w:spacing w:line="280" w:lineRule="atLeast"/>
      <w:ind w:left="907"/>
    </w:pPr>
    <w:rPr>
      <w:rFonts w:ascii="Arial" w:hAnsi="Arial"/>
      <w:b/>
      <w:sz w:val="20"/>
    </w:rPr>
  </w:style>
  <w:style w:type="character" w:styleId="CommentReference">
    <w:name w:val="annotation reference"/>
    <w:basedOn w:val="DefaultParagraphFont"/>
    <w:rsid w:val="00D15C5C"/>
    <w:rPr>
      <w:b/>
      <w:vanish/>
      <w:color w:val="FF00FF"/>
      <w:sz w:val="20"/>
    </w:rPr>
  </w:style>
  <w:style w:type="paragraph" w:styleId="CommentText">
    <w:name w:val="annotation text"/>
    <w:basedOn w:val="Normal"/>
    <w:link w:val="CommentTextChar"/>
    <w:semiHidden/>
    <w:rsid w:val="00D15C5C"/>
    <w:pPr>
      <w:spacing w:before="120" w:line="240" w:lineRule="atLeast"/>
      <w:ind w:left="567" w:hanging="567"/>
    </w:pPr>
    <w:rPr>
      <w:sz w:val="20"/>
    </w:rPr>
  </w:style>
  <w:style w:type="paragraph" w:customStyle="1" w:styleId="Continued">
    <w:name w:val="Continued"/>
    <w:basedOn w:val="BoxContinued"/>
    <w:next w:val="BodyText"/>
    <w:link w:val="ContinuedChar"/>
    <w:rsid w:val="00D15C5C"/>
  </w:style>
  <w:style w:type="character" w:customStyle="1" w:styleId="DocumentInfo">
    <w:name w:val="Document Info"/>
    <w:basedOn w:val="DefaultParagraphFont"/>
    <w:semiHidden/>
    <w:rsid w:val="00D15C5C"/>
    <w:rPr>
      <w:rFonts w:ascii="Arial" w:hAnsi="Arial"/>
      <w:sz w:val="14"/>
    </w:rPr>
  </w:style>
  <w:style w:type="character" w:customStyle="1" w:styleId="DraftingNote">
    <w:name w:val="Drafting Note"/>
    <w:basedOn w:val="DefaultParagraphFont"/>
    <w:rsid w:val="00D15C5C"/>
    <w:rPr>
      <w:b/>
      <w:color w:val="FF0000"/>
      <w:sz w:val="24"/>
      <w:u w:val="dotted"/>
    </w:rPr>
  </w:style>
  <w:style w:type="paragraph" w:customStyle="1" w:styleId="Figure">
    <w:name w:val="Figure"/>
    <w:basedOn w:val="BodyText"/>
    <w:rsid w:val="00D15C5C"/>
    <w:pPr>
      <w:keepNext/>
      <w:spacing w:before="120" w:after="120" w:line="240" w:lineRule="atLeast"/>
      <w:jc w:val="center"/>
    </w:pPr>
  </w:style>
  <w:style w:type="paragraph" w:customStyle="1" w:styleId="FigureTitle">
    <w:name w:val="Figure Title"/>
    <w:basedOn w:val="Caption"/>
    <w:next w:val="Subtitle"/>
    <w:rsid w:val="00D15C5C"/>
    <w:pPr>
      <w:spacing w:before="120"/>
    </w:pPr>
  </w:style>
  <w:style w:type="paragraph" w:styleId="Subtitle">
    <w:name w:val="Subtitle"/>
    <w:basedOn w:val="Caption"/>
    <w:link w:val="SubtitleChar"/>
    <w:qFormat/>
    <w:rsid w:val="00D15C5C"/>
    <w:pPr>
      <w:spacing w:before="0" w:line="200" w:lineRule="exact"/>
      <w:ind w:firstLine="0"/>
    </w:pPr>
    <w:rPr>
      <w:b w:val="0"/>
      <w:sz w:val="20"/>
    </w:rPr>
  </w:style>
  <w:style w:type="paragraph" w:customStyle="1" w:styleId="Finding">
    <w:name w:val="Finding"/>
    <w:basedOn w:val="BodyText"/>
    <w:rsid w:val="00D15C5C"/>
    <w:pPr>
      <w:keepLines/>
      <w:spacing w:before="120" w:line="280" w:lineRule="atLeast"/>
    </w:pPr>
    <w:rPr>
      <w:rFonts w:ascii="Arial" w:hAnsi="Arial"/>
      <w:sz w:val="22"/>
    </w:rPr>
  </w:style>
  <w:style w:type="paragraph" w:customStyle="1" w:styleId="FindingBullet">
    <w:name w:val="Finding Bullet"/>
    <w:basedOn w:val="Finding"/>
    <w:rsid w:val="00D15C5C"/>
    <w:pPr>
      <w:numPr>
        <w:numId w:val="3"/>
      </w:numPr>
      <w:spacing w:before="80"/>
    </w:pPr>
  </w:style>
  <w:style w:type="paragraph" w:customStyle="1" w:styleId="FindingNoTitle">
    <w:name w:val="Finding NoTitle"/>
    <w:basedOn w:val="Finding"/>
    <w:rsid w:val="00D15C5C"/>
    <w:pPr>
      <w:spacing w:before="240"/>
    </w:pPr>
  </w:style>
  <w:style w:type="paragraph" w:customStyle="1" w:styleId="RecTitle">
    <w:name w:val="Rec Title"/>
    <w:basedOn w:val="BodyText"/>
    <w:next w:val="Rec"/>
    <w:qFormat/>
    <w:rsid w:val="00D15C5C"/>
    <w:pPr>
      <w:keepNext/>
      <w:keepLines/>
      <w:spacing w:line="280" w:lineRule="atLeast"/>
    </w:pPr>
    <w:rPr>
      <w:rFonts w:ascii="Arial" w:hAnsi="Arial"/>
      <w:caps/>
      <w:sz w:val="18"/>
    </w:rPr>
  </w:style>
  <w:style w:type="paragraph" w:customStyle="1" w:styleId="FindingTitle">
    <w:name w:val="Finding Title"/>
    <w:basedOn w:val="RecTitle"/>
    <w:next w:val="Finding"/>
    <w:rsid w:val="00D15C5C"/>
  </w:style>
  <w:style w:type="character" w:styleId="FootnoteReference">
    <w:name w:val="footnote reference"/>
    <w:basedOn w:val="DefaultParagraphFont"/>
    <w:rsid w:val="00D15C5C"/>
    <w:rPr>
      <w:rFonts w:ascii="Times New Roman" w:hAnsi="Times New Roman"/>
      <w:position w:val="6"/>
      <w:sz w:val="20"/>
      <w:vertAlign w:val="baseline"/>
    </w:rPr>
  </w:style>
  <w:style w:type="paragraph" w:styleId="FootnoteText">
    <w:name w:val="footnote text"/>
    <w:basedOn w:val="BodyText"/>
    <w:rsid w:val="00D15C5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15C5C"/>
    <w:rPr>
      <w:i/>
    </w:rPr>
  </w:style>
  <w:style w:type="paragraph" w:customStyle="1" w:styleId="Jurisdictioncommentsbodytext">
    <w:name w:val="Jurisdiction comments body text"/>
    <w:rsid w:val="00D15C5C"/>
    <w:pPr>
      <w:spacing w:after="140"/>
      <w:jc w:val="both"/>
    </w:pPr>
    <w:rPr>
      <w:rFonts w:ascii="Arial" w:hAnsi="Arial"/>
      <w:sz w:val="24"/>
      <w:lang w:eastAsia="en-US"/>
    </w:rPr>
  </w:style>
  <w:style w:type="paragraph" w:customStyle="1" w:styleId="Jurisdictioncommentsheading">
    <w:name w:val="Jurisdiction comments heading"/>
    <w:rsid w:val="00D15C5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15C5C"/>
    <w:pPr>
      <w:numPr>
        <w:numId w:val="4"/>
      </w:numPr>
      <w:spacing w:after="140"/>
      <w:jc w:val="both"/>
    </w:pPr>
    <w:rPr>
      <w:rFonts w:ascii="Arial" w:hAnsi="Arial"/>
      <w:sz w:val="24"/>
      <w:lang w:eastAsia="en-US"/>
    </w:rPr>
  </w:style>
  <w:style w:type="paragraph" w:styleId="ListBullet">
    <w:name w:val="List Bullet"/>
    <w:aliases w:val="List Bullet Char1,List Bullet Char Char,List Bullet Char1 Char Char"/>
    <w:basedOn w:val="BodyText"/>
    <w:link w:val="ListBulletChar"/>
    <w:rsid w:val="00617D07"/>
    <w:pPr>
      <w:numPr>
        <w:numId w:val="5"/>
      </w:numPr>
      <w:spacing w:before="120"/>
    </w:pPr>
  </w:style>
  <w:style w:type="paragraph" w:styleId="ListBullet2">
    <w:name w:val="List Bullet 2"/>
    <w:basedOn w:val="BodyText"/>
    <w:rsid w:val="00617D07"/>
    <w:pPr>
      <w:numPr>
        <w:numId w:val="6"/>
      </w:numPr>
      <w:spacing w:before="120"/>
    </w:pPr>
  </w:style>
  <w:style w:type="paragraph" w:styleId="ListBullet3">
    <w:name w:val="List Bullet 3"/>
    <w:basedOn w:val="BodyText"/>
    <w:rsid w:val="00617D07"/>
    <w:pPr>
      <w:numPr>
        <w:numId w:val="7"/>
      </w:numPr>
      <w:spacing w:before="120"/>
    </w:pPr>
  </w:style>
  <w:style w:type="paragraph" w:styleId="ListNumber">
    <w:name w:val="List Number"/>
    <w:basedOn w:val="BodyText"/>
    <w:rsid w:val="00D15C5C"/>
    <w:pPr>
      <w:numPr>
        <w:numId w:val="13"/>
      </w:numPr>
      <w:spacing w:before="120"/>
    </w:pPr>
  </w:style>
  <w:style w:type="paragraph" w:styleId="ListNumber2">
    <w:name w:val="List Number 2"/>
    <w:basedOn w:val="ListNumber"/>
    <w:rsid w:val="00D15C5C"/>
    <w:pPr>
      <w:numPr>
        <w:ilvl w:val="1"/>
      </w:numPr>
    </w:pPr>
  </w:style>
  <w:style w:type="paragraph" w:styleId="ListNumber3">
    <w:name w:val="List Number 3"/>
    <w:basedOn w:val="ListNumber2"/>
    <w:rsid w:val="00D15C5C"/>
    <w:pPr>
      <w:numPr>
        <w:ilvl w:val="2"/>
      </w:numPr>
    </w:pPr>
  </w:style>
  <w:style w:type="character" w:customStyle="1" w:styleId="NoteLabel">
    <w:name w:val="Note Label"/>
    <w:basedOn w:val="DefaultParagraphFont"/>
    <w:rsid w:val="00D15C5C"/>
    <w:rPr>
      <w:rFonts w:ascii="Arial" w:hAnsi="Arial"/>
      <w:b/>
      <w:position w:val="6"/>
      <w:sz w:val="18"/>
    </w:rPr>
  </w:style>
  <w:style w:type="paragraph" w:customStyle="1" w:styleId="PartDivider">
    <w:name w:val="Part Divider"/>
    <w:basedOn w:val="BodyText"/>
    <w:next w:val="BodyText"/>
    <w:semiHidden/>
    <w:rsid w:val="00D15C5C"/>
    <w:pPr>
      <w:spacing w:before="0" w:line="40" w:lineRule="exact"/>
      <w:jc w:val="right"/>
    </w:pPr>
    <w:rPr>
      <w:smallCaps/>
      <w:sz w:val="16"/>
    </w:rPr>
  </w:style>
  <w:style w:type="paragraph" w:customStyle="1" w:styleId="PartNumber">
    <w:name w:val="Part Number"/>
    <w:basedOn w:val="BodyText"/>
    <w:next w:val="BodyText"/>
    <w:semiHidden/>
    <w:rsid w:val="00D15C5C"/>
    <w:pPr>
      <w:spacing w:before="4000" w:line="320" w:lineRule="exact"/>
      <w:ind w:left="6634"/>
      <w:jc w:val="right"/>
    </w:pPr>
    <w:rPr>
      <w:smallCaps/>
      <w:spacing w:val="60"/>
      <w:sz w:val="32"/>
    </w:rPr>
  </w:style>
  <w:style w:type="paragraph" w:customStyle="1" w:styleId="PartTitle">
    <w:name w:val="Part Title"/>
    <w:basedOn w:val="BodyText"/>
    <w:rsid w:val="00D15C5C"/>
    <w:pPr>
      <w:spacing w:before="160" w:after="1360" w:line="520" w:lineRule="exact"/>
      <w:ind w:right="2381"/>
      <w:jc w:val="right"/>
    </w:pPr>
    <w:rPr>
      <w:smallCaps/>
      <w:sz w:val="52"/>
    </w:rPr>
  </w:style>
  <w:style w:type="paragraph" w:styleId="Quote">
    <w:name w:val="Quote"/>
    <w:basedOn w:val="BodyText"/>
    <w:next w:val="BodyText"/>
    <w:qFormat/>
    <w:rsid w:val="00D15C5C"/>
    <w:pPr>
      <w:spacing w:before="120" w:line="280" w:lineRule="exact"/>
      <w:ind w:left="340"/>
    </w:pPr>
    <w:rPr>
      <w:sz w:val="22"/>
    </w:rPr>
  </w:style>
  <w:style w:type="paragraph" w:customStyle="1" w:styleId="QuoteBullet">
    <w:name w:val="Quote Bullet"/>
    <w:basedOn w:val="Quote"/>
    <w:rsid w:val="00D15C5C"/>
    <w:pPr>
      <w:numPr>
        <w:numId w:val="8"/>
      </w:numPr>
    </w:pPr>
  </w:style>
  <w:style w:type="paragraph" w:customStyle="1" w:styleId="Rec">
    <w:name w:val="Rec"/>
    <w:basedOn w:val="BodyText"/>
    <w:qFormat/>
    <w:rsid w:val="00D15C5C"/>
    <w:pPr>
      <w:keepLines/>
      <w:spacing w:before="120" w:line="280" w:lineRule="atLeast"/>
    </w:pPr>
    <w:rPr>
      <w:rFonts w:ascii="Arial" w:hAnsi="Arial"/>
      <w:sz w:val="22"/>
    </w:rPr>
  </w:style>
  <w:style w:type="paragraph" w:customStyle="1" w:styleId="RecBullet">
    <w:name w:val="Rec Bullet"/>
    <w:basedOn w:val="Rec"/>
    <w:rsid w:val="00D15C5C"/>
    <w:pPr>
      <w:numPr>
        <w:numId w:val="9"/>
      </w:numPr>
      <w:spacing w:before="80"/>
    </w:pPr>
  </w:style>
  <w:style w:type="paragraph" w:customStyle="1" w:styleId="RecB">
    <w:name w:val="RecB"/>
    <w:basedOn w:val="Normal"/>
    <w:rsid w:val="00D15C5C"/>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15C5C"/>
    <w:pPr>
      <w:numPr>
        <w:numId w:val="10"/>
      </w:numPr>
      <w:spacing w:before="80"/>
    </w:pPr>
  </w:style>
  <w:style w:type="paragraph" w:customStyle="1" w:styleId="RecBNoTitle">
    <w:name w:val="RecB NoTitle"/>
    <w:basedOn w:val="RecB"/>
    <w:rsid w:val="00D15C5C"/>
    <w:pPr>
      <w:spacing w:before="240"/>
    </w:pPr>
  </w:style>
  <w:style w:type="paragraph" w:customStyle="1" w:styleId="Reference">
    <w:name w:val="Reference"/>
    <w:basedOn w:val="BodyText"/>
    <w:rsid w:val="00D15C5C"/>
    <w:pPr>
      <w:spacing w:before="120"/>
      <w:ind w:left="340" w:hanging="340"/>
    </w:pPr>
  </w:style>
  <w:style w:type="paragraph" w:customStyle="1" w:styleId="SequenceInfo">
    <w:name w:val="Sequence Info"/>
    <w:basedOn w:val="BodyText"/>
    <w:semiHidden/>
    <w:rsid w:val="00D15C5C"/>
    <w:rPr>
      <w:vanish/>
      <w:sz w:val="16"/>
    </w:rPr>
  </w:style>
  <w:style w:type="paragraph" w:customStyle="1" w:styleId="SideNote">
    <w:name w:val="Side Note"/>
    <w:basedOn w:val="BodyText"/>
    <w:next w:val="BodyText"/>
    <w:semiHidden/>
    <w:rsid w:val="00D15C5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15C5C"/>
    <w:pPr>
      <w:framePr w:wrap="around"/>
      <w:numPr>
        <w:numId w:val="11"/>
      </w:numPr>
      <w:tabs>
        <w:tab w:val="left" w:pos="227"/>
      </w:tabs>
    </w:pPr>
  </w:style>
  <w:style w:type="paragraph" w:customStyle="1" w:styleId="SideNoteGraphic">
    <w:name w:val="Side Note Graphic"/>
    <w:basedOn w:val="SideNote"/>
    <w:next w:val="BodyText"/>
    <w:semiHidden/>
    <w:rsid w:val="00D15C5C"/>
    <w:pPr>
      <w:framePr w:wrap="around"/>
    </w:pPr>
  </w:style>
  <w:style w:type="paragraph" w:customStyle="1" w:styleId="TableBodyText">
    <w:name w:val="Table Body Text"/>
    <w:basedOn w:val="BodyText"/>
    <w:link w:val="TableBodyTextChar"/>
    <w:rsid w:val="00D15C5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D15C5C"/>
    <w:pPr>
      <w:numPr>
        <w:numId w:val="12"/>
      </w:numPr>
      <w:jc w:val="left"/>
    </w:pPr>
  </w:style>
  <w:style w:type="paragraph" w:customStyle="1" w:styleId="TableColumnHeading">
    <w:name w:val="Table Column Heading"/>
    <w:basedOn w:val="TableBodyText"/>
    <w:link w:val="TableColumnHeadingChar"/>
    <w:rsid w:val="00D15C5C"/>
    <w:pPr>
      <w:spacing w:before="80" w:after="80"/>
    </w:pPr>
    <w:rPr>
      <w:i/>
    </w:rPr>
  </w:style>
  <w:style w:type="paragraph" w:styleId="TOC2">
    <w:name w:val="toc 2"/>
    <w:basedOn w:val="TOC1"/>
    <w:uiPriority w:val="39"/>
    <w:rsid w:val="00D15C5C"/>
    <w:pPr>
      <w:ind w:left="1134" w:hanging="624"/>
    </w:pPr>
    <w:rPr>
      <w:b w:val="0"/>
    </w:rPr>
  </w:style>
  <w:style w:type="paragraph" w:styleId="TOC3">
    <w:name w:val="toc 3"/>
    <w:basedOn w:val="Normal"/>
    <w:next w:val="Normal"/>
    <w:autoRedefine/>
    <w:uiPriority w:val="39"/>
    <w:unhideWhenUsed/>
    <w:rsid w:val="002E7533"/>
    <w:pPr>
      <w:spacing w:after="100"/>
      <w:ind w:left="440"/>
    </w:pPr>
  </w:style>
  <w:style w:type="paragraph" w:styleId="TableofFigures">
    <w:name w:val="table of figures"/>
    <w:basedOn w:val="TOC3"/>
    <w:next w:val="BodyText"/>
    <w:semiHidden/>
    <w:rsid w:val="00D15C5C"/>
    <w:pPr>
      <w:ind w:left="737" w:hanging="737"/>
    </w:pPr>
  </w:style>
  <w:style w:type="paragraph" w:customStyle="1" w:styleId="TableTitle">
    <w:name w:val="Table Title"/>
    <w:basedOn w:val="Caption"/>
    <w:next w:val="Subtitle"/>
    <w:link w:val="TableTitleChar"/>
    <w:qFormat/>
    <w:rsid w:val="00D15C5C"/>
    <w:pPr>
      <w:spacing w:before="120"/>
    </w:pPr>
  </w:style>
  <w:style w:type="paragraph" w:customStyle="1" w:styleId="TableUnitsRow">
    <w:name w:val="Table Units Row"/>
    <w:basedOn w:val="TableBodyText"/>
    <w:rsid w:val="00D15C5C"/>
    <w:pPr>
      <w:spacing w:before="40"/>
    </w:pPr>
  </w:style>
  <w:style w:type="paragraph" w:styleId="TOC1">
    <w:name w:val="toc 1"/>
    <w:basedOn w:val="Normal"/>
    <w:next w:val="TOC2"/>
    <w:link w:val="TOC1Char"/>
    <w:uiPriority w:val="39"/>
    <w:rsid w:val="00D15C5C"/>
    <w:pPr>
      <w:tabs>
        <w:tab w:val="right" w:pos="8789"/>
      </w:tabs>
      <w:spacing w:before="120" w:line="320" w:lineRule="exact"/>
      <w:ind w:left="510" w:right="851" w:hanging="510"/>
    </w:pPr>
    <w:rPr>
      <w:rFonts w:ascii="Arial" w:hAnsi="Arial"/>
      <w:b/>
      <w:sz w:val="26"/>
      <w:szCs w:val="26"/>
    </w:rPr>
  </w:style>
  <w:style w:type="paragraph" w:styleId="TOC4">
    <w:name w:val="toc 4"/>
    <w:basedOn w:val="TOC3"/>
    <w:uiPriority w:val="39"/>
    <w:rsid w:val="00D15C5C"/>
    <w:pPr>
      <w:ind w:left="1191"/>
    </w:pPr>
  </w:style>
  <w:style w:type="character" w:styleId="Hyperlink">
    <w:name w:val="Hyperlink"/>
    <w:uiPriority w:val="99"/>
    <w:rsid w:val="006100DD"/>
    <w:rPr>
      <w:color w:val="0000FF"/>
      <w:u w:val="single"/>
    </w:rPr>
  </w:style>
  <w:style w:type="paragraph" w:styleId="BalloonText">
    <w:name w:val="Balloon Text"/>
    <w:basedOn w:val="Normal"/>
    <w:link w:val="BalloonTextChar"/>
    <w:rsid w:val="00D15C5C"/>
    <w:rPr>
      <w:rFonts w:ascii="Tahoma" w:hAnsi="Tahoma" w:cs="Tahoma"/>
      <w:sz w:val="16"/>
      <w:szCs w:val="16"/>
    </w:rPr>
  </w:style>
  <w:style w:type="table" w:styleId="TableGrid">
    <w:name w:val="Table Grid"/>
    <w:basedOn w:val="TableNormal"/>
    <w:rsid w:val="00D1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new legislation style Char1,Body Text Char1 Char Char1,Body Text Char Char Char Char1,Body Text Char1 Char Char Char Char1,Body Text Char Char Char Char Char1 Char1,Body Text Char2 Char1 Char Char Char Char Char Char1"/>
    <w:basedOn w:val="DefaultParagraphFont"/>
    <w:link w:val="BodyText"/>
    <w:rsid w:val="00617D07"/>
    <w:rPr>
      <w:sz w:val="24"/>
    </w:rPr>
  </w:style>
  <w:style w:type="character" w:customStyle="1" w:styleId="BoxContinuedChar">
    <w:name w:val="Box Continued Char"/>
    <w:link w:val="BoxContinued"/>
    <w:semiHidden/>
    <w:rsid w:val="00910676"/>
    <w:rPr>
      <w:rFonts w:ascii="Arial" w:hAnsi="Arial"/>
      <w:sz w:val="18"/>
    </w:rPr>
  </w:style>
  <w:style w:type="character" w:customStyle="1" w:styleId="ContinuedChar">
    <w:name w:val="Continued Char"/>
    <w:basedOn w:val="BoxContinuedChar"/>
    <w:link w:val="Continued"/>
    <w:rsid w:val="00910676"/>
    <w:rPr>
      <w:rFonts w:ascii="Arial" w:hAnsi="Arial"/>
      <w:sz w:val="18"/>
    </w:rPr>
  </w:style>
  <w:style w:type="character" w:customStyle="1" w:styleId="NoteChar">
    <w:name w:val="Note Char"/>
    <w:link w:val="Note"/>
    <w:rsid w:val="00F00DEF"/>
    <w:rPr>
      <w:rFonts w:ascii="Arial" w:hAnsi="Arial"/>
      <w:sz w:val="18"/>
    </w:rPr>
  </w:style>
  <w:style w:type="character" w:customStyle="1" w:styleId="TableBodyTextChar">
    <w:name w:val="Table Body Text Char"/>
    <w:link w:val="TableBodyText"/>
    <w:rsid w:val="0027625B"/>
    <w:rPr>
      <w:rFonts w:ascii="Arial" w:hAnsi="Arial"/>
      <w:sz w:val="18"/>
    </w:rPr>
  </w:style>
  <w:style w:type="character" w:customStyle="1" w:styleId="TableColumnHeadingChar">
    <w:name w:val="Table Column Heading Char"/>
    <w:link w:val="TableColumnHeading"/>
    <w:rsid w:val="0027625B"/>
    <w:rPr>
      <w:rFonts w:ascii="Arial" w:hAnsi="Arial"/>
      <w:i/>
      <w:sz w:val="18"/>
    </w:rPr>
  </w:style>
  <w:style w:type="paragraph" w:styleId="CommentSubject">
    <w:name w:val="annotation subject"/>
    <w:basedOn w:val="CommentText"/>
    <w:next w:val="CommentText"/>
    <w:semiHidden/>
    <w:rsid w:val="004F2AD4"/>
    <w:pPr>
      <w:spacing w:before="0" w:line="240" w:lineRule="auto"/>
      <w:ind w:left="0" w:firstLine="0"/>
    </w:pPr>
    <w:rPr>
      <w:b/>
      <w:bCs/>
      <w:szCs w:val="20"/>
    </w:rPr>
  </w:style>
  <w:style w:type="character" w:customStyle="1" w:styleId="ListBulletChar">
    <w:name w:val="List Bullet Char"/>
    <w:aliases w:val="List Bullet Char1 Char,List Bullet Char Char Char,List Bullet Char1 Char Char Char"/>
    <w:link w:val="ListBullet"/>
    <w:rsid w:val="00F71D8F"/>
    <w:rPr>
      <w:sz w:val="24"/>
    </w:rPr>
  </w:style>
  <w:style w:type="character" w:customStyle="1" w:styleId="newlegislationstyleChar">
    <w:name w:val="new legislation style Char"/>
    <w:aliases w:val="Body Text Char1 Char Char,Body Text Char Char Char Char,Body Text Char1 Char Char Char Char,Body Text Char Char Char Char Char1 Char,Body Text Char2 Char1 Char Char Char Char Char Char,Body Text Char2 Char Char"/>
    <w:rsid w:val="00801C91"/>
    <w:rPr>
      <w:sz w:val="26"/>
      <w:lang w:val="en-AU" w:eastAsia="en-AU" w:bidi="ar-SA"/>
    </w:rPr>
  </w:style>
  <w:style w:type="character" w:customStyle="1" w:styleId="SubtitleChar">
    <w:name w:val="Subtitle Char"/>
    <w:basedOn w:val="DefaultParagraphFont"/>
    <w:link w:val="Subtitle"/>
    <w:rsid w:val="00D15C5C"/>
    <w:rPr>
      <w:rFonts w:ascii="Arial" w:hAnsi="Arial"/>
      <w:szCs w:val="24"/>
    </w:rPr>
  </w:style>
  <w:style w:type="paragraph" w:customStyle="1" w:styleId="RecBBullet2">
    <w:name w:val="RecB Bullet 2"/>
    <w:basedOn w:val="ListBullet2"/>
    <w:semiHidden/>
    <w:rsid w:val="00D15C5C"/>
    <w:pPr>
      <w:pBdr>
        <w:left w:val="single" w:sz="24" w:space="29" w:color="C0C0C0"/>
      </w:pBdr>
    </w:pPr>
    <w:rPr>
      <w:b/>
      <w:i/>
    </w:rPr>
  </w:style>
  <w:style w:type="character" w:customStyle="1" w:styleId="BalloonTextChar">
    <w:name w:val="Balloon Text Char"/>
    <w:basedOn w:val="DefaultParagraphFont"/>
    <w:link w:val="BalloonText"/>
    <w:rsid w:val="00D15C5C"/>
    <w:rPr>
      <w:rFonts w:ascii="Tahoma" w:hAnsi="Tahoma" w:cs="Tahoma"/>
      <w:sz w:val="16"/>
      <w:szCs w:val="16"/>
    </w:rPr>
  </w:style>
  <w:style w:type="paragraph" w:customStyle="1" w:styleId="BoxListBullet3">
    <w:name w:val="Box List Bullet 3"/>
    <w:basedOn w:val="ListBullet3"/>
    <w:rsid w:val="00D15C5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15C5C"/>
    <w:rPr>
      <w:i/>
      <w:iCs/>
    </w:rPr>
  </w:style>
  <w:style w:type="paragraph" w:customStyle="1" w:styleId="BoxQuoteBullet">
    <w:name w:val="Box Quote Bullet"/>
    <w:basedOn w:val="BoxQuote"/>
    <w:next w:val="Box"/>
    <w:rsid w:val="00D15C5C"/>
    <w:pPr>
      <w:numPr>
        <w:numId w:val="15"/>
      </w:numPr>
      <w:ind w:left="568" w:hanging="284"/>
    </w:pPr>
  </w:style>
  <w:style w:type="paragraph" w:customStyle="1" w:styleId="InformationRequestBullet">
    <w:name w:val="Information Request Bullet"/>
    <w:basedOn w:val="ListBullet"/>
    <w:next w:val="BodyText"/>
    <w:rsid w:val="00D15C5C"/>
    <w:pPr>
      <w:numPr>
        <w:numId w:val="16"/>
      </w:numPr>
      <w:spacing w:before="80" w:line="280" w:lineRule="atLeast"/>
      <w:ind w:left="357" w:hanging="357"/>
    </w:pPr>
    <w:rPr>
      <w:rFonts w:ascii="Arial" w:hAnsi="Arial"/>
      <w:i/>
      <w:sz w:val="22"/>
    </w:rPr>
  </w:style>
  <w:style w:type="paragraph" w:styleId="EndnoteText">
    <w:name w:val="endnote text"/>
    <w:basedOn w:val="Normal"/>
    <w:link w:val="EndnoteTextChar"/>
    <w:rsid w:val="004C7183"/>
    <w:rPr>
      <w:sz w:val="20"/>
      <w:szCs w:val="20"/>
    </w:rPr>
  </w:style>
  <w:style w:type="character" w:customStyle="1" w:styleId="EndnoteTextChar">
    <w:name w:val="Endnote Text Char"/>
    <w:basedOn w:val="DefaultParagraphFont"/>
    <w:link w:val="EndnoteText"/>
    <w:rsid w:val="004C7183"/>
  </w:style>
  <w:style w:type="character" w:styleId="EndnoteReference">
    <w:name w:val="endnote reference"/>
    <w:basedOn w:val="DefaultParagraphFont"/>
    <w:rsid w:val="004C7183"/>
    <w:rPr>
      <w:vertAlign w:val="superscript"/>
    </w:rPr>
  </w:style>
  <w:style w:type="character" w:customStyle="1" w:styleId="CommentTextChar">
    <w:name w:val="Comment Text Char"/>
    <w:basedOn w:val="DefaultParagraphFont"/>
    <w:link w:val="CommentText"/>
    <w:semiHidden/>
    <w:rsid w:val="008C2A33"/>
    <w:rPr>
      <w:szCs w:val="24"/>
    </w:rPr>
  </w:style>
  <w:style w:type="paragraph" w:customStyle="1" w:styleId="BoxSpaceAbove">
    <w:name w:val="Box Space Above"/>
    <w:basedOn w:val="BodyText"/>
    <w:rsid w:val="00D15C5C"/>
    <w:pPr>
      <w:keepNext/>
      <w:spacing w:before="360" w:line="80" w:lineRule="exact"/>
      <w:jc w:val="left"/>
    </w:pPr>
  </w:style>
  <w:style w:type="paragraph" w:customStyle="1" w:styleId="BoxSpaceBelow">
    <w:name w:val="Box Space Below"/>
    <w:basedOn w:val="Box"/>
    <w:rsid w:val="00D15C5C"/>
    <w:pPr>
      <w:keepNext w:val="0"/>
      <w:spacing w:before="60" w:after="60" w:line="80" w:lineRule="exact"/>
    </w:pPr>
    <w:rPr>
      <w:sz w:val="14"/>
    </w:rPr>
  </w:style>
  <w:style w:type="paragraph" w:customStyle="1" w:styleId="DHSBulletText">
    <w:name w:val="DHS Bullet Text"/>
    <w:basedOn w:val="Normal"/>
    <w:rsid w:val="00B77B55"/>
    <w:pPr>
      <w:numPr>
        <w:numId w:val="18"/>
      </w:numPr>
    </w:pPr>
  </w:style>
  <w:style w:type="character" w:customStyle="1" w:styleId="s2">
    <w:name w:val="s2"/>
    <w:basedOn w:val="DefaultParagraphFont"/>
    <w:rsid w:val="008875A6"/>
  </w:style>
  <w:style w:type="paragraph" w:customStyle="1" w:styleId="KeyPointsListBullet">
    <w:name w:val="Key Points List Bullet"/>
    <w:basedOn w:val="Normal"/>
    <w:qFormat/>
    <w:rsid w:val="00D15C5C"/>
    <w:pPr>
      <w:keepNext/>
      <w:numPr>
        <w:numId w:val="19"/>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D15C5C"/>
    <w:pPr>
      <w:numPr>
        <w:numId w:val="20"/>
      </w:numPr>
      <w:ind w:left="568" w:hanging="284"/>
    </w:pPr>
  </w:style>
  <w:style w:type="paragraph" w:customStyle="1" w:styleId="InformationRequestTitle">
    <w:name w:val="Information Request Title"/>
    <w:basedOn w:val="FindingTitle"/>
    <w:next w:val="InformationRequest"/>
    <w:rsid w:val="00D15C5C"/>
    <w:rPr>
      <w:i/>
    </w:rPr>
  </w:style>
  <w:style w:type="paragraph" w:customStyle="1" w:styleId="Space">
    <w:name w:val="Space"/>
    <w:basedOn w:val="Normal"/>
    <w:rsid w:val="00D15C5C"/>
    <w:pPr>
      <w:keepNext/>
      <w:spacing w:line="120" w:lineRule="exact"/>
      <w:jc w:val="both"/>
    </w:pPr>
    <w:rPr>
      <w:rFonts w:ascii="Arial" w:hAnsi="Arial"/>
      <w:sz w:val="20"/>
      <w:szCs w:val="20"/>
    </w:rPr>
  </w:style>
  <w:style w:type="paragraph" w:customStyle="1" w:styleId="Heading1nochapterno">
    <w:name w:val="Heading 1 (no chapter no.)"/>
    <w:basedOn w:val="Heading1"/>
    <w:rsid w:val="00D15C5C"/>
    <w:pPr>
      <w:spacing w:before="0"/>
      <w:ind w:left="0" w:firstLine="0"/>
    </w:pPr>
  </w:style>
  <w:style w:type="paragraph" w:customStyle="1" w:styleId="Heading2nosectionno">
    <w:name w:val="Heading 2 (no section no.)"/>
    <w:basedOn w:val="Heading2"/>
    <w:rsid w:val="00D15C5C"/>
    <w:pPr>
      <w:ind w:left="0" w:firstLine="0"/>
    </w:pPr>
  </w:style>
  <w:style w:type="character" w:customStyle="1" w:styleId="Heading5Char">
    <w:name w:val="Heading 5 Char"/>
    <w:basedOn w:val="DefaultParagraphFont"/>
    <w:link w:val="Heading5"/>
    <w:uiPriority w:val="9"/>
    <w:rsid w:val="002E7533"/>
    <w:rPr>
      <w:rFonts w:asciiTheme="majorHAnsi" w:eastAsiaTheme="majorEastAsia" w:hAnsiTheme="majorHAnsi" w:cstheme="majorBidi"/>
      <w:color w:val="597923" w:themeColor="accent1" w:themeShade="BF"/>
      <w:sz w:val="22"/>
      <w:szCs w:val="22"/>
      <w:lang w:eastAsia="en-US"/>
    </w:rPr>
  </w:style>
  <w:style w:type="paragraph" w:customStyle="1" w:styleId="Figurespace">
    <w:name w:val="Figure space"/>
    <w:basedOn w:val="Box"/>
    <w:rsid w:val="00D15C5C"/>
    <w:pPr>
      <w:spacing w:before="0" w:line="120" w:lineRule="exact"/>
    </w:pPr>
  </w:style>
  <w:style w:type="paragraph" w:customStyle="1" w:styleId="FooterDraftReport">
    <w:name w:val="FooterDraftReport"/>
    <w:basedOn w:val="Footer"/>
    <w:link w:val="FooterDraftReportChar"/>
    <w:rsid w:val="00D15C5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D15C5C"/>
    <w:rPr>
      <w:rFonts w:ascii="Arial" w:hAnsi="Arial"/>
      <w:caps/>
      <w:spacing w:val="-4"/>
      <w:sz w:val="16"/>
    </w:rPr>
  </w:style>
  <w:style w:type="character" w:customStyle="1" w:styleId="FooterDraftReportChar">
    <w:name w:val="FooterDraftReport Char"/>
    <w:basedOn w:val="FooterChar"/>
    <w:link w:val="FooterDraftReport"/>
    <w:rsid w:val="00D15C5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15C5C"/>
    <w:rPr>
      <w:rFonts w:ascii="Arial" w:hAnsi="Arial"/>
      <w:b/>
      <w:sz w:val="26"/>
      <w:szCs w:val="26"/>
      <w:lang w:eastAsia="en-US"/>
    </w:rPr>
  </w:style>
  <w:style w:type="character" w:customStyle="1" w:styleId="Heading1Char">
    <w:name w:val="Heading 1 Char"/>
    <w:basedOn w:val="DefaultParagraphFont"/>
    <w:link w:val="Heading1"/>
    <w:rsid w:val="00EB3500"/>
    <w:rPr>
      <w:sz w:val="52"/>
    </w:rPr>
  </w:style>
  <w:style w:type="paragraph" w:customStyle="1" w:styleId="Heading1NotTOC">
    <w:name w:val="Heading 1 Not TOC"/>
    <w:basedOn w:val="Heading1"/>
    <w:next w:val="BodyText"/>
    <w:rsid w:val="00EB3500"/>
    <w:rPr>
      <w:kern w:val="28"/>
      <w:szCs w:val="26"/>
      <w:lang w:eastAsia="en-US"/>
    </w:rPr>
  </w:style>
  <w:style w:type="paragraph" w:styleId="ListParagraph">
    <w:name w:val="List Paragraph"/>
    <w:basedOn w:val="Normal"/>
    <w:uiPriority w:val="34"/>
    <w:qFormat/>
    <w:rsid w:val="006B01C5"/>
    <w:pPr>
      <w:ind w:left="720"/>
      <w:contextualSpacing/>
    </w:pPr>
  </w:style>
  <w:style w:type="character" w:customStyle="1" w:styleId="TableBulletChar">
    <w:name w:val="Table Bullet Char"/>
    <w:basedOn w:val="TableBodyTextChar"/>
    <w:link w:val="TableBullet"/>
    <w:rsid w:val="00F15B1D"/>
    <w:rPr>
      <w:rFonts w:ascii="Arial" w:hAnsi="Arial"/>
      <w:sz w:val="18"/>
    </w:rPr>
  </w:style>
  <w:style w:type="character" w:customStyle="1" w:styleId="BoxListBulletChar">
    <w:name w:val="Box List Bullet Char"/>
    <w:basedOn w:val="DefaultParagraphFont"/>
    <w:link w:val="BoxListBullet"/>
    <w:rsid w:val="007D22DB"/>
    <w:rPr>
      <w:rFonts w:ascii="Arial" w:hAnsi="Arial"/>
    </w:rPr>
  </w:style>
  <w:style w:type="paragraph" w:styleId="Revision">
    <w:name w:val="Revision"/>
    <w:hidden/>
    <w:uiPriority w:val="99"/>
    <w:semiHidden/>
    <w:rsid w:val="007F3A9C"/>
    <w:rPr>
      <w:sz w:val="24"/>
      <w:szCs w:val="24"/>
    </w:rPr>
  </w:style>
  <w:style w:type="character" w:customStyle="1" w:styleId="TableTitleChar">
    <w:name w:val="Table Title Char"/>
    <w:link w:val="TableTitle"/>
    <w:locked/>
    <w:rsid w:val="00BD4E8F"/>
    <w:rPr>
      <w:rFonts w:ascii="Arial" w:hAnsi="Arial"/>
      <w:b/>
      <w:sz w:val="24"/>
      <w:szCs w:val="24"/>
    </w:rPr>
  </w:style>
  <w:style w:type="character" w:customStyle="1" w:styleId="SourceChar">
    <w:name w:val="Source Char"/>
    <w:link w:val="Source"/>
    <w:rsid w:val="00BD4E8F"/>
    <w:rPr>
      <w:rFonts w:ascii="Arial" w:hAnsi="Arial"/>
      <w:sz w:val="18"/>
    </w:rPr>
  </w:style>
  <w:style w:type="character" w:customStyle="1" w:styleId="BoxChar">
    <w:name w:val="Box Char"/>
    <w:link w:val="Box"/>
    <w:rsid w:val="00BD4E8F"/>
    <w:rPr>
      <w:rFonts w:ascii="Arial" w:hAnsi="Arial"/>
    </w:rPr>
  </w:style>
  <w:style w:type="character" w:customStyle="1" w:styleId="Heading3Char">
    <w:name w:val="Heading 3 Char"/>
    <w:basedOn w:val="DefaultParagraphFont"/>
    <w:link w:val="Heading3"/>
    <w:rsid w:val="0065490B"/>
    <w:rPr>
      <w:rFonts w:ascii="Arial" w:hAnsi="Arial"/>
      <w:b/>
      <w:sz w:val="26"/>
    </w:rPr>
  </w:style>
  <w:style w:type="character" w:customStyle="1" w:styleId="Continuedintitle">
    <w:name w:val="Continued (in title)"/>
    <w:basedOn w:val="DefaultParagraphFont"/>
    <w:rsid w:val="00D15C5C"/>
    <w:rPr>
      <w:rFonts w:ascii="Arial" w:hAnsi="Arial"/>
      <w:b/>
      <w:sz w:val="18"/>
    </w:rPr>
  </w:style>
  <w:style w:type="character" w:styleId="FollowedHyperlink">
    <w:name w:val="FollowedHyperlink"/>
    <w:basedOn w:val="DefaultParagraphFont"/>
    <w:semiHidden/>
    <w:unhideWhenUsed/>
    <w:rsid w:val="008F19EE"/>
    <w:rPr>
      <w:color w:val="387DD2" w:themeColor="followedHyperlink"/>
      <w:u w:val="single"/>
    </w:rPr>
  </w:style>
  <w:style w:type="paragraph" w:customStyle="1" w:styleId="DQIContentsTitle">
    <w:name w:val="DQI Contents Title"/>
    <w:basedOn w:val="Heading5"/>
    <w:next w:val="TOC3"/>
    <w:rsid w:val="002E7533"/>
    <w:pPr>
      <w:keepLines w:val="0"/>
      <w:spacing w:before="480" w:line="320" w:lineRule="exact"/>
    </w:pPr>
    <w:rPr>
      <w:rFonts w:ascii="Arial" w:eastAsia="Times New Roman" w:hAnsi="Arial" w:cs="Times New Roman"/>
      <w:b/>
      <w:color w:val="auto"/>
      <w:sz w:val="24"/>
      <w:szCs w:val="24"/>
      <w:lang w:eastAsia="en-AU"/>
    </w:rPr>
  </w:style>
  <w:style w:type="paragraph" w:customStyle="1" w:styleId="DQIMainRowHeadings">
    <w:name w:val="DQI Main Row Headings"/>
    <w:basedOn w:val="Normal"/>
    <w:next w:val="Normal"/>
    <w:rsid w:val="002E7533"/>
    <w:pPr>
      <w:keepNext/>
      <w:keepLines/>
      <w:spacing w:before="120" w:after="0" w:line="200" w:lineRule="atLeast"/>
      <w:ind w:left="6" w:right="113"/>
    </w:pPr>
    <w:rPr>
      <w:rFonts w:ascii="Arial" w:eastAsia="Times New Roman" w:hAnsi="Arial" w:cs="Times New Roman"/>
      <w:b/>
      <w:sz w:val="18"/>
      <w:szCs w:val="20"/>
      <w:u w:val="single"/>
      <w:lang w:eastAsia="en-AU"/>
    </w:rPr>
  </w:style>
  <w:style w:type="paragraph" w:customStyle="1" w:styleId="DQIRowHeadings">
    <w:name w:val="DQI Row Headings"/>
    <w:basedOn w:val="Normal"/>
    <w:rsid w:val="002E7533"/>
    <w:pPr>
      <w:keepNext/>
      <w:keepLines/>
      <w:spacing w:before="120" w:after="0" w:line="200" w:lineRule="atLeast"/>
      <w:ind w:left="6" w:right="113"/>
    </w:pPr>
    <w:rPr>
      <w:rFonts w:ascii="Arial" w:eastAsia="Times New Roman" w:hAnsi="Arial" w:cs="Times New Roman"/>
      <w:b/>
      <w:sz w:val="18"/>
      <w:szCs w:val="20"/>
      <w:lang w:eastAsia="en-AU"/>
    </w:rPr>
  </w:style>
  <w:style w:type="paragraph" w:customStyle="1" w:styleId="DQITableBullet">
    <w:name w:val="DQI Table Bullet"/>
    <w:basedOn w:val="Normal"/>
    <w:rsid w:val="002E7533"/>
    <w:pPr>
      <w:keepNext/>
      <w:keepLines/>
      <w:numPr>
        <w:numId w:val="23"/>
      </w:numPr>
      <w:spacing w:before="40" w:after="0" w:line="200" w:lineRule="atLeast"/>
      <w:ind w:right="113"/>
      <w:jc w:val="both"/>
    </w:pPr>
    <w:rPr>
      <w:rFonts w:ascii="Arial" w:eastAsia="Times New Roman" w:hAnsi="Arial" w:cs="Times New Roman"/>
      <w:sz w:val="18"/>
      <w:szCs w:val="20"/>
      <w:lang w:eastAsia="en-AU"/>
    </w:rPr>
  </w:style>
  <w:style w:type="paragraph" w:customStyle="1" w:styleId="DQITableBullet2">
    <w:name w:val="DQI Table Bullet 2"/>
    <w:basedOn w:val="DQITableBullet"/>
    <w:rsid w:val="002E7533"/>
    <w:pPr>
      <w:numPr>
        <w:numId w:val="24"/>
      </w:numPr>
    </w:pPr>
  </w:style>
  <w:style w:type="paragraph" w:customStyle="1" w:styleId="DQITableText">
    <w:name w:val="DQI Table Text"/>
    <w:basedOn w:val="Normal"/>
    <w:rsid w:val="002E7533"/>
    <w:pPr>
      <w:keepNext/>
      <w:keepLines/>
      <w:spacing w:before="120" w:after="0" w:line="200" w:lineRule="atLeast"/>
      <w:jc w:val="both"/>
    </w:pPr>
    <w:rPr>
      <w:rFonts w:ascii="Arial" w:eastAsia="Times New Roman" w:hAnsi="Arial" w:cs="Times New Roman"/>
      <w:sz w:val="18"/>
      <w:szCs w:val="20"/>
      <w:lang w:eastAsia="en-AU"/>
    </w:rPr>
  </w:style>
  <w:style w:type="paragraph" w:styleId="TOCHeading">
    <w:name w:val="TOC Heading"/>
    <w:basedOn w:val="Heading1"/>
    <w:next w:val="Normal"/>
    <w:uiPriority w:val="39"/>
    <w:unhideWhenUsed/>
    <w:qFormat/>
    <w:rsid w:val="00AF2E23"/>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701">
      <w:bodyDiv w:val="1"/>
      <w:marLeft w:val="0"/>
      <w:marRight w:val="0"/>
      <w:marTop w:val="0"/>
      <w:marBottom w:val="0"/>
      <w:divBdr>
        <w:top w:val="none" w:sz="0" w:space="0" w:color="auto"/>
        <w:left w:val="none" w:sz="0" w:space="0" w:color="auto"/>
        <w:bottom w:val="none" w:sz="0" w:space="0" w:color="auto"/>
        <w:right w:val="none" w:sz="0" w:space="0" w:color="auto"/>
      </w:divBdr>
    </w:div>
    <w:div w:id="107509071">
      <w:bodyDiv w:val="1"/>
      <w:marLeft w:val="0"/>
      <w:marRight w:val="0"/>
      <w:marTop w:val="0"/>
      <w:marBottom w:val="0"/>
      <w:divBdr>
        <w:top w:val="none" w:sz="0" w:space="0" w:color="auto"/>
        <w:left w:val="none" w:sz="0" w:space="0" w:color="auto"/>
        <w:bottom w:val="none" w:sz="0" w:space="0" w:color="auto"/>
        <w:right w:val="none" w:sz="0" w:space="0" w:color="auto"/>
      </w:divBdr>
    </w:div>
    <w:div w:id="110444542">
      <w:bodyDiv w:val="1"/>
      <w:marLeft w:val="0"/>
      <w:marRight w:val="0"/>
      <w:marTop w:val="0"/>
      <w:marBottom w:val="0"/>
      <w:divBdr>
        <w:top w:val="none" w:sz="0" w:space="0" w:color="auto"/>
        <w:left w:val="none" w:sz="0" w:space="0" w:color="auto"/>
        <w:bottom w:val="none" w:sz="0" w:space="0" w:color="auto"/>
        <w:right w:val="none" w:sz="0" w:space="0" w:color="auto"/>
      </w:divBdr>
    </w:div>
    <w:div w:id="475294566">
      <w:bodyDiv w:val="1"/>
      <w:marLeft w:val="0"/>
      <w:marRight w:val="0"/>
      <w:marTop w:val="0"/>
      <w:marBottom w:val="0"/>
      <w:divBdr>
        <w:top w:val="none" w:sz="0" w:space="0" w:color="auto"/>
        <w:left w:val="none" w:sz="0" w:space="0" w:color="auto"/>
        <w:bottom w:val="none" w:sz="0" w:space="0" w:color="auto"/>
        <w:right w:val="none" w:sz="0" w:space="0" w:color="auto"/>
      </w:divBdr>
    </w:div>
    <w:div w:id="652179379">
      <w:bodyDiv w:val="1"/>
      <w:marLeft w:val="0"/>
      <w:marRight w:val="0"/>
      <w:marTop w:val="0"/>
      <w:marBottom w:val="0"/>
      <w:divBdr>
        <w:top w:val="none" w:sz="0" w:space="0" w:color="auto"/>
        <w:left w:val="none" w:sz="0" w:space="0" w:color="auto"/>
        <w:bottom w:val="none" w:sz="0" w:space="0" w:color="auto"/>
        <w:right w:val="none" w:sz="0" w:space="0" w:color="auto"/>
      </w:divBdr>
    </w:div>
    <w:div w:id="670913753">
      <w:bodyDiv w:val="1"/>
      <w:marLeft w:val="0"/>
      <w:marRight w:val="0"/>
      <w:marTop w:val="0"/>
      <w:marBottom w:val="0"/>
      <w:divBdr>
        <w:top w:val="none" w:sz="0" w:space="0" w:color="auto"/>
        <w:left w:val="none" w:sz="0" w:space="0" w:color="auto"/>
        <w:bottom w:val="none" w:sz="0" w:space="0" w:color="auto"/>
        <w:right w:val="none" w:sz="0" w:space="0" w:color="auto"/>
      </w:divBdr>
    </w:div>
    <w:div w:id="795561868">
      <w:bodyDiv w:val="1"/>
      <w:marLeft w:val="0"/>
      <w:marRight w:val="0"/>
      <w:marTop w:val="0"/>
      <w:marBottom w:val="0"/>
      <w:divBdr>
        <w:top w:val="none" w:sz="0" w:space="0" w:color="auto"/>
        <w:left w:val="none" w:sz="0" w:space="0" w:color="auto"/>
        <w:bottom w:val="none" w:sz="0" w:space="0" w:color="auto"/>
        <w:right w:val="none" w:sz="0" w:space="0" w:color="auto"/>
      </w:divBdr>
    </w:div>
    <w:div w:id="843398504">
      <w:bodyDiv w:val="1"/>
      <w:marLeft w:val="0"/>
      <w:marRight w:val="0"/>
      <w:marTop w:val="0"/>
      <w:marBottom w:val="0"/>
      <w:divBdr>
        <w:top w:val="none" w:sz="0" w:space="0" w:color="auto"/>
        <w:left w:val="none" w:sz="0" w:space="0" w:color="auto"/>
        <w:bottom w:val="none" w:sz="0" w:space="0" w:color="auto"/>
        <w:right w:val="none" w:sz="0" w:space="0" w:color="auto"/>
      </w:divBdr>
    </w:div>
    <w:div w:id="855728601">
      <w:bodyDiv w:val="1"/>
      <w:marLeft w:val="0"/>
      <w:marRight w:val="0"/>
      <w:marTop w:val="0"/>
      <w:marBottom w:val="0"/>
      <w:divBdr>
        <w:top w:val="none" w:sz="0" w:space="0" w:color="auto"/>
        <w:left w:val="none" w:sz="0" w:space="0" w:color="auto"/>
        <w:bottom w:val="none" w:sz="0" w:space="0" w:color="auto"/>
        <w:right w:val="none" w:sz="0" w:space="0" w:color="auto"/>
      </w:divBdr>
    </w:div>
    <w:div w:id="862595191">
      <w:bodyDiv w:val="1"/>
      <w:marLeft w:val="0"/>
      <w:marRight w:val="0"/>
      <w:marTop w:val="0"/>
      <w:marBottom w:val="0"/>
      <w:divBdr>
        <w:top w:val="none" w:sz="0" w:space="0" w:color="auto"/>
        <w:left w:val="none" w:sz="0" w:space="0" w:color="auto"/>
        <w:bottom w:val="none" w:sz="0" w:space="0" w:color="auto"/>
        <w:right w:val="none" w:sz="0" w:space="0" w:color="auto"/>
      </w:divBdr>
    </w:div>
    <w:div w:id="867794051">
      <w:bodyDiv w:val="1"/>
      <w:marLeft w:val="0"/>
      <w:marRight w:val="0"/>
      <w:marTop w:val="0"/>
      <w:marBottom w:val="0"/>
      <w:divBdr>
        <w:top w:val="none" w:sz="0" w:space="0" w:color="auto"/>
        <w:left w:val="none" w:sz="0" w:space="0" w:color="auto"/>
        <w:bottom w:val="none" w:sz="0" w:space="0" w:color="auto"/>
        <w:right w:val="none" w:sz="0" w:space="0" w:color="auto"/>
      </w:divBdr>
    </w:div>
    <w:div w:id="1037661686">
      <w:bodyDiv w:val="1"/>
      <w:marLeft w:val="0"/>
      <w:marRight w:val="0"/>
      <w:marTop w:val="0"/>
      <w:marBottom w:val="0"/>
      <w:divBdr>
        <w:top w:val="none" w:sz="0" w:space="0" w:color="auto"/>
        <w:left w:val="none" w:sz="0" w:space="0" w:color="auto"/>
        <w:bottom w:val="none" w:sz="0" w:space="0" w:color="auto"/>
        <w:right w:val="none" w:sz="0" w:space="0" w:color="auto"/>
      </w:divBdr>
    </w:div>
    <w:div w:id="1065227128">
      <w:bodyDiv w:val="1"/>
      <w:marLeft w:val="0"/>
      <w:marRight w:val="0"/>
      <w:marTop w:val="0"/>
      <w:marBottom w:val="0"/>
      <w:divBdr>
        <w:top w:val="none" w:sz="0" w:space="0" w:color="auto"/>
        <w:left w:val="none" w:sz="0" w:space="0" w:color="auto"/>
        <w:bottom w:val="none" w:sz="0" w:space="0" w:color="auto"/>
        <w:right w:val="none" w:sz="0" w:space="0" w:color="auto"/>
      </w:divBdr>
    </w:div>
    <w:div w:id="1127433710">
      <w:bodyDiv w:val="1"/>
      <w:marLeft w:val="0"/>
      <w:marRight w:val="0"/>
      <w:marTop w:val="0"/>
      <w:marBottom w:val="0"/>
      <w:divBdr>
        <w:top w:val="none" w:sz="0" w:space="0" w:color="auto"/>
        <w:left w:val="none" w:sz="0" w:space="0" w:color="auto"/>
        <w:bottom w:val="none" w:sz="0" w:space="0" w:color="auto"/>
        <w:right w:val="none" w:sz="0" w:space="0" w:color="auto"/>
      </w:divBdr>
    </w:div>
    <w:div w:id="1130053491">
      <w:bodyDiv w:val="1"/>
      <w:marLeft w:val="0"/>
      <w:marRight w:val="0"/>
      <w:marTop w:val="0"/>
      <w:marBottom w:val="0"/>
      <w:divBdr>
        <w:top w:val="none" w:sz="0" w:space="0" w:color="auto"/>
        <w:left w:val="none" w:sz="0" w:space="0" w:color="auto"/>
        <w:bottom w:val="none" w:sz="0" w:space="0" w:color="auto"/>
        <w:right w:val="none" w:sz="0" w:space="0" w:color="auto"/>
      </w:divBdr>
    </w:div>
    <w:div w:id="1141582687">
      <w:bodyDiv w:val="1"/>
      <w:marLeft w:val="0"/>
      <w:marRight w:val="0"/>
      <w:marTop w:val="0"/>
      <w:marBottom w:val="0"/>
      <w:divBdr>
        <w:top w:val="none" w:sz="0" w:space="0" w:color="auto"/>
        <w:left w:val="none" w:sz="0" w:space="0" w:color="auto"/>
        <w:bottom w:val="none" w:sz="0" w:space="0" w:color="auto"/>
        <w:right w:val="none" w:sz="0" w:space="0" w:color="auto"/>
      </w:divBdr>
    </w:div>
    <w:div w:id="1226838188">
      <w:bodyDiv w:val="1"/>
      <w:marLeft w:val="0"/>
      <w:marRight w:val="0"/>
      <w:marTop w:val="0"/>
      <w:marBottom w:val="0"/>
      <w:divBdr>
        <w:top w:val="none" w:sz="0" w:space="0" w:color="auto"/>
        <w:left w:val="none" w:sz="0" w:space="0" w:color="auto"/>
        <w:bottom w:val="none" w:sz="0" w:space="0" w:color="auto"/>
        <w:right w:val="none" w:sz="0" w:space="0" w:color="auto"/>
      </w:divBdr>
    </w:div>
    <w:div w:id="1233196948">
      <w:bodyDiv w:val="1"/>
      <w:marLeft w:val="0"/>
      <w:marRight w:val="0"/>
      <w:marTop w:val="0"/>
      <w:marBottom w:val="0"/>
      <w:divBdr>
        <w:top w:val="none" w:sz="0" w:space="0" w:color="auto"/>
        <w:left w:val="none" w:sz="0" w:space="0" w:color="auto"/>
        <w:bottom w:val="none" w:sz="0" w:space="0" w:color="auto"/>
        <w:right w:val="none" w:sz="0" w:space="0" w:color="auto"/>
      </w:divBdr>
    </w:div>
    <w:div w:id="1236167482">
      <w:bodyDiv w:val="1"/>
      <w:marLeft w:val="0"/>
      <w:marRight w:val="0"/>
      <w:marTop w:val="0"/>
      <w:marBottom w:val="0"/>
      <w:divBdr>
        <w:top w:val="none" w:sz="0" w:space="0" w:color="auto"/>
        <w:left w:val="none" w:sz="0" w:space="0" w:color="auto"/>
        <w:bottom w:val="none" w:sz="0" w:space="0" w:color="auto"/>
        <w:right w:val="none" w:sz="0" w:space="0" w:color="auto"/>
      </w:divBdr>
      <w:divsChild>
        <w:div w:id="362170702">
          <w:marLeft w:val="0"/>
          <w:marRight w:val="0"/>
          <w:marTop w:val="0"/>
          <w:marBottom w:val="0"/>
          <w:divBdr>
            <w:top w:val="none" w:sz="0" w:space="0" w:color="auto"/>
            <w:left w:val="none" w:sz="0" w:space="0" w:color="auto"/>
            <w:bottom w:val="none" w:sz="0" w:space="0" w:color="auto"/>
            <w:right w:val="none" w:sz="0" w:space="0" w:color="auto"/>
          </w:divBdr>
          <w:divsChild>
            <w:div w:id="6533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3794">
      <w:bodyDiv w:val="1"/>
      <w:marLeft w:val="0"/>
      <w:marRight w:val="0"/>
      <w:marTop w:val="0"/>
      <w:marBottom w:val="0"/>
      <w:divBdr>
        <w:top w:val="none" w:sz="0" w:space="0" w:color="auto"/>
        <w:left w:val="none" w:sz="0" w:space="0" w:color="auto"/>
        <w:bottom w:val="none" w:sz="0" w:space="0" w:color="auto"/>
        <w:right w:val="none" w:sz="0" w:space="0" w:color="auto"/>
      </w:divBdr>
    </w:div>
    <w:div w:id="1376931840">
      <w:bodyDiv w:val="1"/>
      <w:marLeft w:val="0"/>
      <w:marRight w:val="0"/>
      <w:marTop w:val="0"/>
      <w:marBottom w:val="0"/>
      <w:divBdr>
        <w:top w:val="none" w:sz="0" w:space="0" w:color="auto"/>
        <w:left w:val="none" w:sz="0" w:space="0" w:color="auto"/>
        <w:bottom w:val="none" w:sz="0" w:space="0" w:color="auto"/>
        <w:right w:val="none" w:sz="0" w:space="0" w:color="auto"/>
      </w:divBdr>
    </w:div>
    <w:div w:id="1565680489">
      <w:bodyDiv w:val="1"/>
      <w:marLeft w:val="0"/>
      <w:marRight w:val="0"/>
      <w:marTop w:val="0"/>
      <w:marBottom w:val="0"/>
      <w:divBdr>
        <w:top w:val="none" w:sz="0" w:space="0" w:color="auto"/>
        <w:left w:val="none" w:sz="0" w:space="0" w:color="auto"/>
        <w:bottom w:val="none" w:sz="0" w:space="0" w:color="auto"/>
        <w:right w:val="none" w:sz="0" w:space="0" w:color="auto"/>
      </w:divBdr>
    </w:div>
    <w:div w:id="1603801193">
      <w:bodyDiv w:val="1"/>
      <w:marLeft w:val="0"/>
      <w:marRight w:val="0"/>
      <w:marTop w:val="0"/>
      <w:marBottom w:val="0"/>
      <w:divBdr>
        <w:top w:val="none" w:sz="0" w:space="0" w:color="auto"/>
        <w:left w:val="none" w:sz="0" w:space="0" w:color="auto"/>
        <w:bottom w:val="none" w:sz="0" w:space="0" w:color="auto"/>
        <w:right w:val="none" w:sz="0" w:space="0" w:color="auto"/>
      </w:divBdr>
    </w:div>
    <w:div w:id="1631670262">
      <w:bodyDiv w:val="1"/>
      <w:marLeft w:val="0"/>
      <w:marRight w:val="0"/>
      <w:marTop w:val="0"/>
      <w:marBottom w:val="0"/>
      <w:divBdr>
        <w:top w:val="none" w:sz="0" w:space="0" w:color="auto"/>
        <w:left w:val="none" w:sz="0" w:space="0" w:color="auto"/>
        <w:bottom w:val="none" w:sz="0" w:space="0" w:color="auto"/>
        <w:right w:val="none" w:sz="0" w:space="0" w:color="auto"/>
      </w:divBdr>
    </w:div>
    <w:div w:id="1787775822">
      <w:bodyDiv w:val="1"/>
      <w:marLeft w:val="0"/>
      <w:marRight w:val="0"/>
      <w:marTop w:val="0"/>
      <w:marBottom w:val="0"/>
      <w:divBdr>
        <w:top w:val="none" w:sz="0" w:space="0" w:color="auto"/>
        <w:left w:val="none" w:sz="0" w:space="0" w:color="auto"/>
        <w:bottom w:val="none" w:sz="0" w:space="0" w:color="auto"/>
        <w:right w:val="none" w:sz="0" w:space="0" w:color="auto"/>
      </w:divBdr>
    </w:div>
    <w:div w:id="1872377361">
      <w:bodyDiv w:val="1"/>
      <w:marLeft w:val="0"/>
      <w:marRight w:val="0"/>
      <w:marTop w:val="0"/>
      <w:marBottom w:val="0"/>
      <w:divBdr>
        <w:top w:val="none" w:sz="0" w:space="0" w:color="auto"/>
        <w:left w:val="none" w:sz="0" w:space="0" w:color="auto"/>
        <w:bottom w:val="none" w:sz="0" w:space="0" w:color="auto"/>
        <w:right w:val="none" w:sz="0" w:space="0" w:color="auto"/>
      </w:divBdr>
    </w:div>
    <w:div w:id="1885169696">
      <w:bodyDiv w:val="1"/>
      <w:marLeft w:val="0"/>
      <w:marRight w:val="0"/>
      <w:marTop w:val="0"/>
      <w:marBottom w:val="0"/>
      <w:divBdr>
        <w:top w:val="none" w:sz="0" w:space="0" w:color="auto"/>
        <w:left w:val="none" w:sz="0" w:space="0" w:color="auto"/>
        <w:bottom w:val="none" w:sz="0" w:space="0" w:color="auto"/>
        <w:right w:val="none" w:sz="0" w:space="0" w:color="auto"/>
      </w:divBdr>
    </w:div>
    <w:div w:id="1911192078">
      <w:bodyDiv w:val="1"/>
      <w:marLeft w:val="0"/>
      <w:marRight w:val="0"/>
      <w:marTop w:val="0"/>
      <w:marBottom w:val="0"/>
      <w:divBdr>
        <w:top w:val="none" w:sz="0" w:space="0" w:color="auto"/>
        <w:left w:val="none" w:sz="0" w:space="0" w:color="auto"/>
        <w:bottom w:val="none" w:sz="0" w:space="0" w:color="auto"/>
        <w:right w:val="none" w:sz="0" w:space="0" w:color="auto"/>
      </w:divBdr>
    </w:div>
    <w:div w:id="2040542203">
      <w:bodyDiv w:val="1"/>
      <w:marLeft w:val="0"/>
      <w:marRight w:val="0"/>
      <w:marTop w:val="0"/>
      <w:marBottom w:val="0"/>
      <w:divBdr>
        <w:top w:val="none" w:sz="0" w:space="0" w:color="auto"/>
        <w:left w:val="none" w:sz="0" w:space="0" w:color="auto"/>
        <w:bottom w:val="none" w:sz="0" w:space="0" w:color="auto"/>
        <w:right w:val="none" w:sz="0" w:space="0" w:color="auto"/>
      </w:divBdr>
    </w:div>
    <w:div w:id="20431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896A-1C0D-4DC2-B53E-819422B7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4717</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Chapter 18 Housing - Report on Government Services 2019</vt:lpstr>
    </vt:vector>
  </TitlesOfParts>
  <Company>Productivity Commission</Company>
  <LinksUpToDate>false</LinksUpToDate>
  <CharactersWithSpaces>33574</CharactersWithSpaces>
  <SharedDoc>false</SharedDoc>
  <HLinks>
    <vt:vector size="450" baseType="variant">
      <vt:variant>
        <vt:i4>655418</vt:i4>
      </vt:variant>
      <vt:variant>
        <vt:i4>573</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570</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567</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564</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561</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558</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555</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552</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549</vt:i4>
      </vt:variant>
      <vt:variant>
        <vt:i4>0</vt:i4>
      </vt:variant>
      <vt:variant>
        <vt:i4>5</vt:i4>
      </vt:variant>
      <vt:variant>
        <vt:lpwstr>C:\Users\svassiliou\AppData\Local\Microsoft\Windows\Temporary Internet Files\Content.MSO\FDCE1A96.xlsm</vt:lpwstr>
      </vt:variant>
      <vt:variant>
        <vt:lpwstr>RANGE!A1</vt:lpwstr>
      </vt:variant>
      <vt:variant>
        <vt:i4>655418</vt:i4>
      </vt:variant>
      <vt:variant>
        <vt:i4>546</vt:i4>
      </vt:variant>
      <vt:variant>
        <vt:i4>0</vt:i4>
      </vt:variant>
      <vt:variant>
        <vt:i4>5</vt:i4>
      </vt:variant>
      <vt:variant>
        <vt:lpwstr>C:\Users\svassiliou\AppData\Local\Microsoft\Windows\Temporary Internet Files\Content.MSO\FDCE1A96.xlsm</vt:lpwstr>
      </vt:variant>
      <vt:variant>
        <vt:lpwstr>RANGE!A1</vt:lpwstr>
      </vt:variant>
      <vt:variant>
        <vt:i4>4980775</vt:i4>
      </vt:variant>
      <vt:variant>
        <vt:i4>543</vt:i4>
      </vt:variant>
      <vt:variant>
        <vt:i4>0</vt:i4>
      </vt:variant>
      <vt:variant>
        <vt:i4>5</vt:i4>
      </vt:variant>
      <vt:variant>
        <vt:lpwstr>C:\Users\svassiliou\AppData\Local\Microsoft\Windows\Temporary Internet Files\Content.MSO\FDCE1A96.xlsm</vt:lpwstr>
      </vt:variant>
      <vt:variant>
        <vt:lpwstr>'Table 16A.56'!A1</vt:lpwstr>
      </vt:variant>
      <vt:variant>
        <vt:i4>4980772</vt:i4>
      </vt:variant>
      <vt:variant>
        <vt:i4>540</vt:i4>
      </vt:variant>
      <vt:variant>
        <vt:i4>0</vt:i4>
      </vt:variant>
      <vt:variant>
        <vt:i4>5</vt:i4>
      </vt:variant>
      <vt:variant>
        <vt:lpwstr>C:\Users\svassiliou\AppData\Local\Microsoft\Windows\Temporary Internet Files\Content.MSO\FDCE1A96.xlsm</vt:lpwstr>
      </vt:variant>
      <vt:variant>
        <vt:lpwstr>'Table 16A.55'!A1</vt:lpwstr>
      </vt:variant>
      <vt:variant>
        <vt:i4>4980773</vt:i4>
      </vt:variant>
      <vt:variant>
        <vt:i4>537</vt:i4>
      </vt:variant>
      <vt:variant>
        <vt:i4>0</vt:i4>
      </vt:variant>
      <vt:variant>
        <vt:i4>5</vt:i4>
      </vt:variant>
      <vt:variant>
        <vt:lpwstr>C:\Users\svassiliou\AppData\Local\Microsoft\Windows\Temporary Internet Files\Content.MSO\FDCE1A96.xlsm</vt:lpwstr>
      </vt:variant>
      <vt:variant>
        <vt:lpwstr>'Table 16A.54'!A1</vt:lpwstr>
      </vt:variant>
      <vt:variant>
        <vt:i4>4980770</vt:i4>
      </vt:variant>
      <vt:variant>
        <vt:i4>534</vt:i4>
      </vt:variant>
      <vt:variant>
        <vt:i4>0</vt:i4>
      </vt:variant>
      <vt:variant>
        <vt:i4>5</vt:i4>
      </vt:variant>
      <vt:variant>
        <vt:lpwstr>C:\Users\svassiliou\AppData\Local\Microsoft\Windows\Temporary Internet Files\Content.MSO\FDCE1A96.xlsm</vt:lpwstr>
      </vt:variant>
      <vt:variant>
        <vt:lpwstr>'Table 16A.53'!A1</vt:lpwstr>
      </vt:variant>
      <vt:variant>
        <vt:i4>4980771</vt:i4>
      </vt:variant>
      <vt:variant>
        <vt:i4>531</vt:i4>
      </vt:variant>
      <vt:variant>
        <vt:i4>0</vt:i4>
      </vt:variant>
      <vt:variant>
        <vt:i4>5</vt:i4>
      </vt:variant>
      <vt:variant>
        <vt:lpwstr>C:\Users\svassiliou\AppData\Local\Microsoft\Windows\Temporary Internet Files\Content.MSO\FDCE1A96.xlsm</vt:lpwstr>
      </vt:variant>
      <vt:variant>
        <vt:lpwstr>'Table 16A.52'!A1</vt:lpwstr>
      </vt:variant>
      <vt:variant>
        <vt:i4>4980768</vt:i4>
      </vt:variant>
      <vt:variant>
        <vt:i4>528</vt:i4>
      </vt:variant>
      <vt:variant>
        <vt:i4>0</vt:i4>
      </vt:variant>
      <vt:variant>
        <vt:i4>5</vt:i4>
      </vt:variant>
      <vt:variant>
        <vt:lpwstr>C:\Users\svassiliou\AppData\Local\Microsoft\Windows\Temporary Internet Files\Content.MSO\FDCE1A96.xlsm</vt:lpwstr>
      </vt:variant>
      <vt:variant>
        <vt:lpwstr>'Table 16A.51'!A1</vt:lpwstr>
      </vt:variant>
      <vt:variant>
        <vt:i4>4980769</vt:i4>
      </vt:variant>
      <vt:variant>
        <vt:i4>525</vt:i4>
      </vt:variant>
      <vt:variant>
        <vt:i4>0</vt:i4>
      </vt:variant>
      <vt:variant>
        <vt:i4>5</vt:i4>
      </vt:variant>
      <vt:variant>
        <vt:lpwstr>C:\Users\svassiliou\AppData\Local\Microsoft\Windows\Temporary Internet Files\Content.MSO\FDCE1A96.xlsm</vt:lpwstr>
      </vt:variant>
      <vt:variant>
        <vt:lpwstr>'Table 16A.50'!A1</vt:lpwstr>
      </vt:variant>
      <vt:variant>
        <vt:i4>5046312</vt:i4>
      </vt:variant>
      <vt:variant>
        <vt:i4>522</vt:i4>
      </vt:variant>
      <vt:variant>
        <vt:i4>0</vt:i4>
      </vt:variant>
      <vt:variant>
        <vt:i4>5</vt:i4>
      </vt:variant>
      <vt:variant>
        <vt:lpwstr>C:\Users\svassiliou\AppData\Local\Microsoft\Windows\Temporary Internet Files\Content.MSO\FDCE1A96.xlsm</vt:lpwstr>
      </vt:variant>
      <vt:variant>
        <vt:lpwstr>'Table 16A.49'!A1</vt:lpwstr>
      </vt:variant>
      <vt:variant>
        <vt:i4>5046313</vt:i4>
      </vt:variant>
      <vt:variant>
        <vt:i4>519</vt:i4>
      </vt:variant>
      <vt:variant>
        <vt:i4>0</vt:i4>
      </vt:variant>
      <vt:variant>
        <vt:i4>5</vt:i4>
      </vt:variant>
      <vt:variant>
        <vt:lpwstr>C:\Users\svassiliou\AppData\Local\Microsoft\Windows\Temporary Internet Files\Content.MSO\FDCE1A96.xlsm</vt:lpwstr>
      </vt:variant>
      <vt:variant>
        <vt:lpwstr>'Table 16A.48'!A1</vt:lpwstr>
      </vt:variant>
      <vt:variant>
        <vt:i4>5046310</vt:i4>
      </vt:variant>
      <vt:variant>
        <vt:i4>516</vt:i4>
      </vt:variant>
      <vt:variant>
        <vt:i4>0</vt:i4>
      </vt:variant>
      <vt:variant>
        <vt:i4>5</vt:i4>
      </vt:variant>
      <vt:variant>
        <vt:lpwstr>C:\Users\svassiliou\AppData\Local\Microsoft\Windows\Temporary Internet Files\Content.MSO\FDCE1A96.xlsm</vt:lpwstr>
      </vt:variant>
      <vt:variant>
        <vt:lpwstr>'Table 16A.47'!A1</vt:lpwstr>
      </vt:variant>
      <vt:variant>
        <vt:i4>5046311</vt:i4>
      </vt:variant>
      <vt:variant>
        <vt:i4>513</vt:i4>
      </vt:variant>
      <vt:variant>
        <vt:i4>0</vt:i4>
      </vt:variant>
      <vt:variant>
        <vt:i4>5</vt:i4>
      </vt:variant>
      <vt:variant>
        <vt:lpwstr>C:\Users\svassiliou\AppData\Local\Microsoft\Windows\Temporary Internet Files\Content.MSO\FDCE1A96.xlsm</vt:lpwstr>
      </vt:variant>
      <vt:variant>
        <vt:lpwstr>'Table 16A.46'!A1</vt:lpwstr>
      </vt:variant>
      <vt:variant>
        <vt:i4>5046308</vt:i4>
      </vt:variant>
      <vt:variant>
        <vt:i4>510</vt:i4>
      </vt:variant>
      <vt:variant>
        <vt:i4>0</vt:i4>
      </vt:variant>
      <vt:variant>
        <vt:i4>5</vt:i4>
      </vt:variant>
      <vt:variant>
        <vt:lpwstr>C:\Users\svassiliou\AppData\Local\Microsoft\Windows\Temporary Internet Files\Content.MSO\FDCE1A96.xlsm</vt:lpwstr>
      </vt:variant>
      <vt:variant>
        <vt:lpwstr>'Table 16A.45'!A1</vt:lpwstr>
      </vt:variant>
      <vt:variant>
        <vt:i4>5046309</vt:i4>
      </vt:variant>
      <vt:variant>
        <vt:i4>507</vt:i4>
      </vt:variant>
      <vt:variant>
        <vt:i4>0</vt:i4>
      </vt:variant>
      <vt:variant>
        <vt:i4>5</vt:i4>
      </vt:variant>
      <vt:variant>
        <vt:lpwstr>C:\Users\svassiliou\AppData\Local\Microsoft\Windows\Temporary Internet Files\Content.MSO\FDCE1A96.xlsm</vt:lpwstr>
      </vt:variant>
      <vt:variant>
        <vt:lpwstr>'Table 16A.44'!A1</vt:lpwstr>
      </vt:variant>
      <vt:variant>
        <vt:i4>5046306</vt:i4>
      </vt:variant>
      <vt:variant>
        <vt:i4>504</vt:i4>
      </vt:variant>
      <vt:variant>
        <vt:i4>0</vt:i4>
      </vt:variant>
      <vt:variant>
        <vt:i4>5</vt:i4>
      </vt:variant>
      <vt:variant>
        <vt:lpwstr>C:\Users\svassiliou\AppData\Local\Microsoft\Windows\Temporary Internet Files\Content.MSO\FDCE1A96.xlsm</vt:lpwstr>
      </vt:variant>
      <vt:variant>
        <vt:lpwstr>'Table 16A.43'!A1</vt:lpwstr>
      </vt:variant>
      <vt:variant>
        <vt:i4>5046307</vt:i4>
      </vt:variant>
      <vt:variant>
        <vt:i4>501</vt:i4>
      </vt:variant>
      <vt:variant>
        <vt:i4>0</vt:i4>
      </vt:variant>
      <vt:variant>
        <vt:i4>5</vt:i4>
      </vt:variant>
      <vt:variant>
        <vt:lpwstr>C:\Users\svassiliou\AppData\Local\Microsoft\Windows\Temporary Internet Files\Content.MSO\FDCE1A96.xlsm</vt:lpwstr>
      </vt:variant>
      <vt:variant>
        <vt:lpwstr>'Table 16A.42'!A1</vt:lpwstr>
      </vt:variant>
      <vt:variant>
        <vt:i4>5046304</vt:i4>
      </vt:variant>
      <vt:variant>
        <vt:i4>498</vt:i4>
      </vt:variant>
      <vt:variant>
        <vt:i4>0</vt:i4>
      </vt:variant>
      <vt:variant>
        <vt:i4>5</vt:i4>
      </vt:variant>
      <vt:variant>
        <vt:lpwstr>C:\Users\svassiliou\AppData\Local\Microsoft\Windows\Temporary Internet Files\Content.MSO\FDCE1A96.xlsm</vt:lpwstr>
      </vt:variant>
      <vt:variant>
        <vt:lpwstr>'Table 16A.41'!A1</vt:lpwstr>
      </vt:variant>
      <vt:variant>
        <vt:i4>5046305</vt:i4>
      </vt:variant>
      <vt:variant>
        <vt:i4>495</vt:i4>
      </vt:variant>
      <vt:variant>
        <vt:i4>0</vt:i4>
      </vt:variant>
      <vt:variant>
        <vt:i4>5</vt:i4>
      </vt:variant>
      <vt:variant>
        <vt:lpwstr>C:\Users\svassiliou\AppData\Local\Microsoft\Windows\Temporary Internet Files\Content.MSO\FDCE1A96.xlsm</vt:lpwstr>
      </vt:variant>
      <vt:variant>
        <vt:lpwstr>'Table 16A.40'!A1</vt:lpwstr>
      </vt:variant>
      <vt:variant>
        <vt:i4>4849704</vt:i4>
      </vt:variant>
      <vt:variant>
        <vt:i4>492</vt:i4>
      </vt:variant>
      <vt:variant>
        <vt:i4>0</vt:i4>
      </vt:variant>
      <vt:variant>
        <vt:i4>5</vt:i4>
      </vt:variant>
      <vt:variant>
        <vt:lpwstr>C:\Users\svassiliou\AppData\Local\Microsoft\Windows\Temporary Internet Files\Content.MSO\FDCE1A96.xlsm</vt:lpwstr>
      </vt:variant>
      <vt:variant>
        <vt:lpwstr>'Table 16A.39'!A1</vt:lpwstr>
      </vt:variant>
      <vt:variant>
        <vt:i4>4849705</vt:i4>
      </vt:variant>
      <vt:variant>
        <vt:i4>489</vt:i4>
      </vt:variant>
      <vt:variant>
        <vt:i4>0</vt:i4>
      </vt:variant>
      <vt:variant>
        <vt:i4>5</vt:i4>
      </vt:variant>
      <vt:variant>
        <vt:lpwstr>C:\Users\svassiliou\AppData\Local\Microsoft\Windows\Temporary Internet Files\Content.MSO\FDCE1A96.xlsm</vt:lpwstr>
      </vt:variant>
      <vt:variant>
        <vt:lpwstr>'Table 16A.38'!A1</vt:lpwstr>
      </vt:variant>
      <vt:variant>
        <vt:i4>4849702</vt:i4>
      </vt:variant>
      <vt:variant>
        <vt:i4>486</vt:i4>
      </vt:variant>
      <vt:variant>
        <vt:i4>0</vt:i4>
      </vt:variant>
      <vt:variant>
        <vt:i4>5</vt:i4>
      </vt:variant>
      <vt:variant>
        <vt:lpwstr>C:\Users\svassiliou\AppData\Local\Microsoft\Windows\Temporary Internet Files\Content.MSO\FDCE1A96.xlsm</vt:lpwstr>
      </vt:variant>
      <vt:variant>
        <vt:lpwstr>'Table 16A.37'!A1</vt:lpwstr>
      </vt:variant>
      <vt:variant>
        <vt:i4>4849703</vt:i4>
      </vt:variant>
      <vt:variant>
        <vt:i4>483</vt:i4>
      </vt:variant>
      <vt:variant>
        <vt:i4>0</vt:i4>
      </vt:variant>
      <vt:variant>
        <vt:i4>5</vt:i4>
      </vt:variant>
      <vt:variant>
        <vt:lpwstr>C:\Users\svassiliou\AppData\Local\Microsoft\Windows\Temporary Internet Files\Content.MSO\FDCE1A96.xlsm</vt:lpwstr>
      </vt:variant>
      <vt:variant>
        <vt:lpwstr>'Table 16A.36'!A1</vt:lpwstr>
      </vt:variant>
      <vt:variant>
        <vt:i4>4849700</vt:i4>
      </vt:variant>
      <vt:variant>
        <vt:i4>480</vt:i4>
      </vt:variant>
      <vt:variant>
        <vt:i4>0</vt:i4>
      </vt:variant>
      <vt:variant>
        <vt:i4>5</vt:i4>
      </vt:variant>
      <vt:variant>
        <vt:lpwstr>C:\Users\svassiliou\AppData\Local\Microsoft\Windows\Temporary Internet Files\Content.MSO\FDCE1A96.xlsm</vt:lpwstr>
      </vt:variant>
      <vt:variant>
        <vt:lpwstr>'Table 16A.35'!A1</vt:lpwstr>
      </vt:variant>
      <vt:variant>
        <vt:i4>4849701</vt:i4>
      </vt:variant>
      <vt:variant>
        <vt:i4>477</vt:i4>
      </vt:variant>
      <vt:variant>
        <vt:i4>0</vt:i4>
      </vt:variant>
      <vt:variant>
        <vt:i4>5</vt:i4>
      </vt:variant>
      <vt:variant>
        <vt:lpwstr>C:\Users\svassiliou\AppData\Local\Microsoft\Windows\Temporary Internet Files\Content.MSO\FDCE1A96.xlsm</vt:lpwstr>
      </vt:variant>
      <vt:variant>
        <vt:lpwstr>'Table 16A.34'!A1</vt:lpwstr>
      </vt:variant>
      <vt:variant>
        <vt:i4>4849698</vt:i4>
      </vt:variant>
      <vt:variant>
        <vt:i4>474</vt:i4>
      </vt:variant>
      <vt:variant>
        <vt:i4>0</vt:i4>
      </vt:variant>
      <vt:variant>
        <vt:i4>5</vt:i4>
      </vt:variant>
      <vt:variant>
        <vt:lpwstr>C:\Users\svassiliou\AppData\Local\Microsoft\Windows\Temporary Internet Files\Content.MSO\FDCE1A96.xlsm</vt:lpwstr>
      </vt:variant>
      <vt:variant>
        <vt:lpwstr>'Table 16A.33'!A1</vt:lpwstr>
      </vt:variant>
      <vt:variant>
        <vt:i4>4849699</vt:i4>
      </vt:variant>
      <vt:variant>
        <vt:i4>471</vt:i4>
      </vt:variant>
      <vt:variant>
        <vt:i4>0</vt:i4>
      </vt:variant>
      <vt:variant>
        <vt:i4>5</vt:i4>
      </vt:variant>
      <vt:variant>
        <vt:lpwstr>C:\Users\svassiliou\AppData\Local\Microsoft\Windows\Temporary Internet Files\Content.MSO\FDCE1A96.xlsm</vt:lpwstr>
      </vt:variant>
      <vt:variant>
        <vt:lpwstr>'Table 16A.32'!A1</vt:lpwstr>
      </vt:variant>
      <vt:variant>
        <vt:i4>4849696</vt:i4>
      </vt:variant>
      <vt:variant>
        <vt:i4>468</vt:i4>
      </vt:variant>
      <vt:variant>
        <vt:i4>0</vt:i4>
      </vt:variant>
      <vt:variant>
        <vt:i4>5</vt:i4>
      </vt:variant>
      <vt:variant>
        <vt:lpwstr>C:\Users\svassiliou\AppData\Local\Microsoft\Windows\Temporary Internet Files\Content.MSO\FDCE1A96.xlsm</vt:lpwstr>
      </vt:variant>
      <vt:variant>
        <vt:lpwstr>'Table 16A.31'!A1</vt:lpwstr>
      </vt:variant>
      <vt:variant>
        <vt:i4>4849697</vt:i4>
      </vt:variant>
      <vt:variant>
        <vt:i4>465</vt:i4>
      </vt:variant>
      <vt:variant>
        <vt:i4>0</vt:i4>
      </vt:variant>
      <vt:variant>
        <vt:i4>5</vt:i4>
      </vt:variant>
      <vt:variant>
        <vt:lpwstr>C:\Users\svassiliou\AppData\Local\Microsoft\Windows\Temporary Internet Files\Content.MSO\FDCE1A96.xlsm</vt:lpwstr>
      </vt:variant>
      <vt:variant>
        <vt:lpwstr>'Table 16A.30'!A1</vt:lpwstr>
      </vt:variant>
      <vt:variant>
        <vt:i4>4915240</vt:i4>
      </vt:variant>
      <vt:variant>
        <vt:i4>462</vt:i4>
      </vt:variant>
      <vt:variant>
        <vt:i4>0</vt:i4>
      </vt:variant>
      <vt:variant>
        <vt:i4>5</vt:i4>
      </vt:variant>
      <vt:variant>
        <vt:lpwstr>C:\Users\svassiliou\AppData\Local\Microsoft\Windows\Temporary Internet Files\Content.MSO\FDCE1A96.xlsm</vt:lpwstr>
      </vt:variant>
      <vt:variant>
        <vt:lpwstr>'Table 16A.29'!A1</vt:lpwstr>
      </vt:variant>
      <vt:variant>
        <vt:i4>4915241</vt:i4>
      </vt:variant>
      <vt:variant>
        <vt:i4>459</vt:i4>
      </vt:variant>
      <vt:variant>
        <vt:i4>0</vt:i4>
      </vt:variant>
      <vt:variant>
        <vt:i4>5</vt:i4>
      </vt:variant>
      <vt:variant>
        <vt:lpwstr>C:\Users\svassiliou\AppData\Local\Microsoft\Windows\Temporary Internet Files\Content.MSO\FDCE1A96.xlsm</vt:lpwstr>
      </vt:variant>
      <vt:variant>
        <vt:lpwstr>'Table 16A.28'!A1</vt:lpwstr>
      </vt:variant>
      <vt:variant>
        <vt:i4>4915238</vt:i4>
      </vt:variant>
      <vt:variant>
        <vt:i4>456</vt:i4>
      </vt:variant>
      <vt:variant>
        <vt:i4>0</vt:i4>
      </vt:variant>
      <vt:variant>
        <vt:i4>5</vt:i4>
      </vt:variant>
      <vt:variant>
        <vt:lpwstr>C:\Users\svassiliou\AppData\Local\Microsoft\Windows\Temporary Internet Files\Content.MSO\FDCE1A96.xlsm</vt:lpwstr>
      </vt:variant>
      <vt:variant>
        <vt:lpwstr>'Table 16A.27'!A1</vt:lpwstr>
      </vt:variant>
      <vt:variant>
        <vt:i4>4915239</vt:i4>
      </vt:variant>
      <vt:variant>
        <vt:i4>453</vt:i4>
      </vt:variant>
      <vt:variant>
        <vt:i4>0</vt:i4>
      </vt:variant>
      <vt:variant>
        <vt:i4>5</vt:i4>
      </vt:variant>
      <vt:variant>
        <vt:lpwstr>C:\Users\svassiliou\AppData\Local\Microsoft\Windows\Temporary Internet Files\Content.MSO\FDCE1A96.xlsm</vt:lpwstr>
      </vt:variant>
      <vt:variant>
        <vt:lpwstr>'Table 16A.26'!A1</vt:lpwstr>
      </vt:variant>
      <vt:variant>
        <vt:i4>4915236</vt:i4>
      </vt:variant>
      <vt:variant>
        <vt:i4>450</vt:i4>
      </vt:variant>
      <vt:variant>
        <vt:i4>0</vt:i4>
      </vt:variant>
      <vt:variant>
        <vt:i4>5</vt:i4>
      </vt:variant>
      <vt:variant>
        <vt:lpwstr>C:\Users\svassiliou\AppData\Local\Microsoft\Windows\Temporary Internet Files\Content.MSO\FDCE1A96.xlsm</vt:lpwstr>
      </vt:variant>
      <vt:variant>
        <vt:lpwstr>'Table 16A.25'!A1</vt:lpwstr>
      </vt:variant>
      <vt:variant>
        <vt:i4>4915237</vt:i4>
      </vt:variant>
      <vt:variant>
        <vt:i4>447</vt:i4>
      </vt:variant>
      <vt:variant>
        <vt:i4>0</vt:i4>
      </vt:variant>
      <vt:variant>
        <vt:i4>5</vt:i4>
      </vt:variant>
      <vt:variant>
        <vt:lpwstr>C:\Users\svassiliou\AppData\Local\Microsoft\Windows\Temporary Internet Files\Content.MSO\FDCE1A96.xlsm</vt:lpwstr>
      </vt:variant>
      <vt:variant>
        <vt:lpwstr>'Table 16A.24'!A1</vt:lpwstr>
      </vt:variant>
      <vt:variant>
        <vt:i4>4915234</vt:i4>
      </vt:variant>
      <vt:variant>
        <vt:i4>444</vt:i4>
      </vt:variant>
      <vt:variant>
        <vt:i4>0</vt:i4>
      </vt:variant>
      <vt:variant>
        <vt:i4>5</vt:i4>
      </vt:variant>
      <vt:variant>
        <vt:lpwstr>C:\Users\svassiliou\AppData\Local\Microsoft\Windows\Temporary Internet Files\Content.MSO\FDCE1A96.xlsm</vt:lpwstr>
      </vt:variant>
      <vt:variant>
        <vt:lpwstr>'Table 16A.23'!A1</vt:lpwstr>
      </vt:variant>
      <vt:variant>
        <vt:i4>4915235</vt:i4>
      </vt:variant>
      <vt:variant>
        <vt:i4>441</vt:i4>
      </vt:variant>
      <vt:variant>
        <vt:i4>0</vt:i4>
      </vt:variant>
      <vt:variant>
        <vt:i4>5</vt:i4>
      </vt:variant>
      <vt:variant>
        <vt:lpwstr>C:\Users\svassiliou\AppData\Local\Microsoft\Windows\Temporary Internet Files\Content.MSO\FDCE1A96.xlsm</vt:lpwstr>
      </vt:variant>
      <vt:variant>
        <vt:lpwstr>'Table 16A.22'!A1</vt:lpwstr>
      </vt:variant>
      <vt:variant>
        <vt:i4>4915232</vt:i4>
      </vt:variant>
      <vt:variant>
        <vt:i4>438</vt:i4>
      </vt:variant>
      <vt:variant>
        <vt:i4>0</vt:i4>
      </vt:variant>
      <vt:variant>
        <vt:i4>5</vt:i4>
      </vt:variant>
      <vt:variant>
        <vt:lpwstr>C:\Users\svassiliou\AppData\Local\Microsoft\Windows\Temporary Internet Files\Content.MSO\FDCE1A96.xlsm</vt:lpwstr>
      </vt:variant>
      <vt:variant>
        <vt:lpwstr>'Table 16A.21'!A1</vt:lpwstr>
      </vt:variant>
      <vt:variant>
        <vt:i4>4915233</vt:i4>
      </vt:variant>
      <vt:variant>
        <vt:i4>435</vt:i4>
      </vt:variant>
      <vt:variant>
        <vt:i4>0</vt:i4>
      </vt:variant>
      <vt:variant>
        <vt:i4>5</vt:i4>
      </vt:variant>
      <vt:variant>
        <vt:lpwstr>C:\Users\svassiliou\AppData\Local\Microsoft\Windows\Temporary Internet Files\Content.MSO\FDCE1A96.xlsm</vt:lpwstr>
      </vt:variant>
      <vt:variant>
        <vt:lpwstr>'Table 16A.20'!A1</vt:lpwstr>
      </vt:variant>
      <vt:variant>
        <vt:i4>4718632</vt:i4>
      </vt:variant>
      <vt:variant>
        <vt:i4>432</vt:i4>
      </vt:variant>
      <vt:variant>
        <vt:i4>0</vt:i4>
      </vt:variant>
      <vt:variant>
        <vt:i4>5</vt:i4>
      </vt:variant>
      <vt:variant>
        <vt:lpwstr>C:\Users\svassiliou\AppData\Local\Microsoft\Windows\Temporary Internet Files\Content.MSO\FDCE1A96.xlsm</vt:lpwstr>
      </vt:variant>
      <vt:variant>
        <vt:lpwstr>'Table 16A.19'!A1</vt:lpwstr>
      </vt:variant>
      <vt:variant>
        <vt:i4>4718633</vt:i4>
      </vt:variant>
      <vt:variant>
        <vt:i4>429</vt:i4>
      </vt:variant>
      <vt:variant>
        <vt:i4>0</vt:i4>
      </vt:variant>
      <vt:variant>
        <vt:i4>5</vt:i4>
      </vt:variant>
      <vt:variant>
        <vt:lpwstr>C:\Users\svassiliou\AppData\Local\Microsoft\Windows\Temporary Internet Files\Content.MSO\FDCE1A96.xlsm</vt:lpwstr>
      </vt:variant>
      <vt:variant>
        <vt:lpwstr>'Table 16A.18'!A1</vt:lpwstr>
      </vt:variant>
      <vt:variant>
        <vt:i4>4718630</vt:i4>
      </vt:variant>
      <vt:variant>
        <vt:i4>426</vt:i4>
      </vt:variant>
      <vt:variant>
        <vt:i4>0</vt:i4>
      </vt:variant>
      <vt:variant>
        <vt:i4>5</vt:i4>
      </vt:variant>
      <vt:variant>
        <vt:lpwstr>C:\Users\svassiliou\AppData\Local\Microsoft\Windows\Temporary Internet Files\Content.MSO\FDCE1A96.xlsm</vt:lpwstr>
      </vt:variant>
      <vt:variant>
        <vt:lpwstr>'Table 16A.17'!A1</vt:lpwstr>
      </vt:variant>
      <vt:variant>
        <vt:i4>4718631</vt:i4>
      </vt:variant>
      <vt:variant>
        <vt:i4>423</vt:i4>
      </vt:variant>
      <vt:variant>
        <vt:i4>0</vt:i4>
      </vt:variant>
      <vt:variant>
        <vt:i4>5</vt:i4>
      </vt:variant>
      <vt:variant>
        <vt:lpwstr>C:\Users\svassiliou\AppData\Local\Microsoft\Windows\Temporary Internet Files\Content.MSO\FDCE1A96.xlsm</vt:lpwstr>
      </vt:variant>
      <vt:variant>
        <vt:lpwstr>'Table 16A.16'!A1</vt:lpwstr>
      </vt:variant>
      <vt:variant>
        <vt:i4>4718628</vt:i4>
      </vt:variant>
      <vt:variant>
        <vt:i4>420</vt:i4>
      </vt:variant>
      <vt:variant>
        <vt:i4>0</vt:i4>
      </vt:variant>
      <vt:variant>
        <vt:i4>5</vt:i4>
      </vt:variant>
      <vt:variant>
        <vt:lpwstr>C:\Users\svassiliou\AppData\Local\Microsoft\Windows\Temporary Internet Files\Content.MSO\FDCE1A96.xlsm</vt:lpwstr>
      </vt:variant>
      <vt:variant>
        <vt:lpwstr>'Table 16A.15'!A1</vt:lpwstr>
      </vt:variant>
      <vt:variant>
        <vt:i4>4718629</vt:i4>
      </vt:variant>
      <vt:variant>
        <vt:i4>417</vt:i4>
      </vt:variant>
      <vt:variant>
        <vt:i4>0</vt:i4>
      </vt:variant>
      <vt:variant>
        <vt:i4>5</vt:i4>
      </vt:variant>
      <vt:variant>
        <vt:lpwstr>C:\Users\svassiliou\AppData\Local\Microsoft\Windows\Temporary Internet Files\Content.MSO\FDCE1A96.xlsm</vt:lpwstr>
      </vt:variant>
      <vt:variant>
        <vt:lpwstr>'Table 16A.14'!A1</vt:lpwstr>
      </vt:variant>
      <vt:variant>
        <vt:i4>4718626</vt:i4>
      </vt:variant>
      <vt:variant>
        <vt:i4>414</vt:i4>
      </vt:variant>
      <vt:variant>
        <vt:i4>0</vt:i4>
      </vt:variant>
      <vt:variant>
        <vt:i4>5</vt:i4>
      </vt:variant>
      <vt:variant>
        <vt:lpwstr>C:\Users\svassiliou\AppData\Local\Microsoft\Windows\Temporary Internet Files\Content.MSO\FDCE1A96.xlsm</vt:lpwstr>
      </vt:variant>
      <vt:variant>
        <vt:lpwstr>'Table 16A.13'!A1</vt:lpwstr>
      </vt:variant>
      <vt:variant>
        <vt:i4>4718627</vt:i4>
      </vt:variant>
      <vt:variant>
        <vt:i4>411</vt:i4>
      </vt:variant>
      <vt:variant>
        <vt:i4>0</vt:i4>
      </vt:variant>
      <vt:variant>
        <vt:i4>5</vt:i4>
      </vt:variant>
      <vt:variant>
        <vt:lpwstr>C:\Users\svassiliou\AppData\Local\Microsoft\Windows\Temporary Internet Files\Content.MSO\FDCE1A96.xlsm</vt:lpwstr>
      </vt:variant>
      <vt:variant>
        <vt:lpwstr>'Table 16A.12'!A1</vt:lpwstr>
      </vt:variant>
      <vt:variant>
        <vt:i4>4718624</vt:i4>
      </vt:variant>
      <vt:variant>
        <vt:i4>408</vt:i4>
      </vt:variant>
      <vt:variant>
        <vt:i4>0</vt:i4>
      </vt:variant>
      <vt:variant>
        <vt:i4>5</vt:i4>
      </vt:variant>
      <vt:variant>
        <vt:lpwstr>C:\Users\svassiliou\AppData\Local\Microsoft\Windows\Temporary Internet Files\Content.MSO\FDCE1A96.xlsm</vt:lpwstr>
      </vt:variant>
      <vt:variant>
        <vt:lpwstr>'Table 16A.11'!A1</vt:lpwstr>
      </vt:variant>
      <vt:variant>
        <vt:i4>4718625</vt:i4>
      </vt:variant>
      <vt:variant>
        <vt:i4>405</vt:i4>
      </vt:variant>
      <vt:variant>
        <vt:i4>0</vt:i4>
      </vt:variant>
      <vt:variant>
        <vt:i4>5</vt:i4>
      </vt:variant>
      <vt:variant>
        <vt:lpwstr>C:\Users\svassiliou\AppData\Local\Microsoft\Windows\Temporary Internet Files\Content.MSO\FDCE1A96.xlsm</vt:lpwstr>
      </vt:variant>
      <vt:variant>
        <vt:lpwstr>'Table 16A.10'!A1</vt:lpwstr>
      </vt:variant>
      <vt:variant>
        <vt:i4>1441910</vt:i4>
      </vt:variant>
      <vt:variant>
        <vt:i4>402</vt:i4>
      </vt:variant>
      <vt:variant>
        <vt:i4>0</vt:i4>
      </vt:variant>
      <vt:variant>
        <vt:i4>5</vt:i4>
      </vt:variant>
      <vt:variant>
        <vt:lpwstr>C:\Users\svassiliou\AppData\Local\Microsoft\Windows\Temporary Internet Files\Content.MSO\FDCE1A96.xlsm</vt:lpwstr>
      </vt:variant>
      <vt:variant>
        <vt:lpwstr>'Table 16A.9'!A1</vt:lpwstr>
      </vt:variant>
      <vt:variant>
        <vt:i4>1507446</vt:i4>
      </vt:variant>
      <vt:variant>
        <vt:i4>399</vt:i4>
      </vt:variant>
      <vt:variant>
        <vt:i4>0</vt:i4>
      </vt:variant>
      <vt:variant>
        <vt:i4>5</vt:i4>
      </vt:variant>
      <vt:variant>
        <vt:lpwstr>C:\Users\svassiliou\AppData\Local\Microsoft\Windows\Temporary Internet Files\Content.MSO\FDCE1A96.xlsm</vt:lpwstr>
      </vt:variant>
      <vt:variant>
        <vt:lpwstr>'Table 16A.8'!A1</vt:lpwstr>
      </vt:variant>
      <vt:variant>
        <vt:i4>1572982</vt:i4>
      </vt:variant>
      <vt:variant>
        <vt:i4>396</vt:i4>
      </vt:variant>
      <vt:variant>
        <vt:i4>0</vt:i4>
      </vt:variant>
      <vt:variant>
        <vt:i4>5</vt:i4>
      </vt:variant>
      <vt:variant>
        <vt:lpwstr>C:\Users\svassiliou\AppData\Local\Microsoft\Windows\Temporary Internet Files\Content.MSO\FDCE1A96.xlsm</vt:lpwstr>
      </vt:variant>
      <vt:variant>
        <vt:lpwstr>'Table 16A.7'!A1</vt:lpwstr>
      </vt:variant>
      <vt:variant>
        <vt:i4>1638518</vt:i4>
      </vt:variant>
      <vt:variant>
        <vt:i4>393</vt:i4>
      </vt:variant>
      <vt:variant>
        <vt:i4>0</vt:i4>
      </vt:variant>
      <vt:variant>
        <vt:i4>5</vt:i4>
      </vt:variant>
      <vt:variant>
        <vt:lpwstr>C:\Users\svassiliou\AppData\Local\Microsoft\Windows\Temporary Internet Files\Content.MSO\FDCE1A96.xlsm</vt:lpwstr>
      </vt:variant>
      <vt:variant>
        <vt:lpwstr>'Table 16A.6'!A1</vt:lpwstr>
      </vt:variant>
      <vt:variant>
        <vt:i4>1704054</vt:i4>
      </vt:variant>
      <vt:variant>
        <vt:i4>390</vt:i4>
      </vt:variant>
      <vt:variant>
        <vt:i4>0</vt:i4>
      </vt:variant>
      <vt:variant>
        <vt:i4>5</vt:i4>
      </vt:variant>
      <vt:variant>
        <vt:lpwstr>C:\Users\svassiliou\AppData\Local\Microsoft\Windows\Temporary Internet Files\Content.MSO\FDCE1A96.xlsm</vt:lpwstr>
      </vt:variant>
      <vt:variant>
        <vt:lpwstr>'Table 16A.5'!A1</vt:lpwstr>
      </vt:variant>
      <vt:variant>
        <vt:i4>1769590</vt:i4>
      </vt:variant>
      <vt:variant>
        <vt:i4>387</vt:i4>
      </vt:variant>
      <vt:variant>
        <vt:i4>0</vt:i4>
      </vt:variant>
      <vt:variant>
        <vt:i4>5</vt:i4>
      </vt:variant>
      <vt:variant>
        <vt:lpwstr>C:\Users\svassiliou\AppData\Local\Microsoft\Windows\Temporary Internet Files\Content.MSO\FDCE1A96.xlsm</vt:lpwstr>
      </vt:variant>
      <vt:variant>
        <vt:lpwstr>'Table 16A.4'!A1</vt:lpwstr>
      </vt:variant>
      <vt:variant>
        <vt:i4>1835126</vt:i4>
      </vt:variant>
      <vt:variant>
        <vt:i4>384</vt:i4>
      </vt:variant>
      <vt:variant>
        <vt:i4>0</vt:i4>
      </vt:variant>
      <vt:variant>
        <vt:i4>5</vt:i4>
      </vt:variant>
      <vt:variant>
        <vt:lpwstr>C:\Users\svassiliou\AppData\Local\Microsoft\Windows\Temporary Internet Files\Content.MSO\FDCE1A96.xlsm</vt:lpwstr>
      </vt:variant>
      <vt:variant>
        <vt:lpwstr>'Table 16A.3'!A1</vt:lpwstr>
      </vt:variant>
      <vt:variant>
        <vt:i4>1900662</vt:i4>
      </vt:variant>
      <vt:variant>
        <vt:i4>381</vt:i4>
      </vt:variant>
      <vt:variant>
        <vt:i4>0</vt:i4>
      </vt:variant>
      <vt:variant>
        <vt:i4>5</vt:i4>
      </vt:variant>
      <vt:variant>
        <vt:lpwstr>C:\Users\svassiliou\AppData\Local\Microsoft\Windows\Temporary Internet Files\Content.MSO\FDCE1A96.xlsm</vt:lpwstr>
      </vt:variant>
      <vt:variant>
        <vt:lpwstr>'Table 16A.2'!A1</vt:lpwstr>
      </vt:variant>
      <vt:variant>
        <vt:i4>1966198</vt:i4>
      </vt:variant>
      <vt:variant>
        <vt:i4>378</vt:i4>
      </vt:variant>
      <vt:variant>
        <vt:i4>0</vt:i4>
      </vt:variant>
      <vt:variant>
        <vt:i4>5</vt:i4>
      </vt:variant>
      <vt:variant>
        <vt:lpwstr>C:\Users\svassiliou\AppData\Local\Microsoft\Windows\Temporary Internet Files\Content.MSO\FDCE1A96.xlsm</vt:lpwstr>
      </vt:variant>
      <vt:variant>
        <vt:lpwstr>'Table 16A.1'!A1</vt:lpwstr>
      </vt:variant>
      <vt:variant>
        <vt:i4>5636127</vt:i4>
      </vt:variant>
      <vt:variant>
        <vt:i4>375</vt:i4>
      </vt:variant>
      <vt:variant>
        <vt:i4>0</vt:i4>
      </vt:variant>
      <vt:variant>
        <vt:i4>5</vt:i4>
      </vt:variant>
      <vt:variant>
        <vt:lpwstr>http://www.pc.gov.au/gsp</vt:lpwstr>
      </vt:variant>
      <vt:variant>
        <vt:lpwstr/>
      </vt:variant>
      <vt:variant>
        <vt:i4>1048629</vt:i4>
      </vt:variant>
      <vt:variant>
        <vt:i4>44</vt:i4>
      </vt:variant>
      <vt:variant>
        <vt:i4>0</vt:i4>
      </vt:variant>
      <vt:variant>
        <vt:i4>5</vt:i4>
      </vt:variant>
      <vt:variant>
        <vt:lpwstr/>
      </vt:variant>
      <vt:variant>
        <vt:lpwstr>_Toc314211354</vt:lpwstr>
      </vt:variant>
      <vt:variant>
        <vt:i4>1048629</vt:i4>
      </vt:variant>
      <vt:variant>
        <vt:i4>38</vt:i4>
      </vt:variant>
      <vt:variant>
        <vt:i4>0</vt:i4>
      </vt:variant>
      <vt:variant>
        <vt:i4>5</vt:i4>
      </vt:variant>
      <vt:variant>
        <vt:lpwstr/>
      </vt:variant>
      <vt:variant>
        <vt:lpwstr>_Toc314211353</vt:lpwstr>
      </vt:variant>
      <vt:variant>
        <vt:i4>1048629</vt:i4>
      </vt:variant>
      <vt:variant>
        <vt:i4>32</vt:i4>
      </vt:variant>
      <vt:variant>
        <vt:i4>0</vt:i4>
      </vt:variant>
      <vt:variant>
        <vt:i4>5</vt:i4>
      </vt:variant>
      <vt:variant>
        <vt:lpwstr/>
      </vt:variant>
      <vt:variant>
        <vt:lpwstr>_Toc314211352</vt:lpwstr>
      </vt:variant>
      <vt:variant>
        <vt:i4>1048629</vt:i4>
      </vt:variant>
      <vt:variant>
        <vt:i4>26</vt:i4>
      </vt:variant>
      <vt:variant>
        <vt:i4>0</vt:i4>
      </vt:variant>
      <vt:variant>
        <vt:i4>5</vt:i4>
      </vt:variant>
      <vt:variant>
        <vt:lpwstr/>
      </vt:variant>
      <vt:variant>
        <vt:lpwstr>_Toc314211351</vt:lpwstr>
      </vt:variant>
      <vt:variant>
        <vt:i4>1048629</vt:i4>
      </vt:variant>
      <vt:variant>
        <vt:i4>20</vt:i4>
      </vt:variant>
      <vt:variant>
        <vt:i4>0</vt:i4>
      </vt:variant>
      <vt:variant>
        <vt:i4>5</vt:i4>
      </vt:variant>
      <vt:variant>
        <vt:lpwstr/>
      </vt:variant>
      <vt:variant>
        <vt:lpwstr>_Toc314211350</vt:lpwstr>
      </vt:variant>
      <vt:variant>
        <vt:i4>1114165</vt:i4>
      </vt:variant>
      <vt:variant>
        <vt:i4>14</vt:i4>
      </vt:variant>
      <vt:variant>
        <vt:i4>0</vt:i4>
      </vt:variant>
      <vt:variant>
        <vt:i4>5</vt:i4>
      </vt:variant>
      <vt:variant>
        <vt:lpwstr/>
      </vt:variant>
      <vt:variant>
        <vt:lpwstr>_Toc314211349</vt:lpwstr>
      </vt:variant>
      <vt:variant>
        <vt:i4>1114165</vt:i4>
      </vt:variant>
      <vt:variant>
        <vt:i4>8</vt:i4>
      </vt:variant>
      <vt:variant>
        <vt:i4>0</vt:i4>
      </vt:variant>
      <vt:variant>
        <vt:i4>5</vt:i4>
      </vt:variant>
      <vt:variant>
        <vt:lpwstr/>
      </vt:variant>
      <vt:variant>
        <vt:lpwstr>_Toc314211348</vt:lpwstr>
      </vt:variant>
      <vt:variant>
        <vt:i4>1114165</vt:i4>
      </vt:variant>
      <vt:variant>
        <vt:i4>2</vt:i4>
      </vt:variant>
      <vt:variant>
        <vt:i4>0</vt:i4>
      </vt:variant>
      <vt:variant>
        <vt:i4>5</vt:i4>
      </vt:variant>
      <vt:variant>
        <vt:lpwstr/>
      </vt:variant>
      <vt:variant>
        <vt:lpwstr>_Toc314211347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Housing - Report on Government Services 2019</dc:title>
  <dc:subject/>
  <dc:creator>Steering Committee for the Review of Government Service Provision</dc:creator>
  <dc:description/>
  <cp:lastModifiedBy>Yeow, Sook-Ling</cp:lastModifiedBy>
  <cp:revision>22</cp:revision>
  <cp:lastPrinted>2019-06-05T23:26:00Z</cp:lastPrinted>
  <dcterms:created xsi:type="dcterms:W3CDTF">2019-03-07T00:51:00Z</dcterms:created>
  <dcterms:modified xsi:type="dcterms:W3CDTF">2019-06-05T23:26:00Z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