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95DED5" w14:textId="77777777" w:rsidR="00337D3B" w:rsidRPr="00241081" w:rsidRDefault="00337D3B" w:rsidP="00241081">
      <w:pPr>
        <w:pStyle w:val="Heading1"/>
      </w:pPr>
      <w:bookmarkStart w:id="0" w:name="ChapterNumber"/>
      <w:r w:rsidRPr="00241081">
        <w:t>6</w:t>
      </w:r>
      <w:bookmarkEnd w:id="0"/>
      <w:r w:rsidRPr="00241081">
        <w:tab/>
      </w:r>
      <w:bookmarkStart w:id="1" w:name="ChapterTitle"/>
      <w:r w:rsidRPr="00241081">
        <w:t>Police services</w:t>
      </w:r>
      <w:bookmarkEnd w:id="1"/>
    </w:p>
    <w:bookmarkStart w:id="2" w:name="begin" w:displacedByCustomXml="next"/>
    <w:bookmarkEnd w:id="2" w:displacedByCustomXml="next"/>
    <w:sdt>
      <w:sdtPr>
        <w:rPr>
          <w:rFonts w:ascii="Times New Roman" w:hAnsi="Times New Roman"/>
          <w:b w:val="0"/>
          <w:kern w:val="28"/>
          <w:sz w:val="52"/>
          <w:szCs w:val="20"/>
          <w:lang w:eastAsia="en-AU"/>
        </w:rPr>
        <w:id w:val="-1715649854"/>
        <w:docPartObj>
          <w:docPartGallery w:val="Table of Contents"/>
          <w:docPartUnique/>
        </w:docPartObj>
      </w:sdtPr>
      <w:sdtEndPr>
        <w:rPr>
          <w:rFonts w:ascii="Arial" w:hAnsi="Arial"/>
          <w:kern w:val="0"/>
          <w:sz w:val="26"/>
          <w:szCs w:val="26"/>
          <w:lang w:eastAsia="en-US"/>
        </w:rPr>
      </w:sdtEndPr>
      <w:sdtContent>
        <w:p w14:paraId="61925736" w14:textId="77777777" w:rsidR="00337D3B" w:rsidRPr="001226E4" w:rsidRDefault="00337D3B" w:rsidP="00337D3B">
          <w:pPr>
            <w:pStyle w:val="TOC1"/>
            <w:rPr>
              <w:rFonts w:cs="Arial"/>
              <w:noProof/>
            </w:rPr>
          </w:pPr>
          <w:r w:rsidRPr="001226E4">
            <w:rPr>
              <w:rFonts w:cs="Arial"/>
              <w:b w:val="0"/>
              <w:kern w:val="28"/>
              <w:szCs w:val="24"/>
              <w:lang w:eastAsia="en-AU"/>
            </w:rPr>
            <w:t>CONTENTS</w:t>
          </w:r>
        </w:p>
        <w:p w14:paraId="4628978C" w14:textId="77777777" w:rsidR="00337D3B" w:rsidRDefault="00337D3B" w:rsidP="00337D3B">
          <w:pPr>
            <w:pStyle w:val="TOC2"/>
            <w:tabs>
              <w:tab w:val="left" w:pos="1134"/>
            </w:tabs>
            <w:rPr>
              <w:rFonts w:asciiTheme="minorHAnsi" w:eastAsiaTheme="minorEastAsia" w:hAnsiTheme="minorHAnsi"/>
              <w:noProof/>
              <w:sz w:val="22"/>
              <w:szCs w:val="22"/>
              <w:lang w:eastAsia="en-AU"/>
            </w:rPr>
          </w:pPr>
          <w:r>
            <w:rPr>
              <w:noProof/>
            </w:rPr>
            <w:t>6.1</w:t>
          </w:r>
          <w:r>
            <w:rPr>
              <w:rFonts w:asciiTheme="minorHAnsi" w:eastAsiaTheme="minorEastAsia" w:hAnsiTheme="minorHAnsi"/>
              <w:noProof/>
              <w:sz w:val="22"/>
              <w:szCs w:val="22"/>
              <w:lang w:eastAsia="en-AU"/>
            </w:rPr>
            <w:tab/>
          </w:r>
          <w:r>
            <w:rPr>
              <w:noProof/>
            </w:rPr>
            <w:t>Profile of police services</w:t>
          </w:r>
          <w:r>
            <w:rPr>
              <w:noProof/>
            </w:rPr>
            <w:tab/>
            <w:t>6.1</w:t>
          </w:r>
        </w:p>
        <w:p w14:paraId="1E4AA30A" w14:textId="20C7EF9B" w:rsidR="00337D3B" w:rsidRDefault="00337D3B" w:rsidP="00337D3B">
          <w:pPr>
            <w:pStyle w:val="TOC2"/>
            <w:tabs>
              <w:tab w:val="left" w:pos="1134"/>
            </w:tabs>
            <w:rPr>
              <w:rFonts w:asciiTheme="minorHAnsi" w:eastAsiaTheme="minorEastAsia" w:hAnsiTheme="minorHAnsi"/>
              <w:noProof/>
              <w:sz w:val="22"/>
              <w:szCs w:val="22"/>
              <w:lang w:eastAsia="en-AU"/>
            </w:rPr>
          </w:pPr>
          <w:r>
            <w:rPr>
              <w:noProof/>
            </w:rPr>
            <w:t>6.2</w:t>
          </w:r>
          <w:r>
            <w:rPr>
              <w:rFonts w:asciiTheme="minorHAnsi" w:eastAsiaTheme="minorEastAsia" w:hAnsiTheme="minorHAnsi"/>
              <w:noProof/>
              <w:sz w:val="22"/>
              <w:szCs w:val="22"/>
              <w:lang w:eastAsia="en-AU"/>
            </w:rPr>
            <w:tab/>
          </w:r>
          <w:r>
            <w:rPr>
              <w:noProof/>
            </w:rPr>
            <w:t>Framework of performance indicators</w:t>
          </w:r>
          <w:r>
            <w:rPr>
              <w:noProof/>
            </w:rPr>
            <w:tab/>
            <w:t>6.</w:t>
          </w:r>
          <w:r w:rsidR="000311F7">
            <w:rPr>
              <w:noProof/>
            </w:rPr>
            <w:t>5</w:t>
          </w:r>
        </w:p>
        <w:p w14:paraId="305D6D8E" w14:textId="77777777" w:rsidR="00337D3B" w:rsidRDefault="00337D3B" w:rsidP="00337D3B">
          <w:pPr>
            <w:pStyle w:val="TOC2"/>
            <w:tabs>
              <w:tab w:val="left" w:pos="1134"/>
            </w:tabs>
            <w:rPr>
              <w:rFonts w:asciiTheme="minorHAnsi" w:eastAsiaTheme="minorEastAsia" w:hAnsiTheme="minorHAnsi"/>
              <w:noProof/>
              <w:sz w:val="22"/>
              <w:szCs w:val="22"/>
              <w:lang w:eastAsia="en-AU"/>
            </w:rPr>
          </w:pPr>
          <w:r>
            <w:rPr>
              <w:noProof/>
            </w:rPr>
            <w:t>6.3</w:t>
          </w:r>
          <w:r>
            <w:rPr>
              <w:rFonts w:asciiTheme="minorHAnsi" w:eastAsiaTheme="minorEastAsia" w:hAnsiTheme="minorHAnsi"/>
              <w:noProof/>
              <w:sz w:val="22"/>
              <w:szCs w:val="22"/>
              <w:lang w:eastAsia="en-AU"/>
            </w:rPr>
            <w:tab/>
          </w:r>
          <w:r>
            <w:rPr>
              <w:noProof/>
            </w:rPr>
            <w:t>Key performance indicator results</w:t>
          </w:r>
          <w:r>
            <w:rPr>
              <w:noProof/>
            </w:rPr>
            <w:tab/>
            <w:t>6.6</w:t>
          </w:r>
        </w:p>
        <w:p w14:paraId="0B40BFE6" w14:textId="7B14F42A" w:rsidR="00337D3B" w:rsidRDefault="00337D3B" w:rsidP="00337D3B">
          <w:pPr>
            <w:pStyle w:val="TOC2"/>
            <w:tabs>
              <w:tab w:val="left" w:pos="1134"/>
            </w:tabs>
            <w:rPr>
              <w:rFonts w:asciiTheme="minorHAnsi" w:eastAsiaTheme="minorEastAsia" w:hAnsiTheme="minorHAnsi"/>
              <w:noProof/>
              <w:sz w:val="22"/>
              <w:szCs w:val="22"/>
              <w:lang w:eastAsia="en-AU"/>
            </w:rPr>
          </w:pPr>
          <w:r>
            <w:rPr>
              <w:noProof/>
            </w:rPr>
            <w:t>6.4</w:t>
          </w:r>
          <w:r>
            <w:rPr>
              <w:rFonts w:asciiTheme="minorHAnsi" w:eastAsiaTheme="minorEastAsia" w:hAnsiTheme="minorHAnsi"/>
              <w:noProof/>
              <w:sz w:val="22"/>
              <w:szCs w:val="22"/>
              <w:lang w:eastAsia="en-AU"/>
            </w:rPr>
            <w:tab/>
          </w:r>
          <w:r w:rsidR="00E91298">
            <w:rPr>
              <w:noProof/>
            </w:rPr>
            <w:t>Definitions of key terms</w:t>
          </w:r>
          <w:r w:rsidR="00E91298">
            <w:rPr>
              <w:noProof/>
            </w:rPr>
            <w:tab/>
            <w:t>6.3</w:t>
          </w:r>
          <w:r w:rsidR="000311F7">
            <w:rPr>
              <w:noProof/>
            </w:rPr>
            <w:t>5</w:t>
          </w:r>
        </w:p>
        <w:p w14:paraId="4E0E8FD4" w14:textId="7436A67E" w:rsidR="00337D3B" w:rsidRDefault="00337D3B" w:rsidP="00337D3B">
          <w:pPr>
            <w:pStyle w:val="TOC2"/>
            <w:tabs>
              <w:tab w:val="left" w:pos="1134"/>
            </w:tabs>
          </w:pPr>
          <w:r>
            <w:rPr>
              <w:noProof/>
            </w:rPr>
            <w:t>6.5</w:t>
          </w:r>
          <w:r>
            <w:rPr>
              <w:rFonts w:asciiTheme="minorHAnsi" w:eastAsiaTheme="minorEastAsia" w:hAnsiTheme="minorHAnsi"/>
              <w:noProof/>
              <w:sz w:val="22"/>
              <w:szCs w:val="22"/>
              <w:lang w:eastAsia="en-AU"/>
            </w:rPr>
            <w:tab/>
          </w:r>
          <w:r>
            <w:rPr>
              <w:noProof/>
            </w:rPr>
            <w:t>References</w:t>
          </w:r>
          <w:r>
            <w:rPr>
              <w:noProof/>
            </w:rPr>
            <w:tab/>
            <w:t>6.3</w:t>
          </w:r>
          <w:r w:rsidR="000311F7">
            <w:rPr>
              <w:noProof/>
            </w:rPr>
            <w:t>8</w:t>
          </w:r>
        </w:p>
      </w:sdtContent>
    </w:sdt>
    <w:p w14:paraId="54AFE688" w14:textId="5CCE58B8" w:rsidR="00337D3B" w:rsidRDefault="00337D3B" w:rsidP="00337D3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37D3B" w14:paraId="596FAC15" w14:textId="77777777" w:rsidTr="0061204D">
        <w:trPr>
          <w:tblHeader/>
        </w:trPr>
        <w:tc>
          <w:tcPr>
            <w:tcW w:w="5000" w:type="pct"/>
            <w:tcBorders>
              <w:top w:val="single" w:sz="6" w:space="0" w:color="78A22F"/>
              <w:left w:val="nil"/>
              <w:bottom w:val="nil"/>
              <w:right w:val="nil"/>
            </w:tcBorders>
            <w:shd w:val="clear" w:color="auto" w:fill="F2F2F2"/>
          </w:tcPr>
          <w:p w14:paraId="7B2BC69F" w14:textId="77777777" w:rsidR="00337D3B" w:rsidRPr="004146BF" w:rsidRDefault="00337D3B" w:rsidP="0061204D">
            <w:pPr>
              <w:pStyle w:val="BoxTitle"/>
            </w:pPr>
            <w:r w:rsidRPr="004146BF">
              <w:t>Attachment tables</w:t>
            </w:r>
          </w:p>
        </w:tc>
      </w:tr>
      <w:tr w:rsidR="00337D3B" w14:paraId="52C24A9B" w14:textId="77777777" w:rsidTr="0061204D">
        <w:tc>
          <w:tcPr>
            <w:tcW w:w="5000" w:type="pct"/>
            <w:tcBorders>
              <w:top w:val="nil"/>
              <w:left w:val="nil"/>
              <w:bottom w:val="nil"/>
              <w:right w:val="nil"/>
            </w:tcBorders>
            <w:shd w:val="clear" w:color="auto" w:fill="F2F2F2"/>
          </w:tcPr>
          <w:p w14:paraId="2C29983E" w14:textId="18306C1C" w:rsidR="00337D3B" w:rsidRPr="005D6A85" w:rsidRDefault="005D6A85" w:rsidP="005D6A85">
            <w:pPr>
              <w:pStyle w:val="Box"/>
            </w:pPr>
            <w:r w:rsidRPr="005D6A85">
              <w:t>Attachment tables are identified in references throughout this chapter by a ‘6A’ prefix (for example, table 6A.1) and are available from the website www.pc.gov.au/research/ongoing/report-on-government-services.</w:t>
            </w:r>
          </w:p>
        </w:tc>
      </w:tr>
      <w:tr w:rsidR="00337D3B" w14:paraId="71D2B2CE" w14:textId="77777777" w:rsidTr="0061204D">
        <w:tc>
          <w:tcPr>
            <w:tcW w:w="5000" w:type="pct"/>
            <w:tcBorders>
              <w:top w:val="nil"/>
              <w:left w:val="nil"/>
              <w:bottom w:val="single" w:sz="6" w:space="0" w:color="78A22F"/>
              <w:right w:val="nil"/>
            </w:tcBorders>
            <w:shd w:val="clear" w:color="auto" w:fill="F2F2F2"/>
          </w:tcPr>
          <w:p w14:paraId="02B4EC1C" w14:textId="77777777" w:rsidR="00337D3B" w:rsidRDefault="00337D3B" w:rsidP="0061204D">
            <w:pPr>
              <w:pStyle w:val="Box"/>
              <w:spacing w:before="0" w:line="120" w:lineRule="exact"/>
            </w:pPr>
          </w:p>
        </w:tc>
      </w:tr>
      <w:tr w:rsidR="00337D3B" w:rsidRPr="000863A5" w14:paraId="3363D62D" w14:textId="77777777" w:rsidTr="0061204D">
        <w:tc>
          <w:tcPr>
            <w:tcW w:w="5000" w:type="pct"/>
            <w:tcBorders>
              <w:top w:val="single" w:sz="6" w:space="0" w:color="78A22F"/>
              <w:left w:val="nil"/>
              <w:bottom w:val="nil"/>
              <w:right w:val="nil"/>
            </w:tcBorders>
          </w:tcPr>
          <w:p w14:paraId="3B22715D" w14:textId="732E7FE1" w:rsidR="00337D3B" w:rsidRPr="00626D32" w:rsidRDefault="00337D3B" w:rsidP="0061204D">
            <w:pPr>
              <w:pStyle w:val="BoxSpaceBelow"/>
            </w:pPr>
          </w:p>
        </w:tc>
      </w:tr>
    </w:tbl>
    <w:p w14:paraId="181C4A93" w14:textId="3C38EB64" w:rsidR="00337D3B" w:rsidRPr="005D6A85" w:rsidRDefault="00337D3B" w:rsidP="005D6A85">
      <w:pPr>
        <w:pStyle w:val="BodyText"/>
      </w:pPr>
      <w:r w:rsidRPr="005D6A85">
        <w:t xml:space="preserve">This chapter reports on the performance of police services covering the operations of the police agencies of each </w:t>
      </w:r>
      <w:r w:rsidR="005D6A85" w:rsidRPr="005D6A85">
        <w:t>State and Territory government.</w:t>
      </w:r>
    </w:p>
    <w:p w14:paraId="6EAB3191" w14:textId="77777777" w:rsidR="005D6A85" w:rsidRPr="005D6A85" w:rsidRDefault="005D6A85" w:rsidP="005D6A85">
      <w:pPr>
        <w:pStyle w:val="BodyText"/>
      </w:pPr>
      <w:r w:rsidRPr="005D6A85">
        <w:t xml:space="preserve">Further information on the Report on Government Services including other reported </w:t>
      </w:r>
      <w:r w:rsidRPr="005D6A85">
        <w:br/>
        <w:t>service areas, the glossary and list of abbreviations is available at https://www.pc.gov.au/research/ongoing/report-on-government-services.</w:t>
      </w:r>
    </w:p>
    <w:p w14:paraId="28E38B83" w14:textId="3D50B9F1" w:rsidR="00337D3B" w:rsidRPr="00583ADC" w:rsidRDefault="00337D3B" w:rsidP="00583ADC">
      <w:pPr>
        <w:pStyle w:val="Heading2"/>
      </w:pPr>
      <w:r w:rsidRPr="00583ADC">
        <w:t>6.</w:t>
      </w:r>
      <w:r w:rsidR="00183EEE">
        <w:rPr>
          <w:noProof/>
        </w:rPr>
        <w:t>1</w:t>
      </w:r>
      <w:r w:rsidRPr="00583ADC">
        <w:tab/>
        <w:t xml:space="preserve">Profile of police services </w:t>
      </w:r>
    </w:p>
    <w:p w14:paraId="3C6BDB1C" w14:textId="77777777" w:rsidR="00337D3B" w:rsidRDefault="00337D3B" w:rsidP="00337D3B">
      <w:pPr>
        <w:pStyle w:val="Heading3"/>
      </w:pPr>
      <w:r>
        <w:t>Service overview</w:t>
      </w:r>
    </w:p>
    <w:p w14:paraId="10C195B2" w14:textId="4A03B44B" w:rsidR="00337D3B" w:rsidRPr="00583ADC" w:rsidRDefault="00337D3B" w:rsidP="00583ADC">
      <w:pPr>
        <w:pStyle w:val="BodyText"/>
      </w:pPr>
      <w:r w:rsidRPr="00583ADC">
        <w:t>Police services are the principal means through which State and Territory governments pursue the achievement of a safe and secure environment for the community</w:t>
      </w:r>
      <w:r w:rsidR="008E729F">
        <w:t xml:space="preserve">. </w:t>
      </w:r>
      <w:r w:rsidRPr="00583ADC">
        <w:t>Across jurisdictions, police activity can be grouped into four broad activity areas:</w:t>
      </w:r>
    </w:p>
    <w:p w14:paraId="6D987CF1" w14:textId="77777777" w:rsidR="00337D3B" w:rsidRDefault="00337D3B" w:rsidP="00337D3B">
      <w:pPr>
        <w:pStyle w:val="ListBullet"/>
      </w:pPr>
      <w:r w:rsidRPr="002716D6">
        <w:rPr>
          <w:i/>
        </w:rPr>
        <w:t>Community safety</w:t>
      </w:r>
      <w:r>
        <w:t xml:space="preserve"> – preserving public order and promoting a safer community</w:t>
      </w:r>
    </w:p>
    <w:p w14:paraId="0DFE1AFF" w14:textId="77777777" w:rsidR="00337D3B" w:rsidRDefault="00337D3B" w:rsidP="00337D3B">
      <w:pPr>
        <w:pStyle w:val="ListBullet"/>
      </w:pPr>
      <w:r w:rsidRPr="002716D6">
        <w:rPr>
          <w:i/>
        </w:rPr>
        <w:t>Crime</w:t>
      </w:r>
      <w:r>
        <w:t xml:space="preserve"> – investigating crime and identifying and apprehending offenders</w:t>
      </w:r>
    </w:p>
    <w:p w14:paraId="685E5C69" w14:textId="77777777" w:rsidR="00337D3B" w:rsidRDefault="00337D3B" w:rsidP="00337D3B">
      <w:pPr>
        <w:pStyle w:val="ListBullet"/>
      </w:pPr>
      <w:r w:rsidRPr="002716D6">
        <w:rPr>
          <w:i/>
        </w:rPr>
        <w:t>Road safety</w:t>
      </w:r>
      <w:r>
        <w:t xml:space="preserve"> – targeted operations to reduce the incidence of traffic offences and through attendance at, and investigation of, road traffic collisions and incidents</w:t>
      </w:r>
    </w:p>
    <w:p w14:paraId="070C15B2" w14:textId="77777777" w:rsidR="00337D3B" w:rsidRDefault="00337D3B" w:rsidP="00337D3B">
      <w:pPr>
        <w:pStyle w:val="ListBullet"/>
      </w:pPr>
      <w:r w:rsidRPr="002716D6">
        <w:rPr>
          <w:i/>
        </w:rPr>
        <w:lastRenderedPageBreak/>
        <w:t>Judicial services</w:t>
      </w:r>
      <w:r>
        <w:t xml:space="preserve"> – support to the judicial process including the provision of safe custody for alleged offenders. </w:t>
      </w:r>
    </w:p>
    <w:p w14:paraId="75A8F034" w14:textId="2C9AE7B3" w:rsidR="00337D3B" w:rsidRDefault="00337D3B" w:rsidP="00337D3B">
      <w:pPr>
        <w:pStyle w:val="BodyText"/>
      </w:pPr>
      <w:r>
        <w:t>Police services also respond to more general needs in the community — for example, working with emergency management organisations and a wide range of government services and community groups, an</w:t>
      </w:r>
      <w:r w:rsidR="008E729F">
        <w:t xml:space="preserve">d advising on general policing </w:t>
      </w:r>
      <w:r>
        <w:t xml:space="preserve">issues. </w:t>
      </w:r>
    </w:p>
    <w:p w14:paraId="6D13F0FA" w14:textId="77777777" w:rsidR="00337D3B" w:rsidRDefault="00337D3B" w:rsidP="00337D3B">
      <w:pPr>
        <w:pStyle w:val="Heading3"/>
      </w:pPr>
      <w:r>
        <w:t>Roles and responsibilities</w:t>
      </w:r>
    </w:p>
    <w:p w14:paraId="31108ADA" w14:textId="524EE6B1" w:rsidR="00337D3B" w:rsidRDefault="00337D3B" w:rsidP="00337D3B">
      <w:pPr>
        <w:pStyle w:val="BodyText"/>
      </w:pPr>
      <w:r>
        <w:t>Polic</w:t>
      </w:r>
      <w:r w:rsidR="00143225">
        <w:t>e s</w:t>
      </w:r>
      <w:r>
        <w:t xml:space="preserve">ervices are predominantly the responsibility of State and Territory government agencies. They include the ACT community policing function performed by the </w:t>
      </w:r>
      <w:r w:rsidRPr="00F16AB0">
        <w:t>Australian Federal Police (AFP)</w:t>
      </w:r>
      <w:r>
        <w:t xml:space="preserve"> under an arrangement between the ACT and the Commonwealth Minister for Justice. </w:t>
      </w:r>
    </w:p>
    <w:p w14:paraId="62AB938D" w14:textId="0F88567C" w:rsidR="00337D3B" w:rsidRDefault="00337D3B" w:rsidP="00337D3B">
      <w:pPr>
        <w:pStyle w:val="BodyText"/>
      </w:pPr>
      <w:r>
        <w:t xml:space="preserve">The Australian Government is responsible for the </w:t>
      </w:r>
      <w:r w:rsidRPr="009B1FCF">
        <w:t>AFP</w:t>
      </w:r>
      <w:r>
        <w:t>.</w:t>
      </w:r>
      <w:r w:rsidRPr="000436DB">
        <w:t xml:space="preserve"> </w:t>
      </w:r>
      <w:r>
        <w:t>Data for t</w:t>
      </w:r>
      <w:r w:rsidRPr="009B1FCF">
        <w:t xml:space="preserve">he national policing function of the </w:t>
      </w:r>
      <w:r>
        <w:t xml:space="preserve">AFP </w:t>
      </w:r>
      <w:r w:rsidRPr="009B1FCF">
        <w:t>and other national non</w:t>
      </w:r>
      <w:r>
        <w:noBreakHyphen/>
      </w:r>
      <w:r w:rsidRPr="009B1FCF">
        <w:t xml:space="preserve">police law enforcement bodies (such as the Australian </w:t>
      </w:r>
      <w:r w:rsidR="003A202E" w:rsidRPr="003A202E">
        <w:t>Criminal Intelligence Commission</w:t>
      </w:r>
      <w:r w:rsidRPr="009B1FCF">
        <w:t>) are not included in this Report</w:t>
      </w:r>
      <w:r>
        <w:t>.</w:t>
      </w:r>
    </w:p>
    <w:p w14:paraId="6B487790" w14:textId="77777777" w:rsidR="00337D3B" w:rsidRDefault="00337D3B" w:rsidP="00337D3B">
      <w:pPr>
        <w:pStyle w:val="Heading3"/>
      </w:pPr>
      <w:r>
        <w:t>Funding</w:t>
      </w:r>
    </w:p>
    <w:p w14:paraId="561FCC5E" w14:textId="6CFFF3A9" w:rsidR="00337D3B" w:rsidRPr="0061204D" w:rsidRDefault="00337D3B" w:rsidP="00682ED2">
      <w:pPr>
        <w:pStyle w:val="BodyText"/>
        <w:rPr>
          <w:color w:val="000000" w:themeColor="text1"/>
        </w:rPr>
      </w:pPr>
      <w:r w:rsidRPr="0061204D">
        <w:rPr>
          <w:color w:val="000000" w:themeColor="text1"/>
        </w:rPr>
        <w:t>Funding for police services comes almost exclusively from State and Territory governments, with some limited specific purpose Australian Government grants. Nationally in 2017</w:t>
      </w:r>
      <w:r w:rsidRPr="0061204D">
        <w:rPr>
          <w:color w:val="000000" w:themeColor="text1"/>
        </w:rPr>
        <w:noBreakHyphen/>
        <w:t xml:space="preserve">18, total </w:t>
      </w:r>
      <w:r w:rsidRPr="00682ED2">
        <w:rPr>
          <w:color w:val="000000" w:themeColor="text1"/>
        </w:rPr>
        <w:t>real recurrent expenditure</w:t>
      </w:r>
      <w:r w:rsidR="002B4B0A" w:rsidRPr="00682ED2">
        <w:rPr>
          <w:color w:val="000000" w:themeColor="text1"/>
        </w:rPr>
        <w:t xml:space="preserve"> (including user cost of capital, less revenue from own source and payroll tax) </w:t>
      </w:r>
      <w:r w:rsidRPr="00682ED2">
        <w:rPr>
          <w:color w:val="000000" w:themeColor="text1"/>
        </w:rPr>
        <w:t>was</w:t>
      </w:r>
      <w:r w:rsidR="009801C9" w:rsidRPr="00682ED2">
        <w:rPr>
          <w:color w:val="000000" w:themeColor="text1"/>
        </w:rPr>
        <w:t xml:space="preserve"> $11.6 billion</w:t>
      </w:r>
      <w:r w:rsidRPr="0061204D">
        <w:rPr>
          <w:color w:val="000000" w:themeColor="text1"/>
        </w:rPr>
        <w:t xml:space="preserve"> (table 6A.1).</w:t>
      </w:r>
    </w:p>
    <w:p w14:paraId="1CF01222" w14:textId="77777777" w:rsidR="00337D3B" w:rsidRPr="0061204D" w:rsidRDefault="00337D3B" w:rsidP="00337D3B">
      <w:pPr>
        <w:pStyle w:val="Heading3"/>
        <w:rPr>
          <w:color w:val="000000" w:themeColor="text1"/>
        </w:rPr>
      </w:pPr>
      <w:r w:rsidRPr="0061204D">
        <w:rPr>
          <w:color w:val="000000" w:themeColor="text1"/>
        </w:rPr>
        <w:t>Size and scope of sector</w:t>
      </w:r>
    </w:p>
    <w:p w14:paraId="40F46FFA" w14:textId="77777777" w:rsidR="00337D3B" w:rsidRPr="00406F51" w:rsidRDefault="00337D3B" w:rsidP="00337D3B">
      <w:pPr>
        <w:pStyle w:val="Heading4"/>
      </w:pPr>
      <w:r w:rsidRPr="00406F51">
        <w:t>Client groups</w:t>
      </w:r>
    </w:p>
    <w:p w14:paraId="7C78AA8D" w14:textId="77777777" w:rsidR="00337D3B" w:rsidRPr="002C65DE" w:rsidRDefault="00337D3B" w:rsidP="002C65DE">
      <w:pPr>
        <w:pStyle w:val="BodyText"/>
      </w:pPr>
      <w:r w:rsidRPr="002C65DE">
        <w:t>Broadly, the entire community is a ‘client’ of the police. Some members of the community, who have more direct dealings with the police, can be considered specific client groups, for example:</w:t>
      </w:r>
    </w:p>
    <w:p w14:paraId="3C33D02B" w14:textId="77777777" w:rsidR="00337D3B" w:rsidRPr="002C65DE" w:rsidRDefault="00337D3B" w:rsidP="002C65DE">
      <w:pPr>
        <w:pStyle w:val="ListBullet"/>
      </w:pPr>
      <w:r w:rsidRPr="002C65DE">
        <w:t>victims of crime</w:t>
      </w:r>
    </w:p>
    <w:p w14:paraId="2AC5DFA8" w14:textId="77777777" w:rsidR="00337D3B" w:rsidRPr="002C65DE" w:rsidRDefault="00337D3B" w:rsidP="002C65DE">
      <w:pPr>
        <w:pStyle w:val="ListBullet"/>
      </w:pPr>
      <w:r w:rsidRPr="002C65DE">
        <w:t>those suspected of, or charged with, committing offences</w:t>
      </w:r>
      <w:r w:rsidRPr="008E729F">
        <w:rPr>
          <w:rStyle w:val="NoteLabel"/>
          <w:b w:val="0"/>
        </w:rPr>
        <w:footnoteReference w:id="1"/>
      </w:r>
    </w:p>
    <w:p w14:paraId="0422084D" w14:textId="77777777" w:rsidR="00337D3B" w:rsidRPr="002C65DE" w:rsidRDefault="00337D3B" w:rsidP="002C65DE">
      <w:pPr>
        <w:pStyle w:val="ListBullet"/>
      </w:pPr>
      <w:r w:rsidRPr="002C65DE">
        <w:t>those reporting criminal incidents</w:t>
      </w:r>
    </w:p>
    <w:p w14:paraId="28A52467" w14:textId="77777777" w:rsidR="00337D3B" w:rsidRPr="002C65DE" w:rsidRDefault="00337D3B" w:rsidP="002C65DE">
      <w:pPr>
        <w:pStyle w:val="ListBullet"/>
      </w:pPr>
      <w:r w:rsidRPr="002C65DE">
        <w:t>those involved in traffic</w:t>
      </w:r>
      <w:r w:rsidRPr="002C65DE">
        <w:noBreakHyphen/>
        <w:t>related incidents</w:t>
      </w:r>
    </w:p>
    <w:p w14:paraId="62724042" w14:textId="77777777" w:rsidR="00337D3B" w:rsidRPr="002C65DE" w:rsidRDefault="00337D3B" w:rsidP="002C65DE">
      <w:pPr>
        <w:pStyle w:val="ListBullet"/>
      </w:pPr>
      <w:r w:rsidRPr="002C65DE">
        <w:t>third parties (such as witnesses to crime and people reporting traffic accidents)</w:t>
      </w:r>
    </w:p>
    <w:p w14:paraId="541810B2" w14:textId="4B3C731D" w:rsidR="00337D3B" w:rsidRPr="002C65DE" w:rsidRDefault="008E729F" w:rsidP="002C65DE">
      <w:pPr>
        <w:pStyle w:val="ListBullet"/>
      </w:pPr>
      <w:r>
        <w:lastRenderedPageBreak/>
        <w:t>those</w:t>
      </w:r>
      <w:r w:rsidR="00337D3B" w:rsidRPr="002C65DE">
        <w:t xml:space="preserve"> requiring police services for non</w:t>
      </w:r>
      <w:r w:rsidR="00337D3B" w:rsidRPr="002C65DE">
        <w:noBreakHyphen/>
        <w:t>crime</w:t>
      </w:r>
      <w:r w:rsidR="00337D3B" w:rsidRPr="002C65DE">
        <w:noBreakHyphen/>
        <w:t>related matters.</w:t>
      </w:r>
    </w:p>
    <w:p w14:paraId="3A456C02" w14:textId="77777777" w:rsidR="00337D3B" w:rsidRDefault="00337D3B" w:rsidP="00337D3B">
      <w:pPr>
        <w:pStyle w:val="Heading4"/>
      </w:pPr>
      <w:r>
        <w:t>Staffing</w:t>
      </w:r>
    </w:p>
    <w:p w14:paraId="144D5F6C" w14:textId="77777777" w:rsidR="00337D3B" w:rsidRPr="002C65DE" w:rsidRDefault="00337D3B" w:rsidP="002C65DE">
      <w:pPr>
        <w:pStyle w:val="BodyText"/>
      </w:pPr>
      <w:r w:rsidRPr="002C65DE">
        <w:t>Police staff may be categorised in two different ways:</w:t>
      </w:r>
    </w:p>
    <w:p w14:paraId="77526BC7" w14:textId="05038758" w:rsidR="00337D3B" w:rsidRPr="002C65DE" w:rsidRDefault="00337D3B" w:rsidP="002C65DE">
      <w:pPr>
        <w:pStyle w:val="ListBullet"/>
      </w:pPr>
      <w:r w:rsidRPr="002C65DE">
        <w:t>b</w:t>
      </w:r>
      <w:r w:rsidR="002C65DE" w:rsidRPr="002C65DE">
        <w:t>y</w:t>
      </w:r>
      <w:r w:rsidRPr="002C65DE">
        <w:t xml:space="preserve"> ‘sworn’ status — sworn police officers exercise police powers, including the power to arrest, summons, caution, detain, fingerprint and search. Specialised activities may be outsourced or undertaken by administrative (unsworn) staff. </w:t>
      </w:r>
    </w:p>
    <w:p w14:paraId="2FFD9E51" w14:textId="77777777" w:rsidR="00337D3B" w:rsidRPr="002C65DE" w:rsidRDefault="00337D3B" w:rsidP="002C65DE">
      <w:pPr>
        <w:pStyle w:val="ListBullet"/>
      </w:pPr>
      <w:r w:rsidRPr="002C65DE">
        <w:t>by operational status — an operational police staff member is any member (sworn or unsworn) whose primary duty is the delivery of police or police</w:t>
      </w:r>
      <w:r w:rsidRPr="002C65DE">
        <w:noBreakHyphen/>
        <w:t xml:space="preserve">related services to an external client (where an external client predominately refers to members of the public but may also include law enforcement outputs delivered to other government departments). </w:t>
      </w:r>
    </w:p>
    <w:p w14:paraId="143BEBF6" w14:textId="233CBE20" w:rsidR="00A14297" w:rsidRPr="002C65DE" w:rsidRDefault="00337D3B" w:rsidP="002C65DE">
      <w:pPr>
        <w:pStyle w:val="BodyText"/>
      </w:pPr>
      <w:r w:rsidRPr="002C65DE">
        <w:t>Operational status is considered the better estimate for the number of police staff actively engaged in the delivery of police</w:t>
      </w:r>
      <w:r w:rsidRPr="002C65DE">
        <w:noBreakHyphen/>
        <w:t>related services. Nationally in 2017</w:t>
      </w:r>
      <w:r w:rsidRPr="002C65DE">
        <w:noBreakHyphen/>
        <w:t>18, 92.2 per cent of the 74 330 police staff were operational (</w:t>
      </w:r>
      <w:r w:rsidRPr="00F2238A">
        <w:t>an increase from 90.7 per cent in 2013-14</w:t>
      </w:r>
      <w:r w:rsidRPr="002C65DE">
        <w:t>). This equates to 277 per 100 000 people, but varies across jurisdictions, in part, due to differing operating environments (figure 6.1 and table 6A.3).</w:t>
      </w:r>
      <w:r w:rsidR="00F72498" w:rsidRPr="002C65DE">
        <w:t xml:space="preserve"> </w:t>
      </w:r>
    </w:p>
    <w:p w14:paraId="567432CC" w14:textId="0E357609" w:rsidR="00467565" w:rsidRDefault="00467565" w:rsidP="00036A5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67565" w14:paraId="673538F3" w14:textId="77777777" w:rsidTr="00036A5C">
        <w:trPr>
          <w:tblHeader/>
        </w:trPr>
        <w:tc>
          <w:tcPr>
            <w:tcW w:w="5000" w:type="pct"/>
            <w:tcBorders>
              <w:top w:val="single" w:sz="6" w:space="0" w:color="78A22F"/>
              <w:left w:val="nil"/>
              <w:bottom w:val="nil"/>
              <w:right w:val="nil"/>
            </w:tcBorders>
            <w:shd w:val="clear" w:color="auto" w:fill="auto"/>
          </w:tcPr>
          <w:p w14:paraId="65181046" w14:textId="29514576" w:rsidR="00467565" w:rsidRPr="00176D3F" w:rsidRDefault="00467565" w:rsidP="00467565">
            <w:pPr>
              <w:pStyle w:val="FigureTitle"/>
            </w:pPr>
            <w:r w:rsidRPr="00784A05">
              <w:rPr>
                <w:b w:val="0"/>
              </w:rPr>
              <w:t xml:space="preserve">Figure </w:t>
            </w:r>
            <w:r>
              <w:rPr>
                <w:b w:val="0"/>
              </w:rPr>
              <w:t>6.</w:t>
            </w:r>
            <w:r w:rsidR="00183EEE">
              <w:rPr>
                <w:b w:val="0"/>
                <w:noProof/>
              </w:rPr>
              <w:t>1</w:t>
            </w:r>
            <w:r>
              <w:tab/>
              <w:t>Police staff per 100 000 people</w:t>
            </w:r>
            <w:r w:rsidRPr="00C8495E">
              <w:rPr>
                <w:rStyle w:val="NoteLabel"/>
                <w:b/>
              </w:rPr>
              <w:t>a</w:t>
            </w:r>
          </w:p>
        </w:tc>
      </w:tr>
      <w:tr w:rsidR="00467565" w14:paraId="64EF8C0E" w14:textId="77777777" w:rsidTr="00036A5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FC000" w:themeColor="accent4"/>
                <w:bottom w:val="single" w:sz="6" w:space="0" w:color="FFC000"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467565" w:rsidRPr="00B1465D" w14:paraId="6AF2F13E" w14:textId="77777777" w:rsidTr="00036A5C">
              <w:trPr>
                <w:tblHeader/>
                <w:jc w:val="center"/>
              </w:trPr>
              <w:tc>
                <w:tcPr>
                  <w:tcW w:w="5000" w:type="pct"/>
                  <w:tcBorders>
                    <w:top w:val="nil"/>
                    <w:bottom w:val="nil"/>
                  </w:tcBorders>
                </w:tcPr>
                <w:p w14:paraId="7FD6B537" w14:textId="05B6A868" w:rsidR="00467565" w:rsidRPr="00583ADC" w:rsidRDefault="00415A23" w:rsidP="00583ADC">
                  <w:pPr>
                    <w:pStyle w:val="Figure"/>
                  </w:pPr>
                  <w:r>
                    <w:rPr>
                      <w:noProof/>
                    </w:rPr>
                    <w:drawing>
                      <wp:inline distT="0" distB="0" distL="0" distR="0" wp14:anchorId="483C568D" wp14:editId="197697E4">
                        <wp:extent cx="5553710" cy="2773680"/>
                        <wp:effectExtent l="0" t="0" r="8890" b="7620"/>
                        <wp:docPr id="22" name="Picture 22" descr="Figure 6.1 Police staff per 100 000 people&#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3710" cy="2773680"/>
                                </a:xfrm>
                                <a:prstGeom prst="rect">
                                  <a:avLst/>
                                </a:prstGeom>
                                <a:noFill/>
                              </pic:spPr>
                            </pic:pic>
                          </a:graphicData>
                        </a:graphic>
                      </wp:inline>
                    </w:drawing>
                  </w:r>
                </w:p>
              </w:tc>
            </w:tr>
          </w:tbl>
          <w:p w14:paraId="051DD7E1" w14:textId="77777777" w:rsidR="00467565" w:rsidRDefault="00467565" w:rsidP="00036A5C">
            <w:pPr>
              <w:pStyle w:val="Figure"/>
            </w:pPr>
          </w:p>
        </w:tc>
      </w:tr>
      <w:tr w:rsidR="00467565" w:rsidRPr="00176D3F" w14:paraId="3B78CC88" w14:textId="77777777" w:rsidTr="00036A5C">
        <w:tc>
          <w:tcPr>
            <w:tcW w:w="5000" w:type="pct"/>
            <w:tcBorders>
              <w:top w:val="nil"/>
              <w:left w:val="nil"/>
              <w:bottom w:val="nil"/>
              <w:right w:val="nil"/>
            </w:tcBorders>
            <w:shd w:val="clear" w:color="auto" w:fill="auto"/>
          </w:tcPr>
          <w:p w14:paraId="54DCF390" w14:textId="65B2ED28" w:rsidR="00467565" w:rsidRPr="00176D3F" w:rsidRDefault="00467565" w:rsidP="00467565">
            <w:pPr>
              <w:pStyle w:val="Note"/>
            </w:pPr>
            <w:r>
              <w:rPr>
                <w:rStyle w:val="NoteLabel"/>
              </w:rPr>
              <w:t>a</w:t>
            </w:r>
            <w:r>
              <w:t xml:space="preserve"> See table 6A.3 for detailed footnotes and caveats.</w:t>
            </w:r>
          </w:p>
        </w:tc>
      </w:tr>
      <w:tr w:rsidR="00467565" w:rsidRPr="00176D3F" w14:paraId="7642A161" w14:textId="77777777" w:rsidTr="00036A5C">
        <w:tc>
          <w:tcPr>
            <w:tcW w:w="5000" w:type="pct"/>
            <w:tcBorders>
              <w:top w:val="nil"/>
              <w:left w:val="nil"/>
              <w:bottom w:val="nil"/>
              <w:right w:val="nil"/>
            </w:tcBorders>
            <w:shd w:val="clear" w:color="auto" w:fill="auto"/>
          </w:tcPr>
          <w:p w14:paraId="244B427E" w14:textId="15532C8B" w:rsidR="00467565" w:rsidRPr="00176D3F" w:rsidRDefault="00467565" w:rsidP="00036A5C">
            <w:pPr>
              <w:pStyle w:val="Source"/>
            </w:pPr>
            <w:r>
              <w:rPr>
                <w:i/>
              </w:rPr>
              <w:t>S</w:t>
            </w:r>
            <w:r w:rsidRPr="00784A05">
              <w:rPr>
                <w:i/>
              </w:rPr>
              <w:t>ource</w:t>
            </w:r>
            <w:r w:rsidRPr="00176D3F">
              <w:t xml:space="preserve">: </w:t>
            </w:r>
            <w:r>
              <w:t xml:space="preserve">State and Territory governments (unpublished); table 6A.3; </w:t>
            </w:r>
            <w:r w:rsidRPr="008757BA">
              <w:t>ABS (201</w:t>
            </w:r>
            <w:r>
              <w:t>8</w:t>
            </w:r>
            <w:r w:rsidRPr="008757BA">
              <w:t xml:space="preserve">) </w:t>
            </w:r>
            <w:r w:rsidRPr="00CF1564">
              <w:rPr>
                <w:i/>
              </w:rPr>
              <w:t>Australian Demographic Statistics, December 201</w:t>
            </w:r>
            <w:r>
              <w:rPr>
                <w:i/>
              </w:rPr>
              <w:t>7</w:t>
            </w:r>
            <w:r w:rsidRPr="008757BA">
              <w:t>, Cat. no. 3101.0; table 2A.</w:t>
            </w:r>
            <w:r>
              <w:t>2.</w:t>
            </w:r>
          </w:p>
        </w:tc>
      </w:tr>
      <w:tr w:rsidR="00467565" w14:paraId="33295FAA" w14:textId="77777777" w:rsidTr="00036A5C">
        <w:tc>
          <w:tcPr>
            <w:tcW w:w="5000" w:type="pct"/>
            <w:tcBorders>
              <w:top w:val="nil"/>
              <w:left w:val="nil"/>
              <w:bottom w:val="single" w:sz="6" w:space="0" w:color="78A22F"/>
              <w:right w:val="nil"/>
            </w:tcBorders>
            <w:shd w:val="clear" w:color="auto" w:fill="auto"/>
          </w:tcPr>
          <w:p w14:paraId="7535FC9F" w14:textId="77777777" w:rsidR="00467565" w:rsidRDefault="00467565" w:rsidP="00036A5C">
            <w:pPr>
              <w:pStyle w:val="Figurespace"/>
            </w:pPr>
          </w:p>
        </w:tc>
      </w:tr>
      <w:tr w:rsidR="00467565" w:rsidRPr="000863A5" w14:paraId="405C791E" w14:textId="77777777" w:rsidTr="00036A5C">
        <w:tc>
          <w:tcPr>
            <w:tcW w:w="5000" w:type="pct"/>
            <w:tcBorders>
              <w:top w:val="single" w:sz="6" w:space="0" w:color="78A22F"/>
              <w:left w:val="nil"/>
              <w:bottom w:val="nil"/>
              <w:right w:val="nil"/>
            </w:tcBorders>
          </w:tcPr>
          <w:p w14:paraId="5547D8FE" w14:textId="33FDF396" w:rsidR="00467565" w:rsidRPr="00626D32" w:rsidRDefault="00467565" w:rsidP="00036A5C">
            <w:pPr>
              <w:pStyle w:val="BoxSpaceBelow"/>
            </w:pPr>
          </w:p>
        </w:tc>
      </w:tr>
    </w:tbl>
    <w:p w14:paraId="00F786AB" w14:textId="77777777" w:rsidR="00337D3B" w:rsidRPr="00F2238A" w:rsidRDefault="00337D3B" w:rsidP="00F2238A">
      <w:pPr>
        <w:pStyle w:val="Heading4"/>
      </w:pPr>
      <w:r w:rsidRPr="00F2238A">
        <w:lastRenderedPageBreak/>
        <w:t>Responsiveness</w:t>
      </w:r>
    </w:p>
    <w:p w14:paraId="32F6090E" w14:textId="77777777" w:rsidR="00337D3B" w:rsidRDefault="00337D3B" w:rsidP="00DA6984">
      <w:pPr>
        <w:pStyle w:val="BodyText"/>
      </w:pPr>
      <w:r w:rsidRPr="00F2238A">
        <w:t>The responsiveness of police to calls for assistance is critical to the effectiveness of police services. Although the Steering Committee considers nationally comparable response times reporting a priority for this Report, currently there is no consistent public reporting of response times across states and territories. Publicly available data are in box 6.1</w:t>
      </w:r>
      <w:r w:rsidRPr="00DA6984">
        <w:t>.</w:t>
      </w:r>
    </w:p>
    <w:p w14:paraId="679CA668" w14:textId="5276AEF0" w:rsidR="00682ED2" w:rsidRDefault="00682ED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82ED2" w14:paraId="0B78E0A8" w14:textId="77777777" w:rsidTr="00AE742B">
        <w:trPr>
          <w:tblHeader/>
        </w:trPr>
        <w:tc>
          <w:tcPr>
            <w:tcW w:w="5000" w:type="pct"/>
            <w:tcBorders>
              <w:top w:val="single" w:sz="6" w:space="0" w:color="78A22F"/>
              <w:left w:val="nil"/>
              <w:bottom w:val="nil"/>
              <w:right w:val="nil"/>
            </w:tcBorders>
            <w:shd w:val="clear" w:color="auto" w:fill="F2F2F2"/>
          </w:tcPr>
          <w:p w14:paraId="7FA8D824" w14:textId="092D9D9F" w:rsidR="00682ED2" w:rsidRDefault="00682ED2" w:rsidP="00682ED2">
            <w:pPr>
              <w:pStyle w:val="BoxTitle"/>
            </w:pPr>
            <w:r>
              <w:rPr>
                <w:b w:val="0"/>
              </w:rPr>
              <w:t xml:space="preserve">Box 6.1 </w:t>
            </w:r>
            <w:r>
              <w:tab/>
              <w:t>Police response times</w:t>
            </w:r>
          </w:p>
        </w:tc>
      </w:tr>
      <w:tr w:rsidR="00682ED2" w14:paraId="76310F7B" w14:textId="77777777" w:rsidTr="00AE742B">
        <w:tc>
          <w:tcPr>
            <w:tcW w:w="5000" w:type="pct"/>
            <w:tcBorders>
              <w:top w:val="nil"/>
              <w:left w:val="nil"/>
              <w:bottom w:val="nil"/>
              <w:right w:val="nil"/>
            </w:tcBorders>
            <w:shd w:val="clear" w:color="auto" w:fill="F2F2F2"/>
          </w:tcPr>
          <w:p w14:paraId="264D38E1" w14:textId="0FEB9ED2" w:rsidR="00682ED2" w:rsidRPr="00F2238A" w:rsidRDefault="00682ED2" w:rsidP="00682ED2">
            <w:pPr>
              <w:pStyle w:val="Box"/>
            </w:pPr>
            <w:r w:rsidRPr="00F2238A">
              <w:t xml:space="preserve">NSW, Qld, WA, SA and ACT police </w:t>
            </w:r>
            <w:r w:rsidR="008E729F" w:rsidRPr="00F2238A">
              <w:t>publish response times</w:t>
            </w:r>
            <w:r w:rsidRPr="00F2238A">
              <w:t xml:space="preserve"> data in annual reports. Other </w:t>
            </w:r>
            <w:r w:rsidRPr="00DA6984">
              <w:t>jurisdictions do</w:t>
            </w:r>
            <w:r w:rsidRPr="00F2238A">
              <w:t xml:space="preserve"> not report response times as part of their corporate reporting, and have advised they are unable to provide these data for this Report.</w:t>
            </w:r>
          </w:p>
          <w:p w14:paraId="7B8BE3BB" w14:textId="3DB550E0" w:rsidR="00682ED2" w:rsidRPr="00F2238A" w:rsidRDefault="00682ED2" w:rsidP="00682ED2">
            <w:pPr>
              <w:pStyle w:val="Box"/>
            </w:pPr>
            <w:r w:rsidRPr="00DA6984">
              <w:t>NSW Police report the number of urgent (imminent threat to life or property) response calls and the percentage attended within a target time of 12 minutes. In 201</w:t>
            </w:r>
            <w:r>
              <w:t>7</w:t>
            </w:r>
            <w:r w:rsidRPr="00DA6984">
              <w:noBreakHyphen/>
              <w:t>1</w:t>
            </w:r>
            <w:r>
              <w:t xml:space="preserve">8, </w:t>
            </w:r>
            <w:r w:rsidRPr="00DA6984">
              <w:t>NSW Police responded to</w:t>
            </w:r>
            <w:r w:rsidR="008E729F">
              <w:t xml:space="preserve"> 125 </w:t>
            </w:r>
            <w:r>
              <w:t xml:space="preserve">572 </w:t>
            </w:r>
            <w:r w:rsidRPr="00DA6984">
              <w:t>urgent response calls, attending 78.</w:t>
            </w:r>
            <w:r>
              <w:t>9</w:t>
            </w:r>
            <w:r w:rsidRPr="00DA6984">
              <w:t xml:space="preserve"> per cent of urgent duty jobs within the 12 minute target time</w:t>
            </w:r>
            <w:r w:rsidRPr="00F2238A">
              <w:t xml:space="preserve">. </w:t>
            </w:r>
          </w:p>
          <w:p w14:paraId="40AC6E86" w14:textId="606C2A05" w:rsidR="00682ED2" w:rsidRDefault="00682ED2" w:rsidP="00682ED2">
            <w:pPr>
              <w:pStyle w:val="Box"/>
            </w:pPr>
            <w:r w:rsidRPr="00DA6984">
              <w:t>Queensland Police report the percentage of code 1 and code 2 incidents attended within 12</w:t>
            </w:r>
            <w:r w:rsidR="002E5813">
              <w:t> </w:t>
            </w:r>
            <w:r w:rsidRPr="00DA6984">
              <w:t>minutes. Data includes geographic areas covered by the Queensland Computer Aided Dispatch (CAD) System. Code 1 and 2 incidents include very urgent matters when danger to human life is imminent and urgent matters involving injury or present threat of injury to person or property. In 2017-18, Queensland Police attended 84 per cent of urgent matters within the 12</w:t>
            </w:r>
            <w:r w:rsidR="002E5813">
              <w:t> </w:t>
            </w:r>
            <w:r w:rsidRPr="00DA6984">
              <w:t>minute target time</w:t>
            </w:r>
            <w:r w:rsidRPr="00F2238A">
              <w:t xml:space="preserve">. </w:t>
            </w:r>
          </w:p>
          <w:p w14:paraId="7162F8F5" w14:textId="46EC9A24" w:rsidR="00F2238A" w:rsidRDefault="00F2238A" w:rsidP="00682ED2">
            <w:pPr>
              <w:pStyle w:val="Box"/>
            </w:pPr>
            <w:r>
              <w:t xml:space="preserve">WA Police aim to respond to 80 per cent of priority 1 and 2 incidents – situations that require urgent attendance and include an imminent threat to life, serious offence or incident in progress – within 12 minutes in the Perth metropolitan area, and reported 83.3 per cent meeting this target in 2017-18. The target for priority 3 incidents – situations that require routine attendance and include an offence in progress/suspect at scene or the preservation of evidence – is 80 per cent within 60 minutes in the Perth metropolitan area (83.5 per cent achieved in 2017-18). </w:t>
            </w:r>
          </w:p>
          <w:p w14:paraId="7DE24239" w14:textId="17643D78" w:rsidR="00F2238A" w:rsidRDefault="00F2238A" w:rsidP="00682ED2">
            <w:pPr>
              <w:pStyle w:val="Box"/>
            </w:pPr>
            <w:r>
              <w:t xml:space="preserve">SA Police reported that 91.1 per cent of Grade 1 </w:t>
            </w:r>
            <w:proofErr w:type="spellStart"/>
            <w:r>
              <w:t>taskings</w:t>
            </w:r>
            <w:proofErr w:type="spellEnd"/>
            <w:r>
              <w:t xml:space="preserve"> in the metropolitan area were responded to within 15 minutes in 2017-18. The target is 80 per cent or above.</w:t>
            </w:r>
          </w:p>
          <w:p w14:paraId="2518D056" w14:textId="77777777" w:rsidR="00F2238A" w:rsidRDefault="00F2238A" w:rsidP="00682ED2">
            <w:pPr>
              <w:pStyle w:val="Box"/>
            </w:pPr>
            <w:r>
              <w:t>ACT Police report response time targets for three incident categories:</w:t>
            </w:r>
          </w:p>
          <w:p w14:paraId="5174FBC5" w14:textId="07DE2231" w:rsidR="00F2238A" w:rsidRDefault="00F2238A" w:rsidP="00F2238A">
            <w:pPr>
              <w:pStyle w:val="BoxListBullet"/>
            </w:pPr>
            <w:r>
              <w:t>Priority One incidents (life threatening or critical situations) are 80 per cent or more of responses within 10 minutes (83.8 per cent achieved in 2017-18).</w:t>
            </w:r>
          </w:p>
          <w:p w14:paraId="0E80E554" w14:textId="70178173" w:rsidR="00F2238A" w:rsidRDefault="00F2238A" w:rsidP="00F2238A">
            <w:pPr>
              <w:pStyle w:val="BoxListBullet"/>
            </w:pPr>
            <w:r>
              <w:t xml:space="preserve">Priority Two incidents (situations where the information provided indicates that time is important but not critical) are 80 per cent within 20 minutes (77.7 per cent achieved in </w:t>
            </w:r>
            <w:r>
              <w:br/>
              <w:t>2017-18)</w:t>
            </w:r>
          </w:p>
          <w:p w14:paraId="374F3F02" w14:textId="6F98EC61" w:rsidR="00682ED2" w:rsidRDefault="00F2238A" w:rsidP="00F2238A">
            <w:pPr>
              <w:pStyle w:val="BoxListBullet"/>
            </w:pPr>
            <w:r>
              <w:t>Priority Three incidents (situations where there is no immediate danger to safety or property but police attendance or response is needed no later than 48 hours from the initial contact by the complainant or a time agreed with the complainant) is 90 per cent within 48 hours (99.0 per cent achieved in 2017-18).</w:t>
            </w:r>
          </w:p>
        </w:tc>
      </w:tr>
      <w:tr w:rsidR="00682ED2" w14:paraId="564ECA28" w14:textId="77777777" w:rsidTr="00AE742B">
        <w:tc>
          <w:tcPr>
            <w:tcW w:w="5000" w:type="pct"/>
            <w:tcBorders>
              <w:top w:val="nil"/>
              <w:left w:val="nil"/>
              <w:bottom w:val="nil"/>
              <w:right w:val="nil"/>
            </w:tcBorders>
            <w:shd w:val="clear" w:color="auto" w:fill="F2F2F2"/>
          </w:tcPr>
          <w:p w14:paraId="532BE721" w14:textId="0B040554" w:rsidR="00682ED2" w:rsidRDefault="00682ED2" w:rsidP="00682ED2">
            <w:pPr>
              <w:pStyle w:val="BoxSource"/>
            </w:pPr>
            <w:r>
              <w:rPr>
                <w:i/>
              </w:rPr>
              <w:t>Source</w:t>
            </w:r>
            <w:r w:rsidRPr="00167F06">
              <w:t xml:space="preserve">: </w:t>
            </w:r>
            <w:r>
              <w:t>State and Territory government Annual Reports.</w:t>
            </w:r>
          </w:p>
        </w:tc>
      </w:tr>
      <w:tr w:rsidR="00682ED2" w14:paraId="65BF551E" w14:textId="77777777" w:rsidTr="00AE742B">
        <w:tc>
          <w:tcPr>
            <w:tcW w:w="5000" w:type="pct"/>
            <w:tcBorders>
              <w:top w:val="nil"/>
              <w:left w:val="nil"/>
              <w:bottom w:val="single" w:sz="6" w:space="0" w:color="78A22F"/>
              <w:right w:val="nil"/>
            </w:tcBorders>
            <w:shd w:val="clear" w:color="auto" w:fill="F2F2F2"/>
          </w:tcPr>
          <w:p w14:paraId="27AE5353" w14:textId="77777777" w:rsidR="00682ED2" w:rsidRDefault="00682ED2">
            <w:pPr>
              <w:pStyle w:val="Box"/>
              <w:spacing w:before="0" w:line="120" w:lineRule="exact"/>
            </w:pPr>
          </w:p>
        </w:tc>
      </w:tr>
      <w:tr w:rsidR="00682ED2" w:rsidRPr="000863A5" w14:paraId="14BFEAFB" w14:textId="77777777" w:rsidTr="00AE742B">
        <w:tc>
          <w:tcPr>
            <w:tcW w:w="5000" w:type="pct"/>
            <w:tcBorders>
              <w:top w:val="single" w:sz="6" w:space="0" w:color="78A22F"/>
              <w:left w:val="nil"/>
              <w:bottom w:val="nil"/>
              <w:right w:val="nil"/>
            </w:tcBorders>
          </w:tcPr>
          <w:p w14:paraId="7831420D" w14:textId="2E220142" w:rsidR="00682ED2" w:rsidRPr="00626D32" w:rsidRDefault="00682ED2" w:rsidP="00AE742B">
            <w:pPr>
              <w:pStyle w:val="BoxSpaceBelow"/>
            </w:pPr>
          </w:p>
        </w:tc>
      </w:tr>
    </w:tbl>
    <w:p w14:paraId="0C015252" w14:textId="2E944526" w:rsidR="00337D3B" w:rsidRDefault="00337D3B" w:rsidP="00337D3B">
      <w:pPr>
        <w:pStyle w:val="Heading2"/>
      </w:pPr>
      <w:r>
        <w:lastRenderedPageBreak/>
        <w:t>6.</w:t>
      </w:r>
      <w:r w:rsidR="00183EEE">
        <w:rPr>
          <w:noProof/>
        </w:rPr>
        <w:t>2</w:t>
      </w:r>
      <w:r>
        <w:tab/>
        <w:t>Framework of performance indicators</w:t>
      </w:r>
    </w:p>
    <w:p w14:paraId="29BFD79A" w14:textId="77777777" w:rsidR="00337D3B" w:rsidRPr="001F060F" w:rsidRDefault="00337D3B" w:rsidP="001F060F">
      <w:pPr>
        <w:pStyle w:val="BodyText"/>
      </w:pPr>
      <w:r w:rsidRPr="001F060F">
        <w:t>The framework of performance indicators is based on governments’ common objectives for police services (box 6.2).</w:t>
      </w:r>
    </w:p>
    <w:p w14:paraId="3FBF082D" w14:textId="63C762C9" w:rsidR="00337D3B" w:rsidRDefault="00337D3B" w:rsidP="00337D3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37D3B" w14:paraId="674A1759" w14:textId="77777777" w:rsidTr="0061204D">
        <w:trPr>
          <w:tblHeader/>
        </w:trPr>
        <w:tc>
          <w:tcPr>
            <w:tcW w:w="5000" w:type="pct"/>
            <w:tcBorders>
              <w:top w:val="single" w:sz="6" w:space="0" w:color="78A22F"/>
              <w:left w:val="nil"/>
              <w:bottom w:val="nil"/>
              <w:right w:val="nil"/>
            </w:tcBorders>
            <w:shd w:val="clear" w:color="auto" w:fill="F2F2F2"/>
          </w:tcPr>
          <w:p w14:paraId="1EA97DC1" w14:textId="72A1F58A" w:rsidR="00337D3B" w:rsidRDefault="00337D3B" w:rsidP="008E729F">
            <w:pPr>
              <w:pStyle w:val="BoxTitle"/>
            </w:pPr>
            <w:r>
              <w:rPr>
                <w:b w:val="0"/>
              </w:rPr>
              <w:t>Box 6.</w:t>
            </w:r>
            <w:r w:rsidR="008E729F">
              <w:rPr>
                <w:b w:val="0"/>
              </w:rPr>
              <w:t>2</w:t>
            </w:r>
            <w:r>
              <w:tab/>
              <w:t>Objectives for police services</w:t>
            </w:r>
          </w:p>
        </w:tc>
      </w:tr>
      <w:tr w:rsidR="00337D3B" w14:paraId="5FD5698F" w14:textId="77777777" w:rsidTr="0061204D">
        <w:tc>
          <w:tcPr>
            <w:tcW w:w="5000" w:type="pct"/>
            <w:tcBorders>
              <w:top w:val="nil"/>
              <w:left w:val="nil"/>
              <w:bottom w:val="nil"/>
              <w:right w:val="nil"/>
            </w:tcBorders>
            <w:shd w:val="clear" w:color="auto" w:fill="F2F2F2"/>
          </w:tcPr>
          <w:p w14:paraId="206EA10D" w14:textId="77777777" w:rsidR="00337D3B" w:rsidRPr="00B5211F" w:rsidRDefault="00337D3B" w:rsidP="0061204D">
            <w:pPr>
              <w:pStyle w:val="Box"/>
            </w:pPr>
            <w:r w:rsidRPr="00B5211F">
              <w:t>Police services aim to contribute to a safe and secure community that enables people to undertake their lawful pursuits confidently and safely. To achieve these aims, governments seek to provide police services that:</w:t>
            </w:r>
          </w:p>
          <w:p w14:paraId="4F2542E4" w14:textId="77777777" w:rsidR="00337D3B" w:rsidRPr="00F2238A" w:rsidRDefault="00337D3B" w:rsidP="004656E2">
            <w:pPr>
              <w:pStyle w:val="BoxListBullet"/>
              <w:rPr>
                <w:rStyle w:val="BoxChar"/>
              </w:rPr>
            </w:pPr>
            <w:r w:rsidRPr="004656E2">
              <w:t xml:space="preserve">are accessible, and responsive to community needs, </w:t>
            </w:r>
            <w:r w:rsidRPr="00F2238A">
              <w:rPr>
                <w:rStyle w:val="BoxChar"/>
              </w:rPr>
              <w:t>including disaster and emergency management</w:t>
            </w:r>
          </w:p>
          <w:p w14:paraId="6384167E" w14:textId="77777777" w:rsidR="00337D3B" w:rsidRPr="006C3EDB" w:rsidRDefault="00337D3B" w:rsidP="0061204D">
            <w:pPr>
              <w:pStyle w:val="BoxListBullet"/>
            </w:pPr>
            <w:r w:rsidRPr="006C3EDB">
              <w:t>support the judicial process to bring to justice those people responsible for committing an offence</w:t>
            </w:r>
          </w:p>
          <w:p w14:paraId="5D5FCEAA" w14:textId="77777777" w:rsidR="00337D3B" w:rsidRPr="006C3EDB" w:rsidRDefault="00337D3B" w:rsidP="0061204D">
            <w:pPr>
              <w:pStyle w:val="BoxListBullet"/>
            </w:pPr>
            <w:r w:rsidRPr="006C3EDB">
              <w:t>provide safe custodial services</w:t>
            </w:r>
          </w:p>
          <w:p w14:paraId="3F88495E" w14:textId="77777777" w:rsidR="00337D3B" w:rsidRPr="006C3EDB" w:rsidRDefault="00337D3B" w:rsidP="0061204D">
            <w:pPr>
              <w:pStyle w:val="BoxListBullet"/>
            </w:pPr>
            <w:r w:rsidRPr="006C3EDB">
              <w:t>are delivered with integrity, honesty and fairness</w:t>
            </w:r>
          </w:p>
          <w:p w14:paraId="6A736D6B" w14:textId="77777777" w:rsidR="00337D3B" w:rsidRPr="006C3EDB" w:rsidRDefault="00337D3B" w:rsidP="0061204D">
            <w:pPr>
              <w:pStyle w:val="BoxListBullet"/>
            </w:pPr>
            <w:r w:rsidRPr="006C3EDB">
              <w:t>promote safer behaviour on roads.</w:t>
            </w:r>
          </w:p>
          <w:p w14:paraId="69398CA4" w14:textId="77777777" w:rsidR="00337D3B" w:rsidRDefault="00337D3B" w:rsidP="0061204D">
            <w:pPr>
              <w:pStyle w:val="Box"/>
            </w:pPr>
            <w:r w:rsidRPr="00B5211F">
              <w:t>Governments aim for police services to meet these objectives in an equitable and efficient manner.</w:t>
            </w:r>
          </w:p>
        </w:tc>
      </w:tr>
      <w:tr w:rsidR="00337D3B" w14:paraId="3553A3FB" w14:textId="77777777" w:rsidTr="0061204D">
        <w:tc>
          <w:tcPr>
            <w:tcW w:w="5000" w:type="pct"/>
            <w:tcBorders>
              <w:top w:val="nil"/>
              <w:left w:val="nil"/>
              <w:bottom w:val="single" w:sz="6" w:space="0" w:color="78A22F"/>
              <w:right w:val="nil"/>
            </w:tcBorders>
            <w:shd w:val="clear" w:color="auto" w:fill="F2F2F2"/>
          </w:tcPr>
          <w:p w14:paraId="193F8811" w14:textId="77777777" w:rsidR="00337D3B" w:rsidRDefault="00337D3B" w:rsidP="0061204D">
            <w:pPr>
              <w:pStyle w:val="Box"/>
              <w:spacing w:before="0" w:line="120" w:lineRule="exact"/>
            </w:pPr>
          </w:p>
        </w:tc>
      </w:tr>
      <w:tr w:rsidR="00337D3B" w:rsidRPr="000863A5" w14:paraId="3468355A" w14:textId="77777777" w:rsidTr="0061204D">
        <w:tc>
          <w:tcPr>
            <w:tcW w:w="5000" w:type="pct"/>
            <w:tcBorders>
              <w:top w:val="single" w:sz="6" w:space="0" w:color="78A22F"/>
              <w:left w:val="nil"/>
              <w:bottom w:val="nil"/>
              <w:right w:val="nil"/>
            </w:tcBorders>
          </w:tcPr>
          <w:p w14:paraId="64C6A9AD" w14:textId="7325B71F" w:rsidR="00337D3B" w:rsidRPr="00626D32" w:rsidRDefault="00337D3B" w:rsidP="0061204D">
            <w:pPr>
              <w:pStyle w:val="BoxSpaceBelow"/>
            </w:pPr>
          </w:p>
        </w:tc>
      </w:tr>
    </w:tbl>
    <w:p w14:paraId="1CD39FEE" w14:textId="77777777" w:rsidR="00337D3B" w:rsidRPr="001F060F" w:rsidRDefault="00337D3B" w:rsidP="001F060F">
      <w:pPr>
        <w:pStyle w:val="BodyText"/>
      </w:pPr>
      <w:r w:rsidRPr="001F060F">
        <w:t>The performance indicator framework provides information on equity, efficiency and effectiveness, and distinguishes the outputs and outcomes of police services (figure </w:t>
      </w:r>
      <w:r w:rsidRPr="001F060F">
        <w:rPr>
          <w:rFonts w:eastAsiaTheme="minorEastAsia"/>
        </w:rPr>
        <w:t>6.2</w:t>
      </w:r>
      <w:r w:rsidRPr="001F060F">
        <w:t xml:space="preserve">). </w:t>
      </w:r>
    </w:p>
    <w:p w14:paraId="7DAB25F4" w14:textId="551C974E" w:rsidR="00337D3B" w:rsidRPr="001F060F" w:rsidRDefault="00337D3B" w:rsidP="001F060F">
      <w:pPr>
        <w:pStyle w:val="BodyText"/>
      </w:pPr>
      <w:r w:rsidRPr="001F060F">
        <w:t>The performance indicator framework shows which data are complete and comparable in the 2019 Report. For data that are not considered directly comparable, text includes relevant caveats and supporting commentary. Chapter 1 discusses data comparability, data completeness and information on data quality from a Report</w:t>
      </w:r>
      <w:r w:rsidRPr="001F060F">
        <w:noBreakHyphen/>
        <w:t xml:space="preserve">wide perspective. In addition to section 6.3, the Report’s Statistical context chapter (chapter 2) contains data that may assist in interpreting the performance indicators presented in this chapter. Chapters 1 and 2 are available from the website at </w:t>
      </w:r>
      <w:r w:rsidR="00445E39" w:rsidRPr="005D6A85">
        <w:t>www.pc.gov.au/research/ongoi</w:t>
      </w:r>
      <w:r w:rsidR="00445E39">
        <w:t>ng/report-on-government-services.</w:t>
      </w:r>
    </w:p>
    <w:p w14:paraId="29DC0032" w14:textId="77777777" w:rsidR="00337D3B" w:rsidRPr="001F060F" w:rsidRDefault="00337D3B" w:rsidP="001F060F">
      <w:pPr>
        <w:pStyle w:val="BodyText"/>
      </w:pPr>
      <w:r w:rsidRPr="001F060F">
        <w:t>Improvements to performance reporting for police services are ongoing and include identifying data sources to fill gaps in reporting for performance indicators and measures, and improving the comparability and completeness of data.</w:t>
      </w:r>
    </w:p>
    <w:p w14:paraId="7800500F" w14:textId="77777777" w:rsidR="00337D3B" w:rsidRDefault="00337D3B" w:rsidP="00337D3B">
      <w:pPr>
        <w:rPr>
          <w:szCs w:val="20"/>
        </w:rPr>
      </w:pPr>
      <w:r>
        <w:br w:type="page"/>
      </w:r>
    </w:p>
    <w:p w14:paraId="3F0C3DBE" w14:textId="08EF1501" w:rsidR="00337D3B" w:rsidRDefault="00337D3B" w:rsidP="00337D3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37D3B" w14:paraId="2A298621" w14:textId="77777777" w:rsidTr="0061204D">
        <w:trPr>
          <w:tblHeader/>
        </w:trPr>
        <w:tc>
          <w:tcPr>
            <w:tcW w:w="5000" w:type="pct"/>
            <w:tcBorders>
              <w:top w:val="single" w:sz="6" w:space="0" w:color="78A22F"/>
              <w:left w:val="nil"/>
              <w:bottom w:val="nil"/>
              <w:right w:val="nil"/>
            </w:tcBorders>
            <w:shd w:val="clear" w:color="auto" w:fill="auto"/>
          </w:tcPr>
          <w:p w14:paraId="53A98A3F" w14:textId="0847523A" w:rsidR="00337D3B" w:rsidRPr="00176D3F" w:rsidRDefault="00337D3B" w:rsidP="00562461">
            <w:pPr>
              <w:pStyle w:val="FigureTitle"/>
            </w:pPr>
            <w:r w:rsidRPr="00784A05">
              <w:rPr>
                <w:b w:val="0"/>
              </w:rPr>
              <w:t xml:space="preserve">Figure </w:t>
            </w:r>
            <w:r>
              <w:rPr>
                <w:b w:val="0"/>
              </w:rPr>
              <w:t>6.2</w:t>
            </w:r>
            <w:r>
              <w:tab/>
            </w:r>
            <w:r w:rsidRPr="00562461">
              <w:t>Police services performance indicator framework</w:t>
            </w:r>
          </w:p>
        </w:tc>
      </w:tr>
      <w:tr w:rsidR="00337D3B" w14:paraId="62221AA3" w14:textId="77777777" w:rsidTr="0061204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FC000" w:themeColor="accent4"/>
                <w:bottom w:val="single" w:sz="6" w:space="0" w:color="FFC000"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337D3B" w:rsidRPr="00B1465D" w14:paraId="4DA475D9" w14:textId="77777777" w:rsidTr="0061204D">
              <w:trPr>
                <w:tblHeader/>
                <w:jc w:val="center"/>
              </w:trPr>
              <w:tc>
                <w:tcPr>
                  <w:tcW w:w="5000" w:type="pct"/>
                  <w:tcBorders>
                    <w:top w:val="nil"/>
                    <w:bottom w:val="nil"/>
                  </w:tcBorders>
                </w:tcPr>
                <w:p w14:paraId="160B6167" w14:textId="41064485" w:rsidR="00337D3B" w:rsidRPr="00562461" w:rsidRDefault="00AE742B" w:rsidP="00562461">
                  <w:pPr>
                    <w:pStyle w:val="Figure"/>
                  </w:pPr>
                  <w:r w:rsidRPr="00AE742B">
                    <w:rPr>
                      <w:noProof/>
                    </w:rPr>
                    <w:drawing>
                      <wp:inline distT="0" distB="0" distL="0" distR="0" wp14:anchorId="0A7CAD78" wp14:editId="6212713E">
                        <wp:extent cx="4976495" cy="5480685"/>
                        <wp:effectExtent l="0" t="0" r="0" b="0"/>
                        <wp:docPr id="8" name="Picture 8" descr="Figure 6.2 Police services performance indicator framework&#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6495" cy="5480685"/>
                                </a:xfrm>
                                <a:prstGeom prst="rect">
                                  <a:avLst/>
                                </a:prstGeom>
                                <a:noFill/>
                                <a:ln>
                                  <a:noFill/>
                                </a:ln>
                              </pic:spPr>
                            </pic:pic>
                          </a:graphicData>
                        </a:graphic>
                      </wp:inline>
                    </w:drawing>
                  </w:r>
                </w:p>
              </w:tc>
            </w:tr>
          </w:tbl>
          <w:p w14:paraId="3949DFF9" w14:textId="77777777" w:rsidR="00337D3B" w:rsidRDefault="00337D3B" w:rsidP="0061204D">
            <w:pPr>
              <w:pStyle w:val="Figure"/>
            </w:pPr>
          </w:p>
        </w:tc>
      </w:tr>
      <w:tr w:rsidR="00337D3B" w14:paraId="23523AC6" w14:textId="77777777" w:rsidTr="0061204D">
        <w:tc>
          <w:tcPr>
            <w:tcW w:w="5000" w:type="pct"/>
            <w:tcBorders>
              <w:top w:val="nil"/>
              <w:left w:val="nil"/>
              <w:bottom w:val="single" w:sz="6" w:space="0" w:color="78A22F"/>
              <w:right w:val="nil"/>
            </w:tcBorders>
            <w:shd w:val="clear" w:color="auto" w:fill="auto"/>
          </w:tcPr>
          <w:p w14:paraId="5164CE7C" w14:textId="77777777" w:rsidR="00337D3B" w:rsidRDefault="00337D3B" w:rsidP="0061204D">
            <w:pPr>
              <w:pStyle w:val="Figurespace"/>
            </w:pPr>
          </w:p>
        </w:tc>
      </w:tr>
      <w:tr w:rsidR="00337D3B" w:rsidRPr="000863A5" w14:paraId="7B8362DD" w14:textId="77777777" w:rsidTr="0061204D">
        <w:tc>
          <w:tcPr>
            <w:tcW w:w="5000" w:type="pct"/>
            <w:tcBorders>
              <w:top w:val="single" w:sz="6" w:space="0" w:color="78A22F"/>
              <w:left w:val="nil"/>
              <w:bottom w:val="nil"/>
              <w:right w:val="nil"/>
            </w:tcBorders>
          </w:tcPr>
          <w:p w14:paraId="24A57B99" w14:textId="57057AD7" w:rsidR="00337D3B" w:rsidRPr="00626D32" w:rsidRDefault="00337D3B" w:rsidP="0061204D">
            <w:pPr>
              <w:pStyle w:val="BoxSpaceBelow"/>
            </w:pPr>
          </w:p>
        </w:tc>
      </w:tr>
    </w:tbl>
    <w:p w14:paraId="67444E48" w14:textId="5ECA0C50" w:rsidR="00337D3B" w:rsidRPr="00562461" w:rsidRDefault="00337D3B" w:rsidP="00562461">
      <w:pPr>
        <w:pStyle w:val="Heading2"/>
      </w:pPr>
      <w:r w:rsidRPr="00562461">
        <w:t>6.</w:t>
      </w:r>
      <w:r w:rsidR="00183EEE">
        <w:rPr>
          <w:noProof/>
        </w:rPr>
        <w:t>3</w:t>
      </w:r>
      <w:r w:rsidRPr="00562461">
        <w:tab/>
        <w:t>Key performance indicator results</w:t>
      </w:r>
    </w:p>
    <w:p w14:paraId="427C06BC" w14:textId="77777777" w:rsidR="00337D3B" w:rsidRPr="001F060F" w:rsidRDefault="00337D3B" w:rsidP="001F060F">
      <w:pPr>
        <w:pStyle w:val="BodyText"/>
      </w:pPr>
      <w:r w:rsidRPr="001F060F">
        <w:t xml:space="preserve">Different delivery contexts, locations and types of clients can affect the equity, effectiveness and efficiency of police services. </w:t>
      </w:r>
    </w:p>
    <w:p w14:paraId="2B1B2753" w14:textId="77777777" w:rsidR="00337D3B" w:rsidRPr="001F060F" w:rsidRDefault="00337D3B" w:rsidP="001F060F">
      <w:pPr>
        <w:pStyle w:val="BodyText"/>
      </w:pPr>
      <w:r w:rsidRPr="001F060F">
        <w:t>The comparability of performance indicator results are shaded in indicator interpretation boxes, figures and chapter and attachment tables as follows:</w:t>
      </w:r>
    </w:p>
    <w:p w14:paraId="2109248A" w14:textId="76CB9380" w:rsidR="00562461" w:rsidRDefault="00562461" w:rsidP="004654CD">
      <w:pPr>
        <w:pStyle w:val="BodyText"/>
      </w:pPr>
      <w:r>
        <w:br w:type="page"/>
      </w:r>
    </w:p>
    <w:tbl>
      <w:tblPr>
        <w:tblW w:w="5000" w:type="pct"/>
        <w:tblCellMar>
          <w:top w:w="28" w:type="dxa"/>
          <w:left w:w="0" w:type="dxa"/>
          <w:right w:w="0" w:type="dxa"/>
        </w:tblCellMar>
        <w:tblLook w:val="0000" w:firstRow="0" w:lastRow="0" w:firstColumn="0" w:lastColumn="0" w:noHBand="0" w:noVBand="0"/>
      </w:tblPr>
      <w:tblGrid>
        <w:gridCol w:w="274"/>
        <w:gridCol w:w="554"/>
        <w:gridCol w:w="276"/>
        <w:gridCol w:w="7685"/>
      </w:tblGrid>
      <w:tr w:rsidR="00337D3B" w:rsidRPr="00C8495E" w14:paraId="36503C68" w14:textId="77777777" w:rsidTr="00AE742B">
        <w:trPr>
          <w:trHeight w:val="471"/>
        </w:trPr>
        <w:tc>
          <w:tcPr>
            <w:tcW w:w="156" w:type="pct"/>
            <w:shd w:val="clear" w:color="auto" w:fill="auto"/>
          </w:tcPr>
          <w:p w14:paraId="4BC06A80" w14:textId="77777777" w:rsidR="00337D3B" w:rsidRPr="00C8495E" w:rsidRDefault="00337D3B" w:rsidP="00C8495E">
            <w:pPr>
              <w:pStyle w:val="BodyText"/>
            </w:pPr>
          </w:p>
        </w:tc>
        <w:tc>
          <w:tcPr>
            <w:tcW w:w="315" w:type="pct"/>
            <w:shd w:val="clear" w:color="auto" w:fill="F15A25"/>
          </w:tcPr>
          <w:p w14:paraId="2FC2980D" w14:textId="77777777" w:rsidR="00337D3B" w:rsidRPr="00EA76BE" w:rsidRDefault="00337D3B" w:rsidP="00EA76BE">
            <w:pPr>
              <w:pStyle w:val="BodyText"/>
            </w:pPr>
          </w:p>
        </w:tc>
        <w:tc>
          <w:tcPr>
            <w:tcW w:w="157" w:type="pct"/>
            <w:shd w:val="clear" w:color="auto" w:fill="auto"/>
          </w:tcPr>
          <w:p w14:paraId="5750059C" w14:textId="77777777" w:rsidR="00337D3B" w:rsidRPr="00EA76BE" w:rsidRDefault="00337D3B" w:rsidP="00EA76BE">
            <w:pPr>
              <w:pStyle w:val="BodyText"/>
            </w:pPr>
          </w:p>
        </w:tc>
        <w:tc>
          <w:tcPr>
            <w:tcW w:w="4372" w:type="pct"/>
            <w:shd w:val="clear" w:color="auto" w:fill="auto"/>
          </w:tcPr>
          <w:p w14:paraId="33F4182D" w14:textId="77777777" w:rsidR="00337D3B" w:rsidRPr="004654CD" w:rsidRDefault="00337D3B" w:rsidP="004654CD">
            <w:pPr>
              <w:pStyle w:val="TableBodyText"/>
              <w:jc w:val="left"/>
            </w:pPr>
            <w:r w:rsidRPr="004654CD">
              <w:t>Data are comparable (subject to caveats) across jurisdictions and over time.</w:t>
            </w:r>
          </w:p>
        </w:tc>
      </w:tr>
      <w:tr w:rsidR="00337D3B" w:rsidRPr="00C8495E" w14:paraId="27C47225" w14:textId="77777777" w:rsidTr="00AE742B">
        <w:trPr>
          <w:trHeight w:val="358"/>
        </w:trPr>
        <w:tc>
          <w:tcPr>
            <w:tcW w:w="156" w:type="pct"/>
            <w:shd w:val="clear" w:color="auto" w:fill="auto"/>
          </w:tcPr>
          <w:p w14:paraId="3F2A3540" w14:textId="77777777" w:rsidR="00337D3B" w:rsidRPr="00C8495E" w:rsidRDefault="00337D3B" w:rsidP="00C8495E">
            <w:pPr>
              <w:pStyle w:val="BodyText"/>
            </w:pPr>
          </w:p>
        </w:tc>
        <w:tc>
          <w:tcPr>
            <w:tcW w:w="315" w:type="pct"/>
            <w:shd w:val="clear" w:color="auto" w:fill="FCDED3"/>
          </w:tcPr>
          <w:p w14:paraId="5149BF6D" w14:textId="77777777" w:rsidR="00337D3B" w:rsidRPr="00EA76BE" w:rsidRDefault="00337D3B" w:rsidP="00EA76BE">
            <w:pPr>
              <w:pStyle w:val="BodyText"/>
            </w:pPr>
          </w:p>
        </w:tc>
        <w:tc>
          <w:tcPr>
            <w:tcW w:w="157" w:type="pct"/>
            <w:shd w:val="clear" w:color="auto" w:fill="auto"/>
          </w:tcPr>
          <w:p w14:paraId="15419703" w14:textId="77777777" w:rsidR="00337D3B" w:rsidRPr="00EA76BE" w:rsidRDefault="00337D3B" w:rsidP="00EA76BE">
            <w:pPr>
              <w:pStyle w:val="BodyText"/>
            </w:pPr>
          </w:p>
        </w:tc>
        <w:tc>
          <w:tcPr>
            <w:tcW w:w="4372" w:type="pct"/>
            <w:shd w:val="clear" w:color="auto" w:fill="auto"/>
          </w:tcPr>
          <w:p w14:paraId="104AFC79" w14:textId="77777777" w:rsidR="00337D3B" w:rsidRPr="004654CD" w:rsidRDefault="00337D3B" w:rsidP="004654CD">
            <w:pPr>
              <w:pStyle w:val="TableBodyText"/>
              <w:jc w:val="left"/>
            </w:pPr>
            <w:r w:rsidRPr="004654CD">
              <w:t>Data are either not comparable (subject to caveats) within jurisdictions over time or are not comparable across jurisdictions or both.</w:t>
            </w:r>
          </w:p>
        </w:tc>
      </w:tr>
    </w:tbl>
    <w:p w14:paraId="365BB428" w14:textId="77777777" w:rsidR="00337D3B" w:rsidRPr="00EA76BE" w:rsidRDefault="00337D3B" w:rsidP="00EA76BE">
      <w:pPr>
        <w:pStyle w:val="BodyText"/>
      </w:pPr>
      <w:r w:rsidRPr="00EA76BE">
        <w:t>The completeness of performance indicator results are shaded in indicator interpretation boxes, figures and chapter and attachment tables as follows:</w:t>
      </w:r>
    </w:p>
    <w:p w14:paraId="771B3DA4" w14:textId="77777777" w:rsidR="00337D3B" w:rsidRPr="00C8495E" w:rsidRDefault="00337D3B" w:rsidP="00C8495E">
      <w:pPr>
        <w:pStyle w:val="BodyText"/>
      </w:pPr>
    </w:p>
    <w:tbl>
      <w:tblPr>
        <w:tblW w:w="5000" w:type="pct"/>
        <w:tblCellMar>
          <w:top w:w="28" w:type="dxa"/>
          <w:left w:w="0" w:type="dxa"/>
          <w:right w:w="0" w:type="dxa"/>
        </w:tblCellMar>
        <w:tblLook w:val="0000" w:firstRow="0" w:lastRow="0" w:firstColumn="0" w:lastColumn="0" w:noHBand="0" w:noVBand="0"/>
      </w:tblPr>
      <w:tblGrid>
        <w:gridCol w:w="274"/>
        <w:gridCol w:w="554"/>
        <w:gridCol w:w="276"/>
        <w:gridCol w:w="7685"/>
      </w:tblGrid>
      <w:tr w:rsidR="00337D3B" w:rsidRPr="00C8495E" w14:paraId="09D7C876" w14:textId="77777777" w:rsidTr="00AE742B">
        <w:tc>
          <w:tcPr>
            <w:tcW w:w="156" w:type="pct"/>
            <w:shd w:val="clear" w:color="auto" w:fill="auto"/>
          </w:tcPr>
          <w:p w14:paraId="6B18B7FC" w14:textId="77777777" w:rsidR="00337D3B" w:rsidRPr="00C8495E" w:rsidRDefault="00337D3B" w:rsidP="00C8495E">
            <w:pPr>
              <w:pStyle w:val="BodyText"/>
            </w:pPr>
          </w:p>
        </w:tc>
        <w:tc>
          <w:tcPr>
            <w:tcW w:w="315" w:type="pct"/>
            <w:shd w:val="clear" w:color="auto" w:fill="F15A25"/>
          </w:tcPr>
          <w:p w14:paraId="2E571EAE" w14:textId="77777777" w:rsidR="00337D3B" w:rsidRPr="00EA76BE" w:rsidRDefault="00337D3B" w:rsidP="00EA76BE">
            <w:pPr>
              <w:pStyle w:val="BodyText"/>
            </w:pPr>
          </w:p>
        </w:tc>
        <w:tc>
          <w:tcPr>
            <w:tcW w:w="157" w:type="pct"/>
            <w:shd w:val="clear" w:color="auto" w:fill="auto"/>
          </w:tcPr>
          <w:p w14:paraId="5F40D4D9" w14:textId="77777777" w:rsidR="00337D3B" w:rsidRPr="00C8495E" w:rsidRDefault="00337D3B" w:rsidP="00C8495E">
            <w:pPr>
              <w:pStyle w:val="BodyText"/>
            </w:pPr>
          </w:p>
        </w:tc>
        <w:tc>
          <w:tcPr>
            <w:tcW w:w="4372" w:type="pct"/>
            <w:shd w:val="clear" w:color="auto" w:fill="auto"/>
          </w:tcPr>
          <w:p w14:paraId="5532684A" w14:textId="11B56440" w:rsidR="00337D3B" w:rsidRPr="004654CD" w:rsidRDefault="00337D3B" w:rsidP="004654CD">
            <w:pPr>
              <w:pStyle w:val="TableBodyText"/>
              <w:jc w:val="left"/>
            </w:pPr>
            <w:r w:rsidRPr="004654CD">
              <w:t>Data are complete (subject to caveats) for the current reporting period. All required data are available for all jurisdictions</w:t>
            </w:r>
            <w:r w:rsidR="004146BF" w:rsidRPr="004654CD">
              <w:t>.</w:t>
            </w:r>
          </w:p>
        </w:tc>
      </w:tr>
      <w:tr w:rsidR="00337D3B" w:rsidRPr="00C8495E" w14:paraId="505AB6A0" w14:textId="77777777" w:rsidTr="00AE742B">
        <w:tc>
          <w:tcPr>
            <w:tcW w:w="156" w:type="pct"/>
            <w:shd w:val="clear" w:color="auto" w:fill="auto"/>
          </w:tcPr>
          <w:p w14:paraId="363207B9" w14:textId="77777777" w:rsidR="00337D3B" w:rsidRPr="00C8495E" w:rsidRDefault="00337D3B" w:rsidP="00C8495E">
            <w:pPr>
              <w:pStyle w:val="BodyText"/>
            </w:pPr>
          </w:p>
        </w:tc>
        <w:tc>
          <w:tcPr>
            <w:tcW w:w="315" w:type="pct"/>
            <w:shd w:val="clear" w:color="auto" w:fill="FCDED3"/>
          </w:tcPr>
          <w:p w14:paraId="385F082B" w14:textId="77777777" w:rsidR="00337D3B" w:rsidRPr="00EA76BE" w:rsidRDefault="00337D3B" w:rsidP="00EA76BE">
            <w:pPr>
              <w:pStyle w:val="BodyText"/>
            </w:pPr>
          </w:p>
        </w:tc>
        <w:tc>
          <w:tcPr>
            <w:tcW w:w="157" w:type="pct"/>
            <w:shd w:val="clear" w:color="auto" w:fill="auto"/>
          </w:tcPr>
          <w:p w14:paraId="30C929CC" w14:textId="77777777" w:rsidR="00337D3B" w:rsidRPr="00C8495E" w:rsidRDefault="00337D3B" w:rsidP="00C8495E">
            <w:pPr>
              <w:pStyle w:val="BodyText"/>
            </w:pPr>
          </w:p>
        </w:tc>
        <w:tc>
          <w:tcPr>
            <w:tcW w:w="4372" w:type="pct"/>
            <w:shd w:val="clear" w:color="auto" w:fill="auto"/>
          </w:tcPr>
          <w:p w14:paraId="30553839" w14:textId="77777777" w:rsidR="00337D3B" w:rsidRPr="004654CD" w:rsidRDefault="00337D3B" w:rsidP="004654CD">
            <w:pPr>
              <w:pStyle w:val="TableBodyText"/>
              <w:jc w:val="left"/>
            </w:pPr>
            <w:r w:rsidRPr="004654CD">
              <w:t>Data are incomplete for the current reporting period. At least some data were not available.</w:t>
            </w:r>
          </w:p>
        </w:tc>
      </w:tr>
    </w:tbl>
    <w:p w14:paraId="431D02C0" w14:textId="77777777" w:rsidR="00337D3B" w:rsidRPr="001F060F" w:rsidRDefault="00337D3B" w:rsidP="001F060F">
      <w:pPr>
        <w:pStyle w:val="Heading3"/>
      </w:pPr>
      <w:r w:rsidRPr="001F060F">
        <w:t>Outputs</w:t>
      </w:r>
    </w:p>
    <w:p w14:paraId="4AFF456F" w14:textId="77777777" w:rsidR="00337D3B" w:rsidRPr="001F060F" w:rsidRDefault="00337D3B" w:rsidP="001F060F">
      <w:pPr>
        <w:pStyle w:val="BodyText"/>
      </w:pPr>
      <w:r w:rsidRPr="001F060F">
        <w:t>Outputs are the services delivered (while outcomes are the impact of these services on the status of an individual or group) (see chapter 1). Output information is also critical for equitable, efficient and effective management of government services.</w:t>
      </w:r>
    </w:p>
    <w:p w14:paraId="3E178A51" w14:textId="77777777" w:rsidR="00337D3B" w:rsidRPr="004654CD" w:rsidRDefault="00337D3B" w:rsidP="001F060F">
      <w:pPr>
        <w:pStyle w:val="Heading3"/>
      </w:pPr>
      <w:r w:rsidRPr="004654CD">
        <w:t>Equity</w:t>
      </w:r>
    </w:p>
    <w:p w14:paraId="28221AD9" w14:textId="77777777" w:rsidR="00337D3B" w:rsidRPr="001F060F" w:rsidRDefault="00337D3B" w:rsidP="001F060F">
      <w:pPr>
        <w:pStyle w:val="Heading4"/>
      </w:pPr>
      <w:r w:rsidRPr="001F060F">
        <w:t>Aboriginal and Torres Strait Islander staffing</w:t>
      </w:r>
    </w:p>
    <w:p w14:paraId="3F6CAD01" w14:textId="77777777" w:rsidR="00337D3B" w:rsidRPr="001F060F" w:rsidRDefault="00337D3B" w:rsidP="001F060F">
      <w:pPr>
        <w:pStyle w:val="BodyText"/>
      </w:pPr>
      <w:r w:rsidRPr="001F060F">
        <w:t>‘Aboriginal and Torres Strait Islander staffing’ is an indicator of governments’ objective to provide police services in an equitable manner (box 6.3).</w:t>
      </w:r>
    </w:p>
    <w:p w14:paraId="4735E5B7" w14:textId="08465BC8" w:rsidR="00337D3B" w:rsidRDefault="00337D3B" w:rsidP="00337D3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37D3B" w14:paraId="02328E72" w14:textId="77777777" w:rsidTr="0061204D">
        <w:trPr>
          <w:tblHeader/>
        </w:trPr>
        <w:tc>
          <w:tcPr>
            <w:tcW w:w="5000" w:type="pct"/>
            <w:tcBorders>
              <w:top w:val="single" w:sz="6" w:space="0" w:color="78A22F"/>
              <w:left w:val="nil"/>
              <w:bottom w:val="nil"/>
              <w:right w:val="nil"/>
            </w:tcBorders>
            <w:shd w:val="clear" w:color="auto" w:fill="F2F2F2"/>
          </w:tcPr>
          <w:p w14:paraId="79BA7BF6" w14:textId="1E10602D" w:rsidR="00337D3B" w:rsidRDefault="00337D3B" w:rsidP="008E729F">
            <w:pPr>
              <w:pStyle w:val="BoxTitle"/>
            </w:pPr>
            <w:r>
              <w:rPr>
                <w:b w:val="0"/>
              </w:rPr>
              <w:t>Box 6.</w:t>
            </w:r>
            <w:r w:rsidR="008E729F">
              <w:rPr>
                <w:b w:val="0"/>
              </w:rPr>
              <w:t>3</w:t>
            </w:r>
            <w:r>
              <w:tab/>
              <w:t>Aboriginal and Torres Strait Islander staffing</w:t>
            </w:r>
          </w:p>
        </w:tc>
      </w:tr>
      <w:tr w:rsidR="00337D3B" w14:paraId="1376BD1F" w14:textId="77777777" w:rsidTr="0061204D">
        <w:tc>
          <w:tcPr>
            <w:tcW w:w="5000" w:type="pct"/>
            <w:tcBorders>
              <w:top w:val="nil"/>
              <w:left w:val="nil"/>
              <w:bottom w:val="nil"/>
              <w:right w:val="nil"/>
            </w:tcBorders>
            <w:shd w:val="clear" w:color="auto" w:fill="F2F2F2"/>
          </w:tcPr>
          <w:p w14:paraId="688F6B7A" w14:textId="77777777" w:rsidR="00337D3B" w:rsidRDefault="00337D3B" w:rsidP="0061204D">
            <w:pPr>
              <w:pStyle w:val="Box"/>
            </w:pPr>
            <w:r>
              <w:t>‘Aboriginal and Torres Strait Islander staffing’ is defined as the proportion of police staff (operational and non</w:t>
            </w:r>
            <w:r>
              <w:noBreakHyphen/>
            </w:r>
            <w:r w:rsidRPr="007E1FFD">
              <w:t>operational) from Aboriginal</w:t>
            </w:r>
            <w:r>
              <w:t xml:space="preserve"> and Torres Strait Islander backgrounds compared with the proportion of the population aged 20–64 years who are from Aboriginal and Torres Strait Islander backgrounds.</w:t>
            </w:r>
          </w:p>
          <w:p w14:paraId="611B0CC6" w14:textId="77777777" w:rsidR="00337D3B" w:rsidRPr="006C3EDB" w:rsidRDefault="00337D3B" w:rsidP="0061204D">
            <w:pPr>
              <w:pStyle w:val="Box"/>
            </w:pPr>
            <w:r w:rsidRPr="006C3EDB">
              <w:t xml:space="preserve">A proportion of police staff aged 20–64 years </w:t>
            </w:r>
            <w:r>
              <w:t xml:space="preserve">who are </w:t>
            </w:r>
            <w:r w:rsidRPr="006C3EDB">
              <w:t>from Aboriginal and Torres Strait Islander backgrounds that is similar to the proportion of people aged 20–64 years who are from Aboriginal and Torres Strait Islander backgrounds is desirable.</w:t>
            </w:r>
          </w:p>
          <w:p w14:paraId="65C5F686" w14:textId="77777777" w:rsidR="00337D3B" w:rsidRDefault="00337D3B" w:rsidP="0061204D">
            <w:pPr>
              <w:pStyle w:val="Box"/>
            </w:pPr>
            <w:r w:rsidRPr="006C3EDB">
              <w:t>Aboriginal and Torres Strait Islander people might feel more comfortable in ‘accessing’ police services when they are able to deal with Aboriginal and Torres Strait Islander police staff. However, many factors influence the willingness of Aboriginal and Torres Strait Islander people to access police services, including familiarity with procedures for dealing with police.</w:t>
            </w:r>
          </w:p>
          <w:p w14:paraId="64918F53" w14:textId="700E04BB" w:rsidR="004562D5" w:rsidRPr="004562D5" w:rsidRDefault="004562D5" w:rsidP="004562D5">
            <w:pPr>
              <w:pStyle w:val="Box"/>
            </w:pPr>
            <w:r w:rsidRPr="004562D5">
              <w:t xml:space="preserve">Care </w:t>
            </w:r>
            <w:r w:rsidR="008165D2">
              <w:t>should</w:t>
            </w:r>
            <w:r w:rsidRPr="004562D5">
              <w:t xml:space="preserve"> be taken when interpreting data related to Aboriginal and Torres Strait Islander staffing due to coverage and completeness of data </w:t>
            </w:r>
            <w:r w:rsidR="008165D2">
              <w:t>by</w:t>
            </w:r>
            <w:r w:rsidR="004E12AB">
              <w:t xml:space="preserve"> </w:t>
            </w:r>
            <w:r w:rsidRPr="004562D5">
              <w:t>Indigenous status across jurisdictions. Aboriginal and Torres Strait Islander staff numbers relate to those staff who self-identify as being of Aboriginal and/or Torres Strait Islander descent. Information on Aboriginal and To</w:t>
            </w:r>
            <w:r w:rsidR="007E5ACD">
              <w:t>rres Strait Islander status is generally c</w:t>
            </w:r>
            <w:r w:rsidRPr="004562D5">
              <w:t>ollected at the point of recruitment.</w:t>
            </w:r>
          </w:p>
          <w:p w14:paraId="730CD543" w14:textId="042FBBB4" w:rsidR="00337D3B" w:rsidRDefault="00337D3B" w:rsidP="0061204D">
            <w:pPr>
              <w:pStyle w:val="Box"/>
            </w:pPr>
            <w:r>
              <w:t xml:space="preserve">Data reported for this </w:t>
            </w:r>
            <w:r w:rsidR="004146BF">
              <w:t xml:space="preserve">indicator </w:t>
            </w:r>
            <w:r>
              <w:t>are:</w:t>
            </w:r>
          </w:p>
          <w:p w14:paraId="4E5E54C3" w14:textId="77777777" w:rsidR="00337D3B" w:rsidRDefault="00337D3B" w:rsidP="00054F7B">
            <w:pPr>
              <w:pStyle w:val="BoxListBullet"/>
              <w:numPr>
                <w:ilvl w:val="0"/>
                <w:numId w:val="0"/>
              </w:numPr>
              <w:ind w:left="284"/>
            </w:pPr>
            <w:r w:rsidRPr="00344676">
              <w:rPr>
                <w:shd w:val="clear" w:color="auto" w:fill="FCDED3"/>
              </w:rPr>
              <w:t xml:space="preserve">    </w:t>
            </w:r>
            <w:r>
              <w:t xml:space="preserve"> not comparable across jurisdictions or over time</w:t>
            </w:r>
          </w:p>
          <w:p w14:paraId="13E6AC90" w14:textId="350D0989" w:rsidR="00337D3B" w:rsidRPr="002D6AE7" w:rsidRDefault="00337D3B" w:rsidP="00054F7B">
            <w:pPr>
              <w:pStyle w:val="BoxListBullet"/>
              <w:numPr>
                <w:ilvl w:val="0"/>
                <w:numId w:val="0"/>
              </w:numPr>
              <w:ind w:left="284"/>
            </w:pPr>
            <w:r w:rsidRPr="009273A9">
              <w:rPr>
                <w:shd w:val="clear" w:color="auto" w:fill="F15A25"/>
              </w:rPr>
              <w:t xml:space="preserve">    </w:t>
            </w:r>
            <w:r>
              <w:t xml:space="preserve"> </w:t>
            </w:r>
            <w:r w:rsidR="004E12AB">
              <w:t>complet</w:t>
            </w:r>
            <w:r w:rsidR="00EA76BE">
              <w:t>e</w:t>
            </w:r>
            <w:r w:rsidRPr="009442FD">
              <w:t xml:space="preserve"> (subject to caveats)</w:t>
            </w:r>
            <w:r>
              <w:t xml:space="preserve"> </w:t>
            </w:r>
            <w:r w:rsidRPr="009442FD">
              <w:t xml:space="preserve">for the current reporting period. All required </w:t>
            </w:r>
            <w:r>
              <w:t xml:space="preserve">2017-18 </w:t>
            </w:r>
            <w:r w:rsidRPr="009442FD">
              <w:t>data are available for all jurisdictions</w:t>
            </w:r>
            <w:r>
              <w:t>.</w:t>
            </w:r>
            <w:r w:rsidR="00C16E5D">
              <w:t xml:space="preserve"> </w:t>
            </w:r>
          </w:p>
        </w:tc>
      </w:tr>
      <w:tr w:rsidR="00337D3B" w14:paraId="7BDB9834" w14:textId="77777777" w:rsidTr="0061204D">
        <w:tc>
          <w:tcPr>
            <w:tcW w:w="5000" w:type="pct"/>
            <w:tcBorders>
              <w:top w:val="nil"/>
              <w:left w:val="nil"/>
              <w:bottom w:val="single" w:sz="6" w:space="0" w:color="78A22F"/>
              <w:right w:val="nil"/>
            </w:tcBorders>
            <w:shd w:val="clear" w:color="auto" w:fill="F2F2F2"/>
          </w:tcPr>
          <w:p w14:paraId="4D421990" w14:textId="77777777" w:rsidR="00337D3B" w:rsidRDefault="00337D3B" w:rsidP="0061204D">
            <w:pPr>
              <w:pStyle w:val="Box"/>
              <w:spacing w:before="0" w:line="120" w:lineRule="exact"/>
            </w:pPr>
          </w:p>
        </w:tc>
      </w:tr>
      <w:tr w:rsidR="00337D3B" w:rsidRPr="000863A5" w14:paraId="4D658CD8" w14:textId="77777777" w:rsidTr="0061204D">
        <w:tc>
          <w:tcPr>
            <w:tcW w:w="5000" w:type="pct"/>
            <w:tcBorders>
              <w:top w:val="single" w:sz="6" w:space="0" w:color="78A22F"/>
              <w:left w:val="nil"/>
              <w:bottom w:val="nil"/>
              <w:right w:val="nil"/>
            </w:tcBorders>
          </w:tcPr>
          <w:p w14:paraId="326AFC80" w14:textId="0E3BBAB0" w:rsidR="00337D3B" w:rsidRPr="00626D32" w:rsidRDefault="00337D3B" w:rsidP="0061204D">
            <w:pPr>
              <w:pStyle w:val="BoxSpaceBelow"/>
            </w:pPr>
          </w:p>
        </w:tc>
      </w:tr>
    </w:tbl>
    <w:p w14:paraId="4BD92C36" w14:textId="64460726" w:rsidR="00337D3B" w:rsidRDefault="00337D3B" w:rsidP="00DC6035">
      <w:pPr>
        <w:pStyle w:val="BodyText"/>
      </w:pPr>
      <w:r w:rsidRPr="00F2238A">
        <w:t>The proportion of Aboriginal and Torres Strait Islander police staff in 2017</w:t>
      </w:r>
      <w:r w:rsidRPr="00F2238A">
        <w:noBreakHyphen/>
        <w:t xml:space="preserve">18 was below the representation of Aboriginal and Torres Strait Islander people in the population aged </w:t>
      </w:r>
      <w:r w:rsidRPr="00F2238A">
        <w:br/>
        <w:t xml:space="preserve">20–64 years for all jurisdictions except NSW and </w:t>
      </w:r>
      <w:r w:rsidR="00147A72" w:rsidRPr="00DC6035">
        <w:t>the ACT</w:t>
      </w:r>
      <w:r w:rsidR="00DC6035">
        <w:t xml:space="preserve"> </w:t>
      </w:r>
      <w:r w:rsidRPr="00CA2A2F">
        <w:t>(figure 6.3). Time series data for Aboriginal and Torres Strait Islander police staffing are reported in table 6A.3.</w:t>
      </w:r>
    </w:p>
    <w:p w14:paraId="6BF801F0" w14:textId="247599CD" w:rsidR="00D55780" w:rsidRDefault="00D55780" w:rsidP="007A2EE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55780" w14:paraId="5C4ADD5B" w14:textId="77777777" w:rsidTr="007A2EE8">
        <w:trPr>
          <w:tblHeader/>
        </w:trPr>
        <w:tc>
          <w:tcPr>
            <w:tcW w:w="5000" w:type="pct"/>
            <w:tcBorders>
              <w:top w:val="single" w:sz="6" w:space="0" w:color="78A22F"/>
              <w:left w:val="nil"/>
              <w:bottom w:val="nil"/>
              <w:right w:val="nil"/>
            </w:tcBorders>
            <w:shd w:val="clear" w:color="auto" w:fill="auto"/>
          </w:tcPr>
          <w:p w14:paraId="5BF18A13" w14:textId="68487A95" w:rsidR="00D55780" w:rsidRPr="00176D3F" w:rsidRDefault="00D55780" w:rsidP="0084491C">
            <w:pPr>
              <w:pStyle w:val="FigureTitle"/>
            </w:pPr>
            <w:r w:rsidRPr="00784A05">
              <w:rPr>
                <w:b w:val="0"/>
              </w:rPr>
              <w:t xml:space="preserve">Figure </w:t>
            </w:r>
            <w:r>
              <w:rPr>
                <w:b w:val="0"/>
              </w:rPr>
              <w:t>6.3</w:t>
            </w:r>
            <w:r>
              <w:tab/>
            </w:r>
            <w:r w:rsidR="003225C4">
              <w:t>Proportion of Aboriginal and Torres Strait Islander staff and Aboriginal and Torres Strait Islander people aged 20–64 years, 2017-18</w:t>
            </w:r>
            <w:r w:rsidR="003225C4" w:rsidRPr="00C8495E">
              <w:rPr>
                <w:rStyle w:val="NoteLabel"/>
                <w:b/>
              </w:rPr>
              <w:t>a</w:t>
            </w:r>
          </w:p>
        </w:tc>
      </w:tr>
      <w:tr w:rsidR="00D55780" w14:paraId="56052F40" w14:textId="77777777" w:rsidTr="007A2EE8">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FC000" w:themeColor="accent4"/>
                <w:bottom w:val="single" w:sz="6" w:space="0" w:color="FFC000"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3225C4" w:rsidRPr="00B1465D" w14:paraId="6E5CD2DD" w14:textId="77777777" w:rsidTr="003225C4">
              <w:trPr>
                <w:tblHeader/>
                <w:jc w:val="center"/>
              </w:trPr>
              <w:tc>
                <w:tcPr>
                  <w:tcW w:w="5000" w:type="pct"/>
                  <w:tcBorders>
                    <w:top w:val="nil"/>
                    <w:bottom w:val="nil"/>
                  </w:tcBorders>
                </w:tcPr>
                <w:tbl>
                  <w:tblPr>
                    <w:tblW w:w="8397"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672"/>
                    <w:gridCol w:w="7725"/>
                  </w:tblGrid>
                  <w:tr w:rsidR="003225C4" w:rsidRPr="00A83EB4" w14:paraId="6F6698FC" w14:textId="77777777" w:rsidTr="005144F7">
                    <w:trPr>
                      <w:trHeight w:val="323"/>
                    </w:trPr>
                    <w:tc>
                      <w:tcPr>
                        <w:tcW w:w="400" w:type="pct"/>
                        <w:tcBorders>
                          <w:top w:val="nil"/>
                          <w:left w:val="nil"/>
                          <w:bottom w:val="nil"/>
                          <w:right w:val="nil"/>
                        </w:tcBorders>
                        <w:shd w:val="clear" w:color="auto" w:fill="FCDED3"/>
                      </w:tcPr>
                      <w:p w14:paraId="31C03652" w14:textId="77777777" w:rsidR="003225C4" w:rsidRPr="00A83EB4" w:rsidRDefault="003225C4" w:rsidP="003225C4">
                        <w:pPr>
                          <w:keepNext/>
                          <w:keepLines/>
                          <w:spacing w:before="60" w:after="60" w:line="240" w:lineRule="atLeast"/>
                          <w:jc w:val="center"/>
                          <w:rPr>
                            <w:szCs w:val="20"/>
                          </w:rPr>
                        </w:pPr>
                      </w:p>
                    </w:tc>
                    <w:tc>
                      <w:tcPr>
                        <w:tcW w:w="4600" w:type="pct"/>
                        <w:tcBorders>
                          <w:top w:val="nil"/>
                          <w:left w:val="nil"/>
                          <w:bottom w:val="nil"/>
                          <w:right w:val="nil"/>
                        </w:tcBorders>
                        <w:shd w:val="clear" w:color="auto" w:fill="auto"/>
                      </w:tcPr>
                      <w:p w14:paraId="35F0BBEF" w14:textId="4DE22ECF" w:rsidR="003225C4" w:rsidRPr="005144F7" w:rsidRDefault="003225C4" w:rsidP="005144F7">
                        <w:pPr>
                          <w:pStyle w:val="TableBodyText"/>
                          <w:jc w:val="left"/>
                        </w:pPr>
                        <w:r w:rsidRPr="005144F7">
                          <w:t xml:space="preserve">Data are </w:t>
                        </w:r>
                        <w:r w:rsidR="005144F7" w:rsidRPr="005144F7">
                          <w:t xml:space="preserve">not </w:t>
                        </w:r>
                        <w:r w:rsidRPr="005144F7">
                          <w:t>comparable across jurisdictions.</w:t>
                        </w:r>
                      </w:p>
                    </w:tc>
                  </w:tr>
                  <w:tr w:rsidR="003225C4" w:rsidRPr="00A83EB4" w14:paraId="2CAD19F8" w14:textId="77777777" w:rsidTr="008F3EFB">
                    <w:trPr>
                      <w:trHeight w:val="301"/>
                    </w:trPr>
                    <w:tc>
                      <w:tcPr>
                        <w:tcW w:w="400" w:type="pct"/>
                        <w:tcBorders>
                          <w:top w:val="nil"/>
                          <w:left w:val="nil"/>
                          <w:bottom w:val="nil"/>
                          <w:right w:val="nil"/>
                        </w:tcBorders>
                        <w:shd w:val="clear" w:color="auto" w:fill="F15A25"/>
                      </w:tcPr>
                      <w:p w14:paraId="4E080198" w14:textId="77777777" w:rsidR="003225C4" w:rsidRPr="00A83EB4" w:rsidRDefault="003225C4" w:rsidP="003225C4">
                        <w:pPr>
                          <w:keepNext/>
                          <w:keepLines/>
                          <w:spacing w:before="60" w:after="60" w:line="240" w:lineRule="atLeast"/>
                          <w:jc w:val="center"/>
                          <w:rPr>
                            <w:rFonts w:ascii="Arial" w:hAnsi="Arial" w:cs="Arial"/>
                            <w:sz w:val="18"/>
                            <w:szCs w:val="18"/>
                          </w:rPr>
                        </w:pPr>
                      </w:p>
                    </w:tc>
                    <w:tc>
                      <w:tcPr>
                        <w:tcW w:w="4600" w:type="pct"/>
                        <w:tcBorders>
                          <w:top w:val="nil"/>
                          <w:left w:val="nil"/>
                          <w:bottom w:val="nil"/>
                          <w:right w:val="nil"/>
                        </w:tcBorders>
                        <w:shd w:val="clear" w:color="auto" w:fill="auto"/>
                      </w:tcPr>
                      <w:p w14:paraId="2431FC69" w14:textId="77777777" w:rsidR="003225C4" w:rsidRPr="005144F7" w:rsidRDefault="003225C4" w:rsidP="005144F7">
                        <w:pPr>
                          <w:pStyle w:val="TableBodyText"/>
                          <w:jc w:val="left"/>
                        </w:pPr>
                        <w:r w:rsidRPr="005144F7">
                          <w:t>Data are complete (subject to caveats) for the current reporting period.</w:t>
                        </w:r>
                      </w:p>
                    </w:tc>
                  </w:tr>
                </w:tbl>
                <w:p w14:paraId="001630DA" w14:textId="77777777" w:rsidR="003225C4" w:rsidRPr="00B1465D" w:rsidRDefault="003225C4" w:rsidP="003225C4">
                  <w:pPr>
                    <w:pStyle w:val="TableBodyText"/>
                    <w:jc w:val="left"/>
                  </w:pPr>
                </w:p>
              </w:tc>
            </w:tr>
            <w:tr w:rsidR="00D55780" w:rsidRPr="00B1465D" w14:paraId="05096D7C" w14:textId="77777777" w:rsidTr="003225C4">
              <w:trPr>
                <w:tblHeader/>
                <w:jc w:val="center"/>
              </w:trPr>
              <w:tc>
                <w:tcPr>
                  <w:tcW w:w="5000" w:type="pct"/>
                  <w:tcBorders>
                    <w:top w:val="nil"/>
                    <w:bottom w:val="nil"/>
                  </w:tcBorders>
                </w:tcPr>
                <w:p w14:paraId="3F1ADFD3" w14:textId="00645000" w:rsidR="00D55780" w:rsidRPr="00B1465D" w:rsidRDefault="009B3BE2" w:rsidP="003225C4">
                  <w:pPr>
                    <w:pStyle w:val="Figure"/>
                  </w:pPr>
                  <w:r>
                    <w:rPr>
                      <w:noProof/>
                    </w:rPr>
                    <w:drawing>
                      <wp:inline distT="0" distB="0" distL="0" distR="0" wp14:anchorId="1949940B" wp14:editId="5BE45F63">
                        <wp:extent cx="5410200" cy="2654300"/>
                        <wp:effectExtent l="0" t="0" r="0" b="0"/>
                        <wp:docPr id="6" name="Picture 6" descr="Figure 6.3 Proportion of Aboriginal and Torres Strait Islander staff and Aboriginal and Torres Strait Islander people aged 20-64 years, 2017-18&#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0200" cy="2654300"/>
                                </a:xfrm>
                                <a:prstGeom prst="rect">
                                  <a:avLst/>
                                </a:prstGeom>
                                <a:noFill/>
                                <a:ln>
                                  <a:noFill/>
                                </a:ln>
                              </pic:spPr>
                            </pic:pic>
                          </a:graphicData>
                        </a:graphic>
                      </wp:inline>
                    </w:drawing>
                  </w:r>
                </w:p>
              </w:tc>
            </w:tr>
          </w:tbl>
          <w:p w14:paraId="55B9DAA1" w14:textId="77777777" w:rsidR="00D55780" w:rsidRDefault="00D55780" w:rsidP="007A2EE8">
            <w:pPr>
              <w:pStyle w:val="Figure"/>
            </w:pPr>
          </w:p>
        </w:tc>
      </w:tr>
      <w:tr w:rsidR="00D55780" w:rsidRPr="00176D3F" w14:paraId="35048090" w14:textId="77777777" w:rsidTr="007A2EE8">
        <w:tc>
          <w:tcPr>
            <w:tcW w:w="5000" w:type="pct"/>
            <w:tcBorders>
              <w:top w:val="nil"/>
              <w:left w:val="nil"/>
              <w:bottom w:val="nil"/>
              <w:right w:val="nil"/>
            </w:tcBorders>
            <w:shd w:val="clear" w:color="auto" w:fill="auto"/>
          </w:tcPr>
          <w:p w14:paraId="1FF27F25" w14:textId="11EDAC37" w:rsidR="00D55780" w:rsidRPr="00176D3F" w:rsidRDefault="00D55780" w:rsidP="007A2EE8">
            <w:pPr>
              <w:pStyle w:val="Note"/>
            </w:pPr>
            <w:r>
              <w:rPr>
                <w:rStyle w:val="NoteLabel"/>
              </w:rPr>
              <w:t>a</w:t>
            </w:r>
            <w:r>
              <w:t xml:space="preserve"> </w:t>
            </w:r>
            <w:r w:rsidR="003225C4">
              <w:t>See box 6.3</w:t>
            </w:r>
            <w:r w:rsidR="003225C4" w:rsidRPr="00C602B2">
              <w:t xml:space="preserve"> and table 6A.</w:t>
            </w:r>
            <w:r w:rsidR="003225C4">
              <w:t>3</w:t>
            </w:r>
            <w:r w:rsidR="003225C4" w:rsidRPr="00C602B2">
              <w:t xml:space="preserve"> for detailed de</w:t>
            </w:r>
            <w:r w:rsidR="003225C4">
              <w:t>finitions, footnotes and caveats.</w:t>
            </w:r>
          </w:p>
        </w:tc>
      </w:tr>
      <w:tr w:rsidR="00D55780" w:rsidRPr="00176D3F" w14:paraId="06641AAC" w14:textId="77777777" w:rsidTr="007A2EE8">
        <w:tc>
          <w:tcPr>
            <w:tcW w:w="5000" w:type="pct"/>
            <w:tcBorders>
              <w:top w:val="nil"/>
              <w:left w:val="nil"/>
              <w:bottom w:val="nil"/>
              <w:right w:val="nil"/>
            </w:tcBorders>
            <w:shd w:val="clear" w:color="auto" w:fill="auto"/>
          </w:tcPr>
          <w:p w14:paraId="08C4F127" w14:textId="591353F9" w:rsidR="00D55780" w:rsidRPr="00176D3F" w:rsidRDefault="003225C4" w:rsidP="007A2EE8">
            <w:pPr>
              <w:pStyle w:val="Source"/>
            </w:pPr>
            <w:r>
              <w:rPr>
                <w:i/>
              </w:rPr>
              <w:t>S</w:t>
            </w:r>
            <w:r w:rsidRPr="00784A05">
              <w:rPr>
                <w:i/>
              </w:rPr>
              <w:t>ource</w:t>
            </w:r>
            <w:r w:rsidRPr="00176D3F">
              <w:t xml:space="preserve">: </w:t>
            </w:r>
            <w:r>
              <w:t>State and Territory governments (unpublished); table 6A.3.</w:t>
            </w:r>
          </w:p>
        </w:tc>
      </w:tr>
      <w:tr w:rsidR="00D55780" w14:paraId="7E25E278" w14:textId="77777777" w:rsidTr="007A2EE8">
        <w:tc>
          <w:tcPr>
            <w:tcW w:w="5000" w:type="pct"/>
            <w:tcBorders>
              <w:top w:val="nil"/>
              <w:left w:val="nil"/>
              <w:bottom w:val="single" w:sz="6" w:space="0" w:color="78A22F"/>
              <w:right w:val="nil"/>
            </w:tcBorders>
            <w:shd w:val="clear" w:color="auto" w:fill="auto"/>
          </w:tcPr>
          <w:p w14:paraId="495FE01F" w14:textId="77777777" w:rsidR="00D55780" w:rsidRDefault="00D55780" w:rsidP="007A2EE8">
            <w:pPr>
              <w:pStyle w:val="Figurespace"/>
            </w:pPr>
          </w:p>
        </w:tc>
      </w:tr>
      <w:tr w:rsidR="00D55780" w:rsidRPr="000863A5" w14:paraId="300D8772" w14:textId="77777777" w:rsidTr="007A2EE8">
        <w:tc>
          <w:tcPr>
            <w:tcW w:w="5000" w:type="pct"/>
            <w:tcBorders>
              <w:top w:val="single" w:sz="6" w:space="0" w:color="78A22F"/>
              <w:left w:val="nil"/>
              <w:bottom w:val="nil"/>
              <w:right w:val="nil"/>
            </w:tcBorders>
          </w:tcPr>
          <w:p w14:paraId="0E6E144D" w14:textId="4E9A1939" w:rsidR="00D55780" w:rsidRPr="00626D32" w:rsidRDefault="00D55780" w:rsidP="007A2EE8">
            <w:pPr>
              <w:pStyle w:val="BoxSpaceBelow"/>
            </w:pPr>
          </w:p>
        </w:tc>
      </w:tr>
    </w:tbl>
    <w:p w14:paraId="5AC63740" w14:textId="6D758DC0" w:rsidR="00337D3B" w:rsidRDefault="00337D3B" w:rsidP="00337D3B">
      <w:pPr>
        <w:pStyle w:val="Heading4"/>
      </w:pPr>
      <w:r>
        <w:t>Staff</w:t>
      </w:r>
      <w:r w:rsidR="007E5ACD">
        <w:t>ing</w:t>
      </w:r>
      <w:r>
        <w:t xml:space="preserve"> by gender</w:t>
      </w:r>
    </w:p>
    <w:p w14:paraId="014285B8" w14:textId="77777777" w:rsidR="00337D3B" w:rsidRDefault="00337D3B" w:rsidP="00337D3B">
      <w:pPr>
        <w:pStyle w:val="BodyText"/>
      </w:pPr>
      <w:r>
        <w:t>‘Staffing by gender’ is an indicator of governments’ objective to provide police services in an equitable manner (box 6.4).</w:t>
      </w:r>
    </w:p>
    <w:p w14:paraId="701093CC" w14:textId="08C6920D" w:rsidR="00337D3B" w:rsidRDefault="00337D3B" w:rsidP="00337D3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37D3B" w14:paraId="53D38102" w14:textId="77777777" w:rsidTr="0061204D">
        <w:trPr>
          <w:tblHeader/>
        </w:trPr>
        <w:tc>
          <w:tcPr>
            <w:tcW w:w="5000" w:type="pct"/>
            <w:tcBorders>
              <w:top w:val="single" w:sz="6" w:space="0" w:color="78A22F"/>
              <w:left w:val="nil"/>
              <w:bottom w:val="nil"/>
              <w:right w:val="nil"/>
            </w:tcBorders>
            <w:shd w:val="clear" w:color="auto" w:fill="F2F2F2"/>
          </w:tcPr>
          <w:p w14:paraId="4702DC8A" w14:textId="51FE8BF0" w:rsidR="00337D3B" w:rsidRDefault="00337D3B" w:rsidP="00147003">
            <w:pPr>
              <w:pStyle w:val="BoxTitle"/>
            </w:pPr>
            <w:r>
              <w:rPr>
                <w:b w:val="0"/>
              </w:rPr>
              <w:t>Box 6.</w:t>
            </w:r>
            <w:r w:rsidR="00147003">
              <w:rPr>
                <w:b w:val="0"/>
              </w:rPr>
              <w:t>4</w:t>
            </w:r>
            <w:r>
              <w:tab/>
              <w:t>Staffing by gender</w:t>
            </w:r>
          </w:p>
        </w:tc>
      </w:tr>
      <w:tr w:rsidR="00337D3B" w14:paraId="017796B8" w14:textId="77777777" w:rsidTr="0061204D">
        <w:tc>
          <w:tcPr>
            <w:tcW w:w="5000" w:type="pct"/>
            <w:tcBorders>
              <w:top w:val="nil"/>
              <w:left w:val="nil"/>
              <w:bottom w:val="nil"/>
              <w:right w:val="nil"/>
            </w:tcBorders>
            <w:shd w:val="clear" w:color="auto" w:fill="F2F2F2"/>
          </w:tcPr>
          <w:p w14:paraId="740912A0" w14:textId="77777777" w:rsidR="00337D3B" w:rsidRPr="006C3EDB" w:rsidRDefault="00337D3B" w:rsidP="0061204D">
            <w:pPr>
              <w:pStyle w:val="Box"/>
            </w:pPr>
            <w:r>
              <w:t xml:space="preserve">‘Police staffing by gender’ is defined as the number of female police staff (sworn and unsworn) </w:t>
            </w:r>
            <w:r w:rsidRPr="006C3EDB">
              <w:t>divided by the total number of police staff.</w:t>
            </w:r>
          </w:p>
          <w:p w14:paraId="1B1C695B" w14:textId="77777777" w:rsidR="00337D3B" w:rsidRDefault="00337D3B" w:rsidP="0061204D">
            <w:pPr>
              <w:pStyle w:val="Box"/>
            </w:pPr>
            <w:r w:rsidRPr="006C3EDB">
              <w:t>A proportion of female police staff similar to the proportion of females in the population is desirable.</w:t>
            </w:r>
            <w:r>
              <w:t xml:space="preserve"> </w:t>
            </w:r>
            <w:r w:rsidRPr="006C3EDB">
              <w:t xml:space="preserve">Women </w:t>
            </w:r>
            <w:r>
              <w:t>may</w:t>
            </w:r>
            <w:r w:rsidRPr="006C3EDB">
              <w:t xml:space="preserve"> feel more comfortable in accessing police services in particular situations, such as in relation to sexual assault, when they are able to deal with female police staff.</w:t>
            </w:r>
          </w:p>
          <w:p w14:paraId="2C028AD2" w14:textId="77777777" w:rsidR="00337D3B" w:rsidRDefault="00337D3B" w:rsidP="0061204D">
            <w:pPr>
              <w:pStyle w:val="Box"/>
            </w:pPr>
            <w:r>
              <w:t>Data reported for this measure are:</w:t>
            </w:r>
          </w:p>
          <w:p w14:paraId="78946E0E" w14:textId="77777777" w:rsidR="00337D3B" w:rsidRPr="009442FD" w:rsidRDefault="00337D3B" w:rsidP="0008738B">
            <w:pPr>
              <w:pStyle w:val="BoxListBullet"/>
              <w:numPr>
                <w:ilvl w:val="0"/>
                <w:numId w:val="0"/>
              </w:numPr>
              <w:ind w:left="284"/>
            </w:pPr>
            <w:r w:rsidRPr="009273A9">
              <w:rPr>
                <w:shd w:val="clear" w:color="auto" w:fill="F15A25"/>
              </w:rPr>
              <w:t xml:space="preserve">    </w:t>
            </w:r>
            <w:r>
              <w:t xml:space="preserve"> </w:t>
            </w:r>
            <w:r w:rsidRPr="009442FD">
              <w:t>comparable (subject to caveats) across jurisdictions and over time.</w:t>
            </w:r>
          </w:p>
          <w:p w14:paraId="714F1222" w14:textId="77777777" w:rsidR="00337D3B" w:rsidRDefault="00337D3B" w:rsidP="0008738B">
            <w:pPr>
              <w:pStyle w:val="BoxListBullet"/>
              <w:numPr>
                <w:ilvl w:val="0"/>
                <w:numId w:val="0"/>
              </w:numPr>
              <w:ind w:left="284"/>
            </w:pPr>
            <w:r w:rsidRPr="009273A9">
              <w:rPr>
                <w:shd w:val="clear" w:color="auto" w:fill="F15A25"/>
              </w:rPr>
              <w:t xml:space="preserve">    </w:t>
            </w:r>
            <w:r>
              <w:t xml:space="preserve"> </w:t>
            </w:r>
            <w:r w:rsidRPr="009442FD">
              <w:t>complet</w:t>
            </w:r>
            <w:r>
              <w:t xml:space="preserve">e </w:t>
            </w:r>
            <w:r w:rsidRPr="009442FD">
              <w:t>(subject to caveats)</w:t>
            </w:r>
            <w:r>
              <w:t xml:space="preserve"> </w:t>
            </w:r>
            <w:r w:rsidRPr="009442FD">
              <w:t xml:space="preserve">for the current reporting period. All required </w:t>
            </w:r>
            <w:r>
              <w:t xml:space="preserve">2017-18 </w:t>
            </w:r>
            <w:r w:rsidRPr="009442FD">
              <w:t>data are</w:t>
            </w:r>
            <w:r>
              <w:t xml:space="preserve"> available for all jurisdictions.</w:t>
            </w:r>
          </w:p>
        </w:tc>
      </w:tr>
      <w:tr w:rsidR="00337D3B" w14:paraId="4E458983" w14:textId="77777777" w:rsidTr="0061204D">
        <w:tc>
          <w:tcPr>
            <w:tcW w:w="5000" w:type="pct"/>
            <w:tcBorders>
              <w:top w:val="nil"/>
              <w:left w:val="nil"/>
              <w:bottom w:val="single" w:sz="6" w:space="0" w:color="78A22F"/>
              <w:right w:val="nil"/>
            </w:tcBorders>
            <w:shd w:val="clear" w:color="auto" w:fill="F2F2F2"/>
          </w:tcPr>
          <w:p w14:paraId="63DDC7C4" w14:textId="77777777" w:rsidR="00337D3B" w:rsidRDefault="00337D3B" w:rsidP="0061204D">
            <w:pPr>
              <w:pStyle w:val="Box"/>
              <w:spacing w:before="0" w:line="120" w:lineRule="exact"/>
            </w:pPr>
          </w:p>
        </w:tc>
      </w:tr>
      <w:tr w:rsidR="00337D3B" w:rsidRPr="000863A5" w14:paraId="4BE656BE" w14:textId="77777777" w:rsidTr="0061204D">
        <w:tc>
          <w:tcPr>
            <w:tcW w:w="5000" w:type="pct"/>
            <w:tcBorders>
              <w:top w:val="single" w:sz="6" w:space="0" w:color="78A22F"/>
              <w:left w:val="nil"/>
              <w:bottom w:val="nil"/>
              <w:right w:val="nil"/>
            </w:tcBorders>
          </w:tcPr>
          <w:p w14:paraId="5CB94DB1" w14:textId="44DDB73E" w:rsidR="00337D3B" w:rsidRPr="00626D32" w:rsidRDefault="00337D3B" w:rsidP="0061204D">
            <w:pPr>
              <w:pStyle w:val="BoxSpaceBelow"/>
            </w:pPr>
          </w:p>
        </w:tc>
      </w:tr>
    </w:tbl>
    <w:p w14:paraId="5E9A8FE3" w14:textId="4171A6E2" w:rsidR="00337D3B" w:rsidRPr="0061204D" w:rsidRDefault="00337D3B" w:rsidP="0061204D">
      <w:pPr>
        <w:pStyle w:val="BodyText"/>
      </w:pPr>
      <w:r w:rsidRPr="0061204D">
        <w:lastRenderedPageBreak/>
        <w:t>Nationally, 33.6 per cent of police staff were female in 2017</w:t>
      </w:r>
      <w:r w:rsidRPr="0061204D">
        <w:noBreakHyphen/>
        <w:t>18,</w:t>
      </w:r>
      <w:r w:rsidR="008165D2">
        <w:t xml:space="preserve"> up from 32.2 per cent in </w:t>
      </w:r>
      <w:r w:rsidR="008F3EFB">
        <w:br/>
      </w:r>
      <w:r w:rsidR="008165D2">
        <w:t>2013-14</w:t>
      </w:r>
      <w:r w:rsidRPr="0061204D">
        <w:t xml:space="preserve"> (figure 6.4).</w:t>
      </w:r>
    </w:p>
    <w:p w14:paraId="6A8EE1A3" w14:textId="08CB9A0C" w:rsidR="00337D3B" w:rsidRDefault="00337D3B" w:rsidP="00337D3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37D3B" w14:paraId="07A5A549" w14:textId="77777777" w:rsidTr="0061204D">
        <w:trPr>
          <w:tblHeader/>
        </w:trPr>
        <w:tc>
          <w:tcPr>
            <w:tcW w:w="5000" w:type="pct"/>
            <w:tcBorders>
              <w:top w:val="single" w:sz="6" w:space="0" w:color="78A22F"/>
              <w:left w:val="nil"/>
              <w:bottom w:val="nil"/>
              <w:right w:val="nil"/>
            </w:tcBorders>
            <w:shd w:val="clear" w:color="auto" w:fill="auto"/>
          </w:tcPr>
          <w:p w14:paraId="067312D2" w14:textId="59FEBC9B" w:rsidR="00337D3B" w:rsidRPr="00176D3F" w:rsidRDefault="00337D3B" w:rsidP="0061204D">
            <w:pPr>
              <w:pStyle w:val="FigureTitle"/>
            </w:pPr>
            <w:r w:rsidRPr="00784A05">
              <w:rPr>
                <w:b w:val="0"/>
              </w:rPr>
              <w:t xml:space="preserve">Figure </w:t>
            </w:r>
            <w:r>
              <w:rPr>
                <w:b w:val="0"/>
              </w:rPr>
              <w:t>6.4</w:t>
            </w:r>
            <w:r>
              <w:tab/>
              <w:t>Female police staff as a proportion of all staff</w:t>
            </w:r>
            <w:r w:rsidRPr="00C8495E">
              <w:rPr>
                <w:rStyle w:val="NoteLabel"/>
                <w:b/>
              </w:rPr>
              <w:t>a</w:t>
            </w:r>
          </w:p>
        </w:tc>
      </w:tr>
      <w:tr w:rsidR="00337D3B" w14:paraId="53095A67" w14:textId="77777777" w:rsidTr="0061204D">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FC000" w:themeColor="accent4"/>
                <w:bottom w:val="single" w:sz="6" w:space="0" w:color="FFC000" w:themeColor="accent4"/>
              </w:tblBorders>
              <w:tblCellMar>
                <w:top w:w="28" w:type="dxa"/>
              </w:tblCellMar>
              <w:tblLook w:val="0000" w:firstRow="0" w:lastRow="0" w:firstColumn="0" w:lastColumn="0" w:noHBand="0" w:noVBand="0"/>
              <w:tblDescription w:val="Nested table used for design layout."/>
            </w:tblPr>
            <w:tblGrid>
              <w:gridCol w:w="8505"/>
            </w:tblGrid>
            <w:tr w:rsidR="0008738B" w:rsidRPr="00B1465D" w14:paraId="70706DEE" w14:textId="77777777" w:rsidTr="0008738B">
              <w:trPr>
                <w:tblHeader/>
                <w:jc w:val="center"/>
              </w:trPr>
              <w:tc>
                <w:tcPr>
                  <w:tcW w:w="8505" w:type="dxa"/>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08738B" w:rsidRPr="00C5074E" w14:paraId="62B25F38" w14:textId="77777777" w:rsidTr="0008738B">
                    <w:tc>
                      <w:tcPr>
                        <w:tcW w:w="304" w:type="dxa"/>
                        <w:tcBorders>
                          <w:top w:val="nil"/>
                          <w:left w:val="nil"/>
                          <w:bottom w:val="nil"/>
                          <w:right w:val="nil"/>
                        </w:tcBorders>
                        <w:shd w:val="clear" w:color="auto" w:fill="auto"/>
                        <w:tcMar>
                          <w:top w:w="28" w:type="dxa"/>
                          <w:bottom w:w="28" w:type="dxa"/>
                        </w:tcMar>
                      </w:tcPr>
                      <w:p w14:paraId="56F463C0" w14:textId="77777777" w:rsidR="0008738B" w:rsidRPr="00C5074E" w:rsidRDefault="0008738B" w:rsidP="0008738B">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78A3A68C" w14:textId="77777777" w:rsidR="0008738B" w:rsidRPr="00C5074E" w:rsidRDefault="0008738B" w:rsidP="0008738B">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393934FB" w14:textId="77777777" w:rsidR="0008738B" w:rsidRPr="0008738B" w:rsidRDefault="0008738B" w:rsidP="0008738B">
                        <w:pPr>
                          <w:pStyle w:val="TableBodyText"/>
                          <w:jc w:val="left"/>
                        </w:pPr>
                        <w:r w:rsidRPr="0008738B">
                          <w:t>Data are comparable (subject to caveats) across jurisdictions and over time.</w:t>
                        </w:r>
                      </w:p>
                    </w:tc>
                  </w:tr>
                </w:tbl>
                <w:p w14:paraId="3DE40A6B" w14:textId="77777777" w:rsidR="0008738B" w:rsidRDefault="0008738B" w:rsidP="0008738B">
                  <w:pPr>
                    <w:pStyle w:val="Figure"/>
                    <w:rPr>
                      <w:noProof/>
                    </w:rPr>
                  </w:pPr>
                </w:p>
              </w:tc>
            </w:tr>
            <w:tr w:rsidR="0008738B" w:rsidRPr="00B1465D" w14:paraId="482D9B1E" w14:textId="77777777" w:rsidTr="0008738B">
              <w:trPr>
                <w:tblHeader/>
                <w:jc w:val="center"/>
              </w:trPr>
              <w:tc>
                <w:tcPr>
                  <w:tcW w:w="8505" w:type="dxa"/>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08738B" w:rsidRPr="00C5074E" w14:paraId="5D820521" w14:textId="77777777" w:rsidTr="0008738B">
                    <w:tc>
                      <w:tcPr>
                        <w:tcW w:w="304" w:type="dxa"/>
                        <w:tcBorders>
                          <w:top w:val="nil"/>
                          <w:left w:val="nil"/>
                          <w:bottom w:val="nil"/>
                          <w:right w:val="nil"/>
                        </w:tcBorders>
                        <w:shd w:val="clear" w:color="auto" w:fill="auto"/>
                        <w:tcMar>
                          <w:top w:w="28" w:type="dxa"/>
                          <w:bottom w:w="28" w:type="dxa"/>
                        </w:tcMar>
                      </w:tcPr>
                      <w:p w14:paraId="6FFBBF9B" w14:textId="77777777" w:rsidR="0008738B" w:rsidRPr="00C5074E" w:rsidRDefault="0008738B" w:rsidP="0008738B">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27F29C77" w14:textId="77777777" w:rsidR="0008738B" w:rsidRPr="00C5074E" w:rsidRDefault="0008738B" w:rsidP="0008738B">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21693E26" w14:textId="1C9D8141" w:rsidR="0008738B" w:rsidRPr="0008738B" w:rsidRDefault="0008738B" w:rsidP="002B0C11">
                        <w:pPr>
                          <w:pStyle w:val="TableBodyText"/>
                          <w:jc w:val="left"/>
                        </w:pPr>
                        <w:r w:rsidRPr="0008738B">
                          <w:t>Data are complete (subject to caveats) for the current reporting period.</w:t>
                        </w:r>
                      </w:p>
                    </w:tc>
                  </w:tr>
                </w:tbl>
                <w:p w14:paraId="6AC950CC" w14:textId="77777777" w:rsidR="0008738B" w:rsidRDefault="0008738B" w:rsidP="0008738B">
                  <w:pPr>
                    <w:pStyle w:val="Figure"/>
                    <w:rPr>
                      <w:noProof/>
                    </w:rPr>
                  </w:pPr>
                </w:p>
              </w:tc>
            </w:tr>
            <w:tr w:rsidR="0008738B" w:rsidRPr="00B1465D" w14:paraId="5ADAF7D1" w14:textId="77777777" w:rsidTr="0008738B">
              <w:trPr>
                <w:tblHeader/>
                <w:jc w:val="center"/>
              </w:trPr>
              <w:tc>
                <w:tcPr>
                  <w:tcW w:w="8505" w:type="dxa"/>
                  <w:tcBorders>
                    <w:top w:val="nil"/>
                    <w:bottom w:val="nil"/>
                  </w:tcBorders>
                </w:tcPr>
                <w:p w14:paraId="78C28E53" w14:textId="72D6EE40" w:rsidR="0008738B" w:rsidRPr="004B4DE1" w:rsidRDefault="00E34B58" w:rsidP="004B4DE1">
                  <w:pPr>
                    <w:pStyle w:val="Figure"/>
                  </w:pPr>
                  <w:r>
                    <w:rPr>
                      <w:noProof/>
                    </w:rPr>
                    <w:drawing>
                      <wp:inline distT="0" distB="0" distL="0" distR="0" wp14:anchorId="46CC80DF" wp14:editId="4859733A">
                        <wp:extent cx="5407660" cy="2883535"/>
                        <wp:effectExtent l="0" t="0" r="2540" b="0"/>
                        <wp:docPr id="3" name="Picture 3" descr="Figure 6.4 Female police staff as a proportion of all staff&#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7660" cy="2883535"/>
                                </a:xfrm>
                                <a:prstGeom prst="rect">
                                  <a:avLst/>
                                </a:prstGeom>
                                <a:noFill/>
                              </pic:spPr>
                            </pic:pic>
                          </a:graphicData>
                        </a:graphic>
                      </wp:inline>
                    </w:drawing>
                  </w:r>
                </w:p>
              </w:tc>
            </w:tr>
          </w:tbl>
          <w:p w14:paraId="1D61FBE6" w14:textId="77777777" w:rsidR="00337D3B" w:rsidRDefault="00337D3B" w:rsidP="0061204D">
            <w:pPr>
              <w:pStyle w:val="Figure"/>
            </w:pPr>
          </w:p>
        </w:tc>
      </w:tr>
      <w:tr w:rsidR="00337D3B" w:rsidRPr="00176D3F" w14:paraId="6AFC369B" w14:textId="77777777" w:rsidTr="0061204D">
        <w:tc>
          <w:tcPr>
            <w:tcW w:w="5000" w:type="pct"/>
            <w:tcBorders>
              <w:top w:val="nil"/>
              <w:left w:val="nil"/>
              <w:bottom w:val="nil"/>
              <w:right w:val="nil"/>
            </w:tcBorders>
            <w:shd w:val="clear" w:color="auto" w:fill="auto"/>
          </w:tcPr>
          <w:p w14:paraId="28DE15EF" w14:textId="77777777" w:rsidR="00337D3B" w:rsidRPr="00176D3F" w:rsidRDefault="00337D3B" w:rsidP="0061204D">
            <w:pPr>
              <w:pStyle w:val="Note"/>
            </w:pPr>
            <w:r>
              <w:rPr>
                <w:rStyle w:val="NoteLabel"/>
              </w:rPr>
              <w:t>a</w:t>
            </w:r>
            <w:r>
              <w:t xml:space="preserve"> See box 6.4</w:t>
            </w:r>
            <w:r w:rsidRPr="00C602B2">
              <w:t xml:space="preserve"> and table 6A.</w:t>
            </w:r>
            <w:r>
              <w:t>3</w:t>
            </w:r>
            <w:r w:rsidRPr="00C602B2">
              <w:t xml:space="preserve"> for detailed definitions, footnotes and caveats</w:t>
            </w:r>
            <w:r>
              <w:t>.</w:t>
            </w:r>
          </w:p>
        </w:tc>
      </w:tr>
      <w:tr w:rsidR="00337D3B" w:rsidRPr="00176D3F" w14:paraId="54543C26" w14:textId="77777777" w:rsidTr="0061204D">
        <w:tc>
          <w:tcPr>
            <w:tcW w:w="5000" w:type="pct"/>
            <w:tcBorders>
              <w:top w:val="nil"/>
              <w:left w:val="nil"/>
              <w:bottom w:val="nil"/>
              <w:right w:val="nil"/>
            </w:tcBorders>
            <w:shd w:val="clear" w:color="auto" w:fill="auto"/>
          </w:tcPr>
          <w:p w14:paraId="68C7CEC5" w14:textId="77777777" w:rsidR="00337D3B" w:rsidRPr="00176D3F" w:rsidRDefault="00337D3B" w:rsidP="0061204D">
            <w:pPr>
              <w:pStyle w:val="Source"/>
            </w:pPr>
            <w:r>
              <w:rPr>
                <w:i/>
              </w:rPr>
              <w:t>S</w:t>
            </w:r>
            <w:r w:rsidRPr="00784A05">
              <w:rPr>
                <w:i/>
              </w:rPr>
              <w:t>ource</w:t>
            </w:r>
            <w:r w:rsidRPr="00176D3F">
              <w:t>:</w:t>
            </w:r>
            <w:r>
              <w:t xml:space="preserve"> State and Territory governments (unpublished); table 6A.3.</w:t>
            </w:r>
            <w:r w:rsidRPr="00176D3F">
              <w:t xml:space="preserve"> </w:t>
            </w:r>
          </w:p>
        </w:tc>
      </w:tr>
      <w:tr w:rsidR="00337D3B" w14:paraId="5CB97DB0" w14:textId="77777777" w:rsidTr="0061204D">
        <w:tc>
          <w:tcPr>
            <w:tcW w:w="5000" w:type="pct"/>
            <w:tcBorders>
              <w:top w:val="nil"/>
              <w:left w:val="nil"/>
              <w:bottom w:val="single" w:sz="6" w:space="0" w:color="78A22F"/>
              <w:right w:val="nil"/>
            </w:tcBorders>
            <w:shd w:val="clear" w:color="auto" w:fill="auto"/>
          </w:tcPr>
          <w:p w14:paraId="3E945CD0" w14:textId="77777777" w:rsidR="00337D3B" w:rsidRDefault="00337D3B" w:rsidP="0061204D">
            <w:pPr>
              <w:pStyle w:val="Figurespace"/>
            </w:pPr>
          </w:p>
        </w:tc>
      </w:tr>
      <w:tr w:rsidR="00337D3B" w:rsidRPr="000863A5" w14:paraId="501C77D0" w14:textId="77777777" w:rsidTr="0061204D">
        <w:tc>
          <w:tcPr>
            <w:tcW w:w="5000" w:type="pct"/>
            <w:tcBorders>
              <w:top w:val="single" w:sz="6" w:space="0" w:color="78A22F"/>
              <w:left w:val="nil"/>
              <w:bottom w:val="nil"/>
              <w:right w:val="nil"/>
            </w:tcBorders>
          </w:tcPr>
          <w:p w14:paraId="5317B8E1" w14:textId="05E16DA5" w:rsidR="00337D3B" w:rsidRPr="00626D32" w:rsidRDefault="00337D3B" w:rsidP="0061204D">
            <w:pPr>
              <w:pStyle w:val="BoxSpaceBelow"/>
            </w:pPr>
          </w:p>
        </w:tc>
      </w:tr>
    </w:tbl>
    <w:p w14:paraId="6F2D4BDD" w14:textId="77777777" w:rsidR="00337D3B" w:rsidRDefault="00337D3B" w:rsidP="00337D3B">
      <w:pPr>
        <w:pStyle w:val="Heading3"/>
      </w:pPr>
      <w:r>
        <w:t>Effectiveness</w:t>
      </w:r>
    </w:p>
    <w:p w14:paraId="37C44D4E" w14:textId="77777777" w:rsidR="00337D3B" w:rsidRPr="000311F7" w:rsidRDefault="00337D3B" w:rsidP="000311F7">
      <w:pPr>
        <w:pStyle w:val="Heading4"/>
      </w:pPr>
      <w:r w:rsidRPr="000311F7">
        <w:t>Road safety</w:t>
      </w:r>
    </w:p>
    <w:p w14:paraId="00D67218" w14:textId="77777777" w:rsidR="00337D3B" w:rsidRDefault="00337D3B" w:rsidP="00337D3B">
      <w:pPr>
        <w:pStyle w:val="BodyText"/>
      </w:pPr>
      <w:r w:rsidRPr="00025C46">
        <w:t xml:space="preserve">‘Road safety’ is an indicator of governments’ objective </w:t>
      </w:r>
      <w:r>
        <w:t>to promote s</w:t>
      </w:r>
      <w:r w:rsidRPr="00025C46">
        <w:t>afer behaviour on roads (box 6.</w:t>
      </w:r>
      <w:r>
        <w:t>5</w:t>
      </w:r>
      <w:r w:rsidRPr="00025C46">
        <w:t>).</w:t>
      </w:r>
    </w:p>
    <w:p w14:paraId="3DE3C482" w14:textId="3437F7A8" w:rsidR="00337D3B" w:rsidRDefault="00337D3B" w:rsidP="00337D3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37D3B" w14:paraId="3AF890B7" w14:textId="77777777" w:rsidTr="0061204D">
        <w:trPr>
          <w:tblHeader/>
        </w:trPr>
        <w:tc>
          <w:tcPr>
            <w:tcW w:w="5000" w:type="pct"/>
            <w:tcBorders>
              <w:top w:val="single" w:sz="6" w:space="0" w:color="78A22F"/>
              <w:left w:val="nil"/>
              <w:bottom w:val="nil"/>
              <w:right w:val="nil"/>
            </w:tcBorders>
            <w:shd w:val="clear" w:color="auto" w:fill="F2F2F2"/>
          </w:tcPr>
          <w:p w14:paraId="65F67522" w14:textId="2CFC2C09" w:rsidR="00337D3B" w:rsidRDefault="00337D3B" w:rsidP="00147003">
            <w:pPr>
              <w:pStyle w:val="BoxTitle"/>
            </w:pPr>
            <w:r>
              <w:rPr>
                <w:b w:val="0"/>
              </w:rPr>
              <w:t>Box 6.</w:t>
            </w:r>
            <w:r w:rsidR="00147003">
              <w:rPr>
                <w:b w:val="0"/>
              </w:rPr>
              <w:t>5</w:t>
            </w:r>
            <w:r>
              <w:tab/>
              <w:t>Road safety</w:t>
            </w:r>
          </w:p>
        </w:tc>
      </w:tr>
      <w:tr w:rsidR="00337D3B" w14:paraId="01EDF866" w14:textId="77777777" w:rsidTr="0061204D">
        <w:tc>
          <w:tcPr>
            <w:tcW w:w="5000" w:type="pct"/>
            <w:tcBorders>
              <w:top w:val="nil"/>
              <w:left w:val="nil"/>
              <w:bottom w:val="nil"/>
              <w:right w:val="nil"/>
            </w:tcBorders>
            <w:shd w:val="clear" w:color="auto" w:fill="F2F2F2"/>
          </w:tcPr>
          <w:p w14:paraId="6CD47D84" w14:textId="1D8E36D1" w:rsidR="00337D3B" w:rsidRDefault="00337D3B" w:rsidP="0061204D">
            <w:pPr>
              <w:pStyle w:val="Box"/>
            </w:pPr>
            <w:r>
              <w:t>‘Road safety’ is defined by three measures:</w:t>
            </w:r>
          </w:p>
          <w:p w14:paraId="2EE02445" w14:textId="77777777" w:rsidR="00337D3B" w:rsidRDefault="00337D3B" w:rsidP="0061204D">
            <w:pPr>
              <w:pStyle w:val="BoxListBullet"/>
            </w:pPr>
            <w:r>
              <w:t xml:space="preserve">use of seatbelts, defined as the proportion of people who had driven in the previous 6 months and who indicated that, in that time, they had driven without wearing a seatbelt </w:t>
            </w:r>
          </w:p>
          <w:p w14:paraId="67DC3385" w14:textId="77777777" w:rsidR="00337D3B" w:rsidRDefault="00337D3B" w:rsidP="0061204D">
            <w:pPr>
              <w:pStyle w:val="BoxListBullet"/>
            </w:pPr>
            <w:r>
              <w:t>driving under the influence, defined as the proportion of people who had driven in the previous 6 months and who indicated that, in that time, they had driven when possibly over the alcohol limit</w:t>
            </w:r>
          </w:p>
          <w:p w14:paraId="6965C59C" w14:textId="4F1A6DB3" w:rsidR="00337D3B" w:rsidRDefault="00337D3B" w:rsidP="0061204D">
            <w:pPr>
              <w:pStyle w:val="BoxListBullet"/>
            </w:pPr>
            <w:r>
              <w:t>the degree of speeding, defined as the proportion of people who had driven in the previous 6</w:t>
            </w:r>
            <w:r w:rsidR="00DE3C82">
              <w:t> </w:t>
            </w:r>
            <w:r>
              <w:t>months and who indicated that, in that time, they had driven 10 kilometres per hour or more above the speed limit.</w:t>
            </w:r>
          </w:p>
          <w:p w14:paraId="59235098" w14:textId="77777777" w:rsidR="0008738B" w:rsidRDefault="0008738B" w:rsidP="0008738B">
            <w:pPr>
              <w:pStyle w:val="Box"/>
            </w:pPr>
            <w:r>
              <w:t>A low or decreasing proportion of people who stated that they had driven without wearing a seatbelt, driven when possibly over the alcohol limit and/or driven 10 kilometres per hour or more above the speed limit is desirable.</w:t>
            </w:r>
          </w:p>
          <w:p w14:paraId="3AD7BA3D" w14:textId="10D8E4D3" w:rsidR="0008738B" w:rsidRDefault="0008738B" w:rsidP="0008738B">
            <w:pPr>
              <w:pStyle w:val="Box"/>
            </w:pPr>
            <w:r w:rsidRPr="006C3EDB">
              <w:t xml:space="preserve">The use of seatbelts, driving under the influence of alcohol and speeding </w:t>
            </w:r>
            <w:r w:rsidR="008165D2">
              <w:t>are</w:t>
            </w:r>
            <w:r w:rsidRPr="006C3EDB">
              <w:t xml:space="preserve"> affected by a number of factors in addition to police</w:t>
            </w:r>
            <w:r w:rsidR="008165D2">
              <w:t xml:space="preserve"> activities</w:t>
            </w:r>
            <w:r w:rsidRPr="006C3EDB">
              <w:t>, such as driver education and media campaigns.</w:t>
            </w:r>
          </w:p>
          <w:p w14:paraId="01107E3F" w14:textId="77777777" w:rsidR="0008738B" w:rsidRDefault="0008738B" w:rsidP="0008738B">
            <w:pPr>
              <w:pStyle w:val="Box"/>
            </w:pPr>
            <w:r>
              <w:t>Data reported for these measures are:</w:t>
            </w:r>
          </w:p>
          <w:p w14:paraId="1399C137" w14:textId="500A7A9E" w:rsidR="0086163C" w:rsidRDefault="0086163C" w:rsidP="0086163C">
            <w:pPr>
              <w:pStyle w:val="BoxListBullet"/>
              <w:numPr>
                <w:ilvl w:val="0"/>
                <w:numId w:val="0"/>
              </w:numPr>
              <w:ind w:left="284"/>
            </w:pPr>
            <w:r w:rsidRPr="009273A9">
              <w:rPr>
                <w:shd w:val="clear" w:color="auto" w:fill="F15A25"/>
              </w:rPr>
              <w:t xml:space="preserve">    </w:t>
            </w:r>
            <w:r>
              <w:t xml:space="preserve"> comparable (subject to caveats) across jurisdictions and over time</w:t>
            </w:r>
          </w:p>
          <w:p w14:paraId="05B167F6" w14:textId="2DAB126B" w:rsidR="0008738B" w:rsidRDefault="0086163C" w:rsidP="007E5ACD">
            <w:pPr>
              <w:pStyle w:val="BoxListBullet"/>
              <w:numPr>
                <w:ilvl w:val="0"/>
                <w:numId w:val="0"/>
              </w:numPr>
              <w:ind w:left="284"/>
            </w:pPr>
            <w:r w:rsidRPr="009273A9">
              <w:rPr>
                <w:shd w:val="clear" w:color="auto" w:fill="F15A25"/>
              </w:rPr>
              <w:t xml:space="preserve">    </w:t>
            </w:r>
            <w:r>
              <w:t xml:space="preserve"> complete (subject to caveats) for the current reporting period. All required</w:t>
            </w:r>
            <w:r w:rsidR="007E5ACD">
              <w:t xml:space="preserve"> 2017-18 </w:t>
            </w:r>
            <w:r>
              <w:t>data are available for all jurisdictions.</w:t>
            </w:r>
          </w:p>
        </w:tc>
      </w:tr>
      <w:tr w:rsidR="00337D3B" w14:paraId="6D7E975D" w14:textId="77777777" w:rsidTr="0061204D">
        <w:tc>
          <w:tcPr>
            <w:tcW w:w="5000" w:type="pct"/>
            <w:tcBorders>
              <w:top w:val="nil"/>
              <w:left w:val="nil"/>
              <w:bottom w:val="single" w:sz="6" w:space="0" w:color="78A22F"/>
              <w:right w:val="nil"/>
            </w:tcBorders>
            <w:shd w:val="clear" w:color="auto" w:fill="F2F2F2"/>
          </w:tcPr>
          <w:p w14:paraId="67E5947E" w14:textId="77777777" w:rsidR="00337D3B" w:rsidRDefault="00337D3B" w:rsidP="0061204D">
            <w:pPr>
              <w:pStyle w:val="Box"/>
              <w:spacing w:before="0" w:line="120" w:lineRule="exact"/>
            </w:pPr>
          </w:p>
        </w:tc>
      </w:tr>
      <w:tr w:rsidR="00337D3B" w:rsidRPr="000863A5" w14:paraId="06B1C790" w14:textId="77777777" w:rsidTr="0061204D">
        <w:tc>
          <w:tcPr>
            <w:tcW w:w="5000" w:type="pct"/>
            <w:tcBorders>
              <w:top w:val="single" w:sz="6" w:space="0" w:color="78A22F"/>
              <w:left w:val="nil"/>
              <w:bottom w:val="nil"/>
              <w:right w:val="nil"/>
            </w:tcBorders>
          </w:tcPr>
          <w:p w14:paraId="2C81B2B6" w14:textId="6224C205" w:rsidR="00337D3B" w:rsidRPr="00626D32" w:rsidRDefault="00337D3B" w:rsidP="0061204D">
            <w:pPr>
              <w:pStyle w:val="BoxSpaceBelow"/>
            </w:pPr>
          </w:p>
        </w:tc>
      </w:tr>
    </w:tbl>
    <w:p w14:paraId="4A88B8F3" w14:textId="77777777" w:rsidR="00337D3B" w:rsidRDefault="00337D3B" w:rsidP="00337D3B">
      <w:pPr>
        <w:pStyle w:val="BodyText"/>
      </w:pPr>
      <w:r>
        <w:t>Nationally in 2017-18, of those people who had driven in the previous six months:</w:t>
      </w:r>
    </w:p>
    <w:p w14:paraId="7A2C1D50" w14:textId="77777777" w:rsidR="00337D3B" w:rsidRPr="0061204D" w:rsidRDefault="00337D3B" w:rsidP="0061204D">
      <w:pPr>
        <w:pStyle w:val="ListBullet"/>
      </w:pPr>
      <w:r w:rsidRPr="0061204D">
        <w:t>4.4 per cent reported driving without wearing a seat belt (figure 6.5)</w:t>
      </w:r>
    </w:p>
    <w:p w14:paraId="096D7A81" w14:textId="77777777" w:rsidR="00337D3B" w:rsidRPr="0061204D" w:rsidRDefault="00337D3B" w:rsidP="0061204D">
      <w:pPr>
        <w:pStyle w:val="ListBullet"/>
      </w:pPr>
      <w:r w:rsidRPr="0061204D">
        <w:t>7.7 per cent of people said they had driven when possibly over the blood alcohol limit (figure 6.6)</w:t>
      </w:r>
    </w:p>
    <w:p w14:paraId="480164D4" w14:textId="77777777" w:rsidR="00337D3B" w:rsidRDefault="00337D3B" w:rsidP="0061204D">
      <w:pPr>
        <w:pStyle w:val="ListBullet"/>
      </w:pPr>
      <w:r w:rsidRPr="0061204D">
        <w:t>60.0 per cent of people reported having travelled 10 kilometres per hour or more above the speed limit (figure 6.7).</w:t>
      </w:r>
    </w:p>
    <w:p w14:paraId="40A0A874" w14:textId="77777777" w:rsidR="00412D8A" w:rsidRDefault="00412D8A" w:rsidP="00412D8A">
      <w:pPr>
        <w:pStyle w:val="ListBullet"/>
        <w:numPr>
          <w:ilvl w:val="0"/>
          <w:numId w:val="0"/>
        </w:numPr>
        <w:ind w:left="340"/>
      </w:pPr>
    </w:p>
    <w:p w14:paraId="7885FB2B" w14:textId="3734196D" w:rsidR="00337D3B" w:rsidRDefault="00337D3B" w:rsidP="00A661C3">
      <w:pPr>
        <w:pStyle w:val="BoxSpaceAbove"/>
        <w:spacing w:before="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37D3B" w14:paraId="2438D3C3" w14:textId="77777777" w:rsidTr="00DC6035">
        <w:trPr>
          <w:tblHeader/>
        </w:trPr>
        <w:tc>
          <w:tcPr>
            <w:tcW w:w="5000" w:type="pct"/>
            <w:tcBorders>
              <w:top w:val="single" w:sz="6" w:space="0" w:color="78A22F"/>
              <w:left w:val="nil"/>
              <w:bottom w:val="nil"/>
              <w:right w:val="nil"/>
            </w:tcBorders>
            <w:shd w:val="clear" w:color="auto" w:fill="auto"/>
          </w:tcPr>
          <w:p w14:paraId="47019EE0" w14:textId="1BF3C4A5" w:rsidR="00337D3B" w:rsidRPr="00176D3F" w:rsidRDefault="00337D3B" w:rsidP="0061204D">
            <w:pPr>
              <w:pStyle w:val="FigureTitle"/>
            </w:pPr>
            <w:r w:rsidRPr="00784A05">
              <w:rPr>
                <w:b w:val="0"/>
              </w:rPr>
              <w:t xml:space="preserve">Figure </w:t>
            </w:r>
            <w:r>
              <w:rPr>
                <w:b w:val="0"/>
              </w:rPr>
              <w:t>6.5</w:t>
            </w:r>
            <w:r>
              <w:tab/>
              <w:t>People who had driven in the previous six months without wearing a seat belt</w:t>
            </w:r>
            <w:r w:rsidRPr="00C8495E">
              <w:rPr>
                <w:rStyle w:val="NoteLabel"/>
                <w:b/>
              </w:rPr>
              <w:t>a</w:t>
            </w:r>
            <w:r w:rsidR="000D7521">
              <w:rPr>
                <w:rStyle w:val="NoteLabel"/>
                <w:b/>
              </w:rPr>
              <w:t>, b</w:t>
            </w:r>
          </w:p>
        </w:tc>
      </w:tr>
      <w:tr w:rsidR="00337D3B" w14:paraId="5AA0D825" w14:textId="77777777" w:rsidTr="00DC6035">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FC000" w:themeColor="accent4"/>
                <w:bottom w:val="single" w:sz="6" w:space="0" w:color="FFC000" w:themeColor="accent4"/>
              </w:tblBorders>
              <w:tblCellMar>
                <w:top w:w="28" w:type="dxa"/>
              </w:tblCellMar>
              <w:tblLook w:val="0000" w:firstRow="0" w:lastRow="0" w:firstColumn="0" w:lastColumn="0" w:noHBand="0" w:noVBand="0"/>
              <w:tblDescription w:val="Nested table used for design layout."/>
            </w:tblPr>
            <w:tblGrid>
              <w:gridCol w:w="8505"/>
            </w:tblGrid>
            <w:tr w:rsidR="00AF03EE" w:rsidRPr="00B1465D" w14:paraId="2AA7501C" w14:textId="77777777" w:rsidTr="00AF03EE">
              <w:trPr>
                <w:tblHeader/>
                <w:jc w:val="center"/>
              </w:trPr>
              <w:tc>
                <w:tcPr>
                  <w:tcW w:w="8505" w:type="dxa"/>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AF03EE" w:rsidRPr="00C5074E" w14:paraId="5F0084BE" w14:textId="77777777" w:rsidTr="00AF3190">
                    <w:tc>
                      <w:tcPr>
                        <w:tcW w:w="304" w:type="dxa"/>
                        <w:tcBorders>
                          <w:top w:val="nil"/>
                          <w:left w:val="nil"/>
                          <w:bottom w:val="nil"/>
                          <w:right w:val="nil"/>
                        </w:tcBorders>
                        <w:shd w:val="clear" w:color="auto" w:fill="auto"/>
                        <w:tcMar>
                          <w:top w:w="28" w:type="dxa"/>
                          <w:bottom w:w="28" w:type="dxa"/>
                        </w:tcMar>
                      </w:tcPr>
                      <w:p w14:paraId="437DCD37" w14:textId="77777777" w:rsidR="00AF03EE" w:rsidRPr="00C5074E" w:rsidRDefault="00AF03EE" w:rsidP="00AF03EE">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4C3699BC" w14:textId="77777777" w:rsidR="00AF03EE" w:rsidRPr="00C5074E" w:rsidRDefault="00AF03EE" w:rsidP="00AF03EE">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65B4AA92" w14:textId="77777777" w:rsidR="00AF03EE" w:rsidRPr="0008738B" w:rsidRDefault="00AF03EE" w:rsidP="00AF03EE">
                        <w:pPr>
                          <w:pStyle w:val="TableBodyText"/>
                          <w:jc w:val="left"/>
                        </w:pPr>
                        <w:r w:rsidRPr="0008738B">
                          <w:t>Data are comparable (subject to caveats) across jurisdictions and over time.</w:t>
                        </w:r>
                      </w:p>
                    </w:tc>
                  </w:tr>
                </w:tbl>
                <w:p w14:paraId="2C4693F8" w14:textId="77777777" w:rsidR="00AF03EE" w:rsidRDefault="00AF03EE" w:rsidP="00AF03EE">
                  <w:pPr>
                    <w:pStyle w:val="Figure"/>
                    <w:rPr>
                      <w:noProof/>
                    </w:rPr>
                  </w:pPr>
                </w:p>
              </w:tc>
            </w:tr>
            <w:tr w:rsidR="00AF03EE" w:rsidRPr="00B1465D" w14:paraId="3141E1C1" w14:textId="77777777" w:rsidTr="00DC6035">
              <w:trPr>
                <w:tblHeader/>
                <w:jc w:val="center"/>
              </w:trPr>
              <w:tc>
                <w:tcPr>
                  <w:tcW w:w="8505" w:type="dxa"/>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AF03EE" w:rsidRPr="00C5074E" w14:paraId="3E911F22" w14:textId="77777777" w:rsidTr="00AF3190">
                    <w:tc>
                      <w:tcPr>
                        <w:tcW w:w="304" w:type="dxa"/>
                        <w:tcBorders>
                          <w:top w:val="nil"/>
                          <w:left w:val="nil"/>
                          <w:bottom w:val="nil"/>
                          <w:right w:val="nil"/>
                        </w:tcBorders>
                        <w:shd w:val="clear" w:color="auto" w:fill="auto"/>
                        <w:tcMar>
                          <w:top w:w="28" w:type="dxa"/>
                          <w:bottom w:w="28" w:type="dxa"/>
                        </w:tcMar>
                      </w:tcPr>
                      <w:p w14:paraId="31F167D5" w14:textId="77777777" w:rsidR="00AF03EE" w:rsidRPr="00C5074E" w:rsidRDefault="00AF03EE" w:rsidP="00AF03EE">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1529250E" w14:textId="77777777" w:rsidR="00AF03EE" w:rsidRPr="00C5074E" w:rsidRDefault="00AF03EE" w:rsidP="00AF03EE">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667F5948" w14:textId="462C2FC0" w:rsidR="00AF03EE" w:rsidRPr="00CC790D" w:rsidRDefault="00AF03EE" w:rsidP="002B0C11">
                        <w:pPr>
                          <w:pStyle w:val="TableBodyText"/>
                          <w:jc w:val="left"/>
                        </w:pPr>
                        <w:r w:rsidRPr="00CC790D">
                          <w:t>Data are complete (subject to caveats) fo</w:t>
                        </w:r>
                        <w:r w:rsidR="002B0C11">
                          <w:t>r the current reporting period.</w:t>
                        </w:r>
                      </w:p>
                    </w:tc>
                  </w:tr>
                </w:tbl>
                <w:p w14:paraId="2A12E0AC" w14:textId="77777777" w:rsidR="00AF03EE" w:rsidRDefault="00AF03EE" w:rsidP="00AF03EE">
                  <w:pPr>
                    <w:pStyle w:val="Figure"/>
                    <w:rPr>
                      <w:noProof/>
                    </w:rPr>
                  </w:pPr>
                </w:p>
              </w:tc>
            </w:tr>
            <w:tr w:rsidR="00AF03EE" w:rsidRPr="00B1465D" w14:paraId="09497C58" w14:textId="77777777" w:rsidTr="00DC6035">
              <w:trPr>
                <w:tblHeader/>
                <w:jc w:val="center"/>
              </w:trPr>
              <w:tc>
                <w:tcPr>
                  <w:tcW w:w="8505" w:type="dxa"/>
                  <w:tcBorders>
                    <w:top w:val="nil"/>
                    <w:left w:val="nil"/>
                    <w:bottom w:val="nil"/>
                  </w:tcBorders>
                </w:tcPr>
                <w:p w14:paraId="3320B842" w14:textId="48FBF759" w:rsidR="00AF03EE" w:rsidRPr="00F63470" w:rsidRDefault="00A16679" w:rsidP="00F63470">
                  <w:pPr>
                    <w:pStyle w:val="Figure"/>
                  </w:pPr>
                  <w:r>
                    <w:rPr>
                      <w:noProof/>
                    </w:rPr>
                    <w:drawing>
                      <wp:inline distT="0" distB="0" distL="0" distR="0" wp14:anchorId="06CC5C70" wp14:editId="7BEE5137">
                        <wp:extent cx="5224780" cy="2707005"/>
                        <wp:effectExtent l="0" t="0" r="0" b="0"/>
                        <wp:docPr id="15" name="Picture 15" descr="Figure 6.5 People who had driven in the previous six months without wearing a seat belt&#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4780" cy="2707005"/>
                                </a:xfrm>
                                <a:prstGeom prst="rect">
                                  <a:avLst/>
                                </a:prstGeom>
                                <a:noFill/>
                              </pic:spPr>
                            </pic:pic>
                          </a:graphicData>
                        </a:graphic>
                      </wp:inline>
                    </w:drawing>
                  </w:r>
                </w:p>
              </w:tc>
            </w:tr>
          </w:tbl>
          <w:p w14:paraId="6333F091" w14:textId="77777777" w:rsidR="00337D3B" w:rsidRDefault="00337D3B" w:rsidP="0061204D">
            <w:pPr>
              <w:pStyle w:val="Figure"/>
            </w:pPr>
          </w:p>
        </w:tc>
      </w:tr>
      <w:tr w:rsidR="00337D3B" w:rsidRPr="00176D3F" w14:paraId="3DB0ABDE" w14:textId="77777777" w:rsidTr="0061204D">
        <w:tc>
          <w:tcPr>
            <w:tcW w:w="5000" w:type="pct"/>
            <w:tcBorders>
              <w:top w:val="nil"/>
              <w:left w:val="nil"/>
              <w:bottom w:val="nil"/>
              <w:right w:val="nil"/>
            </w:tcBorders>
            <w:shd w:val="clear" w:color="auto" w:fill="auto"/>
          </w:tcPr>
          <w:p w14:paraId="6790EBBD" w14:textId="69971524" w:rsidR="00337D3B" w:rsidRPr="00176D3F" w:rsidRDefault="000D7521" w:rsidP="00BF45EF">
            <w:pPr>
              <w:pStyle w:val="Note"/>
            </w:pPr>
            <w:proofErr w:type="spellStart"/>
            <w:r>
              <w:rPr>
                <w:rStyle w:val="NoteLabel"/>
              </w:rPr>
              <w:t>a</w:t>
            </w:r>
            <w:proofErr w:type="spellEnd"/>
            <w:r>
              <w:rPr>
                <w:rStyle w:val="NoteLabel"/>
              </w:rPr>
              <w:t xml:space="preserve"> </w:t>
            </w:r>
            <w:r w:rsidRPr="00D434EE">
              <w:t>Error bars represent the 95 per cent confidence interval associated with each point estimate</w:t>
            </w:r>
            <w:r w:rsidR="00BF45EF">
              <w:t xml:space="preserve">. </w:t>
            </w:r>
            <w:r>
              <w:rPr>
                <w:rStyle w:val="NoteLabel"/>
              </w:rPr>
              <w:t>b</w:t>
            </w:r>
            <w:r w:rsidR="00DE3C82">
              <w:t xml:space="preserve"> See box </w:t>
            </w:r>
            <w:r w:rsidR="00337D3B">
              <w:t>6.5</w:t>
            </w:r>
            <w:r w:rsidR="00337D3B" w:rsidRPr="00C602B2">
              <w:t xml:space="preserve"> and </w:t>
            </w:r>
            <w:r w:rsidR="00337D3B" w:rsidRPr="003041C9">
              <w:t xml:space="preserve">table </w:t>
            </w:r>
            <w:r w:rsidR="00337D3B" w:rsidRPr="00590CF6">
              <w:t>6A.</w:t>
            </w:r>
            <w:r w:rsidR="00337D3B">
              <w:t xml:space="preserve">17 </w:t>
            </w:r>
            <w:r w:rsidR="00337D3B" w:rsidRPr="00C602B2">
              <w:t>for detailed definitions, footnotes and caveats</w:t>
            </w:r>
            <w:r w:rsidR="00337D3B">
              <w:t>.</w:t>
            </w:r>
          </w:p>
        </w:tc>
      </w:tr>
      <w:tr w:rsidR="00337D3B" w:rsidRPr="00176D3F" w14:paraId="47C24524" w14:textId="77777777" w:rsidTr="0061204D">
        <w:tc>
          <w:tcPr>
            <w:tcW w:w="5000" w:type="pct"/>
            <w:tcBorders>
              <w:top w:val="nil"/>
              <w:left w:val="nil"/>
              <w:bottom w:val="nil"/>
              <w:right w:val="nil"/>
            </w:tcBorders>
            <w:shd w:val="clear" w:color="auto" w:fill="auto"/>
          </w:tcPr>
          <w:p w14:paraId="3DBE474E" w14:textId="77777777" w:rsidR="00337D3B" w:rsidRPr="00176D3F" w:rsidRDefault="00337D3B" w:rsidP="0061204D">
            <w:pPr>
              <w:pStyle w:val="Source"/>
            </w:pPr>
            <w:r>
              <w:rPr>
                <w:i/>
              </w:rPr>
              <w:t>S</w:t>
            </w:r>
            <w:r w:rsidRPr="00784A05">
              <w:rPr>
                <w:i/>
              </w:rPr>
              <w:t>ource</w:t>
            </w:r>
            <w:r w:rsidRPr="00176D3F">
              <w:t>:</w:t>
            </w:r>
            <w:r>
              <w:t xml:space="preserve"> ANZPAA (unpublished); table </w:t>
            </w:r>
            <w:r w:rsidRPr="00602686">
              <w:t>6A.</w:t>
            </w:r>
            <w:r>
              <w:t>17</w:t>
            </w:r>
            <w:r w:rsidRPr="00602686">
              <w:t>.</w:t>
            </w:r>
            <w:r w:rsidRPr="00176D3F">
              <w:t xml:space="preserve"> </w:t>
            </w:r>
          </w:p>
        </w:tc>
      </w:tr>
      <w:tr w:rsidR="00337D3B" w14:paraId="6502219A" w14:textId="77777777" w:rsidTr="00412D8A">
        <w:tc>
          <w:tcPr>
            <w:tcW w:w="5000" w:type="pct"/>
            <w:tcBorders>
              <w:top w:val="nil"/>
              <w:left w:val="nil"/>
              <w:bottom w:val="single" w:sz="6" w:space="0" w:color="78A22F"/>
              <w:right w:val="nil"/>
            </w:tcBorders>
            <w:shd w:val="clear" w:color="auto" w:fill="auto"/>
          </w:tcPr>
          <w:p w14:paraId="02E34CB3" w14:textId="77777777" w:rsidR="00337D3B" w:rsidRDefault="00337D3B" w:rsidP="0061204D">
            <w:pPr>
              <w:pStyle w:val="Figurespace"/>
            </w:pPr>
          </w:p>
        </w:tc>
      </w:tr>
      <w:tr w:rsidR="00337D3B" w:rsidRPr="000863A5" w14:paraId="4FED0179" w14:textId="77777777" w:rsidTr="00412D8A">
        <w:tc>
          <w:tcPr>
            <w:tcW w:w="5000" w:type="pct"/>
            <w:tcBorders>
              <w:top w:val="single" w:sz="6" w:space="0" w:color="78A22F"/>
              <w:left w:val="nil"/>
              <w:bottom w:val="nil"/>
              <w:right w:val="nil"/>
            </w:tcBorders>
          </w:tcPr>
          <w:p w14:paraId="1DD00217" w14:textId="64C03BBE" w:rsidR="00337D3B" w:rsidRPr="00626D32" w:rsidRDefault="00337D3B" w:rsidP="00CA43F4">
            <w:pPr>
              <w:pStyle w:val="BoxSpaceBelow"/>
              <w:spacing w:before="20" w:after="20"/>
            </w:pPr>
          </w:p>
        </w:tc>
      </w:tr>
    </w:tbl>
    <w:p w14:paraId="525E65FC" w14:textId="51C5689E" w:rsidR="00337D3B" w:rsidRDefault="00337D3B" w:rsidP="00A661C3">
      <w:pPr>
        <w:pStyle w:val="BoxSpaceAbove"/>
        <w:spacing w:before="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37D3B" w14:paraId="3613ADCE" w14:textId="77777777" w:rsidTr="00DC6035">
        <w:trPr>
          <w:tblHeader/>
        </w:trPr>
        <w:tc>
          <w:tcPr>
            <w:tcW w:w="5000" w:type="pct"/>
            <w:tcBorders>
              <w:top w:val="single" w:sz="6" w:space="0" w:color="78A22F"/>
              <w:left w:val="nil"/>
              <w:bottom w:val="nil"/>
              <w:right w:val="nil"/>
            </w:tcBorders>
            <w:shd w:val="clear" w:color="auto" w:fill="auto"/>
          </w:tcPr>
          <w:p w14:paraId="0A7B4506" w14:textId="30F4E056" w:rsidR="00337D3B" w:rsidRPr="00176D3F" w:rsidRDefault="00337D3B" w:rsidP="0061204D">
            <w:pPr>
              <w:pStyle w:val="FigureTitle"/>
            </w:pPr>
            <w:r w:rsidRPr="00DC6035">
              <w:rPr>
                <w:b w:val="0"/>
              </w:rPr>
              <w:t>Figure 6.6</w:t>
            </w:r>
            <w:r w:rsidRPr="00DC6035">
              <w:tab/>
              <w:t>People who had driven in the previous six months when possibly over the alcohol limit</w:t>
            </w:r>
            <w:r w:rsidRPr="00DC6035">
              <w:rPr>
                <w:rStyle w:val="NoteLabel"/>
                <w:b/>
              </w:rPr>
              <w:t>a</w:t>
            </w:r>
            <w:r w:rsidR="00283F15" w:rsidRPr="00DC6035">
              <w:rPr>
                <w:rStyle w:val="NoteLabel"/>
                <w:b/>
              </w:rPr>
              <w:t>, b</w:t>
            </w:r>
          </w:p>
        </w:tc>
      </w:tr>
      <w:tr w:rsidR="00337D3B" w14:paraId="2F6F8F5B" w14:textId="77777777" w:rsidTr="00DC6035">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FC000" w:themeColor="accent4"/>
                <w:bottom w:val="single" w:sz="6" w:space="0" w:color="FFC000" w:themeColor="accent4"/>
              </w:tblBorders>
              <w:tblCellMar>
                <w:top w:w="28" w:type="dxa"/>
              </w:tblCellMar>
              <w:tblLook w:val="0000" w:firstRow="0" w:lastRow="0" w:firstColumn="0" w:lastColumn="0" w:noHBand="0" w:noVBand="0"/>
              <w:tblDescription w:val="Nested table used for design layout."/>
            </w:tblPr>
            <w:tblGrid>
              <w:gridCol w:w="8505"/>
            </w:tblGrid>
            <w:tr w:rsidR="00CC790D" w:rsidRPr="00B1465D" w14:paraId="7626D1C1" w14:textId="77777777" w:rsidTr="00CC790D">
              <w:trPr>
                <w:tblHeader/>
                <w:jc w:val="center"/>
              </w:trPr>
              <w:tc>
                <w:tcPr>
                  <w:tcW w:w="8505" w:type="dxa"/>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CC790D" w:rsidRPr="00A661C3" w14:paraId="698699AE" w14:textId="77777777" w:rsidTr="00AF3190">
                    <w:tc>
                      <w:tcPr>
                        <w:tcW w:w="304" w:type="dxa"/>
                        <w:tcBorders>
                          <w:top w:val="nil"/>
                          <w:left w:val="nil"/>
                          <w:bottom w:val="nil"/>
                          <w:right w:val="nil"/>
                        </w:tcBorders>
                        <w:shd w:val="clear" w:color="auto" w:fill="auto"/>
                        <w:tcMar>
                          <w:top w:w="28" w:type="dxa"/>
                          <w:bottom w:w="28" w:type="dxa"/>
                        </w:tcMar>
                      </w:tcPr>
                      <w:p w14:paraId="7583B1AF" w14:textId="77777777" w:rsidR="00CC790D" w:rsidRPr="00A661C3" w:rsidRDefault="00CC790D" w:rsidP="00CC790D">
                        <w:pPr>
                          <w:keepNext/>
                          <w:keepLines/>
                          <w:spacing w:before="60" w:after="60" w:line="240" w:lineRule="atLeast"/>
                          <w:jc w:val="center"/>
                          <w:rPr>
                            <w:b/>
                            <w:szCs w:val="20"/>
                          </w:rPr>
                        </w:pPr>
                      </w:p>
                    </w:tc>
                    <w:tc>
                      <w:tcPr>
                        <w:tcW w:w="547" w:type="dxa"/>
                        <w:tcBorders>
                          <w:top w:val="nil"/>
                          <w:left w:val="nil"/>
                          <w:bottom w:val="nil"/>
                          <w:right w:val="nil"/>
                        </w:tcBorders>
                        <w:shd w:val="clear" w:color="auto" w:fill="F15A25"/>
                      </w:tcPr>
                      <w:p w14:paraId="58448C78" w14:textId="77777777" w:rsidR="00CC790D" w:rsidRPr="00A661C3" w:rsidRDefault="00CC790D" w:rsidP="00CC790D">
                        <w:pPr>
                          <w:keepNext/>
                          <w:keepLines/>
                          <w:spacing w:before="60" w:after="60" w:line="240" w:lineRule="atLeast"/>
                          <w:jc w:val="center"/>
                          <w:rPr>
                            <w:b/>
                            <w:sz w:val="18"/>
                            <w:szCs w:val="18"/>
                          </w:rPr>
                        </w:pPr>
                      </w:p>
                    </w:tc>
                    <w:tc>
                      <w:tcPr>
                        <w:tcW w:w="7938" w:type="dxa"/>
                        <w:tcBorders>
                          <w:top w:val="nil"/>
                          <w:left w:val="nil"/>
                          <w:bottom w:val="nil"/>
                          <w:right w:val="nil"/>
                        </w:tcBorders>
                        <w:shd w:val="clear" w:color="auto" w:fill="auto"/>
                      </w:tcPr>
                      <w:p w14:paraId="58CDC836" w14:textId="77777777" w:rsidR="00CC790D" w:rsidRPr="00710FBE" w:rsidRDefault="00CC790D" w:rsidP="00CC790D">
                        <w:pPr>
                          <w:pStyle w:val="TableBodyText"/>
                          <w:jc w:val="left"/>
                        </w:pPr>
                        <w:r w:rsidRPr="00710FBE">
                          <w:t>Data are comparable (subject to caveats) across jurisdictions and over time.</w:t>
                        </w:r>
                      </w:p>
                    </w:tc>
                  </w:tr>
                </w:tbl>
                <w:p w14:paraId="6DCD4040" w14:textId="77777777" w:rsidR="00CC790D" w:rsidRPr="00A661C3" w:rsidRDefault="00CC790D" w:rsidP="00CC790D">
                  <w:pPr>
                    <w:pStyle w:val="Figure"/>
                    <w:tabs>
                      <w:tab w:val="left" w:pos="6096"/>
                    </w:tabs>
                    <w:spacing w:before="60" w:after="60"/>
                    <w:jc w:val="left"/>
                    <w:rPr>
                      <w:rFonts w:ascii="Arial" w:hAnsi="Arial" w:cs="Arial"/>
                      <w:b/>
                      <w:sz w:val="18"/>
                      <w:szCs w:val="18"/>
                    </w:rPr>
                  </w:pPr>
                </w:p>
              </w:tc>
            </w:tr>
            <w:tr w:rsidR="00CC790D" w:rsidRPr="00B1465D" w14:paraId="0EB5C16A" w14:textId="77777777" w:rsidTr="00CC790D">
              <w:trPr>
                <w:tblHeader/>
                <w:jc w:val="center"/>
              </w:trPr>
              <w:tc>
                <w:tcPr>
                  <w:tcW w:w="8505" w:type="dxa"/>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CC790D" w:rsidRPr="00A661C3" w14:paraId="63F83053" w14:textId="77777777" w:rsidTr="00AF3190">
                    <w:tc>
                      <w:tcPr>
                        <w:tcW w:w="304" w:type="dxa"/>
                        <w:tcBorders>
                          <w:top w:val="nil"/>
                          <w:left w:val="nil"/>
                          <w:bottom w:val="nil"/>
                          <w:right w:val="nil"/>
                        </w:tcBorders>
                        <w:shd w:val="clear" w:color="auto" w:fill="auto"/>
                        <w:tcMar>
                          <w:top w:w="28" w:type="dxa"/>
                          <w:bottom w:w="28" w:type="dxa"/>
                        </w:tcMar>
                      </w:tcPr>
                      <w:p w14:paraId="6BC28EC9" w14:textId="77777777" w:rsidR="00CC790D" w:rsidRPr="00A661C3" w:rsidRDefault="00CC790D" w:rsidP="00CC790D">
                        <w:pPr>
                          <w:keepNext/>
                          <w:keepLines/>
                          <w:spacing w:before="60" w:after="60" w:line="240" w:lineRule="atLeast"/>
                          <w:jc w:val="center"/>
                          <w:rPr>
                            <w:b/>
                            <w:szCs w:val="20"/>
                          </w:rPr>
                        </w:pPr>
                      </w:p>
                    </w:tc>
                    <w:tc>
                      <w:tcPr>
                        <w:tcW w:w="547" w:type="dxa"/>
                        <w:tcBorders>
                          <w:top w:val="nil"/>
                          <w:left w:val="nil"/>
                          <w:bottom w:val="nil"/>
                          <w:right w:val="nil"/>
                        </w:tcBorders>
                        <w:shd w:val="clear" w:color="auto" w:fill="F15A25"/>
                      </w:tcPr>
                      <w:p w14:paraId="21ECA869" w14:textId="77777777" w:rsidR="00CC790D" w:rsidRPr="00A661C3" w:rsidRDefault="00CC790D" w:rsidP="00CC790D">
                        <w:pPr>
                          <w:keepNext/>
                          <w:keepLines/>
                          <w:spacing w:before="60" w:after="60" w:line="240" w:lineRule="atLeast"/>
                          <w:jc w:val="center"/>
                          <w:rPr>
                            <w:rFonts w:ascii="Arial" w:hAnsi="Arial" w:cs="Arial"/>
                            <w:b/>
                            <w:sz w:val="18"/>
                            <w:szCs w:val="18"/>
                          </w:rPr>
                        </w:pPr>
                      </w:p>
                    </w:tc>
                    <w:tc>
                      <w:tcPr>
                        <w:tcW w:w="7938" w:type="dxa"/>
                        <w:tcBorders>
                          <w:top w:val="nil"/>
                          <w:left w:val="nil"/>
                          <w:bottom w:val="nil"/>
                          <w:right w:val="nil"/>
                        </w:tcBorders>
                        <w:shd w:val="clear" w:color="auto" w:fill="auto"/>
                      </w:tcPr>
                      <w:p w14:paraId="0F05937F" w14:textId="15F6BA8C" w:rsidR="00CC790D" w:rsidRPr="00A661C3" w:rsidRDefault="00CC790D" w:rsidP="0057700A">
                        <w:pPr>
                          <w:pStyle w:val="TableBodyText"/>
                          <w:jc w:val="left"/>
                          <w:rPr>
                            <w:b/>
                          </w:rPr>
                        </w:pPr>
                        <w:r w:rsidRPr="00710FBE">
                          <w:t>Data are complete (subject to caveats) for</w:t>
                        </w:r>
                        <w:r w:rsidR="0057700A" w:rsidRPr="00710FBE">
                          <w:t xml:space="preserve"> the current reporting period.</w:t>
                        </w:r>
                        <w:r w:rsidR="0057700A" w:rsidRPr="00A661C3">
                          <w:rPr>
                            <w:b/>
                          </w:rPr>
                          <w:t xml:space="preserve"> </w:t>
                        </w:r>
                      </w:p>
                    </w:tc>
                  </w:tr>
                </w:tbl>
                <w:p w14:paraId="3D6CB703" w14:textId="77777777" w:rsidR="00CC790D" w:rsidRPr="00A661C3" w:rsidRDefault="00CC790D" w:rsidP="00CC790D">
                  <w:pPr>
                    <w:pStyle w:val="Figure"/>
                    <w:tabs>
                      <w:tab w:val="left" w:pos="6096"/>
                    </w:tabs>
                    <w:spacing w:before="60" w:after="60"/>
                    <w:jc w:val="left"/>
                    <w:rPr>
                      <w:rFonts w:ascii="Arial" w:hAnsi="Arial" w:cs="Arial"/>
                      <w:b/>
                      <w:sz w:val="18"/>
                      <w:szCs w:val="18"/>
                    </w:rPr>
                  </w:pPr>
                </w:p>
              </w:tc>
            </w:tr>
            <w:tr w:rsidR="00337D3B" w:rsidRPr="00B1465D" w14:paraId="0328F231" w14:textId="77777777" w:rsidTr="00CC790D">
              <w:trPr>
                <w:tblHeader/>
                <w:jc w:val="center"/>
              </w:trPr>
              <w:tc>
                <w:tcPr>
                  <w:tcW w:w="8505" w:type="dxa"/>
                  <w:tcBorders>
                    <w:top w:val="nil"/>
                    <w:bottom w:val="nil"/>
                  </w:tcBorders>
                </w:tcPr>
                <w:p w14:paraId="2BFF7B46" w14:textId="409C7784" w:rsidR="00337D3B" w:rsidRPr="00A16679" w:rsidRDefault="00160A11" w:rsidP="00A16679">
                  <w:pPr>
                    <w:pStyle w:val="Figure"/>
                  </w:pPr>
                  <w:r>
                    <w:tab/>
                  </w:r>
                  <w:r w:rsidR="00A16679">
                    <w:rPr>
                      <w:noProof/>
                    </w:rPr>
                    <w:drawing>
                      <wp:inline distT="0" distB="0" distL="0" distR="0" wp14:anchorId="606BB55F" wp14:editId="19A56890">
                        <wp:extent cx="5224780" cy="2707005"/>
                        <wp:effectExtent l="0" t="0" r="0" b="0"/>
                        <wp:docPr id="18" name="Picture 18" descr="Figure 6.6 People who had driven in the previous six months when possibly over the alcohol limit&#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24780" cy="2707005"/>
                                </a:xfrm>
                                <a:prstGeom prst="rect">
                                  <a:avLst/>
                                </a:prstGeom>
                                <a:noFill/>
                              </pic:spPr>
                            </pic:pic>
                          </a:graphicData>
                        </a:graphic>
                      </wp:inline>
                    </w:drawing>
                  </w:r>
                </w:p>
              </w:tc>
            </w:tr>
          </w:tbl>
          <w:p w14:paraId="54DFF966" w14:textId="77777777" w:rsidR="00337D3B" w:rsidRDefault="00337D3B" w:rsidP="0061204D">
            <w:pPr>
              <w:pStyle w:val="Figure"/>
            </w:pPr>
          </w:p>
        </w:tc>
      </w:tr>
      <w:tr w:rsidR="00337D3B" w:rsidRPr="00176D3F" w14:paraId="2C893170" w14:textId="77777777" w:rsidTr="0061204D">
        <w:tc>
          <w:tcPr>
            <w:tcW w:w="5000" w:type="pct"/>
            <w:tcBorders>
              <w:top w:val="nil"/>
              <w:left w:val="nil"/>
              <w:bottom w:val="nil"/>
              <w:right w:val="nil"/>
            </w:tcBorders>
            <w:shd w:val="clear" w:color="auto" w:fill="auto"/>
          </w:tcPr>
          <w:p w14:paraId="65DB639B" w14:textId="5C3084FE" w:rsidR="00337D3B" w:rsidRPr="00176D3F" w:rsidRDefault="00283F15" w:rsidP="00283F15">
            <w:pPr>
              <w:pStyle w:val="Note"/>
            </w:pPr>
            <w:proofErr w:type="spellStart"/>
            <w:r>
              <w:rPr>
                <w:rStyle w:val="NoteLabel"/>
              </w:rPr>
              <w:t>a</w:t>
            </w:r>
            <w:proofErr w:type="spellEnd"/>
            <w:r>
              <w:t xml:space="preserve"> </w:t>
            </w:r>
            <w:r w:rsidRPr="00D434EE">
              <w:t>Error bars represent the 95 per cent confidence interval associated with each point estimate</w:t>
            </w:r>
            <w:r>
              <w:t xml:space="preserve">. </w:t>
            </w:r>
            <w:r w:rsidRPr="00283F15">
              <w:rPr>
                <w:rStyle w:val="NoteLabel"/>
              </w:rPr>
              <w:t>b</w:t>
            </w:r>
            <w:r>
              <w:rPr>
                <w:rStyle w:val="NoteLabel"/>
              </w:rPr>
              <w:t xml:space="preserve"> </w:t>
            </w:r>
            <w:r w:rsidR="00DE3C82">
              <w:t>See box </w:t>
            </w:r>
            <w:r w:rsidR="00337D3B">
              <w:t xml:space="preserve">6.5 </w:t>
            </w:r>
            <w:r w:rsidR="00337D3B" w:rsidRPr="00C602B2">
              <w:t xml:space="preserve">and </w:t>
            </w:r>
            <w:r w:rsidR="00337D3B" w:rsidRPr="003041C9">
              <w:t xml:space="preserve">table </w:t>
            </w:r>
            <w:r w:rsidR="00337D3B" w:rsidRPr="00590CF6">
              <w:t>6A.</w:t>
            </w:r>
            <w:r w:rsidR="00337D3B">
              <w:t xml:space="preserve">17 </w:t>
            </w:r>
            <w:r w:rsidR="00337D3B" w:rsidRPr="00C602B2">
              <w:t>for detailed definitions, footnotes and caveats</w:t>
            </w:r>
            <w:r w:rsidR="00337D3B">
              <w:t>.</w:t>
            </w:r>
          </w:p>
        </w:tc>
      </w:tr>
      <w:tr w:rsidR="00337D3B" w:rsidRPr="00176D3F" w14:paraId="2890B9D7" w14:textId="77777777" w:rsidTr="0061204D">
        <w:tc>
          <w:tcPr>
            <w:tcW w:w="5000" w:type="pct"/>
            <w:tcBorders>
              <w:top w:val="nil"/>
              <w:left w:val="nil"/>
              <w:bottom w:val="nil"/>
              <w:right w:val="nil"/>
            </w:tcBorders>
            <w:shd w:val="clear" w:color="auto" w:fill="auto"/>
          </w:tcPr>
          <w:p w14:paraId="263A6065" w14:textId="77777777" w:rsidR="00337D3B" w:rsidRPr="00176D3F" w:rsidRDefault="00337D3B" w:rsidP="0061204D">
            <w:pPr>
              <w:pStyle w:val="Source"/>
            </w:pPr>
            <w:r>
              <w:rPr>
                <w:i/>
              </w:rPr>
              <w:t>S</w:t>
            </w:r>
            <w:r w:rsidRPr="00784A05">
              <w:rPr>
                <w:i/>
              </w:rPr>
              <w:t>ource</w:t>
            </w:r>
            <w:r w:rsidRPr="00176D3F">
              <w:t xml:space="preserve">: </w:t>
            </w:r>
            <w:r>
              <w:t xml:space="preserve">ANZPAA (unpublished); </w:t>
            </w:r>
            <w:r w:rsidRPr="003A2D24">
              <w:t>table 6A.</w:t>
            </w:r>
            <w:r>
              <w:t>17</w:t>
            </w:r>
            <w:r w:rsidRPr="003A2D24">
              <w:t>.</w:t>
            </w:r>
          </w:p>
        </w:tc>
      </w:tr>
      <w:tr w:rsidR="00337D3B" w14:paraId="62809847" w14:textId="77777777" w:rsidTr="0061204D">
        <w:tc>
          <w:tcPr>
            <w:tcW w:w="5000" w:type="pct"/>
            <w:tcBorders>
              <w:top w:val="nil"/>
              <w:left w:val="nil"/>
              <w:bottom w:val="single" w:sz="6" w:space="0" w:color="78A22F"/>
              <w:right w:val="nil"/>
            </w:tcBorders>
            <w:shd w:val="clear" w:color="auto" w:fill="auto"/>
          </w:tcPr>
          <w:p w14:paraId="53363AF5" w14:textId="77777777" w:rsidR="00337D3B" w:rsidRDefault="00337D3B" w:rsidP="0061204D">
            <w:pPr>
              <w:pStyle w:val="Figurespace"/>
            </w:pPr>
          </w:p>
        </w:tc>
      </w:tr>
      <w:tr w:rsidR="00337D3B" w:rsidRPr="000863A5" w14:paraId="1F6D8DE3" w14:textId="77777777" w:rsidTr="0061204D">
        <w:tc>
          <w:tcPr>
            <w:tcW w:w="5000" w:type="pct"/>
            <w:tcBorders>
              <w:top w:val="single" w:sz="6" w:space="0" w:color="78A22F"/>
              <w:left w:val="nil"/>
              <w:bottom w:val="nil"/>
              <w:right w:val="nil"/>
            </w:tcBorders>
          </w:tcPr>
          <w:p w14:paraId="1D6AF440" w14:textId="3DC0DD5D" w:rsidR="00337D3B" w:rsidRPr="00A661C3" w:rsidRDefault="00337D3B" w:rsidP="00A661C3">
            <w:pPr>
              <w:pStyle w:val="BoxSpaceBelow"/>
              <w:spacing w:before="20" w:after="20"/>
            </w:pPr>
          </w:p>
        </w:tc>
      </w:tr>
    </w:tbl>
    <w:p w14:paraId="48E8FD3B" w14:textId="2AF8FD7F" w:rsidR="00337D3B" w:rsidRDefault="00337D3B" w:rsidP="00337D3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37D3B" w14:paraId="2C867D2B" w14:textId="77777777" w:rsidTr="00DC6035">
        <w:trPr>
          <w:tblHeader/>
        </w:trPr>
        <w:tc>
          <w:tcPr>
            <w:tcW w:w="5000" w:type="pct"/>
            <w:tcBorders>
              <w:top w:val="single" w:sz="6" w:space="0" w:color="78A22F"/>
              <w:left w:val="nil"/>
              <w:bottom w:val="nil"/>
              <w:right w:val="nil"/>
            </w:tcBorders>
            <w:shd w:val="clear" w:color="auto" w:fill="auto"/>
          </w:tcPr>
          <w:p w14:paraId="2D478A04" w14:textId="12349A95" w:rsidR="00337D3B" w:rsidRPr="00176D3F" w:rsidRDefault="00337D3B" w:rsidP="0061204D">
            <w:pPr>
              <w:pStyle w:val="FigureTitle"/>
            </w:pPr>
            <w:r w:rsidRPr="00784A05">
              <w:rPr>
                <w:b w:val="0"/>
              </w:rPr>
              <w:t xml:space="preserve">Figure </w:t>
            </w:r>
            <w:r>
              <w:rPr>
                <w:b w:val="0"/>
              </w:rPr>
              <w:t>6.7</w:t>
            </w:r>
            <w:r>
              <w:tab/>
              <w:t>People who had driven in the previous six months 10 kilometres per hour or more above the speed limit</w:t>
            </w:r>
            <w:r w:rsidRPr="00C8495E">
              <w:rPr>
                <w:rStyle w:val="NoteLabel"/>
                <w:b/>
              </w:rPr>
              <w:t>a</w:t>
            </w:r>
            <w:r w:rsidR="00283F15">
              <w:rPr>
                <w:rStyle w:val="NoteLabel"/>
                <w:b/>
              </w:rPr>
              <w:t>, b</w:t>
            </w:r>
          </w:p>
        </w:tc>
      </w:tr>
      <w:tr w:rsidR="00337D3B" w14:paraId="20D6791D" w14:textId="77777777" w:rsidTr="0061204D">
        <w:tc>
          <w:tcPr>
            <w:tcW w:w="5000" w:type="pct"/>
            <w:tcBorders>
              <w:top w:val="nil"/>
              <w:left w:val="nil"/>
              <w:bottom w:val="nil"/>
              <w:right w:val="nil"/>
            </w:tcBorders>
            <w:shd w:val="clear" w:color="auto" w:fill="auto"/>
            <w:tcMar>
              <w:top w:w="28" w:type="dxa"/>
              <w:bottom w:w="28" w:type="dxa"/>
            </w:tcMar>
          </w:tcPr>
          <w:tbl>
            <w:tblPr>
              <w:tblW w:w="8505" w:type="dxa"/>
              <w:jc w:val="center"/>
              <w:tblCellMar>
                <w:top w:w="28" w:type="dxa"/>
              </w:tblCellMar>
              <w:tblLook w:val="0000" w:firstRow="0" w:lastRow="0" w:firstColumn="0" w:lastColumn="0" w:noHBand="0" w:noVBand="0"/>
              <w:tblDescription w:val="Nested table used for design layout."/>
            </w:tblPr>
            <w:tblGrid>
              <w:gridCol w:w="8505"/>
            </w:tblGrid>
            <w:tr w:rsidR="00CC790D" w:rsidRPr="00B1465D" w14:paraId="18A4A691" w14:textId="77777777" w:rsidTr="00DC6035">
              <w:trPr>
                <w:tblHeader/>
                <w:jc w:val="center"/>
              </w:trPr>
              <w:tc>
                <w:tcPr>
                  <w:tcW w:w="8505" w:type="dxa"/>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CC790D" w:rsidRPr="00C5074E" w14:paraId="40272CAA" w14:textId="77777777" w:rsidTr="00AF3190">
                    <w:tc>
                      <w:tcPr>
                        <w:tcW w:w="304" w:type="dxa"/>
                        <w:tcBorders>
                          <w:top w:val="nil"/>
                          <w:left w:val="nil"/>
                          <w:bottom w:val="nil"/>
                          <w:right w:val="nil"/>
                        </w:tcBorders>
                        <w:shd w:val="clear" w:color="auto" w:fill="auto"/>
                        <w:tcMar>
                          <w:top w:w="28" w:type="dxa"/>
                          <w:bottom w:w="28" w:type="dxa"/>
                        </w:tcMar>
                      </w:tcPr>
                      <w:p w14:paraId="2640739A" w14:textId="77777777" w:rsidR="00CC790D" w:rsidRPr="00C5074E" w:rsidRDefault="00CC790D" w:rsidP="00CC790D">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119FAD5F" w14:textId="77777777" w:rsidR="00CC790D" w:rsidRPr="00C5074E" w:rsidRDefault="00CC790D" w:rsidP="00CC790D">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35CACCFF" w14:textId="77777777" w:rsidR="00CC790D" w:rsidRPr="0008738B" w:rsidRDefault="00CC790D" w:rsidP="00CC790D">
                        <w:pPr>
                          <w:pStyle w:val="TableBodyText"/>
                          <w:jc w:val="left"/>
                        </w:pPr>
                        <w:r w:rsidRPr="0008738B">
                          <w:t>Data are comparable (subject to caveats) across jurisdictions and over time.</w:t>
                        </w:r>
                      </w:p>
                    </w:tc>
                  </w:tr>
                </w:tbl>
                <w:p w14:paraId="32A25506" w14:textId="77777777" w:rsidR="00CC790D" w:rsidRDefault="00CC790D" w:rsidP="00CC790D">
                  <w:pPr>
                    <w:pStyle w:val="Figure"/>
                    <w:spacing w:before="60" w:after="60"/>
                    <w:rPr>
                      <w:rFonts w:ascii="Arial" w:hAnsi="Arial" w:cs="Arial"/>
                      <w:noProof/>
                      <w:sz w:val="18"/>
                      <w:szCs w:val="18"/>
                    </w:rPr>
                  </w:pPr>
                </w:p>
              </w:tc>
            </w:tr>
            <w:tr w:rsidR="00CC790D" w:rsidRPr="00B1465D" w14:paraId="40B02CBA" w14:textId="77777777" w:rsidTr="00DC6035">
              <w:trPr>
                <w:tblHeader/>
                <w:jc w:val="center"/>
              </w:trPr>
              <w:tc>
                <w:tcPr>
                  <w:tcW w:w="8505" w:type="dxa"/>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CC790D" w:rsidRPr="00C5074E" w14:paraId="4E60A69F" w14:textId="77777777" w:rsidTr="00AF3190">
                    <w:tc>
                      <w:tcPr>
                        <w:tcW w:w="304" w:type="dxa"/>
                        <w:tcBorders>
                          <w:top w:val="nil"/>
                          <w:left w:val="nil"/>
                          <w:bottom w:val="nil"/>
                          <w:right w:val="nil"/>
                        </w:tcBorders>
                        <w:shd w:val="clear" w:color="auto" w:fill="auto"/>
                        <w:tcMar>
                          <w:top w:w="28" w:type="dxa"/>
                          <w:bottom w:w="28" w:type="dxa"/>
                        </w:tcMar>
                      </w:tcPr>
                      <w:p w14:paraId="39E945A2" w14:textId="77777777" w:rsidR="00CC790D" w:rsidRPr="00C5074E" w:rsidRDefault="00CC790D" w:rsidP="00CC790D">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45212374" w14:textId="77777777" w:rsidR="00CC790D" w:rsidRPr="00C5074E" w:rsidRDefault="00CC790D" w:rsidP="00CC790D">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2359FD8C" w14:textId="5725FE66" w:rsidR="00CC790D" w:rsidRPr="00CC790D" w:rsidRDefault="00CC790D" w:rsidP="002B0C11">
                        <w:pPr>
                          <w:pStyle w:val="TableBodyText"/>
                          <w:jc w:val="left"/>
                        </w:pPr>
                        <w:r w:rsidRPr="00CC790D">
                          <w:t>Data are complete (subject to caveats) fo</w:t>
                        </w:r>
                        <w:r w:rsidR="002B0C11">
                          <w:t>r the current reporting period.</w:t>
                        </w:r>
                      </w:p>
                    </w:tc>
                  </w:tr>
                </w:tbl>
                <w:p w14:paraId="575DB330" w14:textId="77777777" w:rsidR="00CC790D" w:rsidRDefault="00CC790D" w:rsidP="00CC790D">
                  <w:pPr>
                    <w:pStyle w:val="Figure"/>
                    <w:spacing w:before="60" w:after="60"/>
                    <w:rPr>
                      <w:rFonts w:ascii="Arial" w:hAnsi="Arial" w:cs="Arial"/>
                      <w:noProof/>
                      <w:sz w:val="18"/>
                      <w:szCs w:val="18"/>
                    </w:rPr>
                  </w:pPr>
                </w:p>
              </w:tc>
            </w:tr>
            <w:tr w:rsidR="00337D3B" w:rsidRPr="00B1465D" w14:paraId="4D1BF2F7" w14:textId="77777777" w:rsidTr="00DC6035">
              <w:trPr>
                <w:tblHeader/>
                <w:jc w:val="center"/>
              </w:trPr>
              <w:tc>
                <w:tcPr>
                  <w:tcW w:w="8505" w:type="dxa"/>
                </w:tcPr>
                <w:p w14:paraId="3E7C9990" w14:textId="11EA0852" w:rsidR="00337D3B" w:rsidRPr="00A16679" w:rsidRDefault="00A16679" w:rsidP="00A16679">
                  <w:pPr>
                    <w:pStyle w:val="Figure"/>
                  </w:pPr>
                  <w:r>
                    <w:rPr>
                      <w:noProof/>
                    </w:rPr>
                    <w:drawing>
                      <wp:inline distT="0" distB="0" distL="0" distR="0" wp14:anchorId="747CFD17" wp14:editId="4FBC8107">
                        <wp:extent cx="5224780" cy="2707005"/>
                        <wp:effectExtent l="0" t="0" r="0" b="0"/>
                        <wp:docPr id="19" name="Picture 19" descr="Figure 6.7 People who had driven in the previous six months 10 kilometres per hour or more above the speed limit&#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24780" cy="2707005"/>
                                </a:xfrm>
                                <a:prstGeom prst="rect">
                                  <a:avLst/>
                                </a:prstGeom>
                                <a:noFill/>
                              </pic:spPr>
                            </pic:pic>
                          </a:graphicData>
                        </a:graphic>
                      </wp:inline>
                    </w:drawing>
                  </w:r>
                </w:p>
              </w:tc>
            </w:tr>
          </w:tbl>
          <w:p w14:paraId="4444DCC6" w14:textId="77777777" w:rsidR="00337D3B" w:rsidRDefault="00337D3B" w:rsidP="0061204D">
            <w:pPr>
              <w:pStyle w:val="Figure"/>
            </w:pPr>
          </w:p>
        </w:tc>
      </w:tr>
      <w:tr w:rsidR="00337D3B" w:rsidRPr="00176D3F" w14:paraId="6221DAD5" w14:textId="77777777" w:rsidTr="0061204D">
        <w:tc>
          <w:tcPr>
            <w:tcW w:w="5000" w:type="pct"/>
            <w:tcBorders>
              <w:top w:val="nil"/>
              <w:left w:val="nil"/>
              <w:bottom w:val="nil"/>
              <w:right w:val="nil"/>
            </w:tcBorders>
            <w:shd w:val="clear" w:color="auto" w:fill="auto"/>
          </w:tcPr>
          <w:p w14:paraId="5EF11790" w14:textId="340E8342" w:rsidR="00337D3B" w:rsidRPr="00176D3F" w:rsidRDefault="00283F15" w:rsidP="00DE3C82">
            <w:pPr>
              <w:pStyle w:val="Note"/>
            </w:pPr>
            <w:proofErr w:type="spellStart"/>
            <w:r>
              <w:rPr>
                <w:rStyle w:val="NoteLabel"/>
              </w:rPr>
              <w:t>a</w:t>
            </w:r>
            <w:proofErr w:type="spellEnd"/>
            <w:r>
              <w:t xml:space="preserve"> </w:t>
            </w:r>
            <w:r w:rsidRPr="00D434EE">
              <w:t>Error bars represent the 95 per cent confidence interval associated with each point estimate</w:t>
            </w:r>
            <w:r>
              <w:t xml:space="preserve">. </w:t>
            </w:r>
            <w:r>
              <w:rPr>
                <w:rStyle w:val="NoteLabel"/>
              </w:rPr>
              <w:t>b</w:t>
            </w:r>
            <w:r w:rsidR="00337D3B">
              <w:t xml:space="preserve"> See box</w:t>
            </w:r>
            <w:r w:rsidR="00DE3C82">
              <w:t> </w:t>
            </w:r>
            <w:r w:rsidR="00337D3B">
              <w:t xml:space="preserve">6.5 </w:t>
            </w:r>
            <w:r w:rsidR="00337D3B" w:rsidRPr="00C602B2">
              <w:t xml:space="preserve">and </w:t>
            </w:r>
            <w:r w:rsidR="00337D3B" w:rsidRPr="003041C9">
              <w:t xml:space="preserve">table </w:t>
            </w:r>
            <w:r w:rsidR="00337D3B" w:rsidRPr="00590CF6">
              <w:t>6A.</w:t>
            </w:r>
            <w:r w:rsidR="00337D3B">
              <w:t xml:space="preserve">17 </w:t>
            </w:r>
            <w:r w:rsidR="00337D3B" w:rsidRPr="00C602B2">
              <w:t>for detailed definitions, footnotes and caveats</w:t>
            </w:r>
            <w:r w:rsidR="00337D3B">
              <w:t>.</w:t>
            </w:r>
          </w:p>
        </w:tc>
      </w:tr>
      <w:tr w:rsidR="00337D3B" w:rsidRPr="00176D3F" w14:paraId="53DFE5B1" w14:textId="77777777" w:rsidTr="0061204D">
        <w:tc>
          <w:tcPr>
            <w:tcW w:w="5000" w:type="pct"/>
            <w:tcBorders>
              <w:top w:val="nil"/>
              <w:left w:val="nil"/>
              <w:bottom w:val="nil"/>
              <w:right w:val="nil"/>
            </w:tcBorders>
            <w:shd w:val="clear" w:color="auto" w:fill="auto"/>
          </w:tcPr>
          <w:p w14:paraId="47D51052" w14:textId="77777777" w:rsidR="00337D3B" w:rsidRPr="00176D3F" w:rsidRDefault="00337D3B" w:rsidP="0061204D">
            <w:pPr>
              <w:pStyle w:val="Source"/>
            </w:pPr>
            <w:r w:rsidRPr="00A443BC">
              <w:rPr>
                <w:i/>
              </w:rPr>
              <w:t>Source</w:t>
            </w:r>
            <w:r w:rsidRPr="00C1027F">
              <w:t>:</w:t>
            </w:r>
            <w:r>
              <w:t xml:space="preserve"> ANZPAA (unpublished); table 6A.17</w:t>
            </w:r>
            <w:r w:rsidRPr="00A07C11">
              <w:t>.</w:t>
            </w:r>
          </w:p>
        </w:tc>
      </w:tr>
      <w:tr w:rsidR="00337D3B" w14:paraId="527EC39F" w14:textId="77777777" w:rsidTr="0061204D">
        <w:tc>
          <w:tcPr>
            <w:tcW w:w="5000" w:type="pct"/>
            <w:tcBorders>
              <w:top w:val="nil"/>
              <w:left w:val="nil"/>
              <w:bottom w:val="single" w:sz="6" w:space="0" w:color="78A22F"/>
              <w:right w:val="nil"/>
            </w:tcBorders>
            <w:shd w:val="clear" w:color="auto" w:fill="auto"/>
          </w:tcPr>
          <w:p w14:paraId="4F7B9137" w14:textId="77777777" w:rsidR="00337D3B" w:rsidRDefault="00337D3B" w:rsidP="0061204D">
            <w:pPr>
              <w:pStyle w:val="Figurespace"/>
            </w:pPr>
          </w:p>
        </w:tc>
      </w:tr>
      <w:tr w:rsidR="00337D3B" w:rsidRPr="000863A5" w14:paraId="40F38182" w14:textId="77777777" w:rsidTr="0061204D">
        <w:tc>
          <w:tcPr>
            <w:tcW w:w="5000" w:type="pct"/>
            <w:tcBorders>
              <w:top w:val="single" w:sz="6" w:space="0" w:color="78A22F"/>
              <w:left w:val="nil"/>
              <w:bottom w:val="nil"/>
              <w:right w:val="nil"/>
            </w:tcBorders>
          </w:tcPr>
          <w:p w14:paraId="64238007" w14:textId="2D21BA45" w:rsidR="00337D3B" w:rsidRPr="00626D32" w:rsidRDefault="00337D3B" w:rsidP="0061204D">
            <w:pPr>
              <w:pStyle w:val="BoxSpaceBelow"/>
            </w:pPr>
          </w:p>
        </w:tc>
      </w:tr>
    </w:tbl>
    <w:p w14:paraId="58BC2075" w14:textId="77777777" w:rsidR="00337D3B" w:rsidRDefault="00337D3B" w:rsidP="00337D3B">
      <w:pPr>
        <w:pStyle w:val="Heading4"/>
      </w:pPr>
      <w:r>
        <w:t>Deaths in police custody</w:t>
      </w:r>
    </w:p>
    <w:p w14:paraId="4436063D" w14:textId="3CA6F09B" w:rsidR="00337D3B" w:rsidRDefault="00337D3B" w:rsidP="00337D3B">
      <w:pPr>
        <w:pStyle w:val="BodyText"/>
      </w:pPr>
      <w:r w:rsidRPr="00D21303">
        <w:t>‘Deaths in police custody’ is an indicator of governments’ objective of providing safe custodial services (box 6.</w:t>
      </w:r>
      <w:r w:rsidR="00CA43F4">
        <w:t>6</w:t>
      </w:r>
      <w:r w:rsidRPr="00D21303">
        <w:t>).</w:t>
      </w:r>
    </w:p>
    <w:p w14:paraId="679A34EA" w14:textId="01F3A756" w:rsidR="00337D3B" w:rsidRDefault="00337D3B" w:rsidP="00337D3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37D3B" w14:paraId="171851DE" w14:textId="77777777" w:rsidTr="0061204D">
        <w:trPr>
          <w:tblHeader/>
        </w:trPr>
        <w:tc>
          <w:tcPr>
            <w:tcW w:w="5000" w:type="pct"/>
            <w:tcBorders>
              <w:top w:val="single" w:sz="6" w:space="0" w:color="78A22F"/>
              <w:left w:val="nil"/>
              <w:bottom w:val="nil"/>
              <w:right w:val="nil"/>
            </w:tcBorders>
            <w:shd w:val="clear" w:color="auto" w:fill="F2F2F2"/>
          </w:tcPr>
          <w:p w14:paraId="21ECDE49" w14:textId="2488D3FA" w:rsidR="00337D3B" w:rsidRDefault="00337D3B" w:rsidP="00CA43F4">
            <w:pPr>
              <w:pStyle w:val="BoxTitle"/>
            </w:pPr>
            <w:r>
              <w:rPr>
                <w:b w:val="0"/>
              </w:rPr>
              <w:t>Box 6.</w:t>
            </w:r>
            <w:r w:rsidR="00CA43F4">
              <w:rPr>
                <w:b w:val="0"/>
              </w:rPr>
              <w:t>6</w:t>
            </w:r>
            <w:r>
              <w:tab/>
              <w:t>Deaths in police custody</w:t>
            </w:r>
          </w:p>
        </w:tc>
      </w:tr>
      <w:tr w:rsidR="00337D3B" w14:paraId="0A45BC1C" w14:textId="77777777" w:rsidTr="0061204D">
        <w:tc>
          <w:tcPr>
            <w:tcW w:w="5000" w:type="pct"/>
            <w:tcBorders>
              <w:top w:val="nil"/>
              <w:left w:val="nil"/>
              <w:bottom w:val="nil"/>
              <w:right w:val="nil"/>
            </w:tcBorders>
            <w:shd w:val="clear" w:color="auto" w:fill="F2F2F2"/>
          </w:tcPr>
          <w:p w14:paraId="1B095FBB" w14:textId="77777777" w:rsidR="00337D3B" w:rsidRDefault="00337D3B" w:rsidP="0061204D">
            <w:pPr>
              <w:pStyle w:val="Box"/>
            </w:pPr>
            <w:r>
              <w:t>‘Deaths in police custody’ is defined by two measures:</w:t>
            </w:r>
          </w:p>
          <w:p w14:paraId="51AA579C" w14:textId="77777777" w:rsidR="00337D3B" w:rsidRDefault="00337D3B" w:rsidP="0061204D">
            <w:pPr>
              <w:pStyle w:val="BoxListBullet"/>
            </w:pPr>
            <w:r>
              <w:t>total deaths in police custody and custody related operations</w:t>
            </w:r>
          </w:p>
          <w:p w14:paraId="0EEFCAE0" w14:textId="77777777" w:rsidR="00337D3B" w:rsidRDefault="00337D3B" w:rsidP="0061204D">
            <w:pPr>
              <w:pStyle w:val="BoxListBullet"/>
            </w:pPr>
            <w:r>
              <w:t>Aboriginal and Torres Strait Islander deaths in police custody and custody related operations.</w:t>
            </w:r>
          </w:p>
          <w:p w14:paraId="2046A6A1" w14:textId="77777777" w:rsidR="00337D3B" w:rsidRPr="009609A3" w:rsidRDefault="00337D3B" w:rsidP="0061204D">
            <w:pPr>
              <w:pStyle w:val="Box"/>
            </w:pPr>
            <w:r w:rsidRPr="003E2072">
              <w:t xml:space="preserve">Both measures refer to the death of a person who was in police custody; death caused or contributed to by traumatic injuries while in custody; death of a person who was fatally injured when police officers attempted to detain that person; or death of a person who was fatally injured when </w:t>
            </w:r>
            <w:r w:rsidRPr="009609A3">
              <w:t>escaping or attempting to escape from police custody.</w:t>
            </w:r>
          </w:p>
          <w:p w14:paraId="51732B41" w14:textId="1E4C3467" w:rsidR="00337D3B" w:rsidRDefault="00337D3B" w:rsidP="0061204D">
            <w:pPr>
              <w:pStyle w:val="Box"/>
            </w:pPr>
            <w:r w:rsidRPr="009609A3">
              <w:t>No</w:t>
            </w:r>
            <w:r w:rsidR="006475ED">
              <w:t>ne</w:t>
            </w:r>
            <w:r w:rsidRPr="009609A3">
              <w:t xml:space="preserve"> or a decreasing number of deaths in custody and custody</w:t>
            </w:r>
            <w:r w:rsidRPr="009609A3">
              <w:noBreakHyphen/>
              <w:t>related operations is desirable.</w:t>
            </w:r>
          </w:p>
          <w:p w14:paraId="4A4F425E" w14:textId="77777777" w:rsidR="00337D3B" w:rsidRDefault="00337D3B" w:rsidP="0061204D">
            <w:pPr>
              <w:pStyle w:val="Box"/>
            </w:pPr>
            <w:r>
              <w:t>Data reported for these measures are:</w:t>
            </w:r>
          </w:p>
          <w:p w14:paraId="5DB1DD40" w14:textId="410E537E" w:rsidR="00337D3B" w:rsidRPr="009442FD" w:rsidRDefault="00337D3B" w:rsidP="00CC790D">
            <w:pPr>
              <w:pStyle w:val="BoxListBullet"/>
              <w:numPr>
                <w:ilvl w:val="0"/>
                <w:numId w:val="0"/>
              </w:numPr>
              <w:ind w:left="284"/>
            </w:pPr>
            <w:r w:rsidRPr="009273A9">
              <w:rPr>
                <w:shd w:val="clear" w:color="auto" w:fill="F15A25"/>
              </w:rPr>
              <w:t xml:space="preserve">    </w:t>
            </w:r>
            <w:r>
              <w:t xml:space="preserve"> </w:t>
            </w:r>
            <w:r w:rsidRPr="009442FD">
              <w:t>comparable (subject to caveats) acr</w:t>
            </w:r>
            <w:r w:rsidR="00A32153">
              <w:t>oss jurisdictions and over time</w:t>
            </w:r>
          </w:p>
          <w:p w14:paraId="0B81B692" w14:textId="77777777" w:rsidR="00337D3B" w:rsidRDefault="00337D3B" w:rsidP="00CC790D">
            <w:pPr>
              <w:pStyle w:val="BoxListBullet"/>
              <w:numPr>
                <w:ilvl w:val="0"/>
                <w:numId w:val="0"/>
              </w:numPr>
              <w:ind w:left="284"/>
            </w:pPr>
            <w:r w:rsidRPr="009273A9">
              <w:rPr>
                <w:shd w:val="clear" w:color="auto" w:fill="F15A25"/>
              </w:rPr>
              <w:t xml:space="preserve">    </w:t>
            </w:r>
            <w:r>
              <w:t xml:space="preserve"> </w:t>
            </w:r>
            <w:r w:rsidRPr="009442FD">
              <w:t>complete (subject to caveats)</w:t>
            </w:r>
            <w:r>
              <w:t xml:space="preserve"> </w:t>
            </w:r>
            <w:r w:rsidRPr="009442FD">
              <w:t xml:space="preserve">for the current reporting period. All required </w:t>
            </w:r>
            <w:r>
              <w:t xml:space="preserve">2016-17 </w:t>
            </w:r>
            <w:r w:rsidRPr="009442FD">
              <w:t>data are available for all jurisdictions</w:t>
            </w:r>
            <w:r>
              <w:t>.</w:t>
            </w:r>
          </w:p>
        </w:tc>
      </w:tr>
      <w:tr w:rsidR="00337D3B" w14:paraId="430A1C85" w14:textId="77777777" w:rsidTr="0061204D">
        <w:tc>
          <w:tcPr>
            <w:tcW w:w="5000" w:type="pct"/>
            <w:tcBorders>
              <w:top w:val="nil"/>
              <w:left w:val="nil"/>
              <w:bottom w:val="single" w:sz="6" w:space="0" w:color="78A22F"/>
              <w:right w:val="nil"/>
            </w:tcBorders>
            <w:shd w:val="clear" w:color="auto" w:fill="F2F2F2"/>
          </w:tcPr>
          <w:p w14:paraId="304E3313" w14:textId="77777777" w:rsidR="00337D3B" w:rsidRDefault="00337D3B" w:rsidP="0061204D">
            <w:pPr>
              <w:pStyle w:val="Box"/>
              <w:spacing w:before="0" w:line="120" w:lineRule="exact"/>
            </w:pPr>
          </w:p>
        </w:tc>
      </w:tr>
      <w:tr w:rsidR="00337D3B" w:rsidRPr="000863A5" w14:paraId="50F9D7B2" w14:textId="77777777" w:rsidTr="0061204D">
        <w:tc>
          <w:tcPr>
            <w:tcW w:w="5000" w:type="pct"/>
            <w:tcBorders>
              <w:top w:val="single" w:sz="6" w:space="0" w:color="78A22F"/>
              <w:left w:val="nil"/>
              <w:bottom w:val="nil"/>
              <w:right w:val="nil"/>
            </w:tcBorders>
          </w:tcPr>
          <w:p w14:paraId="75F4F221" w14:textId="7B673F8B" w:rsidR="00337D3B" w:rsidRPr="00626D32" w:rsidRDefault="00337D3B" w:rsidP="0061204D">
            <w:pPr>
              <w:pStyle w:val="BoxSpaceBelow"/>
            </w:pPr>
          </w:p>
        </w:tc>
      </w:tr>
    </w:tbl>
    <w:p w14:paraId="1BD49D4F" w14:textId="0E2229B3" w:rsidR="00337D3B" w:rsidRPr="00A32153" w:rsidRDefault="00337D3B" w:rsidP="00A32153">
      <w:pPr>
        <w:pStyle w:val="BodyText"/>
      </w:pPr>
      <w:r w:rsidRPr="00F2238A">
        <w:t>Nationally in 2016-17, there were 17 deaths in police custody</w:t>
      </w:r>
      <w:r w:rsidR="006475ED" w:rsidRPr="00F2238A">
        <w:t xml:space="preserve"> (</w:t>
      </w:r>
      <w:r w:rsidRPr="00F2238A">
        <w:t xml:space="preserve">six </w:t>
      </w:r>
      <w:r w:rsidR="006475ED" w:rsidRPr="00F2238A">
        <w:t xml:space="preserve">out of the 17 </w:t>
      </w:r>
      <w:r w:rsidRPr="00F2238A">
        <w:t>were Aboriginal and Torres Strait Islander deaths</w:t>
      </w:r>
      <w:r w:rsidR="006475ED" w:rsidRPr="00F2238A">
        <w:t>)</w:t>
      </w:r>
      <w:r w:rsidRPr="00F2238A">
        <w:t>. This number has reduced since 2007</w:t>
      </w:r>
      <w:r w:rsidRPr="00F2238A">
        <w:noBreakHyphen/>
        <w:t>08, predominately due to the decrease in non</w:t>
      </w:r>
      <w:r w:rsidRPr="00F2238A">
        <w:noBreakHyphen/>
        <w:t>Indigenous deaths (29 out of 34 deaths in 2007</w:t>
      </w:r>
      <w:r w:rsidRPr="00F2238A">
        <w:noBreakHyphen/>
        <w:t>08)</w:t>
      </w:r>
      <w:r w:rsidRPr="00A32153">
        <w:t xml:space="preserve"> (table 6A.20).</w:t>
      </w:r>
    </w:p>
    <w:p w14:paraId="46A3AAC7" w14:textId="387BB014" w:rsidR="00337D3B" w:rsidRPr="00B72963" w:rsidRDefault="00337D3B" w:rsidP="00B72963">
      <w:pPr>
        <w:pStyle w:val="Heading4"/>
      </w:pPr>
      <w:r w:rsidRPr="00B72963">
        <w:t>Magistrates court defendants resulting in a guilty plea or f</w:t>
      </w:r>
      <w:r w:rsidR="005802BE">
        <w:t>i</w:t>
      </w:r>
      <w:r w:rsidRPr="00B72963">
        <w:t>nding</w:t>
      </w:r>
    </w:p>
    <w:p w14:paraId="0FDB6E49" w14:textId="6A04680E" w:rsidR="00337D3B" w:rsidRPr="00A32153" w:rsidRDefault="00337D3B" w:rsidP="00A32153">
      <w:pPr>
        <w:pStyle w:val="BodyText"/>
      </w:pPr>
      <w:r w:rsidRPr="00A32153">
        <w:t>‘Magistrates court defendants resulting in a guilty plea or finding’ is an indicator of governments’ objective of supporting the judicial process to bring to justice those people responsible for committing an offence (box 6</w:t>
      </w:r>
      <w:r w:rsidR="00CA43F4">
        <w:t>.7</w:t>
      </w:r>
      <w:r w:rsidRPr="00A32153">
        <w:t>).</w:t>
      </w:r>
    </w:p>
    <w:p w14:paraId="7DCA51EA" w14:textId="42FDA545" w:rsidR="00CC790D" w:rsidRDefault="00CC790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C790D" w14:paraId="2C284CDA" w14:textId="77777777" w:rsidTr="00AF3190">
        <w:trPr>
          <w:tblHeader/>
        </w:trPr>
        <w:tc>
          <w:tcPr>
            <w:tcW w:w="5000" w:type="pct"/>
            <w:tcBorders>
              <w:top w:val="single" w:sz="6" w:space="0" w:color="78A22F"/>
              <w:left w:val="nil"/>
              <w:bottom w:val="nil"/>
              <w:right w:val="nil"/>
            </w:tcBorders>
            <w:shd w:val="clear" w:color="auto" w:fill="F2F2F2"/>
          </w:tcPr>
          <w:p w14:paraId="55B56D20" w14:textId="6CCA0142" w:rsidR="00CC790D" w:rsidRDefault="00CC790D" w:rsidP="00CA43F4">
            <w:pPr>
              <w:pStyle w:val="BoxTitle"/>
            </w:pPr>
            <w:r>
              <w:rPr>
                <w:b w:val="0"/>
              </w:rPr>
              <w:t>Box 6.</w:t>
            </w:r>
            <w:r w:rsidR="00CA43F4">
              <w:rPr>
                <w:b w:val="0"/>
              </w:rPr>
              <w:t>7</w:t>
            </w:r>
            <w:r>
              <w:tab/>
              <w:t>Magistrates court defendants resulting in a guilty plea or finding</w:t>
            </w:r>
          </w:p>
        </w:tc>
      </w:tr>
      <w:tr w:rsidR="00CC790D" w14:paraId="5A23DE50" w14:textId="77777777" w:rsidTr="00AF3190">
        <w:tc>
          <w:tcPr>
            <w:tcW w:w="5000" w:type="pct"/>
            <w:tcBorders>
              <w:top w:val="nil"/>
              <w:left w:val="nil"/>
              <w:bottom w:val="nil"/>
              <w:right w:val="nil"/>
            </w:tcBorders>
            <w:shd w:val="clear" w:color="auto" w:fill="F2F2F2"/>
          </w:tcPr>
          <w:p w14:paraId="51810EED" w14:textId="5005EC85" w:rsidR="00CC790D" w:rsidRPr="00F84934" w:rsidRDefault="00CC790D" w:rsidP="00CC790D">
            <w:pPr>
              <w:pStyle w:val="Box"/>
            </w:pPr>
            <w:r>
              <w:t xml:space="preserve">‘Magistrates court defendants resulting in a guilty plea or finding’ is defined as the number of finalised adjudicated defendants in lower courts who either submitted a guilty plea or were found </w:t>
            </w:r>
            <w:r w:rsidRPr="00F84934">
              <w:t>guilty, as a proportion of the total number of magistrates court adjudicated defendants.</w:t>
            </w:r>
          </w:p>
          <w:p w14:paraId="5F267223" w14:textId="77777777" w:rsidR="00CC790D" w:rsidRPr="00F84934" w:rsidRDefault="00CC790D" w:rsidP="00CC790D">
            <w:pPr>
              <w:pStyle w:val="Box"/>
            </w:pPr>
            <w:r w:rsidRPr="00F84934">
              <w:t>A high or increasing proportion of magistrates court adjudicated defendants submitting a guilty plea or being the subject of a guilty finding is desirable.</w:t>
            </w:r>
          </w:p>
          <w:p w14:paraId="60F592F6" w14:textId="77777777" w:rsidR="00CC790D" w:rsidRDefault="00CC790D" w:rsidP="00CC790D">
            <w:pPr>
              <w:pStyle w:val="Box"/>
            </w:pPr>
            <w:r w:rsidRPr="00F84934">
              <w:t>This indicator does not provide information on the number of cases where police have identified a likely offender but choose not to bring the likely offender to court due to a number of factors.</w:t>
            </w:r>
          </w:p>
          <w:p w14:paraId="4813D6EF" w14:textId="77777777" w:rsidR="00CC790D" w:rsidRDefault="00CC790D" w:rsidP="00CC790D">
            <w:pPr>
              <w:pStyle w:val="Box"/>
            </w:pPr>
            <w:r>
              <w:t>Data reported for this measure are:</w:t>
            </w:r>
          </w:p>
          <w:p w14:paraId="3C297A6C" w14:textId="2C50CA51" w:rsidR="00CC790D" w:rsidRDefault="00CC790D" w:rsidP="00CC790D">
            <w:pPr>
              <w:pStyle w:val="BoxListBullet"/>
              <w:numPr>
                <w:ilvl w:val="0"/>
                <w:numId w:val="0"/>
              </w:numPr>
              <w:ind w:left="284"/>
            </w:pPr>
            <w:r w:rsidRPr="009273A9">
              <w:rPr>
                <w:shd w:val="clear" w:color="auto" w:fill="F15A25"/>
              </w:rPr>
              <w:t xml:space="preserve">    </w:t>
            </w:r>
            <w:r>
              <w:t xml:space="preserve"> </w:t>
            </w:r>
            <w:r w:rsidRPr="009442FD">
              <w:t>comparable (subject to caveats) acr</w:t>
            </w:r>
            <w:r>
              <w:t>oss jurisdictions and over time</w:t>
            </w:r>
          </w:p>
          <w:p w14:paraId="21191413" w14:textId="597F3CFF" w:rsidR="00CC790D" w:rsidRDefault="00CC790D" w:rsidP="00CC790D">
            <w:pPr>
              <w:pStyle w:val="BoxListBullet"/>
              <w:numPr>
                <w:ilvl w:val="0"/>
                <w:numId w:val="0"/>
              </w:numPr>
              <w:ind w:left="284"/>
            </w:pPr>
            <w:r w:rsidRPr="009273A9">
              <w:rPr>
                <w:shd w:val="clear" w:color="auto" w:fill="F15A25"/>
              </w:rPr>
              <w:t xml:space="preserve">    </w:t>
            </w:r>
            <w:r>
              <w:t xml:space="preserve"> complete (subject to caveats) for the current reporting period. All required 2016-17 data are available for all jurisdictions.</w:t>
            </w:r>
          </w:p>
        </w:tc>
      </w:tr>
      <w:tr w:rsidR="00CC790D" w14:paraId="45E4EF86" w14:textId="77777777" w:rsidTr="00AF3190">
        <w:tc>
          <w:tcPr>
            <w:tcW w:w="5000" w:type="pct"/>
            <w:tcBorders>
              <w:top w:val="nil"/>
              <w:left w:val="nil"/>
              <w:bottom w:val="single" w:sz="6" w:space="0" w:color="78A22F"/>
              <w:right w:val="nil"/>
            </w:tcBorders>
            <w:shd w:val="clear" w:color="auto" w:fill="F2F2F2"/>
          </w:tcPr>
          <w:p w14:paraId="45115B36" w14:textId="77777777" w:rsidR="00CC790D" w:rsidRDefault="00CC790D">
            <w:pPr>
              <w:pStyle w:val="Box"/>
              <w:spacing w:before="0" w:line="120" w:lineRule="exact"/>
            </w:pPr>
          </w:p>
        </w:tc>
      </w:tr>
      <w:tr w:rsidR="00CC790D" w:rsidRPr="000863A5" w14:paraId="0E19CE73" w14:textId="77777777" w:rsidTr="00AF3190">
        <w:tc>
          <w:tcPr>
            <w:tcW w:w="5000" w:type="pct"/>
            <w:tcBorders>
              <w:top w:val="single" w:sz="6" w:space="0" w:color="78A22F"/>
              <w:left w:val="nil"/>
              <w:bottom w:val="nil"/>
              <w:right w:val="nil"/>
            </w:tcBorders>
          </w:tcPr>
          <w:p w14:paraId="7AC5B766" w14:textId="17BA1685" w:rsidR="00CC790D" w:rsidRPr="00626D32" w:rsidRDefault="00CC790D" w:rsidP="00AF3190">
            <w:pPr>
              <w:pStyle w:val="BoxSpaceBelow"/>
            </w:pPr>
          </w:p>
        </w:tc>
      </w:tr>
    </w:tbl>
    <w:p w14:paraId="6391C0B4" w14:textId="77777777" w:rsidR="00337D3B" w:rsidRPr="00B03BCA" w:rsidRDefault="00337D3B" w:rsidP="00B03BCA">
      <w:pPr>
        <w:pStyle w:val="BodyText"/>
      </w:pPr>
      <w:r w:rsidRPr="00B03BCA">
        <w:lastRenderedPageBreak/>
        <w:t>Nationally, the proportion of magistrates court adjudicated defendants who either submitted a guilty plea or were found guilty was 98.1 per cent in 2016</w:t>
      </w:r>
      <w:r w:rsidRPr="00B03BCA">
        <w:noBreakHyphen/>
        <w:t>17 (figure 6.8).</w:t>
      </w:r>
    </w:p>
    <w:p w14:paraId="699A9DDE" w14:textId="3C4A94A6" w:rsidR="00337D3B" w:rsidRDefault="00337D3B" w:rsidP="00337D3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37D3B" w14:paraId="09F871AD" w14:textId="77777777" w:rsidTr="0061204D">
        <w:trPr>
          <w:tblHeader/>
        </w:trPr>
        <w:tc>
          <w:tcPr>
            <w:tcW w:w="5000" w:type="pct"/>
            <w:tcBorders>
              <w:top w:val="single" w:sz="6" w:space="0" w:color="78A22F"/>
              <w:left w:val="nil"/>
              <w:bottom w:val="nil"/>
              <w:right w:val="nil"/>
            </w:tcBorders>
            <w:shd w:val="clear" w:color="auto" w:fill="auto"/>
          </w:tcPr>
          <w:p w14:paraId="6BA73DBD" w14:textId="7804D771" w:rsidR="00337D3B" w:rsidRPr="00176D3F" w:rsidRDefault="00337D3B" w:rsidP="0061204D">
            <w:pPr>
              <w:pStyle w:val="FigureTitle"/>
            </w:pPr>
            <w:r w:rsidRPr="00784A05">
              <w:rPr>
                <w:b w:val="0"/>
              </w:rPr>
              <w:t xml:space="preserve">Figure </w:t>
            </w:r>
            <w:r>
              <w:rPr>
                <w:b w:val="0"/>
              </w:rPr>
              <w:t>6.8</w:t>
            </w:r>
            <w:r>
              <w:tab/>
              <w:t>Proportion of magistrates court adjudicated defendants resulting in a guilty plea or finding</w:t>
            </w:r>
            <w:r w:rsidRPr="00C8495E">
              <w:rPr>
                <w:rStyle w:val="NoteLabel"/>
                <w:b/>
              </w:rPr>
              <w:t>a</w:t>
            </w:r>
          </w:p>
        </w:tc>
      </w:tr>
      <w:tr w:rsidR="00337D3B" w14:paraId="5E013F24" w14:textId="77777777" w:rsidTr="0061204D">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FC000" w:themeColor="accent4"/>
                <w:bottom w:val="single" w:sz="6" w:space="0" w:color="FFC000" w:themeColor="accent4"/>
              </w:tblBorders>
              <w:tblCellMar>
                <w:top w:w="28" w:type="dxa"/>
              </w:tblCellMar>
              <w:tblLook w:val="0000" w:firstRow="0" w:lastRow="0" w:firstColumn="0" w:lastColumn="0" w:noHBand="0" w:noVBand="0"/>
              <w:tblDescription w:val="Nested table used for design layout."/>
            </w:tblPr>
            <w:tblGrid>
              <w:gridCol w:w="8505"/>
            </w:tblGrid>
            <w:tr w:rsidR="00CC790D" w:rsidRPr="00B1465D" w14:paraId="456988B4" w14:textId="77777777" w:rsidTr="00CC790D">
              <w:trPr>
                <w:tblHeader/>
                <w:jc w:val="center"/>
              </w:trPr>
              <w:tc>
                <w:tcPr>
                  <w:tcW w:w="8505" w:type="dxa"/>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CC790D" w:rsidRPr="00C5074E" w14:paraId="012F5AA0" w14:textId="77777777" w:rsidTr="00AF3190">
                    <w:tc>
                      <w:tcPr>
                        <w:tcW w:w="304" w:type="dxa"/>
                        <w:tcBorders>
                          <w:top w:val="nil"/>
                          <w:left w:val="nil"/>
                          <w:bottom w:val="nil"/>
                          <w:right w:val="nil"/>
                        </w:tcBorders>
                        <w:shd w:val="clear" w:color="auto" w:fill="auto"/>
                        <w:tcMar>
                          <w:top w:w="28" w:type="dxa"/>
                          <w:bottom w:w="28" w:type="dxa"/>
                        </w:tcMar>
                      </w:tcPr>
                      <w:p w14:paraId="7AA08617" w14:textId="77777777" w:rsidR="00CC790D" w:rsidRPr="00C5074E" w:rsidRDefault="00CC790D" w:rsidP="00CC790D">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7B45111F" w14:textId="77777777" w:rsidR="00CC790D" w:rsidRPr="00C5074E" w:rsidRDefault="00CC790D" w:rsidP="00CC790D">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23AEBA57" w14:textId="77777777" w:rsidR="00CC790D" w:rsidRPr="00B72963" w:rsidRDefault="00CC790D" w:rsidP="00B72963">
                        <w:pPr>
                          <w:pStyle w:val="TableBodyText"/>
                          <w:jc w:val="left"/>
                        </w:pPr>
                        <w:r w:rsidRPr="00B72963">
                          <w:t>Data are comparable (subject to caveats) across jurisdictions and over time.</w:t>
                        </w:r>
                      </w:p>
                    </w:tc>
                  </w:tr>
                </w:tbl>
                <w:p w14:paraId="5B221416" w14:textId="77777777" w:rsidR="00CC790D" w:rsidRDefault="00CC790D" w:rsidP="00CC790D">
                  <w:pPr>
                    <w:pStyle w:val="Figure"/>
                    <w:rPr>
                      <w:noProof/>
                    </w:rPr>
                  </w:pPr>
                </w:p>
              </w:tc>
            </w:tr>
            <w:tr w:rsidR="00CC790D" w:rsidRPr="00B1465D" w14:paraId="34450166" w14:textId="77777777" w:rsidTr="00CC790D">
              <w:trPr>
                <w:tblHeader/>
                <w:jc w:val="center"/>
              </w:trPr>
              <w:tc>
                <w:tcPr>
                  <w:tcW w:w="8505" w:type="dxa"/>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CC790D" w:rsidRPr="00C5074E" w14:paraId="04601CDC" w14:textId="77777777" w:rsidTr="00AF3190">
                    <w:tc>
                      <w:tcPr>
                        <w:tcW w:w="304" w:type="dxa"/>
                        <w:tcBorders>
                          <w:top w:val="nil"/>
                          <w:left w:val="nil"/>
                          <w:bottom w:val="nil"/>
                          <w:right w:val="nil"/>
                        </w:tcBorders>
                        <w:shd w:val="clear" w:color="auto" w:fill="auto"/>
                        <w:tcMar>
                          <w:top w:w="28" w:type="dxa"/>
                          <w:bottom w:w="28" w:type="dxa"/>
                        </w:tcMar>
                      </w:tcPr>
                      <w:p w14:paraId="10B45663" w14:textId="77777777" w:rsidR="00CC790D" w:rsidRPr="00C5074E" w:rsidRDefault="00CC790D" w:rsidP="00CC790D">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7162D886" w14:textId="77777777" w:rsidR="00CC790D" w:rsidRPr="00C5074E" w:rsidRDefault="00CC790D" w:rsidP="00CC790D">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781979BC" w14:textId="3D9E5A4A" w:rsidR="00CC790D" w:rsidRPr="00CC790D" w:rsidRDefault="00CC790D" w:rsidP="002B0C11">
                        <w:pPr>
                          <w:pStyle w:val="TableBodyText"/>
                          <w:jc w:val="left"/>
                        </w:pPr>
                        <w:r w:rsidRPr="00CC790D">
                          <w:t>Data are complete (subject to caveats) fo</w:t>
                        </w:r>
                        <w:r w:rsidR="002B0C11">
                          <w:t>r the current reporting period.</w:t>
                        </w:r>
                      </w:p>
                    </w:tc>
                  </w:tr>
                </w:tbl>
                <w:p w14:paraId="783F6CFC" w14:textId="77777777" w:rsidR="00CC790D" w:rsidRDefault="00CC790D" w:rsidP="00CC790D">
                  <w:pPr>
                    <w:pStyle w:val="Figure"/>
                    <w:rPr>
                      <w:noProof/>
                    </w:rPr>
                  </w:pPr>
                </w:p>
              </w:tc>
            </w:tr>
            <w:tr w:rsidR="00337D3B" w:rsidRPr="00B1465D" w14:paraId="42DD9522" w14:textId="77777777" w:rsidTr="00CC790D">
              <w:trPr>
                <w:tblHeader/>
                <w:jc w:val="center"/>
              </w:trPr>
              <w:tc>
                <w:tcPr>
                  <w:tcW w:w="8505" w:type="dxa"/>
                  <w:tcBorders>
                    <w:top w:val="nil"/>
                    <w:bottom w:val="nil"/>
                  </w:tcBorders>
                </w:tcPr>
                <w:p w14:paraId="1B2DB09F" w14:textId="4B49E173" w:rsidR="00337D3B" w:rsidRPr="00160A11" w:rsidRDefault="00C1331C" w:rsidP="00160A11">
                  <w:pPr>
                    <w:pStyle w:val="Figure"/>
                  </w:pPr>
                  <w:r>
                    <w:rPr>
                      <w:noProof/>
                    </w:rPr>
                    <w:drawing>
                      <wp:inline distT="0" distB="0" distL="0" distR="0" wp14:anchorId="4DCF2455" wp14:editId="0397FDDD">
                        <wp:extent cx="5407660" cy="2700655"/>
                        <wp:effectExtent l="0" t="0" r="2540" b="4445"/>
                        <wp:docPr id="5" name="Picture 5" descr="Figure 6.8 Proportion of magistrates court adjudicated defendants resulting in a guilty plea or finding&#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7660" cy="2700655"/>
                                </a:xfrm>
                                <a:prstGeom prst="rect">
                                  <a:avLst/>
                                </a:prstGeom>
                                <a:noFill/>
                              </pic:spPr>
                            </pic:pic>
                          </a:graphicData>
                        </a:graphic>
                      </wp:inline>
                    </w:drawing>
                  </w:r>
                </w:p>
              </w:tc>
            </w:tr>
          </w:tbl>
          <w:p w14:paraId="49AF1D3B" w14:textId="77777777" w:rsidR="00337D3B" w:rsidRDefault="00337D3B" w:rsidP="0061204D">
            <w:pPr>
              <w:pStyle w:val="Figure"/>
            </w:pPr>
          </w:p>
        </w:tc>
      </w:tr>
      <w:tr w:rsidR="00337D3B" w:rsidRPr="00176D3F" w14:paraId="64EBDEBA" w14:textId="77777777" w:rsidTr="0061204D">
        <w:tc>
          <w:tcPr>
            <w:tcW w:w="5000" w:type="pct"/>
            <w:tcBorders>
              <w:top w:val="nil"/>
              <w:left w:val="nil"/>
              <w:bottom w:val="nil"/>
              <w:right w:val="nil"/>
            </w:tcBorders>
            <w:shd w:val="clear" w:color="auto" w:fill="auto"/>
          </w:tcPr>
          <w:p w14:paraId="70E038B1" w14:textId="3853155F" w:rsidR="00337D3B" w:rsidRPr="00176D3F" w:rsidRDefault="00337D3B" w:rsidP="00CA43F4">
            <w:pPr>
              <w:pStyle w:val="Note"/>
            </w:pPr>
            <w:r>
              <w:rPr>
                <w:rStyle w:val="NoteLabel"/>
              </w:rPr>
              <w:t>a</w:t>
            </w:r>
            <w:r>
              <w:t xml:space="preserve"> See box 6.</w:t>
            </w:r>
            <w:r w:rsidR="00CA43F4">
              <w:t>7</w:t>
            </w:r>
            <w:r w:rsidRPr="00C602B2">
              <w:t xml:space="preserve"> and </w:t>
            </w:r>
            <w:r w:rsidRPr="003041C9">
              <w:t xml:space="preserve">table </w:t>
            </w:r>
            <w:r w:rsidRPr="00590CF6">
              <w:t>6A.</w:t>
            </w:r>
            <w:r>
              <w:t>22 f</w:t>
            </w:r>
            <w:r w:rsidRPr="00C602B2">
              <w:t>or detailed definitions, footnotes and caveats</w:t>
            </w:r>
            <w:r>
              <w:t>.</w:t>
            </w:r>
          </w:p>
        </w:tc>
      </w:tr>
      <w:tr w:rsidR="00337D3B" w:rsidRPr="00176D3F" w14:paraId="08637A93" w14:textId="77777777" w:rsidTr="0061204D">
        <w:tc>
          <w:tcPr>
            <w:tcW w:w="5000" w:type="pct"/>
            <w:tcBorders>
              <w:top w:val="nil"/>
              <w:left w:val="nil"/>
              <w:bottom w:val="nil"/>
              <w:right w:val="nil"/>
            </w:tcBorders>
            <w:shd w:val="clear" w:color="auto" w:fill="auto"/>
          </w:tcPr>
          <w:p w14:paraId="47CC6C4C" w14:textId="77777777" w:rsidR="00337D3B" w:rsidRPr="00176D3F" w:rsidRDefault="00337D3B" w:rsidP="0061204D">
            <w:pPr>
              <w:pStyle w:val="Source"/>
            </w:pPr>
            <w:r>
              <w:rPr>
                <w:i/>
              </w:rPr>
              <w:t>S</w:t>
            </w:r>
            <w:r w:rsidRPr="00784A05">
              <w:rPr>
                <w:i/>
              </w:rPr>
              <w:t>ource</w:t>
            </w:r>
            <w:r w:rsidRPr="00176D3F">
              <w:t xml:space="preserve">: </w:t>
            </w:r>
            <w:r w:rsidRPr="00B154C8">
              <w:t xml:space="preserve">ABS </w:t>
            </w:r>
            <w:r>
              <w:t>(2018</w:t>
            </w:r>
            <w:r w:rsidRPr="00B154C8">
              <w:t xml:space="preserve">) </w:t>
            </w:r>
            <w:r w:rsidRPr="00B154C8">
              <w:rPr>
                <w:i/>
              </w:rPr>
              <w:t>Criminal Courts</w:t>
            </w:r>
            <w:r w:rsidRPr="00D268CE">
              <w:rPr>
                <w:i/>
              </w:rPr>
              <w:t>, Australia</w:t>
            </w:r>
            <w:r>
              <w:t xml:space="preserve"> (various years), Cat. no</w:t>
            </w:r>
            <w:r w:rsidRPr="001D2ED1">
              <w:t>. 4513.0; table 6A.</w:t>
            </w:r>
            <w:r>
              <w:t>22</w:t>
            </w:r>
            <w:r w:rsidRPr="001D2ED1">
              <w:t>.</w:t>
            </w:r>
          </w:p>
        </w:tc>
      </w:tr>
      <w:tr w:rsidR="00337D3B" w14:paraId="2E860387" w14:textId="77777777" w:rsidTr="0061204D">
        <w:tc>
          <w:tcPr>
            <w:tcW w:w="5000" w:type="pct"/>
            <w:tcBorders>
              <w:top w:val="nil"/>
              <w:left w:val="nil"/>
              <w:bottom w:val="single" w:sz="6" w:space="0" w:color="78A22F"/>
              <w:right w:val="nil"/>
            </w:tcBorders>
            <w:shd w:val="clear" w:color="auto" w:fill="auto"/>
          </w:tcPr>
          <w:p w14:paraId="6B622082" w14:textId="77777777" w:rsidR="00337D3B" w:rsidRDefault="00337D3B" w:rsidP="0061204D">
            <w:pPr>
              <w:pStyle w:val="Figurespace"/>
            </w:pPr>
          </w:p>
        </w:tc>
      </w:tr>
      <w:tr w:rsidR="00337D3B" w:rsidRPr="000863A5" w14:paraId="12B4591F" w14:textId="77777777" w:rsidTr="0061204D">
        <w:tc>
          <w:tcPr>
            <w:tcW w:w="5000" w:type="pct"/>
            <w:tcBorders>
              <w:top w:val="single" w:sz="6" w:space="0" w:color="78A22F"/>
              <w:left w:val="nil"/>
              <w:bottom w:val="nil"/>
              <w:right w:val="nil"/>
            </w:tcBorders>
          </w:tcPr>
          <w:p w14:paraId="664225E3" w14:textId="14358650" w:rsidR="00337D3B" w:rsidRPr="00626D32" w:rsidRDefault="00337D3B" w:rsidP="0061204D">
            <w:pPr>
              <w:pStyle w:val="BoxSpaceBelow"/>
            </w:pPr>
          </w:p>
        </w:tc>
      </w:tr>
    </w:tbl>
    <w:p w14:paraId="2BCBC411" w14:textId="77777777" w:rsidR="00337D3B" w:rsidRDefault="00337D3B" w:rsidP="007F2040">
      <w:pPr>
        <w:pStyle w:val="Heading4"/>
      </w:pPr>
      <w:r w:rsidRPr="007F2040">
        <w:t>Satisfaction with police services</w:t>
      </w:r>
    </w:p>
    <w:p w14:paraId="32B31261" w14:textId="6A82508B" w:rsidR="00F2238A" w:rsidRPr="00F2238A" w:rsidRDefault="00F2238A" w:rsidP="00F2238A">
      <w:pPr>
        <w:pStyle w:val="BodyText"/>
      </w:pPr>
      <w:r>
        <w:t>‘Satisfaction with police services’ is an indicator of governments’ objective of providing services that are accessible and responsive to community needs, including disasters and emergencies (box 6.8).</w:t>
      </w:r>
    </w:p>
    <w:p w14:paraId="46FEC2B0" w14:textId="646E7504" w:rsidR="00337D3B" w:rsidRDefault="00337D3B" w:rsidP="00337D3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37D3B" w14:paraId="59DEE4F5" w14:textId="77777777" w:rsidTr="0061204D">
        <w:trPr>
          <w:tblHeader/>
        </w:trPr>
        <w:tc>
          <w:tcPr>
            <w:tcW w:w="5000" w:type="pct"/>
            <w:tcBorders>
              <w:top w:val="single" w:sz="6" w:space="0" w:color="78A22F"/>
              <w:left w:val="nil"/>
              <w:bottom w:val="nil"/>
              <w:right w:val="nil"/>
            </w:tcBorders>
            <w:shd w:val="clear" w:color="auto" w:fill="F2F2F2"/>
          </w:tcPr>
          <w:p w14:paraId="367FA4B8" w14:textId="14022E2D" w:rsidR="00337D3B" w:rsidRDefault="00337D3B" w:rsidP="00CA43F4">
            <w:pPr>
              <w:pStyle w:val="BoxTitle"/>
            </w:pPr>
            <w:r>
              <w:rPr>
                <w:b w:val="0"/>
              </w:rPr>
              <w:t>Box 6.</w:t>
            </w:r>
            <w:r w:rsidR="00CA43F4">
              <w:rPr>
                <w:b w:val="0"/>
              </w:rPr>
              <w:t>8</w:t>
            </w:r>
            <w:r>
              <w:tab/>
            </w:r>
            <w:r w:rsidRPr="002D6222">
              <w:rPr>
                <w:color w:val="000000" w:themeColor="text1"/>
              </w:rPr>
              <w:t>Satisfaction with police services</w:t>
            </w:r>
          </w:p>
        </w:tc>
      </w:tr>
      <w:tr w:rsidR="00337D3B" w14:paraId="3F74EB36" w14:textId="77777777" w:rsidTr="0061204D">
        <w:tc>
          <w:tcPr>
            <w:tcW w:w="5000" w:type="pct"/>
            <w:tcBorders>
              <w:top w:val="nil"/>
              <w:left w:val="nil"/>
              <w:bottom w:val="nil"/>
              <w:right w:val="nil"/>
            </w:tcBorders>
            <w:shd w:val="clear" w:color="auto" w:fill="F2F2F2"/>
          </w:tcPr>
          <w:p w14:paraId="57027B18" w14:textId="77777777" w:rsidR="00337D3B" w:rsidRPr="00156039" w:rsidRDefault="00337D3B" w:rsidP="0061204D">
            <w:pPr>
              <w:pStyle w:val="Box"/>
            </w:pPr>
            <w:r w:rsidRPr="00156039">
              <w:t>‘Satisfaction with police services’ is defined by three measures: the proportion of people aged</w:t>
            </w:r>
            <w:r w:rsidRPr="00156039">
              <w:br/>
              <w:t>18 years or over who were ‘satisfied’ or ‘very satisfied’ with police services:</w:t>
            </w:r>
          </w:p>
          <w:p w14:paraId="15393DBC" w14:textId="77777777" w:rsidR="00337D3B" w:rsidRPr="001E5F05" w:rsidRDefault="00337D3B" w:rsidP="001E5F05">
            <w:pPr>
              <w:pStyle w:val="BoxListBullet"/>
            </w:pPr>
            <w:r w:rsidRPr="001E5F05">
              <w:t>in general (whether or not they had contact with police services)</w:t>
            </w:r>
          </w:p>
          <w:p w14:paraId="50020BFE" w14:textId="77777777" w:rsidR="00337D3B" w:rsidRDefault="00337D3B" w:rsidP="001E5F05">
            <w:pPr>
              <w:pStyle w:val="BoxListBullet"/>
            </w:pPr>
            <w:r w:rsidRPr="001E5F05">
              <w:t>in their most recent contact</w:t>
            </w:r>
          </w:p>
          <w:p w14:paraId="288CCFE4" w14:textId="77777777" w:rsidR="00F2238A" w:rsidRDefault="00F2238A" w:rsidP="0061204D">
            <w:pPr>
              <w:pStyle w:val="BoxListBullet"/>
            </w:pPr>
            <w:r>
              <w:t>in response to emergencies and disasters.</w:t>
            </w:r>
          </w:p>
          <w:p w14:paraId="0E159031" w14:textId="3D102CCE" w:rsidR="00337D3B" w:rsidRDefault="00337D3B" w:rsidP="00F2238A">
            <w:pPr>
              <w:pStyle w:val="Box"/>
            </w:pPr>
            <w:r w:rsidRPr="006C3EDB">
              <w:t>A high or increasing proportion of people who were ‘satisfied’ or ‘very satisfied’ is desirable.</w:t>
            </w:r>
          </w:p>
          <w:p w14:paraId="6C494F36" w14:textId="77777777" w:rsidR="00337D3B" w:rsidRDefault="00337D3B" w:rsidP="0061204D">
            <w:pPr>
              <w:pStyle w:val="Box"/>
            </w:pPr>
            <w:r>
              <w:t>Data reported for these measures are:</w:t>
            </w:r>
          </w:p>
          <w:p w14:paraId="5370B949" w14:textId="77777777" w:rsidR="00337D3B" w:rsidRPr="009442FD" w:rsidRDefault="00337D3B" w:rsidP="00B72963">
            <w:pPr>
              <w:pStyle w:val="BoxListBullet"/>
              <w:numPr>
                <w:ilvl w:val="0"/>
                <w:numId w:val="0"/>
              </w:numPr>
              <w:ind w:left="284"/>
            </w:pPr>
            <w:r w:rsidRPr="009273A9">
              <w:rPr>
                <w:shd w:val="clear" w:color="auto" w:fill="F15A25"/>
              </w:rPr>
              <w:t xml:space="preserve">    </w:t>
            </w:r>
            <w:r>
              <w:t xml:space="preserve"> </w:t>
            </w:r>
            <w:r w:rsidRPr="009442FD">
              <w:t>comparable (subject to caveats) across jurisdictions and over time.</w:t>
            </w:r>
          </w:p>
          <w:p w14:paraId="26810A4D" w14:textId="77777777" w:rsidR="00337D3B" w:rsidRDefault="00337D3B" w:rsidP="00B72963">
            <w:pPr>
              <w:pStyle w:val="BoxListBullet"/>
              <w:numPr>
                <w:ilvl w:val="0"/>
                <w:numId w:val="0"/>
              </w:numPr>
              <w:ind w:left="284"/>
            </w:pPr>
            <w:r w:rsidRPr="009273A9">
              <w:rPr>
                <w:shd w:val="clear" w:color="auto" w:fill="F15A25"/>
              </w:rPr>
              <w:t xml:space="preserve">    </w:t>
            </w:r>
            <w:r>
              <w:t xml:space="preserve"> </w:t>
            </w:r>
            <w:r w:rsidRPr="009442FD">
              <w:t>complete (subject to caveats)</w:t>
            </w:r>
            <w:r>
              <w:t xml:space="preserve"> </w:t>
            </w:r>
            <w:r w:rsidRPr="009442FD">
              <w:t xml:space="preserve">for the current reporting period. All required </w:t>
            </w:r>
            <w:r>
              <w:t xml:space="preserve">2017-18 </w:t>
            </w:r>
            <w:r w:rsidRPr="009442FD">
              <w:t>data are available for all jurisdictions</w:t>
            </w:r>
            <w:r>
              <w:t>.</w:t>
            </w:r>
          </w:p>
        </w:tc>
      </w:tr>
      <w:tr w:rsidR="00337D3B" w14:paraId="088BD601" w14:textId="77777777" w:rsidTr="0061204D">
        <w:tc>
          <w:tcPr>
            <w:tcW w:w="5000" w:type="pct"/>
            <w:tcBorders>
              <w:top w:val="nil"/>
              <w:left w:val="nil"/>
              <w:bottom w:val="single" w:sz="6" w:space="0" w:color="78A22F"/>
              <w:right w:val="nil"/>
            </w:tcBorders>
            <w:shd w:val="clear" w:color="auto" w:fill="F2F2F2"/>
          </w:tcPr>
          <w:p w14:paraId="03705C26" w14:textId="77777777" w:rsidR="00337D3B" w:rsidRDefault="00337D3B" w:rsidP="0061204D">
            <w:pPr>
              <w:pStyle w:val="Box"/>
              <w:spacing w:before="0" w:line="120" w:lineRule="exact"/>
            </w:pPr>
          </w:p>
        </w:tc>
      </w:tr>
      <w:tr w:rsidR="00337D3B" w:rsidRPr="000863A5" w14:paraId="752A1584" w14:textId="77777777" w:rsidTr="0061204D">
        <w:tc>
          <w:tcPr>
            <w:tcW w:w="5000" w:type="pct"/>
            <w:tcBorders>
              <w:top w:val="single" w:sz="6" w:space="0" w:color="78A22F"/>
              <w:left w:val="nil"/>
              <w:bottom w:val="nil"/>
              <w:right w:val="nil"/>
            </w:tcBorders>
          </w:tcPr>
          <w:p w14:paraId="779DA0AD" w14:textId="7C8BFF01" w:rsidR="00337D3B" w:rsidRPr="00626D32" w:rsidRDefault="00337D3B" w:rsidP="0061204D">
            <w:pPr>
              <w:pStyle w:val="BoxSpaceBelow"/>
            </w:pPr>
          </w:p>
        </w:tc>
      </w:tr>
    </w:tbl>
    <w:p w14:paraId="09AFE427" w14:textId="21A44831" w:rsidR="001F1256" w:rsidRDefault="00337D3B" w:rsidP="001E5F05">
      <w:pPr>
        <w:pStyle w:val="BodyText"/>
      </w:pPr>
      <w:r w:rsidRPr="001E5F05">
        <w:t>Nationally, 79.9 per cent of the adult population were ‘satisfied’ or ‘very satisfied’ in general with the services provided by police in 2017</w:t>
      </w:r>
      <w:r w:rsidRPr="001E5F05">
        <w:noBreakHyphen/>
        <w:t xml:space="preserve">18. The proportion was higher for those who had contact with police </w:t>
      </w:r>
      <w:r w:rsidR="0042534B">
        <w:t xml:space="preserve">in the previous 12 months </w:t>
      </w:r>
      <w:r w:rsidRPr="001E5F05">
        <w:t xml:space="preserve">(83.4 per cent), and this was the case across </w:t>
      </w:r>
      <w:r w:rsidR="006475ED">
        <w:t>most</w:t>
      </w:r>
      <w:r w:rsidR="006475ED" w:rsidRPr="001E5F05">
        <w:t xml:space="preserve"> </w:t>
      </w:r>
      <w:r w:rsidRPr="001E5F05">
        <w:t>jurisdictions</w:t>
      </w:r>
      <w:r w:rsidR="00866FAB">
        <w:t>.</w:t>
      </w:r>
      <w:r w:rsidR="006475ED">
        <w:t xml:space="preserve"> </w:t>
      </w:r>
    </w:p>
    <w:p w14:paraId="6A884EC7" w14:textId="1F7253A1" w:rsidR="00337D3B" w:rsidRPr="00F2238A" w:rsidRDefault="00337D3B" w:rsidP="001E5F05">
      <w:pPr>
        <w:pStyle w:val="BodyText"/>
      </w:pPr>
      <w:r w:rsidRPr="001E5F05">
        <w:t>Nationally in 2017-18, 81.9 p</w:t>
      </w:r>
      <w:r w:rsidR="00DE5076" w:rsidRPr="00F2238A">
        <w:t xml:space="preserve">er cent of the adult </w:t>
      </w:r>
      <w:r w:rsidRPr="00F2238A">
        <w:t>population were ‘satisfied’ or ‘very satisfied’ with police service response to emergencies and disasters (figure 6.9 and table 6A.4).</w:t>
      </w:r>
    </w:p>
    <w:p w14:paraId="0A4322CE" w14:textId="21C2C06D" w:rsidR="00337D3B" w:rsidRDefault="00337D3B" w:rsidP="00337D3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37D3B" w14:paraId="6E4EABE5" w14:textId="77777777" w:rsidTr="0061204D">
        <w:trPr>
          <w:tblHeader/>
        </w:trPr>
        <w:tc>
          <w:tcPr>
            <w:tcW w:w="5000" w:type="pct"/>
            <w:tcBorders>
              <w:top w:val="single" w:sz="6" w:space="0" w:color="78A22F"/>
              <w:left w:val="nil"/>
              <w:bottom w:val="nil"/>
              <w:right w:val="nil"/>
            </w:tcBorders>
            <w:shd w:val="clear" w:color="auto" w:fill="auto"/>
          </w:tcPr>
          <w:p w14:paraId="4C9AEBA3" w14:textId="09EC875E" w:rsidR="00337D3B" w:rsidRPr="00176D3F" w:rsidRDefault="00337D3B" w:rsidP="0061204D">
            <w:pPr>
              <w:pStyle w:val="FigureTitle"/>
            </w:pPr>
            <w:r w:rsidRPr="00784A05">
              <w:rPr>
                <w:b w:val="0"/>
              </w:rPr>
              <w:t xml:space="preserve">Figure </w:t>
            </w:r>
            <w:r>
              <w:rPr>
                <w:b w:val="0"/>
              </w:rPr>
              <w:t>6.9</w:t>
            </w:r>
            <w:r>
              <w:tab/>
              <w:t>People who were ‘satisfied’ or ‘very satisfied’ with police services, 2017-18</w:t>
            </w:r>
            <w:r w:rsidRPr="00C8495E">
              <w:rPr>
                <w:rStyle w:val="NoteLabel"/>
                <w:b/>
              </w:rPr>
              <w:t>a</w:t>
            </w:r>
            <w:r w:rsidR="00B20943">
              <w:rPr>
                <w:rStyle w:val="NoteLabel"/>
                <w:b/>
              </w:rPr>
              <w:t>, b</w:t>
            </w:r>
          </w:p>
        </w:tc>
      </w:tr>
      <w:tr w:rsidR="00337D3B" w14:paraId="711B20E8" w14:textId="77777777" w:rsidTr="0061204D">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FC000" w:themeColor="accent4"/>
                <w:bottom w:val="single" w:sz="6" w:space="0" w:color="FFC000" w:themeColor="accent4"/>
              </w:tblBorders>
              <w:tblCellMar>
                <w:top w:w="28" w:type="dxa"/>
              </w:tblCellMar>
              <w:tblLook w:val="0000" w:firstRow="0" w:lastRow="0" w:firstColumn="0" w:lastColumn="0" w:noHBand="0" w:noVBand="0"/>
              <w:tblDescription w:val="Nested table used for design layout."/>
            </w:tblPr>
            <w:tblGrid>
              <w:gridCol w:w="8505"/>
            </w:tblGrid>
            <w:tr w:rsidR="0036517B" w:rsidRPr="00B1465D" w14:paraId="51E9BC22" w14:textId="77777777" w:rsidTr="00B03BCA">
              <w:trPr>
                <w:tblHeader/>
                <w:jc w:val="center"/>
              </w:trPr>
              <w:tc>
                <w:tcPr>
                  <w:tcW w:w="8505" w:type="dxa"/>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36517B" w:rsidRPr="0058622F" w14:paraId="53363A5B" w14:textId="77777777" w:rsidTr="00AF3190">
                    <w:tc>
                      <w:tcPr>
                        <w:tcW w:w="304" w:type="dxa"/>
                        <w:tcBorders>
                          <w:top w:val="nil"/>
                          <w:left w:val="nil"/>
                          <w:bottom w:val="nil"/>
                          <w:right w:val="nil"/>
                        </w:tcBorders>
                        <w:shd w:val="clear" w:color="auto" w:fill="auto"/>
                        <w:tcMar>
                          <w:top w:w="28" w:type="dxa"/>
                          <w:bottom w:w="28" w:type="dxa"/>
                        </w:tcMar>
                      </w:tcPr>
                      <w:p w14:paraId="0BF4845F" w14:textId="77777777" w:rsidR="0036517B" w:rsidRPr="0058622F" w:rsidRDefault="0036517B" w:rsidP="0036517B">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3E86F958" w14:textId="77777777" w:rsidR="0036517B" w:rsidRPr="0058622F" w:rsidRDefault="0036517B" w:rsidP="0036517B">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5B186DB9" w14:textId="60835322" w:rsidR="0036517B" w:rsidRPr="00B03BCA" w:rsidRDefault="0036517B" w:rsidP="0036517B">
                        <w:pPr>
                          <w:pStyle w:val="TableBodyText"/>
                          <w:jc w:val="left"/>
                        </w:pPr>
                        <w:r w:rsidRPr="00B03BCA">
                          <w:t>Data are comparable (subject to caveats) acr</w:t>
                        </w:r>
                        <w:r w:rsidR="00B8051B">
                          <w:t>oss jurisdictions.</w:t>
                        </w:r>
                      </w:p>
                    </w:tc>
                  </w:tr>
                </w:tbl>
                <w:p w14:paraId="151E993F" w14:textId="77777777" w:rsidR="0036517B" w:rsidRDefault="0036517B" w:rsidP="0036517B">
                  <w:pPr>
                    <w:pStyle w:val="Figure"/>
                    <w:rPr>
                      <w:noProof/>
                    </w:rPr>
                  </w:pPr>
                </w:p>
              </w:tc>
            </w:tr>
            <w:tr w:rsidR="0036517B" w:rsidRPr="00B1465D" w14:paraId="4B9C991B" w14:textId="77777777" w:rsidTr="00B03BCA">
              <w:trPr>
                <w:tblHeader/>
                <w:jc w:val="center"/>
              </w:trPr>
              <w:tc>
                <w:tcPr>
                  <w:tcW w:w="8505" w:type="dxa"/>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36517B" w:rsidRPr="0058622F" w14:paraId="74C7C7F8" w14:textId="77777777" w:rsidTr="00AF3190">
                    <w:tc>
                      <w:tcPr>
                        <w:tcW w:w="304" w:type="dxa"/>
                        <w:tcBorders>
                          <w:top w:val="nil"/>
                          <w:left w:val="nil"/>
                          <w:bottom w:val="nil"/>
                          <w:right w:val="nil"/>
                        </w:tcBorders>
                        <w:shd w:val="clear" w:color="auto" w:fill="auto"/>
                        <w:tcMar>
                          <w:top w:w="28" w:type="dxa"/>
                          <w:bottom w:w="28" w:type="dxa"/>
                        </w:tcMar>
                      </w:tcPr>
                      <w:p w14:paraId="6269A154" w14:textId="77777777" w:rsidR="0036517B" w:rsidRPr="0058622F" w:rsidRDefault="0036517B" w:rsidP="0036517B">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095EFF6B" w14:textId="77777777" w:rsidR="0036517B" w:rsidRPr="0058622F" w:rsidRDefault="0036517B" w:rsidP="0036517B">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1C794E91" w14:textId="7EFA8D10" w:rsidR="0036517B" w:rsidRPr="00B03BCA" w:rsidRDefault="0036517B" w:rsidP="002B0C11">
                        <w:pPr>
                          <w:pStyle w:val="TableBodyText"/>
                          <w:jc w:val="left"/>
                        </w:pPr>
                        <w:r w:rsidRPr="00B03BCA">
                          <w:t xml:space="preserve">Data are complete (subject to caveats) for the current reporting period. </w:t>
                        </w:r>
                      </w:p>
                    </w:tc>
                  </w:tr>
                </w:tbl>
                <w:p w14:paraId="17E87351" w14:textId="77777777" w:rsidR="0036517B" w:rsidRDefault="0036517B" w:rsidP="0036517B">
                  <w:pPr>
                    <w:pStyle w:val="Figure"/>
                    <w:rPr>
                      <w:noProof/>
                    </w:rPr>
                  </w:pPr>
                </w:p>
              </w:tc>
            </w:tr>
            <w:tr w:rsidR="00337D3B" w:rsidRPr="00B1465D" w14:paraId="46138756" w14:textId="77777777" w:rsidTr="00B03BCA">
              <w:trPr>
                <w:tblHeader/>
                <w:jc w:val="center"/>
              </w:trPr>
              <w:tc>
                <w:tcPr>
                  <w:tcW w:w="8505" w:type="dxa"/>
                  <w:tcBorders>
                    <w:top w:val="nil"/>
                    <w:bottom w:val="nil"/>
                  </w:tcBorders>
                </w:tcPr>
                <w:p w14:paraId="5B256EAB" w14:textId="00E5C47F" w:rsidR="00337D3B" w:rsidRPr="001F1256" w:rsidRDefault="001F1256" w:rsidP="001F1256">
                  <w:pPr>
                    <w:pStyle w:val="Figure"/>
                  </w:pPr>
                  <w:r>
                    <w:rPr>
                      <w:noProof/>
                    </w:rPr>
                    <w:drawing>
                      <wp:inline distT="0" distB="0" distL="0" distR="0" wp14:anchorId="5C1B751C" wp14:editId="28EC4C3F">
                        <wp:extent cx="5231130" cy="2707005"/>
                        <wp:effectExtent l="0" t="0" r="7620" b="0"/>
                        <wp:docPr id="4" name="Picture 4" descr="Figure 6.9 People who were 'satisfied' or 'very satisfied' with police services, 2017-18&#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31130" cy="2707005"/>
                                </a:xfrm>
                                <a:prstGeom prst="rect">
                                  <a:avLst/>
                                </a:prstGeom>
                                <a:noFill/>
                              </pic:spPr>
                            </pic:pic>
                          </a:graphicData>
                        </a:graphic>
                      </wp:inline>
                    </w:drawing>
                  </w:r>
                </w:p>
              </w:tc>
            </w:tr>
          </w:tbl>
          <w:p w14:paraId="763BD9B0" w14:textId="77777777" w:rsidR="00337D3B" w:rsidRDefault="00337D3B" w:rsidP="0061204D">
            <w:pPr>
              <w:pStyle w:val="Figure"/>
            </w:pPr>
          </w:p>
        </w:tc>
      </w:tr>
      <w:tr w:rsidR="00337D3B" w:rsidRPr="00176D3F" w14:paraId="46080B9B" w14:textId="77777777" w:rsidTr="0061204D">
        <w:tc>
          <w:tcPr>
            <w:tcW w:w="5000" w:type="pct"/>
            <w:tcBorders>
              <w:top w:val="nil"/>
              <w:left w:val="nil"/>
              <w:bottom w:val="nil"/>
              <w:right w:val="nil"/>
            </w:tcBorders>
            <w:shd w:val="clear" w:color="auto" w:fill="auto"/>
          </w:tcPr>
          <w:p w14:paraId="38CA5ABE" w14:textId="6863E564" w:rsidR="00337D3B" w:rsidRPr="00176D3F" w:rsidRDefault="00B20943" w:rsidP="004C3F47">
            <w:pPr>
              <w:pStyle w:val="Note"/>
            </w:pPr>
            <w:proofErr w:type="spellStart"/>
            <w:r>
              <w:rPr>
                <w:rStyle w:val="NoteLabel"/>
              </w:rPr>
              <w:t>a</w:t>
            </w:r>
            <w:proofErr w:type="spellEnd"/>
            <w:r>
              <w:t xml:space="preserve"> </w:t>
            </w:r>
            <w:r w:rsidRPr="00D434EE">
              <w:t>Error bars represent the 95 per cent confidence interval associated with each point estimate</w:t>
            </w:r>
            <w:r>
              <w:t xml:space="preserve">. </w:t>
            </w:r>
            <w:r w:rsidRPr="00B20943">
              <w:rPr>
                <w:rStyle w:val="NoteLabel"/>
              </w:rPr>
              <w:t>b</w:t>
            </w:r>
            <w:r>
              <w:rPr>
                <w:rStyle w:val="NoteLabel"/>
              </w:rPr>
              <w:t xml:space="preserve"> </w:t>
            </w:r>
            <w:r w:rsidR="00337D3B">
              <w:t>See box</w:t>
            </w:r>
            <w:r w:rsidR="004C3F47">
              <w:t> </w:t>
            </w:r>
            <w:r w:rsidR="00337D3B">
              <w:t>6.</w:t>
            </w:r>
            <w:r w:rsidR="00CA43F4">
              <w:t>8</w:t>
            </w:r>
            <w:r w:rsidR="00337D3B" w:rsidRPr="00C602B2">
              <w:t xml:space="preserve"> and table 6A.</w:t>
            </w:r>
            <w:r w:rsidR="00337D3B">
              <w:t>4</w:t>
            </w:r>
            <w:r w:rsidR="00337D3B" w:rsidRPr="00C602B2">
              <w:t xml:space="preserve"> for detailed definitions, footnotes and caveats</w:t>
            </w:r>
            <w:r w:rsidR="00337D3B">
              <w:t>.</w:t>
            </w:r>
          </w:p>
        </w:tc>
      </w:tr>
      <w:tr w:rsidR="00337D3B" w:rsidRPr="00176D3F" w14:paraId="745BC18D" w14:textId="77777777" w:rsidTr="0061204D">
        <w:tc>
          <w:tcPr>
            <w:tcW w:w="5000" w:type="pct"/>
            <w:tcBorders>
              <w:top w:val="nil"/>
              <w:left w:val="nil"/>
              <w:bottom w:val="nil"/>
              <w:right w:val="nil"/>
            </w:tcBorders>
            <w:shd w:val="clear" w:color="auto" w:fill="auto"/>
          </w:tcPr>
          <w:p w14:paraId="3DB21851" w14:textId="77777777" w:rsidR="00337D3B" w:rsidRPr="00176D3F" w:rsidRDefault="00337D3B" w:rsidP="0061204D">
            <w:pPr>
              <w:pStyle w:val="Source"/>
            </w:pPr>
            <w:r>
              <w:rPr>
                <w:i/>
              </w:rPr>
              <w:t>S</w:t>
            </w:r>
            <w:r w:rsidRPr="00784A05">
              <w:rPr>
                <w:i/>
              </w:rPr>
              <w:t>ource</w:t>
            </w:r>
            <w:r w:rsidRPr="00176D3F">
              <w:t xml:space="preserve">: </w:t>
            </w:r>
            <w:r>
              <w:t>ANZPAA (unpublished); table 6A</w:t>
            </w:r>
            <w:r w:rsidRPr="00860ABE">
              <w:t>.</w:t>
            </w:r>
            <w:r>
              <w:t>4.</w:t>
            </w:r>
          </w:p>
        </w:tc>
      </w:tr>
      <w:tr w:rsidR="00337D3B" w14:paraId="1D80E97C" w14:textId="77777777" w:rsidTr="0061204D">
        <w:tc>
          <w:tcPr>
            <w:tcW w:w="5000" w:type="pct"/>
            <w:tcBorders>
              <w:top w:val="nil"/>
              <w:left w:val="nil"/>
              <w:bottom w:val="single" w:sz="6" w:space="0" w:color="78A22F"/>
              <w:right w:val="nil"/>
            </w:tcBorders>
            <w:shd w:val="clear" w:color="auto" w:fill="auto"/>
          </w:tcPr>
          <w:p w14:paraId="7F1D2E29" w14:textId="77777777" w:rsidR="00337D3B" w:rsidRDefault="00337D3B" w:rsidP="0061204D">
            <w:pPr>
              <w:pStyle w:val="Figurespace"/>
            </w:pPr>
          </w:p>
        </w:tc>
      </w:tr>
      <w:tr w:rsidR="00337D3B" w:rsidRPr="000863A5" w14:paraId="4B3B5361" w14:textId="77777777" w:rsidTr="0061204D">
        <w:tc>
          <w:tcPr>
            <w:tcW w:w="5000" w:type="pct"/>
            <w:tcBorders>
              <w:top w:val="single" w:sz="6" w:space="0" w:color="78A22F"/>
              <w:left w:val="nil"/>
              <w:bottom w:val="nil"/>
              <w:right w:val="nil"/>
            </w:tcBorders>
          </w:tcPr>
          <w:p w14:paraId="758A06FF" w14:textId="475CE133" w:rsidR="00337D3B" w:rsidRPr="00626D32" w:rsidRDefault="00337D3B" w:rsidP="0061204D">
            <w:pPr>
              <w:pStyle w:val="BoxSpaceBelow"/>
            </w:pPr>
          </w:p>
        </w:tc>
      </w:tr>
    </w:tbl>
    <w:p w14:paraId="3DFA9C0F" w14:textId="77777777" w:rsidR="00337D3B" w:rsidRDefault="00337D3B" w:rsidP="00337D3B">
      <w:pPr>
        <w:pStyle w:val="Heading4"/>
        <w:spacing w:before="360"/>
      </w:pPr>
      <w:r>
        <w:t>Perceptions of police integrity</w:t>
      </w:r>
    </w:p>
    <w:p w14:paraId="5241D3E6" w14:textId="1E6858D9" w:rsidR="00337D3B" w:rsidRPr="0046289B" w:rsidRDefault="00337D3B" w:rsidP="00337D3B">
      <w:pPr>
        <w:pStyle w:val="BodyText"/>
      </w:pPr>
      <w:r>
        <w:t xml:space="preserve">‘Perceptions of police integrity’ is an indicator of governments’ objective to provide services with </w:t>
      </w:r>
      <w:r w:rsidRPr="00AC474D">
        <w:t>integrity, honesty and fairness</w:t>
      </w:r>
      <w:r>
        <w:t xml:space="preserve"> (box 6.</w:t>
      </w:r>
      <w:r w:rsidR="00CA43F4">
        <w:t>9</w:t>
      </w:r>
      <w:r>
        <w:t>).</w:t>
      </w:r>
    </w:p>
    <w:p w14:paraId="426B0056" w14:textId="513845EE" w:rsidR="00337D3B" w:rsidRDefault="00337D3B" w:rsidP="00337D3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37D3B" w14:paraId="6AB6FD95" w14:textId="77777777" w:rsidTr="0061204D">
        <w:trPr>
          <w:tblHeader/>
        </w:trPr>
        <w:tc>
          <w:tcPr>
            <w:tcW w:w="5000" w:type="pct"/>
            <w:tcBorders>
              <w:top w:val="single" w:sz="6" w:space="0" w:color="78A22F"/>
              <w:left w:val="nil"/>
              <w:bottom w:val="nil"/>
              <w:right w:val="nil"/>
            </w:tcBorders>
            <w:shd w:val="clear" w:color="auto" w:fill="F2F2F2"/>
          </w:tcPr>
          <w:p w14:paraId="1DF8BEA8" w14:textId="5F54F3C0" w:rsidR="00337D3B" w:rsidRDefault="00337D3B" w:rsidP="00CA43F4">
            <w:pPr>
              <w:pStyle w:val="BoxTitle"/>
            </w:pPr>
            <w:r>
              <w:rPr>
                <w:b w:val="0"/>
              </w:rPr>
              <w:t>Box 6.</w:t>
            </w:r>
            <w:r w:rsidR="00CA43F4">
              <w:rPr>
                <w:b w:val="0"/>
              </w:rPr>
              <w:t>9</w:t>
            </w:r>
            <w:r>
              <w:tab/>
            </w:r>
            <w:r w:rsidRPr="00F477FE">
              <w:t>Perceptions of police integrity</w:t>
            </w:r>
          </w:p>
        </w:tc>
      </w:tr>
      <w:tr w:rsidR="00337D3B" w14:paraId="336F31EC" w14:textId="77777777" w:rsidTr="0061204D">
        <w:tc>
          <w:tcPr>
            <w:tcW w:w="5000" w:type="pct"/>
            <w:tcBorders>
              <w:top w:val="nil"/>
              <w:left w:val="nil"/>
              <w:bottom w:val="nil"/>
              <w:right w:val="nil"/>
            </w:tcBorders>
            <w:shd w:val="clear" w:color="auto" w:fill="F2F2F2"/>
          </w:tcPr>
          <w:p w14:paraId="092B3312" w14:textId="02BFC878" w:rsidR="00337D3B" w:rsidRDefault="00337D3B" w:rsidP="0061204D">
            <w:pPr>
              <w:pStyle w:val="Box"/>
            </w:pPr>
            <w:r>
              <w:t xml:space="preserve">‘Perceptions of police integrity’ refers to public perceptions and is defined by three </w:t>
            </w:r>
            <w:r w:rsidRPr="00FC5080">
              <w:t xml:space="preserve">measures </w:t>
            </w:r>
            <w:r>
              <w:t>—</w:t>
            </w:r>
            <w:r w:rsidR="000E2CD3">
              <w:t xml:space="preserve"> </w:t>
            </w:r>
            <w:r w:rsidRPr="00FC5080">
              <w:t>the proportion of people</w:t>
            </w:r>
            <w:r>
              <w:t xml:space="preserve"> who ‘agreed’ or ‘strongly agreed’ that police: </w:t>
            </w:r>
          </w:p>
          <w:p w14:paraId="5952E944" w14:textId="77777777" w:rsidR="00337D3B" w:rsidRDefault="00337D3B" w:rsidP="0061204D">
            <w:pPr>
              <w:pStyle w:val="BoxListBullet"/>
            </w:pPr>
            <w:r>
              <w:t>treat people fairly and equally</w:t>
            </w:r>
          </w:p>
          <w:p w14:paraId="5CCBCA97" w14:textId="77777777" w:rsidR="00337D3B" w:rsidRDefault="00337D3B" w:rsidP="0061204D">
            <w:pPr>
              <w:pStyle w:val="BoxListBullet"/>
            </w:pPr>
            <w:r>
              <w:t>perform their job professionally</w:t>
            </w:r>
          </w:p>
          <w:p w14:paraId="1127EA7C" w14:textId="51592D06" w:rsidR="00337D3B" w:rsidRDefault="00337D3B" w:rsidP="0061204D">
            <w:pPr>
              <w:pStyle w:val="BoxListBullet"/>
            </w:pPr>
            <w:r>
              <w:t>ar</w:t>
            </w:r>
            <w:r w:rsidR="006E5317">
              <w:t>e</w:t>
            </w:r>
            <w:r>
              <w:t xml:space="preserve"> honest.</w:t>
            </w:r>
          </w:p>
          <w:p w14:paraId="435B528A" w14:textId="77777777" w:rsidR="00337D3B" w:rsidRPr="00E33DB3" w:rsidRDefault="00337D3B" w:rsidP="0061204D">
            <w:pPr>
              <w:pStyle w:val="Box"/>
            </w:pPr>
            <w:r>
              <w:t xml:space="preserve">A high or increasing proportion of people who ‘agreed’ or ‘strongly agreed’ with these statements is </w:t>
            </w:r>
            <w:r w:rsidRPr="00E33DB3">
              <w:t>desirable.</w:t>
            </w:r>
          </w:p>
          <w:p w14:paraId="217A5A84" w14:textId="77777777" w:rsidR="00337D3B" w:rsidRDefault="00337D3B" w:rsidP="0061204D">
            <w:pPr>
              <w:pStyle w:val="Box"/>
            </w:pPr>
            <w:r w:rsidRPr="00E33DB3">
              <w:t>Public perceptions might not reflect actual levels of police integrity, because many factors, including hearsay and media reporting, might influence people’s perceptions of police integrity</w:t>
            </w:r>
            <w:r>
              <w:t>.</w:t>
            </w:r>
          </w:p>
          <w:p w14:paraId="6DEF4062" w14:textId="77777777" w:rsidR="00337D3B" w:rsidRDefault="00337D3B" w:rsidP="0061204D">
            <w:pPr>
              <w:pStyle w:val="Box"/>
            </w:pPr>
            <w:r>
              <w:t>Data reported for these measures are:</w:t>
            </w:r>
          </w:p>
          <w:p w14:paraId="0E85E5EB" w14:textId="77777777" w:rsidR="00337D3B" w:rsidRPr="009442FD" w:rsidRDefault="00337D3B" w:rsidP="00B03BCA">
            <w:pPr>
              <w:pStyle w:val="BoxListBullet"/>
              <w:numPr>
                <w:ilvl w:val="0"/>
                <w:numId w:val="0"/>
              </w:numPr>
              <w:ind w:left="284"/>
            </w:pPr>
            <w:r w:rsidRPr="009273A9">
              <w:rPr>
                <w:shd w:val="clear" w:color="auto" w:fill="F15A25"/>
              </w:rPr>
              <w:t xml:space="preserve">    </w:t>
            </w:r>
            <w:r>
              <w:t xml:space="preserve"> </w:t>
            </w:r>
            <w:r w:rsidRPr="009442FD">
              <w:t>comparable (subject to caveats) across jurisdictions and over time.</w:t>
            </w:r>
          </w:p>
          <w:p w14:paraId="41D214A7" w14:textId="77777777" w:rsidR="00337D3B" w:rsidRDefault="00337D3B" w:rsidP="00B03BCA">
            <w:pPr>
              <w:pStyle w:val="BoxListBullet"/>
              <w:numPr>
                <w:ilvl w:val="0"/>
                <w:numId w:val="0"/>
              </w:numPr>
              <w:ind w:left="284"/>
            </w:pPr>
            <w:r w:rsidRPr="009273A9">
              <w:rPr>
                <w:shd w:val="clear" w:color="auto" w:fill="F15A25"/>
              </w:rPr>
              <w:t xml:space="preserve">    </w:t>
            </w:r>
            <w:r>
              <w:t xml:space="preserve"> </w:t>
            </w:r>
            <w:r w:rsidRPr="009442FD">
              <w:t>complete (subject to caveats)</w:t>
            </w:r>
            <w:r>
              <w:t xml:space="preserve"> </w:t>
            </w:r>
            <w:r w:rsidRPr="009442FD">
              <w:t xml:space="preserve">for the current reporting period. All required </w:t>
            </w:r>
            <w:r>
              <w:t xml:space="preserve">2017-18 </w:t>
            </w:r>
            <w:r w:rsidRPr="009442FD">
              <w:t>data are available for all jurisdictions</w:t>
            </w:r>
            <w:r>
              <w:t>.</w:t>
            </w:r>
          </w:p>
        </w:tc>
      </w:tr>
      <w:tr w:rsidR="00337D3B" w14:paraId="28463B60" w14:textId="77777777" w:rsidTr="0061204D">
        <w:tc>
          <w:tcPr>
            <w:tcW w:w="5000" w:type="pct"/>
            <w:tcBorders>
              <w:top w:val="nil"/>
              <w:left w:val="nil"/>
              <w:bottom w:val="single" w:sz="6" w:space="0" w:color="78A22F"/>
              <w:right w:val="nil"/>
            </w:tcBorders>
            <w:shd w:val="clear" w:color="auto" w:fill="F2F2F2"/>
          </w:tcPr>
          <w:p w14:paraId="4BDAE9C0" w14:textId="77777777" w:rsidR="00337D3B" w:rsidRDefault="00337D3B" w:rsidP="0061204D">
            <w:pPr>
              <w:pStyle w:val="Box"/>
              <w:spacing w:before="0" w:line="120" w:lineRule="exact"/>
            </w:pPr>
          </w:p>
        </w:tc>
      </w:tr>
      <w:tr w:rsidR="00337D3B" w:rsidRPr="000863A5" w14:paraId="797801E1" w14:textId="77777777" w:rsidTr="0061204D">
        <w:tc>
          <w:tcPr>
            <w:tcW w:w="5000" w:type="pct"/>
            <w:tcBorders>
              <w:top w:val="single" w:sz="6" w:space="0" w:color="78A22F"/>
              <w:left w:val="nil"/>
              <w:bottom w:val="nil"/>
              <w:right w:val="nil"/>
            </w:tcBorders>
          </w:tcPr>
          <w:p w14:paraId="29609670" w14:textId="76DFA495" w:rsidR="00337D3B" w:rsidRPr="00626D32" w:rsidRDefault="00337D3B" w:rsidP="0061204D">
            <w:pPr>
              <w:pStyle w:val="BoxSpaceBelow"/>
            </w:pPr>
          </w:p>
        </w:tc>
      </w:tr>
    </w:tbl>
    <w:p w14:paraId="0BED019D" w14:textId="77777777" w:rsidR="00337D3B" w:rsidRDefault="00337D3B" w:rsidP="00337D3B">
      <w:pPr>
        <w:pStyle w:val="BodyText"/>
        <w:spacing w:before="200"/>
        <w:rPr>
          <w:color w:val="000000" w:themeColor="text1"/>
        </w:rPr>
      </w:pPr>
      <w:r>
        <w:rPr>
          <w:color w:val="000000" w:themeColor="text1"/>
        </w:rPr>
        <w:t>Nationally i</w:t>
      </w:r>
      <w:r w:rsidRPr="00B420C7">
        <w:rPr>
          <w:color w:val="000000" w:themeColor="text1"/>
        </w:rPr>
        <w:t>n 201</w:t>
      </w:r>
      <w:r>
        <w:rPr>
          <w:color w:val="000000" w:themeColor="text1"/>
        </w:rPr>
        <w:t>7</w:t>
      </w:r>
      <w:r w:rsidRPr="00B420C7">
        <w:rPr>
          <w:color w:val="000000" w:themeColor="text1"/>
        </w:rPr>
        <w:noBreakHyphen/>
        <w:t>1</w:t>
      </w:r>
      <w:r>
        <w:rPr>
          <w:color w:val="000000" w:themeColor="text1"/>
        </w:rPr>
        <w:t>8:</w:t>
      </w:r>
    </w:p>
    <w:p w14:paraId="1E6394AA" w14:textId="77777777" w:rsidR="00337D3B" w:rsidRPr="00D0648B" w:rsidRDefault="00337D3B" w:rsidP="00337D3B">
      <w:pPr>
        <w:pStyle w:val="ListBullet"/>
      </w:pPr>
      <w:r w:rsidRPr="00D0648B">
        <w:t>74.4 per cent of people ‘agreed’ or ‘strongly agreed’ that police treat people ‘fairly and equally’ (figure 6.10)</w:t>
      </w:r>
    </w:p>
    <w:p w14:paraId="6D4B132C" w14:textId="77777777" w:rsidR="00337D3B" w:rsidRPr="00D0648B" w:rsidRDefault="00337D3B" w:rsidP="00337D3B">
      <w:pPr>
        <w:pStyle w:val="ListBullet"/>
      </w:pPr>
      <w:r w:rsidRPr="00D0648B">
        <w:t xml:space="preserve">87.1 per cent of people ‘agreed’ or ‘strongly agreed’ that police perform their job ‘professionally’ </w:t>
      </w:r>
    </w:p>
    <w:p w14:paraId="742B81E2" w14:textId="77777777" w:rsidR="00337D3B" w:rsidRDefault="00337D3B" w:rsidP="00337D3B">
      <w:pPr>
        <w:pStyle w:val="ListBullet"/>
      </w:pPr>
      <w:r w:rsidRPr="00D0648B">
        <w:t>75.7 per cent of people ‘agreed’ or ‘strongly agreed’ that police are ‘honest’ (table 6A.7).</w:t>
      </w:r>
    </w:p>
    <w:p w14:paraId="4422A187" w14:textId="022A012E" w:rsidR="00337D3B" w:rsidRDefault="00337D3B" w:rsidP="00265BC0">
      <w:pPr>
        <w:pStyle w:val="BoxSpaceAbove"/>
        <w:spacing w:before="24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37D3B" w14:paraId="0FF8C89A" w14:textId="77777777" w:rsidTr="00DC6035">
        <w:trPr>
          <w:tblHeader/>
        </w:trPr>
        <w:tc>
          <w:tcPr>
            <w:tcW w:w="5000" w:type="pct"/>
            <w:tcBorders>
              <w:top w:val="single" w:sz="6" w:space="0" w:color="78A22F"/>
              <w:left w:val="nil"/>
              <w:bottom w:val="nil"/>
              <w:right w:val="nil"/>
            </w:tcBorders>
            <w:shd w:val="clear" w:color="auto" w:fill="auto"/>
          </w:tcPr>
          <w:p w14:paraId="7F9B9D91" w14:textId="4F70049B" w:rsidR="00337D3B" w:rsidRPr="00176D3F" w:rsidRDefault="00337D3B" w:rsidP="0061204D">
            <w:pPr>
              <w:pStyle w:val="FigureTitle"/>
            </w:pPr>
            <w:r w:rsidRPr="00784A05">
              <w:rPr>
                <w:b w:val="0"/>
              </w:rPr>
              <w:t xml:space="preserve">Figure </w:t>
            </w:r>
            <w:r>
              <w:rPr>
                <w:b w:val="0"/>
              </w:rPr>
              <w:t>6.10</w:t>
            </w:r>
            <w:r>
              <w:tab/>
              <w:t xml:space="preserve">People who ‘agreed’ or ‘strongly agreed’ that police treat people fairly and </w:t>
            </w:r>
            <w:r w:rsidRPr="00734EBD">
              <w:t>equally</w:t>
            </w:r>
            <w:r w:rsidRPr="00C8495E">
              <w:rPr>
                <w:rStyle w:val="NoteLabel"/>
                <w:b/>
              </w:rPr>
              <w:t>a</w:t>
            </w:r>
            <w:r w:rsidR="00B20943">
              <w:rPr>
                <w:rStyle w:val="NoteLabel"/>
                <w:b/>
              </w:rPr>
              <w:t>, b</w:t>
            </w:r>
          </w:p>
        </w:tc>
      </w:tr>
      <w:tr w:rsidR="00337D3B" w14:paraId="6E09610A" w14:textId="77777777" w:rsidTr="00DC6035">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FC000" w:themeColor="accent4"/>
                <w:bottom w:val="single" w:sz="6" w:space="0" w:color="FFC000" w:themeColor="accent4"/>
              </w:tblBorders>
              <w:tblCellMar>
                <w:top w:w="28" w:type="dxa"/>
              </w:tblCellMar>
              <w:tblLook w:val="0000" w:firstRow="0" w:lastRow="0" w:firstColumn="0" w:lastColumn="0" w:noHBand="0" w:noVBand="0"/>
              <w:tblDescription w:val="Nested table used for design layout."/>
            </w:tblPr>
            <w:tblGrid>
              <w:gridCol w:w="8505"/>
            </w:tblGrid>
            <w:tr w:rsidR="00A14B0E" w:rsidRPr="00B1465D" w14:paraId="5C562B3E" w14:textId="77777777" w:rsidTr="00B03BCA">
              <w:trPr>
                <w:tblHeader/>
                <w:jc w:val="center"/>
              </w:trPr>
              <w:tc>
                <w:tcPr>
                  <w:tcW w:w="8505" w:type="dxa"/>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A14B0E" w:rsidRPr="00636C3F" w14:paraId="298317EB" w14:textId="77777777" w:rsidTr="00AF3190">
                    <w:tc>
                      <w:tcPr>
                        <w:tcW w:w="304" w:type="dxa"/>
                        <w:tcBorders>
                          <w:top w:val="nil"/>
                          <w:left w:val="nil"/>
                          <w:bottom w:val="nil"/>
                          <w:right w:val="nil"/>
                        </w:tcBorders>
                        <w:shd w:val="clear" w:color="auto" w:fill="auto"/>
                        <w:tcMar>
                          <w:top w:w="28" w:type="dxa"/>
                          <w:bottom w:w="28" w:type="dxa"/>
                        </w:tcMar>
                      </w:tcPr>
                      <w:p w14:paraId="1CFEE028" w14:textId="77777777" w:rsidR="00A14B0E" w:rsidRPr="00636C3F" w:rsidRDefault="00A14B0E" w:rsidP="00A14B0E">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78EA2449" w14:textId="77777777" w:rsidR="00A14B0E" w:rsidRPr="00636C3F" w:rsidRDefault="00A14B0E" w:rsidP="00A14B0E">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497F08D8" w14:textId="77777777" w:rsidR="00A14B0E" w:rsidRPr="00636C3F" w:rsidRDefault="00A14B0E" w:rsidP="00A14B0E">
                        <w:pPr>
                          <w:pStyle w:val="TableBodyText"/>
                          <w:jc w:val="left"/>
                        </w:pPr>
                        <w:r w:rsidRPr="00636C3F">
                          <w:t>Data are comparable (subject to caveats) across jurisdictions and over time.</w:t>
                        </w:r>
                      </w:p>
                    </w:tc>
                  </w:tr>
                </w:tbl>
                <w:p w14:paraId="5B656811" w14:textId="77777777" w:rsidR="00A14B0E" w:rsidRDefault="00A14B0E" w:rsidP="00A14B0E">
                  <w:pPr>
                    <w:pStyle w:val="Figure"/>
                    <w:rPr>
                      <w:noProof/>
                    </w:rPr>
                  </w:pPr>
                </w:p>
              </w:tc>
            </w:tr>
            <w:tr w:rsidR="00A14B0E" w:rsidRPr="00B1465D" w14:paraId="7D1218CA" w14:textId="77777777" w:rsidTr="00B03BCA">
              <w:trPr>
                <w:tblHeader/>
                <w:jc w:val="center"/>
              </w:trPr>
              <w:tc>
                <w:tcPr>
                  <w:tcW w:w="8505" w:type="dxa"/>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A14B0E" w:rsidRPr="00636C3F" w14:paraId="79633EDD" w14:textId="77777777" w:rsidTr="00AF3190">
                    <w:tc>
                      <w:tcPr>
                        <w:tcW w:w="304" w:type="dxa"/>
                        <w:tcBorders>
                          <w:top w:val="nil"/>
                          <w:left w:val="nil"/>
                          <w:bottom w:val="nil"/>
                          <w:right w:val="nil"/>
                        </w:tcBorders>
                        <w:shd w:val="clear" w:color="auto" w:fill="auto"/>
                        <w:tcMar>
                          <w:top w:w="28" w:type="dxa"/>
                          <w:bottom w:w="28" w:type="dxa"/>
                        </w:tcMar>
                      </w:tcPr>
                      <w:p w14:paraId="253956DC" w14:textId="77777777" w:rsidR="00A14B0E" w:rsidRPr="00636C3F" w:rsidRDefault="00A14B0E" w:rsidP="00A14B0E">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23C5EA26" w14:textId="77777777" w:rsidR="00A14B0E" w:rsidRPr="00636C3F" w:rsidRDefault="00A14B0E" w:rsidP="00A14B0E">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7AB47E6E" w14:textId="56692445" w:rsidR="00A14B0E" w:rsidRPr="00636C3F" w:rsidRDefault="00A14B0E" w:rsidP="002B0C11">
                        <w:pPr>
                          <w:pStyle w:val="TableBodyText"/>
                          <w:jc w:val="left"/>
                        </w:pPr>
                        <w:r w:rsidRPr="00636C3F">
                          <w:t>Data ar</w:t>
                        </w:r>
                        <w:r w:rsidRPr="0036517B">
                          <w:t>e complete (subject to caveats) fo</w:t>
                        </w:r>
                        <w:r w:rsidR="002B0C11">
                          <w:t>r the current reporting period.</w:t>
                        </w:r>
                      </w:p>
                    </w:tc>
                  </w:tr>
                </w:tbl>
                <w:p w14:paraId="54EC01E9" w14:textId="77777777" w:rsidR="00A14B0E" w:rsidRDefault="00A14B0E" w:rsidP="00A14B0E">
                  <w:pPr>
                    <w:pStyle w:val="Figure"/>
                    <w:rPr>
                      <w:noProof/>
                    </w:rPr>
                  </w:pPr>
                </w:p>
              </w:tc>
            </w:tr>
            <w:tr w:rsidR="00337D3B" w:rsidRPr="00B1465D" w14:paraId="35FC4463" w14:textId="77777777" w:rsidTr="00B03BCA">
              <w:trPr>
                <w:tblHeader/>
                <w:jc w:val="center"/>
              </w:trPr>
              <w:tc>
                <w:tcPr>
                  <w:tcW w:w="8505" w:type="dxa"/>
                  <w:tcBorders>
                    <w:top w:val="nil"/>
                    <w:bottom w:val="nil"/>
                  </w:tcBorders>
                </w:tcPr>
                <w:p w14:paraId="56347869" w14:textId="3B6682B9" w:rsidR="00337D3B" w:rsidRPr="00241081" w:rsidRDefault="00241081" w:rsidP="00241081">
                  <w:pPr>
                    <w:pStyle w:val="Figure"/>
                  </w:pPr>
                  <w:r>
                    <w:rPr>
                      <w:noProof/>
                    </w:rPr>
                    <w:drawing>
                      <wp:inline distT="0" distB="0" distL="0" distR="0" wp14:anchorId="3B33809E" wp14:editId="58B5AE97">
                        <wp:extent cx="5224780" cy="2889885"/>
                        <wp:effectExtent l="0" t="0" r="0" b="5715"/>
                        <wp:docPr id="7" name="Picture 7" descr="Figure 6.10 People who 'agreed' or 'strongly agreed' that police treat people fairly and equally&#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4780" cy="2889885"/>
                                </a:xfrm>
                                <a:prstGeom prst="rect">
                                  <a:avLst/>
                                </a:prstGeom>
                                <a:noFill/>
                              </pic:spPr>
                            </pic:pic>
                          </a:graphicData>
                        </a:graphic>
                      </wp:inline>
                    </w:drawing>
                  </w:r>
                </w:p>
              </w:tc>
            </w:tr>
          </w:tbl>
          <w:p w14:paraId="29D8678D" w14:textId="77777777" w:rsidR="00337D3B" w:rsidRDefault="00337D3B" w:rsidP="0061204D">
            <w:pPr>
              <w:pStyle w:val="Figure"/>
            </w:pPr>
          </w:p>
        </w:tc>
      </w:tr>
      <w:tr w:rsidR="00337D3B" w:rsidRPr="00176D3F" w14:paraId="4511C8D6" w14:textId="77777777" w:rsidTr="0061204D">
        <w:tc>
          <w:tcPr>
            <w:tcW w:w="5000" w:type="pct"/>
            <w:tcBorders>
              <w:top w:val="nil"/>
              <w:left w:val="nil"/>
              <w:bottom w:val="nil"/>
              <w:right w:val="nil"/>
            </w:tcBorders>
            <w:shd w:val="clear" w:color="auto" w:fill="auto"/>
          </w:tcPr>
          <w:p w14:paraId="78DCAE25" w14:textId="25880CB4" w:rsidR="00337D3B" w:rsidRPr="00176D3F" w:rsidRDefault="00B20943" w:rsidP="00B20943">
            <w:pPr>
              <w:pStyle w:val="Note"/>
            </w:pPr>
            <w:proofErr w:type="spellStart"/>
            <w:r>
              <w:rPr>
                <w:rStyle w:val="NoteLabel"/>
              </w:rPr>
              <w:t>a</w:t>
            </w:r>
            <w:proofErr w:type="spellEnd"/>
            <w:r>
              <w:t xml:space="preserve"> </w:t>
            </w:r>
            <w:r w:rsidRPr="00D434EE">
              <w:t>Error bars represent the 95 per cent confidence interval associated with each point estimate</w:t>
            </w:r>
            <w:r>
              <w:t xml:space="preserve">. </w:t>
            </w:r>
            <w:r>
              <w:rPr>
                <w:rStyle w:val="NoteLabel"/>
              </w:rPr>
              <w:t>b</w:t>
            </w:r>
            <w:r w:rsidR="006C518B">
              <w:t xml:space="preserve"> See box </w:t>
            </w:r>
            <w:r w:rsidR="00337D3B">
              <w:t>6.</w:t>
            </w:r>
            <w:r w:rsidR="00CA43F4">
              <w:t>9</w:t>
            </w:r>
            <w:r w:rsidR="00337D3B" w:rsidRPr="00C602B2">
              <w:t xml:space="preserve"> and table 6A.</w:t>
            </w:r>
            <w:r w:rsidR="00337D3B">
              <w:t>7</w:t>
            </w:r>
            <w:r w:rsidR="00337D3B" w:rsidRPr="00C602B2">
              <w:t xml:space="preserve"> for detailed definitions, footnotes and caveats</w:t>
            </w:r>
            <w:r w:rsidR="00337D3B">
              <w:t>.</w:t>
            </w:r>
          </w:p>
        </w:tc>
      </w:tr>
      <w:tr w:rsidR="00337D3B" w:rsidRPr="00176D3F" w14:paraId="3A41FDCD" w14:textId="77777777" w:rsidTr="0061204D">
        <w:tc>
          <w:tcPr>
            <w:tcW w:w="5000" w:type="pct"/>
            <w:tcBorders>
              <w:top w:val="nil"/>
              <w:left w:val="nil"/>
              <w:bottom w:val="nil"/>
              <w:right w:val="nil"/>
            </w:tcBorders>
            <w:shd w:val="clear" w:color="auto" w:fill="auto"/>
          </w:tcPr>
          <w:p w14:paraId="56529C46" w14:textId="77777777" w:rsidR="00337D3B" w:rsidRPr="00176D3F" w:rsidRDefault="00337D3B" w:rsidP="0061204D">
            <w:pPr>
              <w:pStyle w:val="Source"/>
            </w:pPr>
            <w:r>
              <w:rPr>
                <w:i/>
              </w:rPr>
              <w:t>S</w:t>
            </w:r>
            <w:r w:rsidRPr="00784A05">
              <w:rPr>
                <w:i/>
              </w:rPr>
              <w:t>ource</w:t>
            </w:r>
            <w:r w:rsidRPr="00176D3F">
              <w:t xml:space="preserve">: </w:t>
            </w:r>
            <w:r>
              <w:t xml:space="preserve">ANZPAA (unpublished); table </w:t>
            </w:r>
            <w:r w:rsidRPr="00A74DE2">
              <w:t>6A.</w:t>
            </w:r>
            <w:r>
              <w:t>7.</w:t>
            </w:r>
          </w:p>
        </w:tc>
      </w:tr>
      <w:tr w:rsidR="00337D3B" w14:paraId="2779DD08" w14:textId="77777777" w:rsidTr="0061204D">
        <w:tc>
          <w:tcPr>
            <w:tcW w:w="5000" w:type="pct"/>
            <w:tcBorders>
              <w:top w:val="nil"/>
              <w:left w:val="nil"/>
              <w:bottom w:val="single" w:sz="6" w:space="0" w:color="78A22F"/>
              <w:right w:val="nil"/>
            </w:tcBorders>
            <w:shd w:val="clear" w:color="auto" w:fill="auto"/>
          </w:tcPr>
          <w:p w14:paraId="10B2692F" w14:textId="77777777" w:rsidR="00337D3B" w:rsidRDefault="00337D3B" w:rsidP="0061204D">
            <w:pPr>
              <w:pStyle w:val="Figurespace"/>
            </w:pPr>
          </w:p>
        </w:tc>
      </w:tr>
      <w:tr w:rsidR="00337D3B" w:rsidRPr="000863A5" w14:paraId="5ECC5317" w14:textId="77777777" w:rsidTr="0061204D">
        <w:tc>
          <w:tcPr>
            <w:tcW w:w="5000" w:type="pct"/>
            <w:tcBorders>
              <w:top w:val="single" w:sz="6" w:space="0" w:color="78A22F"/>
              <w:left w:val="nil"/>
              <w:bottom w:val="nil"/>
              <w:right w:val="nil"/>
            </w:tcBorders>
          </w:tcPr>
          <w:p w14:paraId="09215526" w14:textId="207BF749" w:rsidR="00337D3B" w:rsidRPr="00626D32" w:rsidRDefault="00337D3B" w:rsidP="0061204D">
            <w:pPr>
              <w:pStyle w:val="BoxSpaceBelow"/>
            </w:pPr>
          </w:p>
        </w:tc>
      </w:tr>
    </w:tbl>
    <w:p w14:paraId="5F9C93B6" w14:textId="77777777" w:rsidR="00337D3B" w:rsidRDefault="00337D3B" w:rsidP="00337D3B">
      <w:pPr>
        <w:pStyle w:val="Heading4"/>
      </w:pPr>
      <w:r>
        <w:t>Complaints</w:t>
      </w:r>
    </w:p>
    <w:p w14:paraId="14DB9EB6" w14:textId="7D344F16" w:rsidR="00337D3B" w:rsidRDefault="00337D3B" w:rsidP="00337D3B">
      <w:pPr>
        <w:pStyle w:val="BodyText"/>
        <w:rPr>
          <w:color w:val="000000" w:themeColor="text1"/>
        </w:rPr>
      </w:pPr>
      <w:r w:rsidRPr="009C76BC">
        <w:rPr>
          <w:color w:val="000000" w:themeColor="text1"/>
        </w:rPr>
        <w:t xml:space="preserve">‘Complaints’ is an indicator of governments’ objective to </w:t>
      </w:r>
      <w:r w:rsidRPr="0028571A">
        <w:rPr>
          <w:color w:val="000000" w:themeColor="text1"/>
        </w:rPr>
        <w:t>provide services with integrity, honesty and fairness (box 6.</w:t>
      </w:r>
      <w:r w:rsidR="00CA43F4">
        <w:rPr>
          <w:color w:val="000000" w:themeColor="text1"/>
        </w:rPr>
        <w:t>10</w:t>
      </w:r>
      <w:r w:rsidRPr="0028571A">
        <w:rPr>
          <w:color w:val="000000" w:themeColor="text1"/>
        </w:rPr>
        <w:t>).</w:t>
      </w:r>
    </w:p>
    <w:p w14:paraId="48646DAE" w14:textId="4ECA807D" w:rsidR="00337D3B" w:rsidRDefault="00337D3B" w:rsidP="00337D3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37D3B" w14:paraId="0D5496AA" w14:textId="77777777" w:rsidTr="0061204D">
        <w:trPr>
          <w:tblHeader/>
        </w:trPr>
        <w:tc>
          <w:tcPr>
            <w:tcW w:w="5000" w:type="pct"/>
            <w:tcBorders>
              <w:top w:val="single" w:sz="6" w:space="0" w:color="78A22F"/>
              <w:left w:val="nil"/>
              <w:bottom w:val="nil"/>
              <w:right w:val="nil"/>
            </w:tcBorders>
            <w:shd w:val="clear" w:color="auto" w:fill="F2F2F2"/>
          </w:tcPr>
          <w:p w14:paraId="4FD08394" w14:textId="65D9B6F4" w:rsidR="00337D3B" w:rsidRDefault="00337D3B" w:rsidP="00CA43F4">
            <w:pPr>
              <w:pStyle w:val="BoxTitle"/>
            </w:pPr>
            <w:r>
              <w:rPr>
                <w:b w:val="0"/>
              </w:rPr>
              <w:t>Box 6.</w:t>
            </w:r>
            <w:r w:rsidR="007E5ACD">
              <w:rPr>
                <w:b w:val="0"/>
              </w:rPr>
              <w:t>1</w:t>
            </w:r>
            <w:r w:rsidR="00CA43F4">
              <w:rPr>
                <w:b w:val="0"/>
              </w:rPr>
              <w:t>0</w:t>
            </w:r>
            <w:r>
              <w:tab/>
              <w:t>Complaints</w:t>
            </w:r>
          </w:p>
        </w:tc>
      </w:tr>
      <w:tr w:rsidR="00337D3B" w14:paraId="16C36A3E" w14:textId="77777777" w:rsidTr="0061204D">
        <w:tc>
          <w:tcPr>
            <w:tcW w:w="5000" w:type="pct"/>
            <w:tcBorders>
              <w:top w:val="nil"/>
              <w:left w:val="nil"/>
              <w:bottom w:val="nil"/>
              <w:right w:val="nil"/>
            </w:tcBorders>
            <w:shd w:val="clear" w:color="auto" w:fill="F2F2F2"/>
          </w:tcPr>
          <w:p w14:paraId="0124BFB1" w14:textId="6141D475" w:rsidR="00337D3B" w:rsidRDefault="00337D3B" w:rsidP="0061204D">
            <w:pPr>
              <w:pStyle w:val="Box"/>
            </w:pPr>
            <w:r>
              <w:t>‘Complaints’ is defined as the number of complaints made by the public against police per 100 000</w:t>
            </w:r>
            <w:r w:rsidR="006C518B">
              <w:t> </w:t>
            </w:r>
            <w:r>
              <w:t xml:space="preserve">people in the population, expressed in index form comparing values over time to a base period allocated a value of 100. </w:t>
            </w:r>
          </w:p>
          <w:p w14:paraId="79DAAB29" w14:textId="6981BAC1" w:rsidR="00337D3B" w:rsidRPr="00B73ACF" w:rsidRDefault="00337D3B" w:rsidP="0061204D">
            <w:pPr>
              <w:pStyle w:val="Box"/>
            </w:pPr>
            <w:r w:rsidRPr="00B73ACF">
              <w:t xml:space="preserve">A low or decreasing number of complaints per 100 000 </w:t>
            </w:r>
            <w:r w:rsidR="006C518B">
              <w:t xml:space="preserve">people in the </w:t>
            </w:r>
            <w:r w:rsidRPr="00B73ACF">
              <w:t>population</w:t>
            </w:r>
            <w:r w:rsidR="00316A29">
              <w:t xml:space="preserve"> (index score)</w:t>
            </w:r>
            <w:r w:rsidRPr="00B73ACF">
              <w:t xml:space="preserve"> is desirable.</w:t>
            </w:r>
          </w:p>
          <w:p w14:paraId="54E53722" w14:textId="2ECBCE4C" w:rsidR="00337D3B" w:rsidRDefault="00337D3B" w:rsidP="0061204D">
            <w:pPr>
              <w:pStyle w:val="Box"/>
            </w:pPr>
            <w:r w:rsidRPr="00517609">
              <w:t xml:space="preserve">A high or increasing </w:t>
            </w:r>
            <w:r w:rsidR="00316A29">
              <w:t>rate</w:t>
            </w:r>
            <w:r w:rsidR="00316A29" w:rsidRPr="00517609">
              <w:t xml:space="preserve"> </w:t>
            </w:r>
            <w:r w:rsidRPr="00517609">
              <w:t>of complaints does not necessarily indicate a lack of confidence in police. It can indicate greater confidence in complaints resolution. It is desirable to monitor changes in the reported rate to identify reasons for the changes and use this information to improve the manner in which police services are delivered.</w:t>
            </w:r>
          </w:p>
          <w:p w14:paraId="788106AA" w14:textId="77777777" w:rsidR="00337D3B" w:rsidRDefault="00337D3B" w:rsidP="0061204D">
            <w:pPr>
              <w:pStyle w:val="Box"/>
            </w:pPr>
            <w:r>
              <w:t>Data reported for this measure are:</w:t>
            </w:r>
          </w:p>
          <w:p w14:paraId="522A1F69" w14:textId="48F10BDB" w:rsidR="00C61D71" w:rsidRDefault="00C61D71" w:rsidP="00C61D71">
            <w:pPr>
              <w:pStyle w:val="BoxListBullet"/>
              <w:numPr>
                <w:ilvl w:val="0"/>
                <w:numId w:val="0"/>
              </w:numPr>
              <w:ind w:left="284"/>
            </w:pPr>
            <w:r w:rsidRPr="00344676">
              <w:rPr>
                <w:shd w:val="clear" w:color="auto" w:fill="FCDED3"/>
              </w:rPr>
              <w:t xml:space="preserve">    </w:t>
            </w:r>
            <w:r>
              <w:t xml:space="preserve"> </w:t>
            </w:r>
            <w:r w:rsidR="006475ED">
              <w:t xml:space="preserve">not </w:t>
            </w:r>
            <w:r>
              <w:t xml:space="preserve">comparable across jurisdictions </w:t>
            </w:r>
            <w:r w:rsidR="00316A29">
              <w:t xml:space="preserve">and not comparable within some jurisdictions over time </w:t>
            </w:r>
            <w:r>
              <w:t>(see caveats in attachment tables for specific jurisdictions)</w:t>
            </w:r>
          </w:p>
          <w:p w14:paraId="043F9853" w14:textId="1AD51218" w:rsidR="00337D3B" w:rsidRDefault="00337D3B" w:rsidP="00A3759C">
            <w:pPr>
              <w:pStyle w:val="BoxListBullet"/>
              <w:numPr>
                <w:ilvl w:val="0"/>
                <w:numId w:val="0"/>
              </w:numPr>
              <w:ind w:left="284"/>
            </w:pPr>
            <w:r w:rsidRPr="009273A9">
              <w:rPr>
                <w:shd w:val="clear" w:color="auto" w:fill="F15A25"/>
              </w:rPr>
              <w:t xml:space="preserve">    </w:t>
            </w:r>
            <w:r>
              <w:t xml:space="preserve"> </w:t>
            </w:r>
            <w:r w:rsidRPr="009442FD">
              <w:t>complet</w:t>
            </w:r>
            <w:r w:rsidR="00A3759C">
              <w:t>e</w:t>
            </w:r>
            <w:r w:rsidRPr="009442FD">
              <w:t xml:space="preserve"> (subject to caveats)</w:t>
            </w:r>
            <w:r>
              <w:t xml:space="preserve"> </w:t>
            </w:r>
            <w:r w:rsidRPr="009442FD">
              <w:t xml:space="preserve">for the current reporting period. All required </w:t>
            </w:r>
            <w:r>
              <w:t xml:space="preserve">2017-18 </w:t>
            </w:r>
            <w:r w:rsidRPr="009442FD">
              <w:t>data are available for all jurisdictions</w:t>
            </w:r>
            <w:r>
              <w:t>.</w:t>
            </w:r>
          </w:p>
        </w:tc>
      </w:tr>
      <w:tr w:rsidR="00337D3B" w14:paraId="719F03F6" w14:textId="77777777" w:rsidTr="0061204D">
        <w:tc>
          <w:tcPr>
            <w:tcW w:w="5000" w:type="pct"/>
            <w:tcBorders>
              <w:top w:val="nil"/>
              <w:left w:val="nil"/>
              <w:bottom w:val="single" w:sz="6" w:space="0" w:color="78A22F"/>
              <w:right w:val="nil"/>
            </w:tcBorders>
            <w:shd w:val="clear" w:color="auto" w:fill="F2F2F2"/>
          </w:tcPr>
          <w:p w14:paraId="61CF87F1" w14:textId="77777777" w:rsidR="00337D3B" w:rsidRDefault="00337D3B" w:rsidP="0061204D">
            <w:pPr>
              <w:pStyle w:val="Box"/>
              <w:spacing w:before="0" w:line="120" w:lineRule="exact"/>
            </w:pPr>
          </w:p>
        </w:tc>
      </w:tr>
      <w:tr w:rsidR="00337D3B" w:rsidRPr="000863A5" w14:paraId="38D3F12B" w14:textId="77777777" w:rsidTr="0061204D">
        <w:tc>
          <w:tcPr>
            <w:tcW w:w="5000" w:type="pct"/>
            <w:tcBorders>
              <w:top w:val="single" w:sz="6" w:space="0" w:color="78A22F"/>
              <w:left w:val="nil"/>
              <w:bottom w:val="nil"/>
              <w:right w:val="nil"/>
            </w:tcBorders>
          </w:tcPr>
          <w:p w14:paraId="7C67E548" w14:textId="49B02B81" w:rsidR="00337D3B" w:rsidRPr="00626D32" w:rsidRDefault="00337D3B" w:rsidP="0061204D">
            <w:pPr>
              <w:pStyle w:val="BoxSpaceBelow"/>
            </w:pPr>
          </w:p>
        </w:tc>
      </w:tr>
    </w:tbl>
    <w:p w14:paraId="35D7DBC2" w14:textId="64FFA3BF" w:rsidR="00337D3B" w:rsidRPr="0016074C" w:rsidRDefault="00337D3B" w:rsidP="00961351">
      <w:pPr>
        <w:pStyle w:val="BodyText"/>
        <w:spacing w:before="120"/>
      </w:pPr>
      <w:r w:rsidRPr="0016074C">
        <w:t xml:space="preserve">Trends within jurisdictions have varied over time (figure 6.11). Table 6A.8 reports </w:t>
      </w:r>
      <w:r w:rsidR="00B8051B">
        <w:t xml:space="preserve">historical data and </w:t>
      </w:r>
      <w:r w:rsidRPr="0016074C">
        <w:t xml:space="preserve">numbers </w:t>
      </w:r>
      <w:r w:rsidR="0057700A" w:rsidRPr="00F2238A">
        <w:t>per 100 sworn (operational) police staff</w:t>
      </w:r>
      <w:r w:rsidR="00B8051B" w:rsidRPr="00F2238A">
        <w:t>.</w:t>
      </w:r>
    </w:p>
    <w:p w14:paraId="351672DA" w14:textId="0681C384" w:rsidR="00337D3B" w:rsidRDefault="00337D3B" w:rsidP="00B03BCA">
      <w:pPr>
        <w:pStyle w:val="BoxSpaceAbove"/>
        <w:spacing w:before="24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37D3B" w14:paraId="06E06ED5" w14:textId="77777777" w:rsidTr="0061204D">
        <w:trPr>
          <w:tblHeader/>
        </w:trPr>
        <w:tc>
          <w:tcPr>
            <w:tcW w:w="5000" w:type="pct"/>
            <w:tcBorders>
              <w:top w:val="single" w:sz="6" w:space="0" w:color="78A22F"/>
              <w:left w:val="nil"/>
              <w:bottom w:val="nil"/>
              <w:right w:val="nil"/>
            </w:tcBorders>
            <w:shd w:val="clear" w:color="auto" w:fill="auto"/>
          </w:tcPr>
          <w:p w14:paraId="3940D2B6" w14:textId="2ED10070" w:rsidR="00337D3B" w:rsidRPr="00B22479" w:rsidRDefault="00337D3B" w:rsidP="0061204D">
            <w:pPr>
              <w:pStyle w:val="FigureTitle"/>
              <w:rPr>
                <w:rStyle w:val="NoteLabel"/>
              </w:rPr>
            </w:pPr>
            <w:r w:rsidRPr="00784A05">
              <w:rPr>
                <w:b w:val="0"/>
              </w:rPr>
              <w:t xml:space="preserve">Figure </w:t>
            </w:r>
            <w:r>
              <w:rPr>
                <w:b w:val="0"/>
              </w:rPr>
              <w:t>6.11</w:t>
            </w:r>
            <w:r>
              <w:tab/>
              <w:t>Trends in complaints</w:t>
            </w:r>
            <w:r w:rsidRPr="00C8495E">
              <w:rPr>
                <w:rStyle w:val="NoteLabel"/>
                <w:b/>
              </w:rPr>
              <w:t>a</w:t>
            </w:r>
          </w:p>
        </w:tc>
      </w:tr>
      <w:tr w:rsidR="00337D3B" w14:paraId="6828D171" w14:textId="77777777" w:rsidTr="0061204D">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FC000" w:themeColor="accent4"/>
                <w:bottom w:val="single" w:sz="6" w:space="0" w:color="FFC000" w:themeColor="accent4"/>
              </w:tblBorders>
              <w:tblCellMar>
                <w:top w:w="28" w:type="dxa"/>
              </w:tblCellMar>
              <w:tblLook w:val="0000" w:firstRow="0" w:lastRow="0" w:firstColumn="0" w:lastColumn="0" w:noHBand="0" w:noVBand="0"/>
              <w:tblDescription w:val="Nested table used for design layout."/>
            </w:tblPr>
            <w:tblGrid>
              <w:gridCol w:w="8505"/>
            </w:tblGrid>
            <w:tr w:rsidR="00B03BCA" w:rsidRPr="00B1465D" w14:paraId="7AC856AC" w14:textId="77777777" w:rsidTr="0060303B">
              <w:trPr>
                <w:trHeight w:val="977"/>
                <w:tblHeader/>
                <w:jc w:val="center"/>
              </w:trPr>
              <w:tc>
                <w:tcPr>
                  <w:tcW w:w="8505" w:type="dxa"/>
                  <w:tcBorders>
                    <w:top w:val="nil"/>
                    <w:bottom w:val="nil"/>
                  </w:tcBorders>
                </w:tcPr>
                <w:tbl>
                  <w:tblPr>
                    <w:tblW w:w="8647"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744"/>
                    <w:gridCol w:w="7903"/>
                  </w:tblGrid>
                  <w:tr w:rsidR="00B03BCA" w:rsidRPr="00EF5A87" w14:paraId="6161CBDC" w14:textId="77777777" w:rsidTr="009E0A42">
                    <w:tc>
                      <w:tcPr>
                        <w:tcW w:w="430" w:type="pct"/>
                        <w:tcBorders>
                          <w:top w:val="nil"/>
                          <w:left w:val="nil"/>
                          <w:bottom w:val="nil"/>
                          <w:right w:val="nil"/>
                        </w:tcBorders>
                        <w:shd w:val="clear" w:color="auto" w:fill="FCDED3"/>
                      </w:tcPr>
                      <w:p w14:paraId="7506A480" w14:textId="77777777" w:rsidR="00B03BCA" w:rsidRPr="00EF5A87" w:rsidRDefault="00B03BCA" w:rsidP="00B03BCA">
                        <w:pPr>
                          <w:keepNext/>
                          <w:keepLines/>
                          <w:spacing w:before="60" w:after="60" w:line="240" w:lineRule="atLeast"/>
                          <w:jc w:val="center"/>
                          <w:rPr>
                            <w:szCs w:val="20"/>
                          </w:rPr>
                        </w:pPr>
                      </w:p>
                    </w:tc>
                    <w:tc>
                      <w:tcPr>
                        <w:tcW w:w="4570" w:type="pct"/>
                        <w:tcBorders>
                          <w:top w:val="nil"/>
                          <w:left w:val="nil"/>
                          <w:bottom w:val="nil"/>
                          <w:right w:val="nil"/>
                        </w:tcBorders>
                        <w:shd w:val="clear" w:color="auto" w:fill="auto"/>
                      </w:tcPr>
                      <w:p w14:paraId="1AE1BECF" w14:textId="374BA000" w:rsidR="00B03BCA" w:rsidRPr="000E2CD3" w:rsidRDefault="000E2CD3">
                        <w:pPr>
                          <w:pStyle w:val="TableBodyText"/>
                          <w:jc w:val="left"/>
                        </w:pPr>
                        <w:r w:rsidRPr="000E2CD3">
                          <w:t xml:space="preserve">Data are </w:t>
                        </w:r>
                        <w:r w:rsidR="00316A29">
                          <w:t>not comparable across jurisdictions and not comparable within some jurisdictions over time</w:t>
                        </w:r>
                        <w:r w:rsidRPr="000E2CD3">
                          <w:t>.</w:t>
                        </w:r>
                      </w:p>
                    </w:tc>
                  </w:tr>
                  <w:tr w:rsidR="00B03BCA" w:rsidRPr="00EF5A87" w14:paraId="231B40BE" w14:textId="77777777" w:rsidTr="009E0A42">
                    <w:trPr>
                      <w:trHeight w:val="530"/>
                    </w:trPr>
                    <w:tc>
                      <w:tcPr>
                        <w:tcW w:w="430" w:type="pct"/>
                        <w:tcBorders>
                          <w:top w:val="nil"/>
                          <w:left w:val="nil"/>
                          <w:bottom w:val="nil"/>
                          <w:right w:val="nil"/>
                        </w:tcBorders>
                        <w:shd w:val="clear" w:color="auto" w:fill="F15A25"/>
                      </w:tcPr>
                      <w:p w14:paraId="7FD6ADC1" w14:textId="77777777" w:rsidR="00B03BCA" w:rsidRPr="00EF5A87" w:rsidRDefault="00B03BCA" w:rsidP="00B03BCA">
                        <w:pPr>
                          <w:keepNext/>
                          <w:keepLines/>
                          <w:spacing w:before="60" w:after="60" w:line="240" w:lineRule="atLeast"/>
                          <w:jc w:val="center"/>
                          <w:rPr>
                            <w:rFonts w:ascii="Arial" w:hAnsi="Arial" w:cs="Arial"/>
                            <w:sz w:val="18"/>
                            <w:szCs w:val="18"/>
                          </w:rPr>
                        </w:pPr>
                      </w:p>
                    </w:tc>
                    <w:tc>
                      <w:tcPr>
                        <w:tcW w:w="4570" w:type="pct"/>
                        <w:tcBorders>
                          <w:top w:val="nil"/>
                          <w:left w:val="nil"/>
                          <w:bottom w:val="nil"/>
                          <w:right w:val="nil"/>
                        </w:tcBorders>
                        <w:shd w:val="clear" w:color="auto" w:fill="auto"/>
                      </w:tcPr>
                      <w:p w14:paraId="69D4C876" w14:textId="1AC9D087" w:rsidR="00B03BCA" w:rsidRPr="00EF5A87" w:rsidRDefault="00B03BCA" w:rsidP="002B0C11">
                        <w:pPr>
                          <w:pStyle w:val="TableBodyText"/>
                          <w:jc w:val="left"/>
                        </w:pPr>
                        <w:r w:rsidRPr="00EF5A87">
                          <w:t xml:space="preserve">Data are complete (subject to caveats) for </w:t>
                        </w:r>
                        <w:r w:rsidR="002B0C11">
                          <w:t>the current reporting period.</w:t>
                        </w:r>
                      </w:p>
                    </w:tc>
                  </w:tr>
                </w:tbl>
                <w:p w14:paraId="743044B2" w14:textId="77777777" w:rsidR="00B03BCA" w:rsidRDefault="00B03BCA" w:rsidP="00B03BCA">
                  <w:pPr>
                    <w:pStyle w:val="Figure"/>
                    <w:rPr>
                      <w:noProof/>
                    </w:rPr>
                  </w:pPr>
                </w:p>
              </w:tc>
            </w:tr>
            <w:tr w:rsidR="00337D3B" w:rsidRPr="00B1465D" w14:paraId="40ED8221" w14:textId="77777777" w:rsidTr="00B03BCA">
              <w:trPr>
                <w:tblHeader/>
                <w:jc w:val="center"/>
              </w:trPr>
              <w:tc>
                <w:tcPr>
                  <w:tcW w:w="8505" w:type="dxa"/>
                  <w:tcBorders>
                    <w:top w:val="nil"/>
                    <w:bottom w:val="nil"/>
                  </w:tcBorders>
                </w:tcPr>
                <w:p w14:paraId="6B088544" w14:textId="78E86352" w:rsidR="00337D3B" w:rsidRPr="00A86EF3" w:rsidRDefault="009C4A0E" w:rsidP="0061204D">
                  <w:pPr>
                    <w:pStyle w:val="Figure"/>
                  </w:pPr>
                  <w:r>
                    <w:rPr>
                      <w:noProof/>
                    </w:rPr>
                    <w:drawing>
                      <wp:inline distT="0" distB="0" distL="0" distR="0" wp14:anchorId="141C81CD" wp14:editId="488B07AF">
                        <wp:extent cx="5407660" cy="2707005"/>
                        <wp:effectExtent l="0" t="0" r="2540" b="0"/>
                        <wp:docPr id="12" name="Picture 12" descr="Figure 6.11 Trends in complaint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7660" cy="2707005"/>
                                </a:xfrm>
                                <a:prstGeom prst="rect">
                                  <a:avLst/>
                                </a:prstGeom>
                                <a:noFill/>
                              </pic:spPr>
                            </pic:pic>
                          </a:graphicData>
                        </a:graphic>
                      </wp:inline>
                    </w:drawing>
                  </w:r>
                </w:p>
              </w:tc>
            </w:tr>
          </w:tbl>
          <w:p w14:paraId="72A612B6" w14:textId="77777777" w:rsidR="00337D3B" w:rsidRDefault="00337D3B" w:rsidP="0061204D">
            <w:pPr>
              <w:pStyle w:val="Figure"/>
            </w:pPr>
          </w:p>
        </w:tc>
      </w:tr>
      <w:tr w:rsidR="00337D3B" w:rsidRPr="00176D3F" w14:paraId="3D009B5C" w14:textId="77777777" w:rsidTr="0061204D">
        <w:tc>
          <w:tcPr>
            <w:tcW w:w="5000" w:type="pct"/>
            <w:tcBorders>
              <w:top w:val="nil"/>
              <w:left w:val="nil"/>
              <w:bottom w:val="nil"/>
              <w:right w:val="nil"/>
            </w:tcBorders>
            <w:shd w:val="clear" w:color="auto" w:fill="auto"/>
          </w:tcPr>
          <w:p w14:paraId="00F7C9AD" w14:textId="4D10DCC4" w:rsidR="00337D3B" w:rsidRPr="00176D3F" w:rsidRDefault="00337D3B" w:rsidP="00CA43F4">
            <w:pPr>
              <w:pStyle w:val="Note"/>
            </w:pPr>
            <w:r>
              <w:rPr>
                <w:rStyle w:val="NoteLabel"/>
              </w:rPr>
              <w:t>a</w:t>
            </w:r>
            <w:r>
              <w:t xml:space="preserve"> See box 6.1</w:t>
            </w:r>
            <w:r w:rsidR="00CA43F4">
              <w:t>0</w:t>
            </w:r>
            <w:r w:rsidRPr="00C602B2">
              <w:t xml:space="preserve"> </w:t>
            </w:r>
            <w:r>
              <w:t>and table 6A.8</w:t>
            </w:r>
            <w:r w:rsidRPr="00C602B2">
              <w:t xml:space="preserve"> for detailed definitions, footnotes and caveat</w:t>
            </w:r>
            <w:r>
              <w:t>s.</w:t>
            </w:r>
          </w:p>
        </w:tc>
      </w:tr>
      <w:tr w:rsidR="00337D3B" w:rsidRPr="00176D3F" w14:paraId="62BCAA0C" w14:textId="77777777" w:rsidTr="0061204D">
        <w:tc>
          <w:tcPr>
            <w:tcW w:w="5000" w:type="pct"/>
            <w:tcBorders>
              <w:top w:val="nil"/>
              <w:left w:val="nil"/>
              <w:bottom w:val="nil"/>
              <w:right w:val="nil"/>
            </w:tcBorders>
            <w:shd w:val="clear" w:color="auto" w:fill="auto"/>
          </w:tcPr>
          <w:p w14:paraId="5B54E406" w14:textId="77777777" w:rsidR="00337D3B" w:rsidRPr="00176D3F" w:rsidRDefault="00337D3B" w:rsidP="0061204D">
            <w:pPr>
              <w:pStyle w:val="Source"/>
            </w:pPr>
            <w:r>
              <w:rPr>
                <w:i/>
              </w:rPr>
              <w:t>S</w:t>
            </w:r>
            <w:r w:rsidRPr="00784A05">
              <w:rPr>
                <w:i/>
              </w:rPr>
              <w:t>ource</w:t>
            </w:r>
            <w:r w:rsidRPr="00176D3F">
              <w:t xml:space="preserve">: </w:t>
            </w:r>
            <w:r w:rsidRPr="0054057B">
              <w:t xml:space="preserve">State and Territory governments (unpublished); table </w:t>
            </w:r>
            <w:r>
              <w:t>6A.8</w:t>
            </w:r>
            <w:r w:rsidRPr="006033A6">
              <w:t>.</w:t>
            </w:r>
          </w:p>
        </w:tc>
      </w:tr>
      <w:tr w:rsidR="00337D3B" w14:paraId="42C511A8" w14:textId="77777777" w:rsidTr="0061204D">
        <w:tc>
          <w:tcPr>
            <w:tcW w:w="5000" w:type="pct"/>
            <w:tcBorders>
              <w:top w:val="nil"/>
              <w:left w:val="nil"/>
              <w:bottom w:val="single" w:sz="6" w:space="0" w:color="78A22F"/>
              <w:right w:val="nil"/>
            </w:tcBorders>
            <w:shd w:val="clear" w:color="auto" w:fill="auto"/>
          </w:tcPr>
          <w:p w14:paraId="7AD46F77" w14:textId="77777777" w:rsidR="00337D3B" w:rsidRDefault="00337D3B" w:rsidP="0061204D">
            <w:pPr>
              <w:pStyle w:val="Figurespace"/>
            </w:pPr>
          </w:p>
        </w:tc>
      </w:tr>
      <w:tr w:rsidR="00337D3B" w:rsidRPr="000863A5" w14:paraId="33B16023" w14:textId="77777777" w:rsidTr="0061204D">
        <w:tc>
          <w:tcPr>
            <w:tcW w:w="5000" w:type="pct"/>
            <w:tcBorders>
              <w:top w:val="single" w:sz="6" w:space="0" w:color="78A22F"/>
              <w:left w:val="nil"/>
              <w:bottom w:val="nil"/>
              <w:right w:val="nil"/>
            </w:tcBorders>
          </w:tcPr>
          <w:p w14:paraId="1D432363" w14:textId="3B3655A7" w:rsidR="00337D3B" w:rsidRPr="00626D32" w:rsidRDefault="00337D3B" w:rsidP="0061204D">
            <w:pPr>
              <w:pStyle w:val="BoxSpaceBelow"/>
            </w:pPr>
          </w:p>
        </w:tc>
      </w:tr>
    </w:tbl>
    <w:p w14:paraId="36C1EA05" w14:textId="77777777" w:rsidR="00337D3B" w:rsidRPr="00310AA4" w:rsidRDefault="00337D3B" w:rsidP="00310AA4">
      <w:pPr>
        <w:pStyle w:val="Heading4"/>
      </w:pPr>
      <w:r w:rsidRPr="00310AA4">
        <w:lastRenderedPageBreak/>
        <w:t>Juvenile diversions</w:t>
      </w:r>
    </w:p>
    <w:p w14:paraId="483B8A59" w14:textId="2AB143CA" w:rsidR="00337D3B" w:rsidRDefault="00337D3B" w:rsidP="00310AA4">
      <w:pPr>
        <w:pStyle w:val="BodyText"/>
      </w:pPr>
      <w:r w:rsidRPr="00310AA4">
        <w:t>‘Juvenile diversions’ is an indicator of governments’ objective of supporting the judicial process to bring to justice those people responsible for committing an offence (box 6.1</w:t>
      </w:r>
      <w:r w:rsidR="00CA43F4" w:rsidRPr="00310AA4">
        <w:t>1</w:t>
      </w:r>
      <w:r w:rsidRPr="00310AA4">
        <w:t>).</w:t>
      </w:r>
    </w:p>
    <w:p w14:paraId="214BD4E7" w14:textId="2E80B213" w:rsidR="00C40348" w:rsidRDefault="00C4034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40348" w14:paraId="500636D7" w14:textId="77777777" w:rsidTr="00AE742B">
        <w:trPr>
          <w:tblHeader/>
        </w:trPr>
        <w:tc>
          <w:tcPr>
            <w:tcW w:w="5000" w:type="pct"/>
            <w:tcBorders>
              <w:top w:val="single" w:sz="6" w:space="0" w:color="78A22F"/>
              <w:left w:val="nil"/>
              <w:bottom w:val="nil"/>
              <w:right w:val="nil"/>
            </w:tcBorders>
            <w:shd w:val="clear" w:color="auto" w:fill="F2F2F2"/>
          </w:tcPr>
          <w:p w14:paraId="75336713" w14:textId="04438EFC" w:rsidR="00C40348" w:rsidRDefault="00C40348" w:rsidP="00C40348">
            <w:pPr>
              <w:pStyle w:val="BoxTitle"/>
            </w:pPr>
            <w:r>
              <w:rPr>
                <w:b w:val="0"/>
              </w:rPr>
              <w:t>Box 6.11</w:t>
            </w:r>
            <w:r>
              <w:tab/>
              <w:t>Juvenile diversions</w:t>
            </w:r>
          </w:p>
        </w:tc>
      </w:tr>
      <w:tr w:rsidR="00C40348" w14:paraId="63837E2A" w14:textId="77777777" w:rsidTr="00AE742B">
        <w:tc>
          <w:tcPr>
            <w:tcW w:w="5000" w:type="pct"/>
            <w:tcBorders>
              <w:top w:val="nil"/>
              <w:left w:val="nil"/>
              <w:bottom w:val="nil"/>
              <w:right w:val="nil"/>
            </w:tcBorders>
            <w:shd w:val="clear" w:color="auto" w:fill="F2F2F2"/>
          </w:tcPr>
          <w:p w14:paraId="0229E3E4" w14:textId="6376AA09" w:rsidR="00F2238A" w:rsidRDefault="00F2238A" w:rsidP="00F2238A">
            <w:pPr>
              <w:pStyle w:val="Box"/>
            </w:pPr>
            <w:r>
              <w:t>‘Juvenile diversions’ is defined by two measures:</w:t>
            </w:r>
          </w:p>
          <w:p w14:paraId="13BB8D1A" w14:textId="77777777" w:rsidR="00C40348" w:rsidRPr="00F2238A" w:rsidRDefault="00C40348" w:rsidP="007677D7">
            <w:pPr>
              <w:pStyle w:val="BoxListBullet"/>
            </w:pPr>
            <w:r w:rsidRPr="007677D7">
              <w:t xml:space="preserve">the total number of </w:t>
            </w:r>
            <w:r w:rsidRPr="00F2238A">
              <w:t xml:space="preserve">alleged young offenders </w:t>
            </w:r>
            <w:r w:rsidRPr="007677D7">
              <w:t xml:space="preserve">who would otherwise be proceeded against (that is, taken to court) but who are diverted by police, as a proportion of all juvenile offenders formally dealt with by police </w:t>
            </w:r>
          </w:p>
          <w:p w14:paraId="1D20CBA1" w14:textId="75FCBF62" w:rsidR="00C40348" w:rsidRPr="007677D7" w:rsidRDefault="00C40348" w:rsidP="007677D7">
            <w:pPr>
              <w:pStyle w:val="BoxListBullet"/>
            </w:pPr>
            <w:r w:rsidRPr="007677D7">
              <w:t xml:space="preserve">the total number of </w:t>
            </w:r>
            <w:r w:rsidRPr="00F2238A">
              <w:t xml:space="preserve">alleged young Aboriginal and Torres Strait Islander offenders </w:t>
            </w:r>
            <w:r w:rsidRPr="007677D7">
              <w:t xml:space="preserve">who would otherwise be proceeded against (that is, taken to court) but who are diverted by police, as a proportion of all juvenile </w:t>
            </w:r>
            <w:r w:rsidR="00874808" w:rsidRPr="007677D7">
              <w:t xml:space="preserve">Aboriginal and Torres Strait Islander </w:t>
            </w:r>
            <w:r w:rsidRPr="007677D7">
              <w:t>offenders formally dealt with by police.</w:t>
            </w:r>
          </w:p>
          <w:p w14:paraId="0E30A746" w14:textId="77777777" w:rsidR="00C40348" w:rsidRPr="007677D7" w:rsidRDefault="00C40348" w:rsidP="007677D7">
            <w:pPr>
              <w:pStyle w:val="Box"/>
            </w:pPr>
            <w:r w:rsidRPr="007677D7">
              <w:t>Offenders who would not normally be sent to court for the offence detected, and who are treated by police in a less formal manner (for example, those issued with infringement notices), are not included.</w:t>
            </w:r>
          </w:p>
          <w:p w14:paraId="7B8DDC5A" w14:textId="77777777" w:rsidR="00C40348" w:rsidRPr="007677D7" w:rsidRDefault="00C40348" w:rsidP="007677D7">
            <w:pPr>
              <w:pStyle w:val="Box"/>
            </w:pPr>
            <w:r w:rsidRPr="007677D7">
              <w:t>A high or increasing proportion of juvenile diversions as a proportion of juvenile offenders is desirable.</w:t>
            </w:r>
          </w:p>
          <w:p w14:paraId="0C4B642E" w14:textId="77777777" w:rsidR="00C40348" w:rsidRPr="007677D7" w:rsidRDefault="00C40348" w:rsidP="007677D7">
            <w:pPr>
              <w:pStyle w:val="Box"/>
            </w:pPr>
            <w:r w:rsidRPr="007677D7">
              <w:t xml:space="preserve">When police apprehend offenders, they have a variety of options available. They can charge the offender (and proceed to court) or they can use their discretion to divert the offender away from this potentially costly, time consuming and stressful situation (for both the offender and victim). They are particularly useful mechanisms for dealing with juvenile offenders. </w:t>
            </w:r>
          </w:p>
          <w:p w14:paraId="434EF960" w14:textId="77777777" w:rsidR="00C40348" w:rsidRPr="00B73ACF" w:rsidRDefault="00C40348" w:rsidP="00C40348">
            <w:pPr>
              <w:pStyle w:val="Box"/>
            </w:pPr>
            <w:r>
              <w:t xml:space="preserve">This </w:t>
            </w:r>
            <w:r w:rsidRPr="00B73ACF">
              <w:t>indicator does not provide information on the relative success or failure of diversionary mechanisms.</w:t>
            </w:r>
          </w:p>
          <w:p w14:paraId="47C1A859" w14:textId="620C1693" w:rsidR="00C40348" w:rsidRPr="00DA6684" w:rsidRDefault="00C40348" w:rsidP="00C40348">
            <w:pPr>
              <w:pStyle w:val="Box"/>
            </w:pPr>
            <w:r w:rsidRPr="00B73ACF">
              <w:t>The term ‘diverted’ includes diversions of offenders away from the courts by way of community conference, diversionary conference, formal cautioning by police, family conferences, and other programs (for example, drug assessment/treatment</w:t>
            </w:r>
            <w:r w:rsidR="004C3F47">
              <w:t xml:space="preserve">). </w:t>
            </w:r>
            <w:r w:rsidRPr="00B73ACF">
              <w:t>Not all options are available or subject to police dis</w:t>
            </w:r>
            <w:r>
              <w:t>cretion in all jurisdictions</w:t>
            </w:r>
            <w:r w:rsidRPr="00C40348">
              <w:t>. In addition, juvenile offenders who commit a serious offence or an offence specified in applicable legislation cannot be diverted. This limits the proportion of juvenile diversions that can be achieved</w:t>
            </w:r>
            <w:r>
              <w:t>.</w:t>
            </w:r>
          </w:p>
          <w:p w14:paraId="6B643B51" w14:textId="77777777" w:rsidR="00C40348" w:rsidRDefault="00C40348" w:rsidP="00C40348">
            <w:pPr>
              <w:pStyle w:val="Box"/>
            </w:pPr>
            <w:r w:rsidRPr="004562D5">
              <w:t>Care needs to be taken when interpreting data related to Aboriginal and Torres St</w:t>
            </w:r>
            <w:r>
              <w:t xml:space="preserve">rait Islander diversions </w:t>
            </w:r>
            <w:r w:rsidRPr="004562D5">
              <w:t>due to coverage and completeness of data on</w:t>
            </w:r>
            <w:r>
              <w:t xml:space="preserve"> </w:t>
            </w:r>
            <w:r w:rsidRPr="004562D5">
              <w:t>Indigenous status across jurisdictions</w:t>
            </w:r>
            <w:r>
              <w:t>.</w:t>
            </w:r>
          </w:p>
          <w:p w14:paraId="7F447C39" w14:textId="77777777" w:rsidR="00C40348" w:rsidRDefault="00C40348" w:rsidP="00C40348">
            <w:pPr>
              <w:pStyle w:val="Box"/>
            </w:pPr>
            <w:r>
              <w:t xml:space="preserve">Data reported for these measures are: </w:t>
            </w:r>
          </w:p>
          <w:p w14:paraId="015E82D5" w14:textId="290C07A7" w:rsidR="00C40348" w:rsidRDefault="00C40348" w:rsidP="00C40348">
            <w:pPr>
              <w:pStyle w:val="BoxListBullet"/>
              <w:numPr>
                <w:ilvl w:val="0"/>
                <w:numId w:val="0"/>
              </w:numPr>
              <w:ind w:left="284"/>
            </w:pPr>
            <w:r w:rsidRPr="00732672">
              <w:rPr>
                <w:shd w:val="clear" w:color="auto" w:fill="FCDED3"/>
              </w:rPr>
              <w:t xml:space="preserve">    </w:t>
            </w:r>
            <w:r>
              <w:t xml:space="preserve"> not comparable across jurisdictions because</w:t>
            </w:r>
            <w:r w:rsidRPr="002C4475">
              <w:rPr>
                <w:rFonts w:ascii="Times New Roman" w:hAnsi="Times New Roman"/>
                <w:sz w:val="24"/>
                <w:szCs w:val="24"/>
              </w:rPr>
              <w:t xml:space="preserve"> </w:t>
            </w:r>
            <w:r w:rsidRPr="002C4475">
              <w:t xml:space="preserve">of differences </w:t>
            </w:r>
            <w:r>
              <w:t xml:space="preserve">in the legislative arrangements, procedures and data collection </w:t>
            </w:r>
            <w:r w:rsidRPr="002C4475">
              <w:t xml:space="preserve">that underpin </w:t>
            </w:r>
            <w:r>
              <w:t>t</w:t>
            </w:r>
            <w:r w:rsidRPr="002C4475">
              <w:t xml:space="preserve">he application of, and eligibility for, diversionary </w:t>
            </w:r>
            <w:r>
              <w:t xml:space="preserve">programs </w:t>
            </w:r>
            <w:r w:rsidRPr="002C4475">
              <w:t>in each jurisdi</w:t>
            </w:r>
            <w:r w:rsidR="00DA0311">
              <w:t>ction’s juvenile justice system</w:t>
            </w:r>
            <w:r w:rsidRPr="002C4475">
              <w:t xml:space="preserve"> </w:t>
            </w:r>
            <w:r>
              <w:t xml:space="preserve"> </w:t>
            </w:r>
          </w:p>
          <w:p w14:paraId="1972C886" w14:textId="705A19AF" w:rsidR="00C40348" w:rsidRDefault="00C40348" w:rsidP="00515F81">
            <w:pPr>
              <w:pStyle w:val="BoxListBullet"/>
              <w:numPr>
                <w:ilvl w:val="0"/>
                <w:numId w:val="0"/>
              </w:numPr>
              <w:ind w:left="284"/>
            </w:pPr>
            <w:r w:rsidRPr="009273A9">
              <w:rPr>
                <w:shd w:val="clear" w:color="auto" w:fill="FCDED3"/>
              </w:rPr>
              <w:t xml:space="preserve">    </w:t>
            </w:r>
            <w:r>
              <w:t xml:space="preserve"> </w:t>
            </w:r>
            <w:r w:rsidRPr="00DC6035">
              <w:t>incomplete for the current reporting period</w:t>
            </w:r>
            <w:r w:rsidR="00515F81">
              <w:t xml:space="preserve"> for the second measure. </w:t>
            </w:r>
            <w:r w:rsidRPr="00DC6035">
              <w:t>All required data were not available for Tasmania for Aboriginal and Torres Strait Islander diversions.</w:t>
            </w:r>
          </w:p>
        </w:tc>
      </w:tr>
      <w:tr w:rsidR="00C40348" w14:paraId="7140495B" w14:textId="77777777" w:rsidTr="00AE742B">
        <w:tc>
          <w:tcPr>
            <w:tcW w:w="5000" w:type="pct"/>
            <w:tcBorders>
              <w:top w:val="nil"/>
              <w:left w:val="nil"/>
              <w:bottom w:val="single" w:sz="6" w:space="0" w:color="78A22F"/>
              <w:right w:val="nil"/>
            </w:tcBorders>
            <w:shd w:val="clear" w:color="auto" w:fill="F2F2F2"/>
          </w:tcPr>
          <w:p w14:paraId="3114424D" w14:textId="77777777" w:rsidR="00C40348" w:rsidRDefault="00C40348">
            <w:pPr>
              <w:pStyle w:val="Box"/>
              <w:spacing w:before="0" w:line="120" w:lineRule="exact"/>
            </w:pPr>
          </w:p>
        </w:tc>
      </w:tr>
      <w:tr w:rsidR="00C40348" w:rsidRPr="000863A5" w14:paraId="3BB9D91C" w14:textId="77777777" w:rsidTr="00AE742B">
        <w:tc>
          <w:tcPr>
            <w:tcW w:w="5000" w:type="pct"/>
            <w:tcBorders>
              <w:top w:val="single" w:sz="6" w:space="0" w:color="78A22F"/>
              <w:left w:val="nil"/>
              <w:bottom w:val="nil"/>
              <w:right w:val="nil"/>
            </w:tcBorders>
          </w:tcPr>
          <w:p w14:paraId="4A4B098A" w14:textId="1A3C448B" w:rsidR="00C40348" w:rsidRPr="00626D32" w:rsidRDefault="00C40348" w:rsidP="00AE742B">
            <w:pPr>
              <w:pStyle w:val="BoxSpaceBelow"/>
            </w:pPr>
          </w:p>
        </w:tc>
      </w:tr>
    </w:tbl>
    <w:p w14:paraId="01C6B3E8" w14:textId="58F6F70F" w:rsidR="00337D3B" w:rsidRPr="002B4B0A" w:rsidRDefault="002B4B0A" w:rsidP="00C40348">
      <w:pPr>
        <w:pStyle w:val="BodyText"/>
      </w:pPr>
      <w:r w:rsidRPr="002B4B0A">
        <w:t xml:space="preserve">From 2016-17 to 2017-18, four of eight jurisdictions reported an </w:t>
      </w:r>
      <w:r w:rsidRPr="00F2238A">
        <w:t>increase</w:t>
      </w:r>
      <w:r w:rsidRPr="002B4B0A">
        <w:t xml:space="preserve"> in the proportion of alleged young offenders diverted</w:t>
      </w:r>
      <w:r w:rsidR="0044647F">
        <w:t xml:space="preserve"> from the justice system, and six </w:t>
      </w:r>
      <w:r w:rsidRPr="002B4B0A">
        <w:t xml:space="preserve">of </w:t>
      </w:r>
      <w:r w:rsidR="0044647F">
        <w:t xml:space="preserve">seven reporting </w:t>
      </w:r>
      <w:r w:rsidR="0044647F">
        <w:lastRenderedPageBreak/>
        <w:t>jurisdictions r</w:t>
      </w:r>
      <w:r w:rsidRPr="002B4B0A">
        <w:t xml:space="preserve">eported an increase in alleged young Aboriginal and Torres Strait Islander offenders diverted </w:t>
      </w:r>
      <w:r w:rsidR="00337D3B" w:rsidRPr="002B4B0A">
        <w:t>(table 6A.21).</w:t>
      </w:r>
    </w:p>
    <w:p w14:paraId="3EF06F66" w14:textId="77777777" w:rsidR="00337D3B" w:rsidRPr="00310AA4" w:rsidRDefault="00337D3B" w:rsidP="00310AA4">
      <w:pPr>
        <w:pStyle w:val="Heading4"/>
      </w:pPr>
      <w:r w:rsidRPr="00310AA4">
        <w:t>Outcomes of investigations</w:t>
      </w:r>
    </w:p>
    <w:p w14:paraId="28EE64AA" w14:textId="40322390" w:rsidR="00337D3B" w:rsidRPr="00310AA4" w:rsidRDefault="00337D3B" w:rsidP="00310AA4">
      <w:pPr>
        <w:pStyle w:val="BodyText"/>
      </w:pPr>
      <w:r w:rsidRPr="00310AA4">
        <w:t xml:space="preserve">‘Outcomes of investigations’ is an indicator of governments’ objective of supporting the judicial process to bring to justice those people responsible for committing an offence </w:t>
      </w:r>
      <w:r w:rsidRPr="00310AA4">
        <w:br/>
        <w:t>(box 6.1</w:t>
      </w:r>
      <w:r w:rsidR="00CA43F4" w:rsidRPr="00310AA4">
        <w:t>2</w:t>
      </w:r>
      <w:r w:rsidRPr="00310AA4">
        <w:t>).</w:t>
      </w:r>
    </w:p>
    <w:p w14:paraId="5C98989C" w14:textId="151E4078" w:rsidR="00337D3B" w:rsidRDefault="00337D3B" w:rsidP="00337D3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37D3B" w14:paraId="1E905EDF" w14:textId="77777777" w:rsidTr="0061204D">
        <w:trPr>
          <w:tblHeader/>
        </w:trPr>
        <w:tc>
          <w:tcPr>
            <w:tcW w:w="5000" w:type="pct"/>
            <w:tcBorders>
              <w:top w:val="single" w:sz="6" w:space="0" w:color="78A22F"/>
              <w:left w:val="nil"/>
              <w:bottom w:val="nil"/>
              <w:right w:val="nil"/>
            </w:tcBorders>
            <w:shd w:val="clear" w:color="auto" w:fill="F2F2F2"/>
          </w:tcPr>
          <w:p w14:paraId="6523841E" w14:textId="6B610682" w:rsidR="00337D3B" w:rsidRDefault="00337D3B" w:rsidP="00CA43F4">
            <w:pPr>
              <w:pStyle w:val="BoxTitle"/>
            </w:pPr>
            <w:r>
              <w:rPr>
                <w:b w:val="0"/>
              </w:rPr>
              <w:t>Box 6.</w:t>
            </w:r>
            <w:r w:rsidR="00CA43F4">
              <w:rPr>
                <w:b w:val="0"/>
              </w:rPr>
              <w:t>12</w:t>
            </w:r>
            <w:r>
              <w:tab/>
              <w:t>Outcomes of investigations</w:t>
            </w:r>
          </w:p>
        </w:tc>
      </w:tr>
      <w:tr w:rsidR="00337D3B" w14:paraId="7C5FF7F8" w14:textId="77777777" w:rsidTr="0061204D">
        <w:tc>
          <w:tcPr>
            <w:tcW w:w="5000" w:type="pct"/>
            <w:tcBorders>
              <w:top w:val="nil"/>
              <w:left w:val="nil"/>
              <w:bottom w:val="nil"/>
              <w:right w:val="nil"/>
            </w:tcBorders>
            <w:shd w:val="clear" w:color="auto" w:fill="F2F2F2"/>
          </w:tcPr>
          <w:p w14:paraId="2394610A" w14:textId="77777777" w:rsidR="00337D3B" w:rsidRDefault="00337D3B" w:rsidP="0061204D">
            <w:pPr>
              <w:pStyle w:val="Box"/>
            </w:pPr>
            <w:r>
              <w:t xml:space="preserve">‘Outcomes of investigations’ is defined by two measures: </w:t>
            </w:r>
          </w:p>
          <w:p w14:paraId="0E5B6FD0" w14:textId="77777777" w:rsidR="00337D3B" w:rsidRPr="009C4A0E" w:rsidRDefault="00337D3B" w:rsidP="009C4A0E">
            <w:pPr>
              <w:pStyle w:val="BoxListBullet"/>
            </w:pPr>
            <w:r w:rsidRPr="009C4A0E">
              <w:t>the number of investigations that were finalised within 30 days of the offence becoming known to police</w:t>
            </w:r>
            <w:r w:rsidRPr="00F2238A">
              <w:t>, as a proportion of all investigations</w:t>
            </w:r>
          </w:p>
          <w:p w14:paraId="64DD345C" w14:textId="77777777" w:rsidR="00337D3B" w:rsidRPr="00F2238A" w:rsidRDefault="00337D3B" w:rsidP="009C4A0E">
            <w:pPr>
              <w:pStyle w:val="BoxListBullet"/>
            </w:pPr>
            <w:r w:rsidRPr="009C4A0E">
              <w:t xml:space="preserve">the number of investigations finalised within 30 days of the offence becoming known to police, where proceedings were instituted against the offender, </w:t>
            </w:r>
            <w:r w:rsidRPr="00F2238A">
              <w:t>as a proportion of the total number of all finalised investigations</w:t>
            </w:r>
          </w:p>
          <w:p w14:paraId="152E974C" w14:textId="77777777" w:rsidR="00337D3B" w:rsidRDefault="00337D3B" w:rsidP="0061204D">
            <w:pPr>
              <w:pStyle w:val="Box"/>
            </w:pPr>
            <w:r>
              <w:t>Measures are reported for a range of offences:</w:t>
            </w:r>
          </w:p>
          <w:p w14:paraId="376F0B56" w14:textId="1FE942D0" w:rsidR="00337D3B" w:rsidRPr="00FC07A7" w:rsidRDefault="004C3F47" w:rsidP="0061204D">
            <w:pPr>
              <w:pStyle w:val="BoxListBullet"/>
            </w:pPr>
            <w:r>
              <w:t>personal offences, i</w:t>
            </w:r>
            <w:r w:rsidR="00337D3B" w:rsidRPr="00FC07A7">
              <w:t>ncluding homicide</w:t>
            </w:r>
            <w:r>
              <w:t xml:space="preserve">, sexual assault </w:t>
            </w:r>
            <w:r w:rsidR="00337D3B" w:rsidRPr="00FC07A7">
              <w:t>and armed robbery</w:t>
            </w:r>
          </w:p>
          <w:p w14:paraId="3A12BC15" w14:textId="2DA4874B" w:rsidR="00337D3B" w:rsidRPr="00FC07A7" w:rsidRDefault="004C3F47" w:rsidP="0061204D">
            <w:pPr>
              <w:pStyle w:val="BoxListBullet"/>
            </w:pPr>
            <w:r>
              <w:t xml:space="preserve">property offences, </w:t>
            </w:r>
            <w:r w:rsidR="00337D3B" w:rsidRPr="00FC07A7">
              <w:t>including unlawful entry with intent, motor vehicle theft and other theft.</w:t>
            </w:r>
          </w:p>
          <w:p w14:paraId="7BC6434C" w14:textId="77777777" w:rsidR="00337D3B" w:rsidRDefault="00337D3B" w:rsidP="0061204D">
            <w:pPr>
              <w:pStyle w:val="Box"/>
            </w:pPr>
            <w:r w:rsidRPr="00226DA6">
              <w:t>A high or increasing proportion of investigations that were finalised within 30 days of the offence becoming known to police and of investigations finalised within 30 days of the offence becoming known to police, where proceedings were instituted against the offender, is desirable.</w:t>
            </w:r>
          </w:p>
          <w:p w14:paraId="0010BA5E" w14:textId="77777777" w:rsidR="00337D3B" w:rsidRDefault="00337D3B" w:rsidP="0061204D">
            <w:pPr>
              <w:pStyle w:val="Box"/>
            </w:pPr>
            <w:r>
              <w:t>Data reported for these measures are:</w:t>
            </w:r>
          </w:p>
          <w:p w14:paraId="1CCA5016" w14:textId="32AC1CF5" w:rsidR="00337D3B" w:rsidRPr="009442FD" w:rsidRDefault="00337D3B" w:rsidP="0034664B">
            <w:pPr>
              <w:pStyle w:val="BoxListBullet"/>
              <w:numPr>
                <w:ilvl w:val="0"/>
                <w:numId w:val="0"/>
              </w:numPr>
              <w:ind w:left="284"/>
            </w:pPr>
            <w:r w:rsidRPr="009273A9">
              <w:rPr>
                <w:shd w:val="clear" w:color="auto" w:fill="F15A25"/>
              </w:rPr>
              <w:t xml:space="preserve">    </w:t>
            </w:r>
            <w:r>
              <w:t xml:space="preserve"> </w:t>
            </w:r>
            <w:r w:rsidRPr="009442FD">
              <w:t>comparable (subject to caveats) acr</w:t>
            </w:r>
            <w:r w:rsidR="009B4ADD">
              <w:t>oss jurisdictions and over time</w:t>
            </w:r>
          </w:p>
          <w:p w14:paraId="186F2EB8" w14:textId="7AB0A17B" w:rsidR="00337D3B" w:rsidRDefault="00337D3B" w:rsidP="000E2CD3">
            <w:pPr>
              <w:pStyle w:val="BoxListBullet"/>
              <w:numPr>
                <w:ilvl w:val="0"/>
                <w:numId w:val="0"/>
              </w:numPr>
              <w:ind w:left="284"/>
            </w:pPr>
            <w:r w:rsidRPr="009273A9">
              <w:rPr>
                <w:shd w:val="clear" w:color="auto" w:fill="F15A25"/>
              </w:rPr>
              <w:t xml:space="preserve">    </w:t>
            </w:r>
            <w:r>
              <w:t xml:space="preserve"> </w:t>
            </w:r>
            <w:r w:rsidRPr="009442FD">
              <w:t>complete (subject to caveats)</w:t>
            </w:r>
            <w:r>
              <w:t xml:space="preserve"> </w:t>
            </w:r>
            <w:r w:rsidRPr="009442FD">
              <w:t xml:space="preserve">for the current reporting period. All required </w:t>
            </w:r>
            <w:r>
              <w:t>2017</w:t>
            </w:r>
            <w:r w:rsidR="000E2CD3">
              <w:t xml:space="preserve"> d</w:t>
            </w:r>
            <w:r w:rsidRPr="009442FD">
              <w:t>ata are available for all jurisdictions</w:t>
            </w:r>
            <w:r>
              <w:t>.</w:t>
            </w:r>
          </w:p>
        </w:tc>
      </w:tr>
      <w:tr w:rsidR="00337D3B" w14:paraId="39B43599" w14:textId="77777777" w:rsidTr="0061204D">
        <w:tc>
          <w:tcPr>
            <w:tcW w:w="5000" w:type="pct"/>
            <w:tcBorders>
              <w:top w:val="nil"/>
              <w:left w:val="nil"/>
              <w:bottom w:val="single" w:sz="6" w:space="0" w:color="78A22F"/>
              <w:right w:val="nil"/>
            </w:tcBorders>
            <w:shd w:val="clear" w:color="auto" w:fill="F2F2F2"/>
          </w:tcPr>
          <w:p w14:paraId="08B8EEF7" w14:textId="77777777" w:rsidR="00337D3B" w:rsidRDefault="00337D3B" w:rsidP="0061204D">
            <w:pPr>
              <w:pStyle w:val="Box"/>
              <w:spacing w:before="0" w:line="120" w:lineRule="exact"/>
            </w:pPr>
          </w:p>
        </w:tc>
      </w:tr>
      <w:tr w:rsidR="00337D3B" w:rsidRPr="000863A5" w14:paraId="2C05803E" w14:textId="77777777" w:rsidTr="0061204D">
        <w:tc>
          <w:tcPr>
            <w:tcW w:w="5000" w:type="pct"/>
            <w:tcBorders>
              <w:top w:val="single" w:sz="6" w:space="0" w:color="78A22F"/>
              <w:left w:val="nil"/>
              <w:bottom w:val="nil"/>
              <w:right w:val="nil"/>
            </w:tcBorders>
          </w:tcPr>
          <w:p w14:paraId="51790D71" w14:textId="449C095F" w:rsidR="00337D3B" w:rsidRPr="00626D32" w:rsidRDefault="00337D3B" w:rsidP="0061204D">
            <w:pPr>
              <w:pStyle w:val="BoxSpaceBelow"/>
            </w:pPr>
          </w:p>
        </w:tc>
      </w:tr>
    </w:tbl>
    <w:p w14:paraId="6A159C58" w14:textId="19B95533" w:rsidR="00337D3B" w:rsidRPr="00310AA4" w:rsidRDefault="00337D3B" w:rsidP="00310AA4">
      <w:pPr>
        <w:pStyle w:val="BodyText"/>
      </w:pPr>
      <w:r w:rsidRPr="00310AA4">
        <w:t>Figure 6.12</w:t>
      </w:r>
      <w:r w:rsidR="00316A29" w:rsidRPr="00310AA4">
        <w:t>(</w:t>
      </w:r>
      <w:r w:rsidRPr="00310AA4">
        <w:t>a</w:t>
      </w:r>
      <w:r w:rsidR="00316A29" w:rsidRPr="00310AA4">
        <w:t>)</w:t>
      </w:r>
      <w:r w:rsidRPr="00310AA4">
        <w:t xml:space="preserve"> presents the proportion of investigations finalised and for which proceedings had begun within 30 days of the offence becoming known to police for a range of </w:t>
      </w:r>
      <w:r w:rsidR="00156620">
        <w:t xml:space="preserve">personal offences. </w:t>
      </w:r>
      <w:r w:rsidRPr="00310AA4">
        <w:t>Figure 6.12</w:t>
      </w:r>
      <w:r w:rsidR="00316A29" w:rsidRPr="00310AA4">
        <w:t>(</w:t>
      </w:r>
      <w:r w:rsidRPr="00310AA4">
        <w:t>b</w:t>
      </w:r>
      <w:r w:rsidR="00316A29" w:rsidRPr="00310AA4">
        <w:t>)</w:t>
      </w:r>
      <w:r w:rsidRPr="00310AA4">
        <w:t xml:space="preserve"> presents the proportion of investigations finalised and for which proceedings had begun within 30 days of the offence becoming known to police for a range of property offences.  </w:t>
      </w:r>
    </w:p>
    <w:p w14:paraId="5A1BC34B" w14:textId="08C13C1B" w:rsidR="00337D3B" w:rsidRPr="00310AA4" w:rsidRDefault="00337D3B" w:rsidP="00310AA4">
      <w:pPr>
        <w:pStyle w:val="BodyText"/>
      </w:pPr>
      <w:r w:rsidRPr="00310AA4">
        <w:t xml:space="preserve">Data on the proportion of all investigations which were finalised within 30 days of the offence becoming known to police </w:t>
      </w:r>
      <w:r w:rsidR="00156620">
        <w:t>are presented in tables 6A.15 (personal offences) and 6A.16 (property offences</w:t>
      </w:r>
      <w:r w:rsidRPr="00310AA4">
        <w:t>).</w:t>
      </w:r>
    </w:p>
    <w:p w14:paraId="76200097" w14:textId="312049D2" w:rsidR="00337D3B" w:rsidRDefault="00337D3B" w:rsidP="00337D3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37D3B" w14:paraId="1E06E538" w14:textId="77777777" w:rsidTr="0061204D">
        <w:trPr>
          <w:tblHeader/>
        </w:trPr>
        <w:tc>
          <w:tcPr>
            <w:tcW w:w="5000" w:type="pct"/>
            <w:tcBorders>
              <w:top w:val="single" w:sz="6" w:space="0" w:color="78A22F"/>
              <w:left w:val="nil"/>
              <w:bottom w:val="nil"/>
              <w:right w:val="nil"/>
            </w:tcBorders>
            <w:shd w:val="clear" w:color="auto" w:fill="auto"/>
          </w:tcPr>
          <w:p w14:paraId="44C393B8" w14:textId="62165898" w:rsidR="00337D3B" w:rsidRPr="00176D3F" w:rsidRDefault="00337D3B" w:rsidP="00C74747">
            <w:pPr>
              <w:pStyle w:val="FigureTitle"/>
            </w:pPr>
            <w:r w:rsidRPr="00784A05">
              <w:rPr>
                <w:b w:val="0"/>
              </w:rPr>
              <w:t xml:space="preserve">Figure </w:t>
            </w:r>
            <w:r>
              <w:rPr>
                <w:b w:val="0"/>
              </w:rPr>
              <w:t>6.12</w:t>
            </w:r>
            <w:r>
              <w:tab/>
            </w:r>
            <w:r w:rsidR="00C74747">
              <w:t>I</w:t>
            </w:r>
            <w:r>
              <w:t>nvestigations finalised and for which proceedings had begun within 30 days of the offence becoming known to police, 2017</w:t>
            </w:r>
            <w:r w:rsidRPr="00E91298">
              <w:rPr>
                <w:rStyle w:val="NoteLabel"/>
                <w:b/>
              </w:rPr>
              <w:t>a</w:t>
            </w:r>
          </w:p>
        </w:tc>
      </w:tr>
      <w:tr w:rsidR="00337D3B" w14:paraId="1561685A" w14:textId="77777777" w:rsidTr="00C40348">
        <w:tblPrEx>
          <w:tblCellMar>
            <w:left w:w="108" w:type="dxa"/>
            <w:right w:w="108" w:type="dxa"/>
          </w:tblCellMar>
        </w:tblPrEx>
        <w:tc>
          <w:tcPr>
            <w:tcW w:w="5000" w:type="pct"/>
            <w:tcBorders>
              <w:top w:val="nil"/>
              <w:left w:val="nil"/>
              <w:bottom w:val="nil"/>
              <w:right w:val="nil"/>
            </w:tcBorders>
            <w:shd w:val="clear" w:color="auto" w:fill="auto"/>
          </w:tcPr>
          <w:tbl>
            <w:tblPr>
              <w:tblW w:w="8573" w:type="dxa"/>
              <w:jc w:val="center"/>
              <w:tblBorders>
                <w:top w:val="single" w:sz="6" w:space="0" w:color="FFC000" w:themeColor="accent4"/>
                <w:bottom w:val="single" w:sz="6" w:space="0" w:color="FFC000" w:themeColor="accent4"/>
              </w:tblBorders>
              <w:tblCellMar>
                <w:top w:w="28" w:type="dxa"/>
              </w:tblCellMar>
              <w:tblLook w:val="0000" w:firstRow="0" w:lastRow="0" w:firstColumn="0" w:lastColumn="0" w:noHBand="0" w:noVBand="0"/>
              <w:tblDescription w:val="Nested table used for design layout."/>
            </w:tblPr>
            <w:tblGrid>
              <w:gridCol w:w="8573"/>
            </w:tblGrid>
            <w:tr w:rsidR="006119B1" w:rsidRPr="00B1465D" w14:paraId="29EC14EF" w14:textId="77777777" w:rsidTr="006119B1">
              <w:trPr>
                <w:tblHeader/>
                <w:jc w:val="center"/>
              </w:trPr>
              <w:tc>
                <w:tcPr>
                  <w:tcW w:w="8573" w:type="dxa"/>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6119B1" w:rsidRPr="00636C3F" w14:paraId="454A1058" w14:textId="77777777" w:rsidTr="00AF3190">
                    <w:tc>
                      <w:tcPr>
                        <w:tcW w:w="304" w:type="dxa"/>
                        <w:tcBorders>
                          <w:top w:val="nil"/>
                          <w:left w:val="nil"/>
                          <w:bottom w:val="nil"/>
                          <w:right w:val="nil"/>
                        </w:tcBorders>
                        <w:shd w:val="clear" w:color="auto" w:fill="auto"/>
                        <w:tcMar>
                          <w:top w:w="28" w:type="dxa"/>
                          <w:bottom w:w="28" w:type="dxa"/>
                        </w:tcMar>
                      </w:tcPr>
                      <w:p w14:paraId="4746F27B" w14:textId="77777777" w:rsidR="006119B1" w:rsidRPr="00636C3F" w:rsidRDefault="006119B1" w:rsidP="006119B1">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07D12EF8" w14:textId="77777777" w:rsidR="006119B1" w:rsidRPr="00636C3F" w:rsidRDefault="006119B1" w:rsidP="006119B1">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7F038674" w14:textId="1D31E1E8" w:rsidR="006119B1" w:rsidRPr="00636C3F" w:rsidRDefault="006119B1" w:rsidP="00515F81">
                        <w:pPr>
                          <w:pStyle w:val="TableBodyText"/>
                          <w:jc w:val="left"/>
                        </w:pPr>
                        <w:r w:rsidRPr="00636C3F">
                          <w:t>Data are comparable (subject to caveats) across jurisdictions</w:t>
                        </w:r>
                        <w:r w:rsidR="00515F81">
                          <w:t>.</w:t>
                        </w:r>
                      </w:p>
                    </w:tc>
                  </w:tr>
                </w:tbl>
                <w:p w14:paraId="636B641A" w14:textId="77777777" w:rsidR="006119B1" w:rsidRPr="00530C2C" w:rsidRDefault="006119B1" w:rsidP="006119B1">
                  <w:pPr>
                    <w:pStyle w:val="TableBodyText"/>
                  </w:pPr>
                </w:p>
              </w:tc>
            </w:tr>
            <w:tr w:rsidR="006119B1" w:rsidRPr="00B1465D" w14:paraId="496E012A" w14:textId="77777777" w:rsidTr="006119B1">
              <w:trPr>
                <w:tblHeader/>
                <w:jc w:val="center"/>
              </w:trPr>
              <w:tc>
                <w:tcPr>
                  <w:tcW w:w="8573" w:type="dxa"/>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6119B1" w:rsidRPr="00636C3F" w14:paraId="78AB5EBE" w14:textId="77777777" w:rsidTr="00AF3190">
                    <w:tc>
                      <w:tcPr>
                        <w:tcW w:w="304" w:type="dxa"/>
                        <w:tcBorders>
                          <w:top w:val="nil"/>
                          <w:left w:val="nil"/>
                          <w:bottom w:val="nil"/>
                          <w:right w:val="nil"/>
                        </w:tcBorders>
                        <w:shd w:val="clear" w:color="auto" w:fill="auto"/>
                        <w:tcMar>
                          <w:top w:w="28" w:type="dxa"/>
                          <w:bottom w:w="28" w:type="dxa"/>
                        </w:tcMar>
                      </w:tcPr>
                      <w:p w14:paraId="4561D1B7" w14:textId="77777777" w:rsidR="006119B1" w:rsidRPr="00636C3F" w:rsidRDefault="006119B1" w:rsidP="006119B1">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54B739D6" w14:textId="77777777" w:rsidR="006119B1" w:rsidRPr="00636C3F" w:rsidRDefault="006119B1" w:rsidP="006119B1">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1432B736" w14:textId="4B51869C" w:rsidR="006119B1" w:rsidRPr="00636C3F" w:rsidRDefault="006119B1" w:rsidP="002B0C11">
                        <w:pPr>
                          <w:pStyle w:val="TableBodyText"/>
                          <w:jc w:val="left"/>
                        </w:pPr>
                        <w:r w:rsidRPr="00636C3F">
                          <w:t>Data ar</w:t>
                        </w:r>
                        <w:r w:rsidRPr="0036517B">
                          <w:t xml:space="preserve">e complete (subject to caveats) for the current reporting period. </w:t>
                        </w:r>
                      </w:p>
                    </w:tc>
                  </w:tr>
                </w:tbl>
                <w:p w14:paraId="479F6838" w14:textId="77777777" w:rsidR="006119B1" w:rsidRPr="00530C2C" w:rsidRDefault="006119B1" w:rsidP="006119B1">
                  <w:pPr>
                    <w:pStyle w:val="TableBodyText"/>
                  </w:pPr>
                </w:p>
              </w:tc>
            </w:tr>
            <w:tr w:rsidR="00337D3B" w:rsidRPr="00B1465D" w14:paraId="72AE6576" w14:textId="77777777" w:rsidTr="006119B1">
              <w:trPr>
                <w:tblHeader/>
                <w:jc w:val="center"/>
              </w:trPr>
              <w:tc>
                <w:tcPr>
                  <w:tcW w:w="8573" w:type="dxa"/>
                  <w:tcBorders>
                    <w:top w:val="nil"/>
                    <w:bottom w:val="nil"/>
                  </w:tcBorders>
                </w:tcPr>
                <w:p w14:paraId="099453FD" w14:textId="3E32CBEC" w:rsidR="00337D3B" w:rsidRPr="00530C2C" w:rsidRDefault="00156620" w:rsidP="0061204D">
                  <w:pPr>
                    <w:pStyle w:val="Figure"/>
                    <w:numPr>
                      <w:ilvl w:val="0"/>
                      <w:numId w:val="26"/>
                    </w:numPr>
                    <w:spacing w:before="60" w:after="60"/>
                    <w:rPr>
                      <w:rFonts w:ascii="Arial" w:hAnsi="Arial" w:cs="Arial"/>
                      <w:b/>
                      <w:sz w:val="18"/>
                      <w:szCs w:val="18"/>
                    </w:rPr>
                  </w:pPr>
                  <w:r>
                    <w:rPr>
                      <w:rFonts w:ascii="Arial" w:hAnsi="Arial" w:cs="Arial"/>
                      <w:b/>
                      <w:sz w:val="18"/>
                      <w:szCs w:val="18"/>
                    </w:rPr>
                    <w:t>Selected personal offences</w:t>
                  </w:r>
                  <w:r w:rsidR="00337D3B" w:rsidRPr="00C8495E">
                    <w:rPr>
                      <w:rStyle w:val="NoteLabel"/>
                    </w:rPr>
                    <w:t>b</w:t>
                  </w:r>
                </w:p>
                <w:p w14:paraId="1A66BEB2" w14:textId="1F30AC78" w:rsidR="00337D3B" w:rsidRPr="00B22479" w:rsidRDefault="009C4A0E" w:rsidP="0061204D">
                  <w:pPr>
                    <w:pStyle w:val="Figure"/>
                  </w:pPr>
                  <w:r>
                    <w:rPr>
                      <w:noProof/>
                    </w:rPr>
                    <w:drawing>
                      <wp:inline distT="0" distB="0" distL="0" distR="0" wp14:anchorId="0EBFB94D" wp14:editId="47507012">
                        <wp:extent cx="5407660" cy="2707005"/>
                        <wp:effectExtent l="0" t="0" r="2540" b="0"/>
                        <wp:docPr id="13" name="Picture 13" descr="Figure 6.12 Investigations finalised and for which proceedings had begun within 30 days of the offence becoming known to police, 2017&#10;&#10;(a) Selected personal offence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7660" cy="2707005"/>
                                </a:xfrm>
                                <a:prstGeom prst="rect">
                                  <a:avLst/>
                                </a:prstGeom>
                                <a:noFill/>
                              </pic:spPr>
                            </pic:pic>
                          </a:graphicData>
                        </a:graphic>
                      </wp:inline>
                    </w:drawing>
                  </w:r>
                </w:p>
              </w:tc>
            </w:tr>
          </w:tbl>
          <w:p w14:paraId="277765EA" w14:textId="3FAAA9EE" w:rsidR="00337D3B" w:rsidRPr="009C4A0E" w:rsidRDefault="00156620" w:rsidP="0061204D">
            <w:pPr>
              <w:pStyle w:val="Figure"/>
              <w:numPr>
                <w:ilvl w:val="0"/>
                <w:numId w:val="26"/>
              </w:numPr>
              <w:rPr>
                <w:rFonts w:ascii="Arial" w:hAnsi="Arial" w:cs="Arial"/>
                <w:b/>
                <w:sz w:val="18"/>
                <w:szCs w:val="18"/>
              </w:rPr>
            </w:pPr>
            <w:r>
              <w:rPr>
                <w:rFonts w:ascii="Arial" w:hAnsi="Arial" w:cs="Arial"/>
                <w:b/>
                <w:sz w:val="18"/>
                <w:szCs w:val="18"/>
              </w:rPr>
              <w:t>Selected property offences</w:t>
            </w:r>
          </w:p>
          <w:p w14:paraId="2A8D9A33" w14:textId="32DE3C1C" w:rsidR="00337D3B" w:rsidRPr="006C3C0B" w:rsidRDefault="006C3C0B" w:rsidP="006C3C0B">
            <w:pPr>
              <w:pStyle w:val="Figure"/>
            </w:pPr>
            <w:r>
              <w:rPr>
                <w:noProof/>
              </w:rPr>
              <w:drawing>
                <wp:inline distT="0" distB="0" distL="0" distR="0" wp14:anchorId="766FB651" wp14:editId="73E83B07">
                  <wp:extent cx="5407660" cy="2707005"/>
                  <wp:effectExtent l="0" t="0" r="2540" b="0"/>
                  <wp:docPr id="14" name="Picture 14" descr="Figure 6.12 Investigations finalised and for which proceedings had begun within 30 days of the offence becoming known to police, 2017&#10;&#10;(b) Selected property offence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7660" cy="2707005"/>
                          </a:xfrm>
                          <a:prstGeom prst="rect">
                            <a:avLst/>
                          </a:prstGeom>
                          <a:noFill/>
                        </pic:spPr>
                      </pic:pic>
                    </a:graphicData>
                  </a:graphic>
                </wp:inline>
              </w:drawing>
            </w:r>
          </w:p>
        </w:tc>
      </w:tr>
      <w:tr w:rsidR="00337D3B" w:rsidRPr="00176D3F" w14:paraId="23FEEA61" w14:textId="77777777" w:rsidTr="00C40348">
        <w:tc>
          <w:tcPr>
            <w:tcW w:w="5000" w:type="pct"/>
            <w:tcBorders>
              <w:top w:val="nil"/>
              <w:left w:val="nil"/>
              <w:bottom w:val="nil"/>
              <w:right w:val="nil"/>
            </w:tcBorders>
            <w:shd w:val="clear" w:color="auto" w:fill="auto"/>
          </w:tcPr>
          <w:p w14:paraId="54ED05A8" w14:textId="22C3516D" w:rsidR="00337D3B" w:rsidRPr="00176D3F" w:rsidRDefault="00337D3B" w:rsidP="00515F81">
            <w:pPr>
              <w:pStyle w:val="Note"/>
            </w:pPr>
            <w:r>
              <w:rPr>
                <w:rStyle w:val="NoteLabel"/>
              </w:rPr>
              <w:t>a</w:t>
            </w:r>
            <w:r>
              <w:t xml:space="preserve"> </w:t>
            </w:r>
            <w:r w:rsidRPr="00B60E2C">
              <w:t>See box 6.1</w:t>
            </w:r>
            <w:r w:rsidR="00CA43F4">
              <w:t>2</w:t>
            </w:r>
            <w:r w:rsidRPr="00B60E2C">
              <w:t xml:space="preserve"> and tables 6A.15-16 for detailed definitions, footnotes and cavea</w:t>
            </w:r>
            <w:r w:rsidR="00E93456">
              <w:t xml:space="preserve">ts. </w:t>
            </w:r>
            <w:r w:rsidRPr="00E93456">
              <w:rPr>
                <w:rStyle w:val="NoteLabel"/>
              </w:rPr>
              <w:t>b</w:t>
            </w:r>
            <w:r w:rsidR="00E93456">
              <w:t> </w:t>
            </w:r>
            <w:r w:rsidRPr="00E93456">
              <w:t xml:space="preserve">Data </w:t>
            </w:r>
            <w:r w:rsidRPr="00C40348">
              <w:t xml:space="preserve">for </w:t>
            </w:r>
            <w:r w:rsidR="00515F81">
              <w:t>‘I</w:t>
            </w:r>
            <w:r w:rsidR="00E93456" w:rsidRPr="00C40348">
              <w:t>nvestigation finalised - offender proceeded against</w:t>
            </w:r>
            <w:r w:rsidR="00515F81">
              <w:t xml:space="preserve">’ </w:t>
            </w:r>
            <w:r w:rsidR="00E93456" w:rsidRPr="00C40348">
              <w:t xml:space="preserve">for </w:t>
            </w:r>
            <w:r w:rsidRPr="00C40348">
              <w:t>Homicide and related offences are not published for NSW, Vic</w:t>
            </w:r>
            <w:r w:rsidR="00515F81">
              <w:t xml:space="preserve">toria, SA, Tasmania and the ACT. </w:t>
            </w:r>
            <w:r w:rsidRPr="00C40348">
              <w:t xml:space="preserve"> </w:t>
            </w:r>
          </w:p>
        </w:tc>
      </w:tr>
      <w:tr w:rsidR="00337D3B" w:rsidRPr="00176D3F" w14:paraId="0E9CD8F6" w14:textId="77777777" w:rsidTr="0061204D">
        <w:tc>
          <w:tcPr>
            <w:tcW w:w="5000" w:type="pct"/>
            <w:tcBorders>
              <w:top w:val="nil"/>
              <w:left w:val="nil"/>
              <w:bottom w:val="nil"/>
              <w:right w:val="nil"/>
            </w:tcBorders>
            <w:shd w:val="clear" w:color="auto" w:fill="auto"/>
          </w:tcPr>
          <w:p w14:paraId="057257BE" w14:textId="77777777" w:rsidR="00337D3B" w:rsidRPr="00176D3F" w:rsidRDefault="00337D3B" w:rsidP="0061204D">
            <w:pPr>
              <w:pStyle w:val="Source"/>
            </w:pPr>
            <w:r>
              <w:rPr>
                <w:i/>
              </w:rPr>
              <w:t>S</w:t>
            </w:r>
            <w:r w:rsidRPr="00784A05">
              <w:rPr>
                <w:i/>
              </w:rPr>
              <w:t>ource</w:t>
            </w:r>
            <w:r w:rsidRPr="00176D3F">
              <w:t xml:space="preserve">: </w:t>
            </w:r>
            <w:r w:rsidRPr="00AD168F">
              <w:rPr>
                <w:sz w:val="17"/>
              </w:rPr>
              <w:t>ABS (201</w:t>
            </w:r>
            <w:r>
              <w:rPr>
                <w:sz w:val="17"/>
              </w:rPr>
              <w:t>8</w:t>
            </w:r>
            <w:r w:rsidRPr="00AD168F">
              <w:rPr>
                <w:sz w:val="17"/>
              </w:rPr>
              <w:t>)</w:t>
            </w:r>
            <w:r>
              <w:rPr>
                <w:sz w:val="17"/>
              </w:rPr>
              <w:t xml:space="preserve"> </w:t>
            </w:r>
            <w:r>
              <w:rPr>
                <w:i/>
                <w:sz w:val="17"/>
              </w:rPr>
              <w:t>Recorded Crime – Victims 2017</w:t>
            </w:r>
            <w:r w:rsidRPr="00AD168F">
              <w:rPr>
                <w:sz w:val="17"/>
              </w:rPr>
              <w:t>, Cat. no. 4510.0; tables 6A.15-16.</w:t>
            </w:r>
          </w:p>
        </w:tc>
      </w:tr>
      <w:tr w:rsidR="00337D3B" w14:paraId="44CD10E6" w14:textId="77777777" w:rsidTr="0061204D">
        <w:tc>
          <w:tcPr>
            <w:tcW w:w="5000" w:type="pct"/>
            <w:tcBorders>
              <w:top w:val="nil"/>
              <w:left w:val="nil"/>
              <w:bottom w:val="single" w:sz="6" w:space="0" w:color="78A22F"/>
              <w:right w:val="nil"/>
            </w:tcBorders>
            <w:shd w:val="clear" w:color="auto" w:fill="auto"/>
          </w:tcPr>
          <w:p w14:paraId="323C0D0A" w14:textId="77777777" w:rsidR="00337D3B" w:rsidRDefault="00337D3B" w:rsidP="0061204D">
            <w:pPr>
              <w:pStyle w:val="Figurespace"/>
            </w:pPr>
          </w:p>
        </w:tc>
      </w:tr>
      <w:tr w:rsidR="00337D3B" w:rsidRPr="000863A5" w14:paraId="5AFBB32C" w14:textId="77777777" w:rsidTr="0061204D">
        <w:tc>
          <w:tcPr>
            <w:tcW w:w="5000" w:type="pct"/>
            <w:tcBorders>
              <w:top w:val="single" w:sz="6" w:space="0" w:color="78A22F"/>
              <w:left w:val="nil"/>
              <w:bottom w:val="nil"/>
              <w:right w:val="nil"/>
            </w:tcBorders>
          </w:tcPr>
          <w:p w14:paraId="0A0E2059" w14:textId="3EBCBBA1" w:rsidR="00337D3B" w:rsidRPr="00626D32" w:rsidRDefault="00337D3B" w:rsidP="0061204D">
            <w:pPr>
              <w:pStyle w:val="BoxSpaceBelow"/>
            </w:pPr>
          </w:p>
        </w:tc>
      </w:tr>
    </w:tbl>
    <w:p w14:paraId="05158BB6" w14:textId="77777777" w:rsidR="00337D3B" w:rsidRPr="00310AA4" w:rsidRDefault="00337D3B" w:rsidP="00310AA4">
      <w:pPr>
        <w:pStyle w:val="Heading3"/>
      </w:pPr>
      <w:r w:rsidRPr="00310AA4">
        <w:lastRenderedPageBreak/>
        <w:t>Efficiency</w:t>
      </w:r>
    </w:p>
    <w:p w14:paraId="269D67BC" w14:textId="2566546A" w:rsidR="00337D3B" w:rsidRPr="00310AA4" w:rsidRDefault="00131244" w:rsidP="00310AA4">
      <w:pPr>
        <w:pStyle w:val="Heading4"/>
      </w:pPr>
      <w:r w:rsidRPr="00310AA4">
        <w:t xml:space="preserve">Expenditure </w:t>
      </w:r>
      <w:r w:rsidR="00337D3B" w:rsidRPr="00310AA4">
        <w:t>per person</w:t>
      </w:r>
    </w:p>
    <w:p w14:paraId="7FA16DFC" w14:textId="47D937F9" w:rsidR="00337D3B" w:rsidRPr="00310AA4" w:rsidRDefault="00337D3B" w:rsidP="00310AA4">
      <w:pPr>
        <w:pStyle w:val="BodyText"/>
      </w:pPr>
      <w:r w:rsidRPr="00310AA4">
        <w:t>‘</w:t>
      </w:r>
      <w:r w:rsidR="00131244" w:rsidRPr="00310AA4">
        <w:t>Expenditure per person</w:t>
      </w:r>
      <w:r w:rsidRPr="00310AA4">
        <w:t>’ is a proxy indicator of governments’ objective of providing police services in an efficient manner (box 6.1</w:t>
      </w:r>
      <w:r w:rsidR="00CA43F4" w:rsidRPr="00310AA4">
        <w:t>3</w:t>
      </w:r>
      <w:r w:rsidRPr="00310AA4">
        <w:t>).</w:t>
      </w:r>
    </w:p>
    <w:p w14:paraId="6F0562D1" w14:textId="6976EE1F" w:rsidR="00337D3B" w:rsidRDefault="00337D3B" w:rsidP="00337D3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37D3B" w14:paraId="4E0BA0D8" w14:textId="77777777" w:rsidTr="0061204D">
        <w:trPr>
          <w:tblHeader/>
        </w:trPr>
        <w:tc>
          <w:tcPr>
            <w:tcW w:w="5000" w:type="pct"/>
            <w:tcBorders>
              <w:top w:val="single" w:sz="6" w:space="0" w:color="78A22F"/>
              <w:left w:val="nil"/>
              <w:bottom w:val="nil"/>
              <w:right w:val="nil"/>
            </w:tcBorders>
            <w:shd w:val="clear" w:color="auto" w:fill="F2F2F2"/>
          </w:tcPr>
          <w:p w14:paraId="3CACD8F2" w14:textId="3881AEA9" w:rsidR="00337D3B" w:rsidRDefault="00337D3B" w:rsidP="00CA43F4">
            <w:pPr>
              <w:pStyle w:val="BoxTitle"/>
            </w:pPr>
            <w:r>
              <w:rPr>
                <w:b w:val="0"/>
              </w:rPr>
              <w:t>Box 6.</w:t>
            </w:r>
            <w:r w:rsidR="00CA43F4">
              <w:rPr>
                <w:b w:val="0"/>
              </w:rPr>
              <w:t>13</w:t>
            </w:r>
            <w:r>
              <w:tab/>
            </w:r>
            <w:r w:rsidR="00131244">
              <w:t xml:space="preserve">Expenditure </w:t>
            </w:r>
            <w:r>
              <w:t>per person</w:t>
            </w:r>
          </w:p>
        </w:tc>
      </w:tr>
      <w:tr w:rsidR="00337D3B" w14:paraId="75E58EF3" w14:textId="77777777" w:rsidTr="0061204D">
        <w:tc>
          <w:tcPr>
            <w:tcW w:w="5000" w:type="pct"/>
            <w:tcBorders>
              <w:top w:val="nil"/>
              <w:left w:val="nil"/>
              <w:bottom w:val="nil"/>
              <w:right w:val="nil"/>
            </w:tcBorders>
            <w:shd w:val="clear" w:color="auto" w:fill="F2F2F2"/>
          </w:tcPr>
          <w:p w14:paraId="2F264BA5" w14:textId="46D620EC" w:rsidR="00337D3B" w:rsidRDefault="00337D3B" w:rsidP="0061204D">
            <w:pPr>
              <w:pStyle w:val="Box"/>
            </w:pPr>
            <w:r>
              <w:t>‘</w:t>
            </w:r>
            <w:r w:rsidR="00131244">
              <w:t>Expenditure p</w:t>
            </w:r>
            <w:r>
              <w:t xml:space="preserve">er person’ is defined as </w:t>
            </w:r>
            <w:r w:rsidR="00DA6684">
              <w:t xml:space="preserve">real </w:t>
            </w:r>
            <w:r>
              <w:t xml:space="preserve">recurrent expenditure on policing per person in the population. </w:t>
            </w:r>
          </w:p>
          <w:p w14:paraId="6B30D63A" w14:textId="77777777" w:rsidR="00337D3B" w:rsidRDefault="00337D3B" w:rsidP="0061204D">
            <w:pPr>
              <w:pStyle w:val="Box"/>
            </w:pPr>
            <w:r>
              <w:t xml:space="preserve">All else being equal, a low or decreasing expenditure per person is desirable. However, efficiency data should be interpreted with care. High or increasing expenditure per person might reflect poor efficiency, but may also reflect changing aspects of the service or policing environment. Low </w:t>
            </w:r>
            <w:r w:rsidRPr="00A32CCE">
              <w:t>expenditure per person may reflect more efficient outcomes or lower quality or less challenging crime and safety situations. The scope of activities undertaken by police services also varies across jurisdictions.</w:t>
            </w:r>
          </w:p>
          <w:p w14:paraId="4B974E61" w14:textId="77777777" w:rsidR="00337D3B" w:rsidRDefault="00337D3B" w:rsidP="0061204D">
            <w:pPr>
              <w:pStyle w:val="Box"/>
            </w:pPr>
            <w:r>
              <w:t>Data reported for this measure are:</w:t>
            </w:r>
          </w:p>
          <w:p w14:paraId="06A6BAE1" w14:textId="0D2F51FA" w:rsidR="00337D3B" w:rsidRPr="009442FD" w:rsidRDefault="00337D3B" w:rsidP="006119B1">
            <w:pPr>
              <w:pStyle w:val="BoxListBullet"/>
              <w:numPr>
                <w:ilvl w:val="0"/>
                <w:numId w:val="0"/>
              </w:numPr>
              <w:ind w:left="284"/>
            </w:pPr>
            <w:r w:rsidRPr="009273A9">
              <w:rPr>
                <w:shd w:val="clear" w:color="auto" w:fill="F15A25"/>
              </w:rPr>
              <w:t xml:space="preserve">    </w:t>
            </w:r>
            <w:r>
              <w:t xml:space="preserve"> </w:t>
            </w:r>
            <w:r w:rsidRPr="009442FD">
              <w:t>comparable (subject to caveats) acr</w:t>
            </w:r>
            <w:r w:rsidR="00F678A8">
              <w:t>oss jurisdictions and over time</w:t>
            </w:r>
          </w:p>
          <w:p w14:paraId="455C02D5" w14:textId="77777777" w:rsidR="00337D3B" w:rsidRDefault="00337D3B" w:rsidP="006119B1">
            <w:pPr>
              <w:pStyle w:val="BoxListBullet"/>
              <w:numPr>
                <w:ilvl w:val="0"/>
                <w:numId w:val="0"/>
              </w:numPr>
              <w:ind w:left="284"/>
            </w:pPr>
            <w:r w:rsidRPr="009273A9">
              <w:rPr>
                <w:shd w:val="clear" w:color="auto" w:fill="F15A25"/>
              </w:rPr>
              <w:t xml:space="preserve">    </w:t>
            </w:r>
            <w:r>
              <w:t xml:space="preserve"> </w:t>
            </w:r>
            <w:r w:rsidRPr="009442FD">
              <w:t>complete (subject to caveats)</w:t>
            </w:r>
            <w:r>
              <w:t xml:space="preserve"> </w:t>
            </w:r>
            <w:r w:rsidRPr="009442FD">
              <w:t xml:space="preserve">for the current reporting period. All required </w:t>
            </w:r>
            <w:r>
              <w:t xml:space="preserve">2017-18 </w:t>
            </w:r>
            <w:r w:rsidRPr="009442FD">
              <w:t>data are available for all jurisdictions</w:t>
            </w:r>
            <w:r>
              <w:t>.</w:t>
            </w:r>
          </w:p>
        </w:tc>
      </w:tr>
      <w:tr w:rsidR="00337D3B" w14:paraId="4E7CA4E2" w14:textId="77777777" w:rsidTr="0061204D">
        <w:tc>
          <w:tcPr>
            <w:tcW w:w="5000" w:type="pct"/>
            <w:tcBorders>
              <w:top w:val="nil"/>
              <w:left w:val="nil"/>
              <w:bottom w:val="single" w:sz="6" w:space="0" w:color="78A22F"/>
              <w:right w:val="nil"/>
            </w:tcBorders>
            <w:shd w:val="clear" w:color="auto" w:fill="F2F2F2"/>
          </w:tcPr>
          <w:p w14:paraId="02A9FDDC" w14:textId="77777777" w:rsidR="00337D3B" w:rsidRDefault="00337D3B" w:rsidP="0061204D">
            <w:pPr>
              <w:pStyle w:val="Box"/>
              <w:spacing w:before="0" w:line="120" w:lineRule="exact"/>
            </w:pPr>
          </w:p>
        </w:tc>
      </w:tr>
      <w:tr w:rsidR="00337D3B" w:rsidRPr="000863A5" w14:paraId="69D175E8" w14:textId="77777777" w:rsidTr="0061204D">
        <w:tc>
          <w:tcPr>
            <w:tcW w:w="5000" w:type="pct"/>
            <w:tcBorders>
              <w:top w:val="single" w:sz="6" w:space="0" w:color="78A22F"/>
              <w:left w:val="nil"/>
              <w:bottom w:val="nil"/>
              <w:right w:val="nil"/>
            </w:tcBorders>
          </w:tcPr>
          <w:p w14:paraId="1ECE4248" w14:textId="129A04EA" w:rsidR="00337D3B" w:rsidRPr="00626D32" w:rsidRDefault="00337D3B" w:rsidP="0061204D">
            <w:pPr>
              <w:pStyle w:val="BoxSpaceBelow"/>
            </w:pPr>
          </w:p>
        </w:tc>
      </w:tr>
    </w:tbl>
    <w:p w14:paraId="23A53680" w14:textId="1FB9D1F5" w:rsidR="00337D3B" w:rsidRDefault="00337D3B" w:rsidP="00310AA4">
      <w:pPr>
        <w:pStyle w:val="BodyText"/>
      </w:pPr>
      <w:r w:rsidRPr="00310AA4">
        <w:t xml:space="preserve">Nationally in 2017-18, </w:t>
      </w:r>
      <w:r w:rsidR="00DA6684">
        <w:t xml:space="preserve">real </w:t>
      </w:r>
      <w:r w:rsidRPr="00310AA4">
        <w:t>recurrent expenditure on policing was $469.2</w:t>
      </w:r>
      <w:r w:rsidR="006111D2" w:rsidRPr="00310AA4">
        <w:t>0</w:t>
      </w:r>
      <w:r w:rsidRPr="00310AA4">
        <w:t xml:space="preserve"> per person (figure 6.13).</w:t>
      </w:r>
    </w:p>
    <w:p w14:paraId="2C99739B" w14:textId="15F4C306" w:rsidR="009B02A3" w:rsidRDefault="009B02A3">
      <w:pPr>
        <w:spacing w:after="160" w:line="259" w:lineRule="auto"/>
        <w:rPr>
          <w:szCs w:val="20"/>
        </w:rPr>
      </w:pPr>
      <w:r>
        <w:br w:type="page"/>
      </w:r>
    </w:p>
    <w:p w14:paraId="7881F4CE" w14:textId="7F406111" w:rsidR="009B02A3" w:rsidRPr="009B02A3" w:rsidRDefault="009B02A3" w:rsidP="009B02A3">
      <w:pPr>
        <w:pStyle w:val="BodyText"/>
        <w:spacing w:after="240"/>
        <w:rPr>
          <w:sz w:val="20"/>
        </w:rPr>
      </w:pPr>
      <w:r w:rsidRPr="009B02A3">
        <w:rPr>
          <w:sz w:val="20"/>
        </w:rPr>
        <w:lastRenderedPageBreak/>
        <w:t xml:space="preserve">This figure has been changed since an earlier version of the Report. See errata at </w:t>
      </w:r>
      <w:r w:rsidR="00491AD0" w:rsidRPr="00491AD0">
        <w:rPr>
          <w:sz w:val="20"/>
        </w:rPr>
        <w:t>http://</w:t>
      </w:r>
      <w:proofErr w:type="spellStart"/>
      <w:r w:rsidR="00491AD0" w:rsidRPr="00491AD0">
        <w:rPr>
          <w:sz w:val="20"/>
        </w:rPr>
        <w:t>www.pc.gov.au</w:t>
      </w:r>
      <w:proofErr w:type="spellEnd"/>
      <w:r w:rsidR="00491AD0" w:rsidRPr="00491AD0">
        <w:rPr>
          <w:sz w:val="20"/>
        </w:rPr>
        <w:t>/ research/ongiong/report-on-government-services/2019/justice/police-services</w:t>
      </w:r>
      <w:bookmarkStart w:id="3" w:name="_GoBack"/>
      <w:bookmarkEnd w:id="3"/>
      <w:r w:rsidR="00491AD0">
        <w:rPr>
          <w:rStyle w:val="Hyperlink"/>
          <w:sz w:val="20"/>
        </w:rPr>
        <w:t xml:space="preserve"> </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22364" w14:paraId="77E086F0" w14:textId="77777777" w:rsidTr="00AF3190">
        <w:trPr>
          <w:tblHeader/>
        </w:trPr>
        <w:tc>
          <w:tcPr>
            <w:tcW w:w="5000" w:type="pct"/>
            <w:tcBorders>
              <w:top w:val="single" w:sz="6" w:space="0" w:color="78A22F"/>
              <w:left w:val="nil"/>
              <w:bottom w:val="nil"/>
              <w:right w:val="nil"/>
            </w:tcBorders>
            <w:shd w:val="clear" w:color="auto" w:fill="auto"/>
          </w:tcPr>
          <w:p w14:paraId="181EFD1A" w14:textId="77777777" w:rsidR="00922364" w:rsidRPr="00176D3F" w:rsidRDefault="00922364" w:rsidP="00793101">
            <w:pPr>
              <w:pStyle w:val="FigureTitle"/>
            </w:pPr>
            <w:r w:rsidRPr="00784A05">
              <w:rPr>
                <w:b w:val="0"/>
              </w:rPr>
              <w:t xml:space="preserve">Figure </w:t>
            </w:r>
            <w:r w:rsidR="00793101">
              <w:rPr>
                <w:b w:val="0"/>
              </w:rPr>
              <w:t>6.13</w:t>
            </w:r>
            <w:r>
              <w:tab/>
            </w:r>
            <w:r w:rsidR="00793101">
              <w:t>Re</w:t>
            </w:r>
            <w:r w:rsidR="00DA6684">
              <w:t>al re</w:t>
            </w:r>
            <w:r w:rsidR="00793101">
              <w:t>current expenditure per person (including user cost of capital less revenue from own sources and payroll tax) (2017</w:t>
            </w:r>
            <w:r w:rsidR="00793101">
              <w:noBreakHyphen/>
              <w:t>18 dollars)</w:t>
            </w:r>
            <w:r w:rsidR="00793101" w:rsidRPr="00793101">
              <w:rPr>
                <w:rStyle w:val="NoteLabel"/>
                <w:b/>
              </w:rPr>
              <w:t>a</w:t>
            </w:r>
          </w:p>
        </w:tc>
      </w:tr>
      <w:tr w:rsidR="00922364" w14:paraId="50C5FBDA" w14:textId="77777777" w:rsidTr="00AF319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FC000" w:themeColor="accent4"/>
                <w:bottom w:val="single" w:sz="6" w:space="0" w:color="FFC000"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922364" w:rsidRPr="00B1465D" w14:paraId="233CFDA4" w14:textId="77777777" w:rsidTr="00AF3190">
              <w:trPr>
                <w:tblHeader/>
                <w:jc w:val="center"/>
              </w:trPr>
              <w:tc>
                <w:tcPr>
                  <w:tcW w:w="5000" w:type="pct"/>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922364" w:rsidRPr="00636C3F" w14:paraId="74DE130A" w14:textId="77777777" w:rsidTr="00AF3190">
                    <w:tc>
                      <w:tcPr>
                        <w:tcW w:w="304" w:type="dxa"/>
                        <w:tcBorders>
                          <w:top w:val="nil"/>
                          <w:left w:val="nil"/>
                          <w:bottom w:val="nil"/>
                          <w:right w:val="nil"/>
                        </w:tcBorders>
                        <w:shd w:val="clear" w:color="auto" w:fill="auto"/>
                        <w:tcMar>
                          <w:top w:w="28" w:type="dxa"/>
                          <w:bottom w:w="28" w:type="dxa"/>
                        </w:tcMar>
                      </w:tcPr>
                      <w:p w14:paraId="425E754F" w14:textId="77777777" w:rsidR="00922364" w:rsidRPr="00636C3F" w:rsidRDefault="00922364" w:rsidP="00922364">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3CC737D5" w14:textId="77777777" w:rsidR="00922364" w:rsidRPr="00636C3F" w:rsidRDefault="00922364" w:rsidP="00922364">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41B5C1F1" w14:textId="77777777" w:rsidR="00922364" w:rsidRPr="00636C3F" w:rsidRDefault="00922364" w:rsidP="00922364">
                        <w:pPr>
                          <w:pStyle w:val="TableBodyText"/>
                          <w:jc w:val="left"/>
                        </w:pPr>
                        <w:r w:rsidRPr="00636C3F">
                          <w:t>Data are comparable (subject to caveats) across jurisdictions and over time.</w:t>
                        </w:r>
                      </w:p>
                    </w:tc>
                  </w:tr>
                </w:tbl>
                <w:p w14:paraId="01FB5D75" w14:textId="77777777" w:rsidR="00922364" w:rsidRPr="00B1465D" w:rsidRDefault="00922364" w:rsidP="00922364">
                  <w:pPr>
                    <w:pStyle w:val="Figure"/>
                    <w:spacing w:before="60" w:after="60"/>
                    <w:rPr>
                      <w:rFonts w:ascii="Arial" w:hAnsi="Arial" w:cs="Arial"/>
                      <w:sz w:val="18"/>
                      <w:szCs w:val="18"/>
                    </w:rPr>
                  </w:pPr>
                </w:p>
              </w:tc>
            </w:tr>
            <w:tr w:rsidR="00922364" w:rsidRPr="00B1465D" w14:paraId="4FD38547" w14:textId="77777777" w:rsidTr="00AF3190">
              <w:trPr>
                <w:tblHeader/>
                <w:jc w:val="center"/>
              </w:trPr>
              <w:tc>
                <w:tcPr>
                  <w:tcW w:w="5000" w:type="pct"/>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922364" w:rsidRPr="00636C3F" w14:paraId="0B080BDA" w14:textId="77777777" w:rsidTr="00AF3190">
                    <w:tc>
                      <w:tcPr>
                        <w:tcW w:w="304" w:type="dxa"/>
                        <w:tcBorders>
                          <w:top w:val="nil"/>
                          <w:left w:val="nil"/>
                          <w:bottom w:val="nil"/>
                          <w:right w:val="nil"/>
                        </w:tcBorders>
                        <w:shd w:val="clear" w:color="auto" w:fill="auto"/>
                        <w:tcMar>
                          <w:top w:w="28" w:type="dxa"/>
                          <w:bottom w:w="28" w:type="dxa"/>
                        </w:tcMar>
                      </w:tcPr>
                      <w:p w14:paraId="068D5455" w14:textId="77777777" w:rsidR="00922364" w:rsidRPr="00636C3F" w:rsidRDefault="00922364" w:rsidP="00922364">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76E8F15B" w14:textId="77777777" w:rsidR="00922364" w:rsidRPr="00636C3F" w:rsidRDefault="00922364" w:rsidP="00922364">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61801DE7" w14:textId="010948BC" w:rsidR="00922364" w:rsidRPr="00922364" w:rsidRDefault="00922364" w:rsidP="002B0C11">
                        <w:pPr>
                          <w:pStyle w:val="TableBodyText"/>
                          <w:jc w:val="left"/>
                        </w:pPr>
                        <w:r w:rsidRPr="00922364">
                          <w:t>Data are complete (subject to caveats) fo</w:t>
                        </w:r>
                        <w:r w:rsidR="002B0C11">
                          <w:t>r the current reporting period.</w:t>
                        </w:r>
                      </w:p>
                    </w:tc>
                  </w:tr>
                </w:tbl>
                <w:p w14:paraId="1C0D932A" w14:textId="77777777" w:rsidR="00922364" w:rsidRPr="00B1465D" w:rsidRDefault="00922364" w:rsidP="00922364">
                  <w:pPr>
                    <w:pStyle w:val="Figure"/>
                    <w:spacing w:before="60" w:after="60"/>
                    <w:rPr>
                      <w:rFonts w:ascii="Arial" w:hAnsi="Arial" w:cs="Arial"/>
                      <w:sz w:val="18"/>
                      <w:szCs w:val="18"/>
                    </w:rPr>
                  </w:pPr>
                </w:p>
              </w:tc>
            </w:tr>
            <w:tr w:rsidR="00922364" w:rsidRPr="00B1465D" w14:paraId="1C8781EC" w14:textId="77777777" w:rsidTr="00AF3190">
              <w:trPr>
                <w:tblHeader/>
                <w:jc w:val="center"/>
              </w:trPr>
              <w:tc>
                <w:tcPr>
                  <w:tcW w:w="5000" w:type="pct"/>
                  <w:tcBorders>
                    <w:top w:val="nil"/>
                    <w:bottom w:val="nil"/>
                  </w:tcBorders>
                </w:tcPr>
                <w:p w14:paraId="7BA5A3BD" w14:textId="78A476E4" w:rsidR="00922364" w:rsidRPr="00793101" w:rsidRDefault="00897DAB" w:rsidP="00793101">
                  <w:pPr>
                    <w:pStyle w:val="Figure"/>
                  </w:pPr>
                  <w:r>
                    <w:rPr>
                      <w:noProof/>
                    </w:rPr>
                    <w:drawing>
                      <wp:inline distT="0" distB="0" distL="0" distR="0" wp14:anchorId="73A6A162" wp14:editId="353A4D9C">
                        <wp:extent cx="5407660" cy="2707005"/>
                        <wp:effectExtent l="0" t="0" r="2540" b="0"/>
                        <wp:docPr id="2" name="Picture 2" descr="Figure 6.13 Real recurrent expenditure per person (including user cost of capital less revenue from own sources and payroll tax) (2017-18 dollar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7660" cy="2707005"/>
                                </a:xfrm>
                                <a:prstGeom prst="rect">
                                  <a:avLst/>
                                </a:prstGeom>
                                <a:noFill/>
                              </pic:spPr>
                            </pic:pic>
                          </a:graphicData>
                        </a:graphic>
                      </wp:inline>
                    </w:drawing>
                  </w:r>
                </w:p>
              </w:tc>
            </w:tr>
          </w:tbl>
          <w:p w14:paraId="159002BE" w14:textId="77777777" w:rsidR="00922364" w:rsidRDefault="00922364" w:rsidP="00AF3190">
            <w:pPr>
              <w:pStyle w:val="Figure"/>
            </w:pPr>
          </w:p>
        </w:tc>
      </w:tr>
      <w:tr w:rsidR="00922364" w:rsidRPr="00176D3F" w14:paraId="1A46EA37" w14:textId="77777777" w:rsidTr="00AF3190">
        <w:tc>
          <w:tcPr>
            <w:tcW w:w="5000" w:type="pct"/>
            <w:tcBorders>
              <w:top w:val="nil"/>
              <w:left w:val="nil"/>
              <w:bottom w:val="nil"/>
              <w:right w:val="nil"/>
            </w:tcBorders>
            <w:shd w:val="clear" w:color="auto" w:fill="auto"/>
          </w:tcPr>
          <w:p w14:paraId="565BC950" w14:textId="63E659C1" w:rsidR="00922364" w:rsidRPr="00176D3F" w:rsidRDefault="00922364" w:rsidP="007E5ACD">
            <w:pPr>
              <w:pStyle w:val="Note"/>
            </w:pPr>
            <w:r>
              <w:rPr>
                <w:rStyle w:val="NoteLabel"/>
              </w:rPr>
              <w:t>a</w:t>
            </w:r>
            <w:r>
              <w:t xml:space="preserve"> </w:t>
            </w:r>
            <w:r w:rsidR="00793101">
              <w:t>See box 6.1</w:t>
            </w:r>
            <w:r w:rsidR="00CA43F4">
              <w:t>3</w:t>
            </w:r>
            <w:r w:rsidR="00793101" w:rsidRPr="00C602B2">
              <w:t xml:space="preserve"> and </w:t>
            </w:r>
            <w:r w:rsidR="00793101">
              <w:t>table</w:t>
            </w:r>
            <w:r w:rsidR="00793101" w:rsidRPr="00746DD7">
              <w:t xml:space="preserve"> </w:t>
            </w:r>
            <w:r w:rsidR="00793101" w:rsidRPr="0096336D">
              <w:t>6A.</w:t>
            </w:r>
            <w:r w:rsidR="00793101">
              <w:t xml:space="preserve">1 </w:t>
            </w:r>
            <w:r w:rsidR="00793101" w:rsidRPr="00C602B2">
              <w:t>for detailed definitions, footnotes and caveats</w:t>
            </w:r>
            <w:r w:rsidR="00793101">
              <w:t>.</w:t>
            </w:r>
          </w:p>
        </w:tc>
      </w:tr>
      <w:tr w:rsidR="00922364" w:rsidRPr="00176D3F" w14:paraId="22B2C15D" w14:textId="77777777" w:rsidTr="00AF3190">
        <w:tc>
          <w:tcPr>
            <w:tcW w:w="5000" w:type="pct"/>
            <w:tcBorders>
              <w:top w:val="nil"/>
              <w:left w:val="nil"/>
              <w:bottom w:val="nil"/>
              <w:right w:val="nil"/>
            </w:tcBorders>
            <w:shd w:val="clear" w:color="auto" w:fill="auto"/>
          </w:tcPr>
          <w:p w14:paraId="2D9405E4" w14:textId="799CC7C4" w:rsidR="00922364" w:rsidRPr="00176D3F" w:rsidRDefault="00793101" w:rsidP="00AF3190">
            <w:pPr>
              <w:pStyle w:val="Source"/>
            </w:pPr>
            <w:r>
              <w:rPr>
                <w:i/>
              </w:rPr>
              <w:t>S</w:t>
            </w:r>
            <w:r w:rsidRPr="00784A05">
              <w:rPr>
                <w:i/>
              </w:rPr>
              <w:t>ource</w:t>
            </w:r>
            <w:r w:rsidRPr="00176D3F">
              <w:t xml:space="preserve">: </w:t>
            </w:r>
            <w:r>
              <w:t>State and Territory governments (unpublished); table 6A.1</w:t>
            </w:r>
            <w:r w:rsidRPr="008C6027">
              <w:t>.</w:t>
            </w:r>
          </w:p>
        </w:tc>
      </w:tr>
      <w:tr w:rsidR="00922364" w14:paraId="210876C5" w14:textId="77777777" w:rsidTr="00AF3190">
        <w:tc>
          <w:tcPr>
            <w:tcW w:w="5000" w:type="pct"/>
            <w:tcBorders>
              <w:top w:val="nil"/>
              <w:left w:val="nil"/>
              <w:bottom w:val="single" w:sz="6" w:space="0" w:color="78A22F"/>
              <w:right w:val="nil"/>
            </w:tcBorders>
            <w:shd w:val="clear" w:color="auto" w:fill="auto"/>
          </w:tcPr>
          <w:p w14:paraId="3EB0D5D7" w14:textId="77777777" w:rsidR="00922364" w:rsidRDefault="00922364" w:rsidP="00AF3190">
            <w:pPr>
              <w:pStyle w:val="Figurespace"/>
            </w:pPr>
          </w:p>
        </w:tc>
      </w:tr>
      <w:tr w:rsidR="00922364" w:rsidRPr="000863A5" w14:paraId="76E88F4D" w14:textId="77777777" w:rsidTr="00AF3190">
        <w:tc>
          <w:tcPr>
            <w:tcW w:w="5000" w:type="pct"/>
            <w:tcBorders>
              <w:top w:val="single" w:sz="6" w:space="0" w:color="78A22F"/>
              <w:left w:val="nil"/>
              <w:bottom w:val="nil"/>
              <w:right w:val="nil"/>
            </w:tcBorders>
          </w:tcPr>
          <w:p w14:paraId="5CC118FD" w14:textId="5F197737" w:rsidR="00922364" w:rsidRPr="00626D32" w:rsidRDefault="00922364" w:rsidP="00AF3190">
            <w:pPr>
              <w:pStyle w:val="BoxSpaceBelow"/>
            </w:pPr>
          </w:p>
        </w:tc>
      </w:tr>
    </w:tbl>
    <w:p w14:paraId="1172C4B6" w14:textId="77777777" w:rsidR="00D40297" w:rsidRDefault="00337D3B" w:rsidP="00337D3B">
      <w:pPr>
        <w:pStyle w:val="BodyText"/>
      </w:pPr>
      <w:r w:rsidRPr="00AC3549">
        <w:t>Time series data for real recurrent expenditure by each jurisdiction are reported in table</w:t>
      </w:r>
      <w:r>
        <w:t xml:space="preserve"> </w:t>
      </w:r>
      <w:r w:rsidRPr="00AC3549">
        <w:t>6A.</w:t>
      </w:r>
      <w:r>
        <w:t xml:space="preserve">1. </w:t>
      </w:r>
    </w:p>
    <w:p w14:paraId="4DA8FB94" w14:textId="0E7F5AF0" w:rsidR="00337D3B" w:rsidRDefault="00337D3B" w:rsidP="00337D3B">
      <w:pPr>
        <w:pStyle w:val="BodyText"/>
      </w:pPr>
      <w:r w:rsidRPr="00AC3549">
        <w:t>Capital costs (including</w:t>
      </w:r>
      <w:r>
        <w:t xml:space="preserve"> associated costs for</w:t>
      </w:r>
      <w:r w:rsidRPr="00AC3549">
        <w:t xml:space="preserve"> the user cost of capital) for each jurisdiction are </w:t>
      </w:r>
      <w:r w:rsidR="0002694F">
        <w:t>also contained in table 6A.1</w:t>
      </w:r>
      <w:r w:rsidR="00525E1B">
        <w:t xml:space="preserve"> (unadjusted for inflation), </w:t>
      </w:r>
      <w:r w:rsidR="0002694F">
        <w:t>with associated information on treatment of assets by police agencies in table 6A.2.</w:t>
      </w:r>
      <w:r w:rsidR="00A80F71">
        <w:t xml:space="preserve"> </w:t>
      </w:r>
    </w:p>
    <w:p w14:paraId="66C82AFD" w14:textId="77777777" w:rsidR="00337D3B" w:rsidRPr="00310AA4" w:rsidRDefault="00337D3B" w:rsidP="00310AA4">
      <w:pPr>
        <w:pStyle w:val="Heading3"/>
      </w:pPr>
      <w:r w:rsidRPr="00310AA4">
        <w:t>Outcomes</w:t>
      </w:r>
    </w:p>
    <w:p w14:paraId="28261E07" w14:textId="77777777" w:rsidR="00337D3B" w:rsidRDefault="00337D3B" w:rsidP="00337D3B">
      <w:pPr>
        <w:pStyle w:val="BodyText"/>
      </w:pPr>
      <w:r>
        <w:t>Outcomes are the impact of services on the status of an individual or group (see chapter 1).</w:t>
      </w:r>
    </w:p>
    <w:p w14:paraId="595ABE85" w14:textId="77777777" w:rsidR="00337D3B" w:rsidRPr="00310AA4" w:rsidRDefault="00337D3B" w:rsidP="00310AA4">
      <w:pPr>
        <w:pStyle w:val="Heading4"/>
      </w:pPr>
      <w:r w:rsidRPr="00310AA4">
        <w:t>Crime victimisation</w:t>
      </w:r>
    </w:p>
    <w:p w14:paraId="094BD534" w14:textId="141B6995" w:rsidR="00337D3B" w:rsidRDefault="00337D3B" w:rsidP="00337D3B">
      <w:pPr>
        <w:pStyle w:val="BodyText"/>
      </w:pPr>
      <w:r w:rsidRPr="00EB350B">
        <w:t xml:space="preserve">‘Crime victimisation’ is an indicator of governments’ objective to contribute to a safe and secure community that enables people to undertake their lawful </w:t>
      </w:r>
      <w:r>
        <w:t xml:space="preserve">pursuits confidently and safely </w:t>
      </w:r>
      <w:r w:rsidRPr="00EB350B">
        <w:t>(box 6.</w:t>
      </w:r>
      <w:r>
        <w:t>1</w:t>
      </w:r>
      <w:r w:rsidR="00CA43F4">
        <w:t>4</w:t>
      </w:r>
      <w:r w:rsidRPr="00EB350B">
        <w:t>).</w:t>
      </w:r>
    </w:p>
    <w:p w14:paraId="3D3EDA0C" w14:textId="587461C8" w:rsidR="00337D3B" w:rsidRDefault="00337D3B" w:rsidP="00337D3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37D3B" w14:paraId="3EB4F571" w14:textId="77777777" w:rsidTr="0061204D">
        <w:trPr>
          <w:tblHeader/>
        </w:trPr>
        <w:tc>
          <w:tcPr>
            <w:tcW w:w="5000" w:type="pct"/>
            <w:tcBorders>
              <w:top w:val="single" w:sz="6" w:space="0" w:color="78A22F"/>
              <w:left w:val="nil"/>
              <w:bottom w:val="nil"/>
              <w:right w:val="nil"/>
            </w:tcBorders>
            <w:shd w:val="clear" w:color="auto" w:fill="F2F2F2"/>
          </w:tcPr>
          <w:p w14:paraId="2F3FD401" w14:textId="215087B2" w:rsidR="00337D3B" w:rsidRDefault="00337D3B" w:rsidP="00CA43F4">
            <w:pPr>
              <w:pStyle w:val="BoxTitle"/>
            </w:pPr>
            <w:r>
              <w:rPr>
                <w:b w:val="0"/>
              </w:rPr>
              <w:t>Box 6.</w:t>
            </w:r>
            <w:r w:rsidR="00CA43F4">
              <w:rPr>
                <w:b w:val="0"/>
              </w:rPr>
              <w:t>14</w:t>
            </w:r>
            <w:r>
              <w:tab/>
              <w:t>Crime victimisation</w:t>
            </w:r>
          </w:p>
        </w:tc>
      </w:tr>
      <w:tr w:rsidR="00337D3B" w14:paraId="1EFB7961" w14:textId="77777777" w:rsidTr="0061204D">
        <w:tc>
          <w:tcPr>
            <w:tcW w:w="5000" w:type="pct"/>
            <w:tcBorders>
              <w:top w:val="nil"/>
              <w:left w:val="nil"/>
              <w:bottom w:val="nil"/>
              <w:right w:val="nil"/>
            </w:tcBorders>
            <w:shd w:val="clear" w:color="auto" w:fill="F2F2F2"/>
          </w:tcPr>
          <w:p w14:paraId="3F38CA0A" w14:textId="77777777" w:rsidR="00337D3B" w:rsidRPr="007F2386" w:rsidRDefault="00337D3B" w:rsidP="0061204D">
            <w:pPr>
              <w:pStyle w:val="Box"/>
            </w:pPr>
            <w:r w:rsidRPr="007F2386">
              <w:t>‘Crime victimisation’ is defined by six separate measures:</w:t>
            </w:r>
          </w:p>
          <w:p w14:paraId="00ABC13F" w14:textId="77777777" w:rsidR="00337D3B" w:rsidRPr="007F2386" w:rsidRDefault="00337D3B" w:rsidP="0061204D">
            <w:pPr>
              <w:pStyle w:val="BoxListBullet"/>
            </w:pPr>
            <w:r w:rsidRPr="007F2386">
              <w:t xml:space="preserve">estimated victimisation rate for physical and threatened assault </w:t>
            </w:r>
            <w:r w:rsidRPr="00226DA6">
              <w:t>(face-to-face incidents only)</w:t>
            </w:r>
            <w:r>
              <w:t xml:space="preserve"> </w:t>
            </w:r>
            <w:r w:rsidRPr="007F2386">
              <w:t>per 100 000 people aged 15 years or over</w:t>
            </w:r>
          </w:p>
          <w:p w14:paraId="582138AB" w14:textId="77777777" w:rsidR="00337D3B" w:rsidRPr="007F2386" w:rsidRDefault="00337D3B" w:rsidP="0061204D">
            <w:pPr>
              <w:pStyle w:val="BoxListBullet"/>
            </w:pPr>
            <w:r w:rsidRPr="007F2386">
              <w:t>estimated victimisation rate for sexual assault per 100 000 people aged 18 years or over</w:t>
            </w:r>
          </w:p>
          <w:p w14:paraId="0D87ED77" w14:textId="77777777" w:rsidR="00337D3B" w:rsidRPr="007F2386" w:rsidRDefault="00337D3B" w:rsidP="0061204D">
            <w:pPr>
              <w:pStyle w:val="BoxListBullet"/>
            </w:pPr>
            <w:r w:rsidRPr="007F2386">
              <w:t>estimated victimisation rate for robbery per 100 000 people aged 15 years or over</w:t>
            </w:r>
          </w:p>
          <w:p w14:paraId="32AD980B" w14:textId="77777777" w:rsidR="00337D3B" w:rsidRPr="007F2386" w:rsidRDefault="00337D3B" w:rsidP="0061204D">
            <w:pPr>
              <w:pStyle w:val="BoxListBullet"/>
            </w:pPr>
            <w:r w:rsidRPr="007F2386">
              <w:t>estimated household victims of break</w:t>
            </w:r>
            <w:r w:rsidRPr="007F2386">
              <w:noBreakHyphen/>
              <w:t>ins per 100 000 households</w:t>
            </w:r>
          </w:p>
          <w:p w14:paraId="48AE9F1C" w14:textId="77777777" w:rsidR="00337D3B" w:rsidRPr="007F2386" w:rsidRDefault="00337D3B" w:rsidP="0061204D">
            <w:pPr>
              <w:pStyle w:val="BoxListBullet"/>
            </w:pPr>
            <w:r w:rsidRPr="007F2386">
              <w:t>estimated household victims of attempted break</w:t>
            </w:r>
            <w:r w:rsidRPr="007F2386">
              <w:noBreakHyphen/>
              <w:t>ins per 100 000 households</w:t>
            </w:r>
          </w:p>
          <w:p w14:paraId="6E1AC917" w14:textId="6BF6DF03" w:rsidR="00337D3B" w:rsidRPr="007F2386" w:rsidRDefault="00337D3B" w:rsidP="0061204D">
            <w:pPr>
              <w:pStyle w:val="BoxListBullet"/>
            </w:pPr>
            <w:r w:rsidRPr="007F2386">
              <w:t>estimate</w:t>
            </w:r>
            <w:r w:rsidR="00010B14">
              <w:t>d</w:t>
            </w:r>
            <w:r w:rsidRPr="007F2386">
              <w:t xml:space="preserve"> household victims of motor vehicle theft per 100 000 households.</w:t>
            </w:r>
          </w:p>
          <w:p w14:paraId="14A161FB" w14:textId="77777777" w:rsidR="00337D3B" w:rsidRDefault="00337D3B" w:rsidP="0061204D">
            <w:pPr>
              <w:pStyle w:val="Box"/>
            </w:pPr>
            <w:r w:rsidRPr="00A32CCE">
              <w:t>A low or decreasing rate of crime victimisation is a desirable outcome.</w:t>
            </w:r>
          </w:p>
          <w:p w14:paraId="0E389FF2" w14:textId="77777777" w:rsidR="00337D3B" w:rsidRDefault="00337D3B" w:rsidP="0061204D">
            <w:pPr>
              <w:pStyle w:val="Box"/>
            </w:pPr>
            <w:r>
              <w:t>Data reported for these measures are:</w:t>
            </w:r>
          </w:p>
          <w:p w14:paraId="2D5CBE83" w14:textId="69E209D2" w:rsidR="00337D3B" w:rsidRPr="009442FD" w:rsidRDefault="00337D3B" w:rsidP="00897DAB">
            <w:pPr>
              <w:pStyle w:val="BoxListBullet"/>
              <w:numPr>
                <w:ilvl w:val="0"/>
                <w:numId w:val="0"/>
              </w:numPr>
              <w:ind w:left="284"/>
            </w:pPr>
            <w:r w:rsidRPr="009273A9">
              <w:rPr>
                <w:shd w:val="clear" w:color="auto" w:fill="F15A25"/>
              </w:rPr>
              <w:t xml:space="preserve">    </w:t>
            </w:r>
            <w:r>
              <w:t xml:space="preserve"> </w:t>
            </w:r>
            <w:r w:rsidR="00010B14">
              <w:t>comparable</w:t>
            </w:r>
            <w:r w:rsidRPr="009442FD">
              <w:t xml:space="preserve"> (subject to caveats) across jurisdictions and over time</w:t>
            </w:r>
          </w:p>
          <w:p w14:paraId="5A0578E3" w14:textId="0568FE51" w:rsidR="00337D3B" w:rsidRDefault="00337D3B" w:rsidP="00131244">
            <w:pPr>
              <w:pStyle w:val="BoxListBullet"/>
              <w:numPr>
                <w:ilvl w:val="0"/>
                <w:numId w:val="0"/>
              </w:numPr>
              <w:ind w:left="284"/>
            </w:pPr>
            <w:r w:rsidRPr="009273A9">
              <w:rPr>
                <w:shd w:val="clear" w:color="auto" w:fill="F15A25"/>
              </w:rPr>
              <w:t xml:space="preserve">    </w:t>
            </w:r>
            <w:r>
              <w:t xml:space="preserve"> </w:t>
            </w:r>
            <w:r w:rsidRPr="009442FD">
              <w:t>complete (subject to caveats)</w:t>
            </w:r>
            <w:r>
              <w:t xml:space="preserve"> </w:t>
            </w:r>
            <w:r w:rsidRPr="009442FD">
              <w:t xml:space="preserve">for the current reporting period. All required </w:t>
            </w:r>
            <w:r w:rsidR="00131244">
              <w:t xml:space="preserve">2016-17 </w:t>
            </w:r>
            <w:r w:rsidRPr="009442FD">
              <w:t>data are available for all jurisdictions</w:t>
            </w:r>
            <w:r>
              <w:t>.</w:t>
            </w:r>
          </w:p>
        </w:tc>
      </w:tr>
      <w:tr w:rsidR="00337D3B" w14:paraId="4314FBA2" w14:textId="77777777" w:rsidTr="0061204D">
        <w:tc>
          <w:tcPr>
            <w:tcW w:w="5000" w:type="pct"/>
            <w:tcBorders>
              <w:top w:val="nil"/>
              <w:left w:val="nil"/>
              <w:bottom w:val="single" w:sz="6" w:space="0" w:color="78A22F"/>
              <w:right w:val="nil"/>
            </w:tcBorders>
            <w:shd w:val="clear" w:color="auto" w:fill="F2F2F2"/>
          </w:tcPr>
          <w:p w14:paraId="306C3AB5" w14:textId="77777777" w:rsidR="00337D3B" w:rsidRDefault="00337D3B" w:rsidP="0061204D">
            <w:pPr>
              <w:pStyle w:val="Box"/>
              <w:spacing w:before="0" w:line="120" w:lineRule="exact"/>
            </w:pPr>
          </w:p>
        </w:tc>
      </w:tr>
      <w:tr w:rsidR="00337D3B" w:rsidRPr="000863A5" w14:paraId="68BBC481" w14:textId="77777777" w:rsidTr="0061204D">
        <w:tc>
          <w:tcPr>
            <w:tcW w:w="5000" w:type="pct"/>
            <w:tcBorders>
              <w:top w:val="single" w:sz="6" w:space="0" w:color="78A22F"/>
              <w:left w:val="nil"/>
              <w:bottom w:val="nil"/>
              <w:right w:val="nil"/>
            </w:tcBorders>
          </w:tcPr>
          <w:p w14:paraId="17065371" w14:textId="03D81B7D" w:rsidR="00337D3B" w:rsidRPr="00626D32" w:rsidRDefault="00337D3B" w:rsidP="0061204D">
            <w:pPr>
              <w:pStyle w:val="BoxSpaceBelow"/>
            </w:pPr>
          </w:p>
        </w:tc>
      </w:tr>
    </w:tbl>
    <w:p w14:paraId="066E7A62" w14:textId="77777777" w:rsidR="00337D3B" w:rsidRPr="00310AA4" w:rsidRDefault="00337D3B" w:rsidP="00310AA4">
      <w:pPr>
        <w:pStyle w:val="BodyText"/>
      </w:pPr>
      <w:r w:rsidRPr="00310AA4">
        <w:t>Nationally in 2016</w:t>
      </w:r>
      <w:r w:rsidRPr="00310AA4">
        <w:noBreakHyphen/>
        <w:t xml:space="preserve">17 there were an estimated 2373 victims of physical assault, 2584  victims of  threatened assault (face-to-face incidents only), 438 victims of sexual assault and 377 victims of robbery per 100 000 people (figure 6.14 and table 6A.11).  </w:t>
      </w:r>
    </w:p>
    <w:p w14:paraId="6A078266" w14:textId="04099088" w:rsidR="00B65DCA" w:rsidRDefault="00B65DCA" w:rsidP="00C40348">
      <w:pPr>
        <w:pStyle w:val="BodyText"/>
      </w:pPr>
      <w:r w:rsidRPr="00310AA4">
        <w:t xml:space="preserve">Nationally, for every 100 000 households in 2016-17, an estimated </w:t>
      </w:r>
      <w:r>
        <w:t xml:space="preserve">2504 </w:t>
      </w:r>
      <w:r w:rsidRPr="00310AA4">
        <w:t>experienced a break-in</w:t>
      </w:r>
      <w:r>
        <w:t xml:space="preserve">, 2098 an </w:t>
      </w:r>
      <w:r w:rsidRPr="00310AA4">
        <w:t>attempted break-in and 599 experienced motor vehicle theft (figure 6.15 and table</w:t>
      </w:r>
      <w:r>
        <w:t> </w:t>
      </w:r>
      <w:r w:rsidRPr="001E5F05">
        <w:t>6A.12).</w:t>
      </w:r>
    </w:p>
    <w:p w14:paraId="7CEF0692" w14:textId="54ACA918" w:rsidR="00E24E2B" w:rsidRDefault="00E24E2B" w:rsidP="00DA64D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24E2B" w14:paraId="1477DDC6" w14:textId="77777777" w:rsidTr="00DA64DE">
        <w:trPr>
          <w:tblHeader/>
        </w:trPr>
        <w:tc>
          <w:tcPr>
            <w:tcW w:w="5000" w:type="pct"/>
            <w:tcBorders>
              <w:top w:val="single" w:sz="6" w:space="0" w:color="78A22F"/>
              <w:left w:val="nil"/>
              <w:bottom w:val="nil"/>
              <w:right w:val="nil"/>
            </w:tcBorders>
            <w:shd w:val="clear" w:color="auto" w:fill="auto"/>
          </w:tcPr>
          <w:p w14:paraId="2A0B7442" w14:textId="2E27E4DF" w:rsidR="00E24E2B" w:rsidRPr="00176D3F" w:rsidRDefault="00E24E2B" w:rsidP="00010B14">
            <w:pPr>
              <w:pStyle w:val="FigureTitle"/>
            </w:pPr>
            <w:r w:rsidRPr="00784A05">
              <w:rPr>
                <w:b w:val="0"/>
              </w:rPr>
              <w:t xml:space="preserve">Figure </w:t>
            </w:r>
            <w:r>
              <w:rPr>
                <w:b w:val="0"/>
              </w:rPr>
              <w:t>6.14</w:t>
            </w:r>
            <w:r>
              <w:tab/>
              <w:t xml:space="preserve">Estimated victims of </w:t>
            </w:r>
            <w:r w:rsidR="00010B14">
              <w:t xml:space="preserve">personal offences, </w:t>
            </w:r>
            <w:r w:rsidR="0042534B">
              <w:t xml:space="preserve">per 100 000 people, </w:t>
            </w:r>
            <w:r>
              <w:t>2016-17</w:t>
            </w:r>
            <w:r w:rsidRPr="00B9147D">
              <w:rPr>
                <w:rStyle w:val="NoteLabel"/>
                <w:b/>
              </w:rPr>
              <w:t>a</w:t>
            </w:r>
            <w:r w:rsidR="00B9147D">
              <w:rPr>
                <w:rStyle w:val="NoteLabel"/>
                <w:b/>
              </w:rPr>
              <w:t xml:space="preserve">, </w:t>
            </w:r>
            <w:r w:rsidR="00B9147D" w:rsidRPr="00B9147D">
              <w:rPr>
                <w:rStyle w:val="NoteLabel"/>
                <w:b/>
              </w:rPr>
              <w:t>b</w:t>
            </w:r>
          </w:p>
        </w:tc>
      </w:tr>
      <w:tr w:rsidR="00E24E2B" w14:paraId="66C15366" w14:textId="77777777" w:rsidTr="00DA64DE">
        <w:tc>
          <w:tcPr>
            <w:tcW w:w="5000" w:type="pct"/>
            <w:tcBorders>
              <w:top w:val="nil"/>
              <w:left w:val="nil"/>
              <w:bottom w:val="nil"/>
              <w:right w:val="nil"/>
            </w:tcBorders>
            <w:shd w:val="clear" w:color="auto" w:fill="auto"/>
            <w:tcMar>
              <w:top w:w="28" w:type="dxa"/>
              <w:bottom w:w="28" w:type="dxa"/>
            </w:tcMar>
          </w:tcPr>
          <w:tbl>
            <w:tblPr>
              <w:tblW w:w="8743" w:type="dxa"/>
              <w:jc w:val="center"/>
              <w:tblBorders>
                <w:top w:val="single" w:sz="6" w:space="0" w:color="FFC000" w:themeColor="accent4"/>
                <w:bottom w:val="single" w:sz="6" w:space="0" w:color="FFC000"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54130B" w:rsidRPr="00B1465D" w14:paraId="58E065A2" w14:textId="77777777" w:rsidTr="0054130B">
              <w:trPr>
                <w:tblHeader/>
                <w:jc w:val="center"/>
              </w:trPr>
              <w:tc>
                <w:tcPr>
                  <w:tcW w:w="5000" w:type="pct"/>
                  <w:tcBorders>
                    <w:top w:val="nil"/>
                    <w:bottom w:val="nil"/>
                  </w:tcBorders>
                </w:tcPr>
                <w:tbl>
                  <w:tblPr>
                    <w:tblW w:w="8504" w:type="dxa"/>
                    <w:jc w:val="center"/>
                    <w:tblBorders>
                      <w:top w:val="single" w:sz="6" w:space="0" w:color="FFC000" w:themeColor="accent4"/>
                      <w:bottom w:val="single" w:sz="6" w:space="0" w:color="FFC000" w:themeColor="accent4"/>
                    </w:tblBorders>
                    <w:tblCellMar>
                      <w:top w:w="28" w:type="dxa"/>
                      <w:left w:w="0" w:type="dxa"/>
                      <w:right w:w="0" w:type="dxa"/>
                    </w:tblCellMar>
                    <w:tblLook w:val="0000" w:firstRow="0" w:lastRow="0" w:firstColumn="0" w:lastColumn="0" w:noHBand="0" w:noVBand="0"/>
                  </w:tblPr>
                  <w:tblGrid>
                    <w:gridCol w:w="8505"/>
                  </w:tblGrid>
                  <w:tr w:rsidR="0054130B" w:rsidRPr="00687885" w14:paraId="19FE91CC" w14:textId="77777777" w:rsidTr="00DA64DE">
                    <w:trPr>
                      <w:tblHeader/>
                      <w:jc w:val="center"/>
                    </w:trPr>
                    <w:tc>
                      <w:tcPr>
                        <w:tcW w:w="5000" w:type="pct"/>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54130B" w:rsidRPr="00687885" w14:paraId="1AACAC87" w14:textId="77777777" w:rsidTr="00DA64DE">
                          <w:tc>
                            <w:tcPr>
                              <w:tcW w:w="304" w:type="dxa"/>
                              <w:tcBorders>
                                <w:top w:val="nil"/>
                                <w:left w:val="nil"/>
                                <w:bottom w:val="nil"/>
                                <w:right w:val="nil"/>
                              </w:tcBorders>
                              <w:shd w:val="clear" w:color="auto" w:fill="auto"/>
                              <w:tcMar>
                                <w:top w:w="28" w:type="dxa"/>
                                <w:bottom w:w="28" w:type="dxa"/>
                              </w:tcMar>
                            </w:tcPr>
                            <w:p w14:paraId="0082222E" w14:textId="77777777" w:rsidR="0054130B" w:rsidRPr="00687885" w:rsidRDefault="0054130B" w:rsidP="0054130B">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1B6600F3" w14:textId="77777777" w:rsidR="0054130B" w:rsidRPr="00687885" w:rsidRDefault="0054130B" w:rsidP="0054130B">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333F33A2" w14:textId="663437BC" w:rsidR="0054130B" w:rsidRPr="00687885" w:rsidRDefault="0054130B" w:rsidP="00685236">
                              <w:pPr>
                                <w:pStyle w:val="TableBodyText"/>
                                <w:jc w:val="left"/>
                              </w:pPr>
                              <w:r w:rsidRPr="00687885">
                                <w:t>Data are comparable (subject to caveats) across jurisdictions</w:t>
                              </w:r>
                              <w:r w:rsidR="00685236">
                                <w:t>.</w:t>
                              </w:r>
                            </w:p>
                          </w:tc>
                        </w:tr>
                      </w:tbl>
                      <w:p w14:paraId="6D636AA1" w14:textId="77777777" w:rsidR="0054130B" w:rsidRPr="00687885" w:rsidRDefault="0054130B" w:rsidP="0054130B">
                        <w:pPr>
                          <w:pStyle w:val="Figure"/>
                          <w:spacing w:before="60" w:after="60"/>
                          <w:rPr>
                            <w:rFonts w:ascii="Arial" w:hAnsi="Arial" w:cs="Arial"/>
                            <w:sz w:val="18"/>
                            <w:szCs w:val="18"/>
                          </w:rPr>
                        </w:pPr>
                      </w:p>
                    </w:tc>
                  </w:tr>
                  <w:tr w:rsidR="0054130B" w:rsidRPr="00687885" w14:paraId="5388040B" w14:textId="77777777" w:rsidTr="00DA64DE">
                    <w:trPr>
                      <w:tblHeader/>
                      <w:jc w:val="center"/>
                    </w:trPr>
                    <w:tc>
                      <w:tcPr>
                        <w:tcW w:w="5000" w:type="pct"/>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54130B" w:rsidRPr="00687885" w14:paraId="7E44CAAB" w14:textId="77777777" w:rsidTr="00DA64DE">
                          <w:tc>
                            <w:tcPr>
                              <w:tcW w:w="304" w:type="dxa"/>
                              <w:tcBorders>
                                <w:top w:val="nil"/>
                                <w:left w:val="nil"/>
                                <w:bottom w:val="nil"/>
                                <w:right w:val="nil"/>
                              </w:tcBorders>
                              <w:shd w:val="clear" w:color="auto" w:fill="auto"/>
                              <w:tcMar>
                                <w:top w:w="28" w:type="dxa"/>
                                <w:bottom w:w="28" w:type="dxa"/>
                              </w:tcMar>
                            </w:tcPr>
                            <w:p w14:paraId="562BFF2C" w14:textId="77777777" w:rsidR="0054130B" w:rsidRPr="00687885" w:rsidRDefault="0054130B" w:rsidP="0054130B">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70E9206F" w14:textId="77777777" w:rsidR="0054130B" w:rsidRPr="00687885" w:rsidRDefault="0054130B" w:rsidP="0054130B">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3A8E4048" w14:textId="77777777" w:rsidR="0054130B" w:rsidRPr="00687885" w:rsidRDefault="0054130B" w:rsidP="0054130B">
                              <w:pPr>
                                <w:pStyle w:val="TableBodyText"/>
                                <w:jc w:val="left"/>
                              </w:pPr>
                              <w:r w:rsidRPr="00687885">
                                <w:t xml:space="preserve">Data are complete (subject to caveats) for the current reporting period. </w:t>
                              </w:r>
                            </w:p>
                          </w:tc>
                        </w:tr>
                      </w:tbl>
                      <w:p w14:paraId="301FEB06" w14:textId="77777777" w:rsidR="0054130B" w:rsidRPr="00687885" w:rsidRDefault="0054130B" w:rsidP="0054130B">
                        <w:pPr>
                          <w:pStyle w:val="Figure"/>
                          <w:spacing w:before="60" w:after="60"/>
                          <w:rPr>
                            <w:rFonts w:ascii="Arial" w:hAnsi="Arial" w:cs="Arial"/>
                            <w:sz w:val="18"/>
                            <w:szCs w:val="18"/>
                          </w:rPr>
                        </w:pPr>
                      </w:p>
                    </w:tc>
                  </w:tr>
                </w:tbl>
                <w:p w14:paraId="6420C988" w14:textId="77777777" w:rsidR="0054130B" w:rsidRPr="00B1465D" w:rsidRDefault="0054130B" w:rsidP="0054130B">
                  <w:pPr>
                    <w:pStyle w:val="Figure"/>
                    <w:spacing w:before="60" w:after="60"/>
                    <w:rPr>
                      <w:rFonts w:ascii="Arial" w:hAnsi="Arial" w:cs="Arial"/>
                      <w:sz w:val="18"/>
                      <w:szCs w:val="18"/>
                    </w:rPr>
                  </w:pPr>
                </w:p>
              </w:tc>
            </w:tr>
            <w:tr w:rsidR="00E24E2B" w:rsidRPr="00B1465D" w14:paraId="36C0D0E0" w14:textId="77777777" w:rsidTr="0054130B">
              <w:trPr>
                <w:tblHeader/>
                <w:jc w:val="center"/>
              </w:trPr>
              <w:tc>
                <w:tcPr>
                  <w:tcW w:w="5000" w:type="pct"/>
                  <w:tcBorders>
                    <w:top w:val="nil"/>
                    <w:bottom w:val="nil"/>
                  </w:tcBorders>
                </w:tcPr>
                <w:p w14:paraId="5583A795" w14:textId="6B1F2D74" w:rsidR="00E24E2B" w:rsidRPr="0054130B" w:rsidRDefault="00ED19DB" w:rsidP="0054130B">
                  <w:pPr>
                    <w:pStyle w:val="Figure"/>
                  </w:pPr>
                  <w:r>
                    <w:rPr>
                      <w:noProof/>
                    </w:rPr>
                    <w:drawing>
                      <wp:inline distT="0" distB="0" distL="0" distR="0" wp14:anchorId="7926AB3F" wp14:editId="36FDC371">
                        <wp:extent cx="5407660" cy="2700655"/>
                        <wp:effectExtent l="0" t="0" r="2540" b="4445"/>
                        <wp:docPr id="1" name="Picture 1" descr="Figure 6.14 Estimated victims of personal offences, per 100 000 people, 2016-17&#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7660" cy="2700655"/>
                                </a:xfrm>
                                <a:prstGeom prst="rect">
                                  <a:avLst/>
                                </a:prstGeom>
                                <a:noFill/>
                              </pic:spPr>
                            </pic:pic>
                          </a:graphicData>
                        </a:graphic>
                      </wp:inline>
                    </w:drawing>
                  </w:r>
                </w:p>
              </w:tc>
            </w:tr>
          </w:tbl>
          <w:p w14:paraId="1E1A01BC" w14:textId="77777777" w:rsidR="00E24E2B" w:rsidRDefault="00E24E2B" w:rsidP="00DA64DE">
            <w:pPr>
              <w:pStyle w:val="Figure"/>
            </w:pPr>
          </w:p>
        </w:tc>
      </w:tr>
      <w:tr w:rsidR="00E24E2B" w:rsidRPr="00176D3F" w14:paraId="7A365D50" w14:textId="77777777" w:rsidTr="00DA64DE">
        <w:tc>
          <w:tcPr>
            <w:tcW w:w="5000" w:type="pct"/>
            <w:tcBorders>
              <w:top w:val="nil"/>
              <w:left w:val="nil"/>
              <w:bottom w:val="nil"/>
              <w:right w:val="nil"/>
            </w:tcBorders>
            <w:shd w:val="clear" w:color="auto" w:fill="auto"/>
          </w:tcPr>
          <w:p w14:paraId="21A9628C" w14:textId="09728299" w:rsidR="00E24E2B" w:rsidRPr="00176D3F" w:rsidRDefault="00B9147D" w:rsidP="004C3F47">
            <w:pPr>
              <w:pStyle w:val="Note"/>
            </w:pPr>
            <w:proofErr w:type="spellStart"/>
            <w:r>
              <w:rPr>
                <w:rStyle w:val="NoteLabel"/>
              </w:rPr>
              <w:t>a</w:t>
            </w:r>
            <w:proofErr w:type="spellEnd"/>
            <w:r>
              <w:t xml:space="preserve"> </w:t>
            </w:r>
            <w:r w:rsidRPr="00D434EE">
              <w:t>Error bars represent the 95 per cent confidence interval ass</w:t>
            </w:r>
            <w:r>
              <w:t xml:space="preserve">ociated with each point estimate. </w:t>
            </w:r>
            <w:r w:rsidRPr="00B9147D">
              <w:rPr>
                <w:rStyle w:val="NoteLabel"/>
              </w:rPr>
              <w:t>b</w:t>
            </w:r>
            <w:r>
              <w:t xml:space="preserve"> </w:t>
            </w:r>
            <w:r w:rsidR="00CA43F4">
              <w:t>See box</w:t>
            </w:r>
            <w:r w:rsidR="004C3F47">
              <w:t> </w:t>
            </w:r>
            <w:r w:rsidR="00CA43F4">
              <w:t>6.14</w:t>
            </w:r>
            <w:r w:rsidR="001E4E41">
              <w:t xml:space="preserve"> </w:t>
            </w:r>
            <w:r w:rsidR="001E4E41" w:rsidRPr="00C602B2">
              <w:t xml:space="preserve">and </w:t>
            </w:r>
            <w:r w:rsidR="001E4E41" w:rsidRPr="003041C9">
              <w:t xml:space="preserve">table </w:t>
            </w:r>
            <w:r w:rsidR="001E4E41" w:rsidRPr="00590CF6">
              <w:t>6A.</w:t>
            </w:r>
            <w:r w:rsidR="001E4E41">
              <w:t>1</w:t>
            </w:r>
            <w:r w:rsidR="001F22E6">
              <w:t>1</w:t>
            </w:r>
            <w:r w:rsidR="001E4E41">
              <w:t xml:space="preserve"> </w:t>
            </w:r>
            <w:r w:rsidR="001E4E41" w:rsidRPr="00C602B2">
              <w:t>for detailed definitions, footnotes and caveats</w:t>
            </w:r>
            <w:r w:rsidR="001E4E41">
              <w:t>.</w:t>
            </w:r>
          </w:p>
        </w:tc>
      </w:tr>
      <w:tr w:rsidR="00E24E2B" w:rsidRPr="00176D3F" w14:paraId="2108A7EF" w14:textId="77777777" w:rsidTr="00DA64DE">
        <w:tc>
          <w:tcPr>
            <w:tcW w:w="5000" w:type="pct"/>
            <w:tcBorders>
              <w:top w:val="nil"/>
              <w:left w:val="nil"/>
              <w:bottom w:val="nil"/>
              <w:right w:val="nil"/>
            </w:tcBorders>
            <w:shd w:val="clear" w:color="auto" w:fill="auto"/>
          </w:tcPr>
          <w:p w14:paraId="12A6B8B5" w14:textId="2652A389" w:rsidR="00E24E2B" w:rsidRPr="00176D3F" w:rsidRDefault="001E4E41" w:rsidP="00DA64DE">
            <w:pPr>
              <w:pStyle w:val="Source"/>
            </w:pPr>
            <w:r>
              <w:rPr>
                <w:i/>
              </w:rPr>
              <w:t>S</w:t>
            </w:r>
            <w:r w:rsidRPr="00784A05">
              <w:rPr>
                <w:i/>
              </w:rPr>
              <w:t>ource</w:t>
            </w:r>
            <w:r w:rsidRPr="00176D3F">
              <w:t>:</w:t>
            </w:r>
            <w:r>
              <w:t xml:space="preserve"> </w:t>
            </w:r>
            <w:r w:rsidRPr="00235BFF">
              <w:rPr>
                <w:color w:val="000000" w:themeColor="text1"/>
              </w:rPr>
              <w:t>Derived from ABS (201</w:t>
            </w:r>
            <w:r>
              <w:rPr>
                <w:color w:val="000000" w:themeColor="text1"/>
              </w:rPr>
              <w:t>8</w:t>
            </w:r>
            <w:r w:rsidRPr="00235BFF">
              <w:rPr>
                <w:color w:val="000000" w:themeColor="text1"/>
              </w:rPr>
              <w:t xml:space="preserve">) </w:t>
            </w:r>
            <w:r w:rsidRPr="00235BFF">
              <w:rPr>
                <w:i/>
                <w:color w:val="000000" w:themeColor="text1"/>
              </w:rPr>
              <w:t>Crime Victimisation, Australia 201</w:t>
            </w:r>
            <w:r>
              <w:rPr>
                <w:i/>
                <w:color w:val="000000" w:themeColor="text1"/>
              </w:rPr>
              <w:t>6</w:t>
            </w:r>
            <w:r w:rsidRPr="00235BFF">
              <w:rPr>
                <w:i/>
                <w:color w:val="000000" w:themeColor="text1"/>
              </w:rPr>
              <w:noBreakHyphen/>
              <w:t>1</w:t>
            </w:r>
            <w:r>
              <w:rPr>
                <w:i/>
                <w:color w:val="000000" w:themeColor="text1"/>
              </w:rPr>
              <w:t>7</w:t>
            </w:r>
            <w:r w:rsidRPr="00235BFF">
              <w:rPr>
                <w:color w:val="000000" w:themeColor="text1"/>
              </w:rPr>
              <w:t>, Cat. no. 4530.0; table 6A.</w:t>
            </w:r>
            <w:r>
              <w:rPr>
                <w:color w:val="000000" w:themeColor="text1"/>
              </w:rPr>
              <w:t>11.</w:t>
            </w:r>
          </w:p>
        </w:tc>
      </w:tr>
      <w:tr w:rsidR="00E24E2B" w14:paraId="1FF85A03" w14:textId="77777777" w:rsidTr="00DA64DE">
        <w:tc>
          <w:tcPr>
            <w:tcW w:w="5000" w:type="pct"/>
            <w:tcBorders>
              <w:top w:val="nil"/>
              <w:left w:val="nil"/>
              <w:bottom w:val="single" w:sz="6" w:space="0" w:color="78A22F"/>
              <w:right w:val="nil"/>
            </w:tcBorders>
            <w:shd w:val="clear" w:color="auto" w:fill="auto"/>
          </w:tcPr>
          <w:p w14:paraId="641F4DCB" w14:textId="77777777" w:rsidR="00E24E2B" w:rsidRDefault="00E24E2B" w:rsidP="00DA64DE">
            <w:pPr>
              <w:pStyle w:val="Figurespace"/>
            </w:pPr>
          </w:p>
        </w:tc>
      </w:tr>
      <w:tr w:rsidR="00E24E2B" w:rsidRPr="000863A5" w14:paraId="7E87D2A0" w14:textId="77777777" w:rsidTr="00DA64DE">
        <w:tc>
          <w:tcPr>
            <w:tcW w:w="5000" w:type="pct"/>
            <w:tcBorders>
              <w:top w:val="single" w:sz="6" w:space="0" w:color="78A22F"/>
              <w:left w:val="nil"/>
              <w:bottom w:val="nil"/>
              <w:right w:val="nil"/>
            </w:tcBorders>
          </w:tcPr>
          <w:p w14:paraId="15A1E2D5" w14:textId="7EDFE185" w:rsidR="00E24E2B" w:rsidRPr="00626D32" w:rsidRDefault="00E24E2B" w:rsidP="00DA64DE">
            <w:pPr>
              <w:pStyle w:val="BoxSpaceBelow"/>
            </w:pPr>
          </w:p>
        </w:tc>
      </w:tr>
    </w:tbl>
    <w:p w14:paraId="6969FE3D" w14:textId="1EFF62B0" w:rsidR="00337D3B" w:rsidRDefault="00337D3B" w:rsidP="00AF3190">
      <w:pPr>
        <w:pStyle w:val="BoxSpaceAbove"/>
        <w:spacing w:before="12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37D3B" w14:paraId="3FACE0F2" w14:textId="77777777" w:rsidTr="0061204D">
        <w:trPr>
          <w:tblHeader/>
        </w:trPr>
        <w:tc>
          <w:tcPr>
            <w:tcW w:w="5000" w:type="pct"/>
            <w:tcBorders>
              <w:top w:val="single" w:sz="6" w:space="0" w:color="78A22F"/>
              <w:left w:val="nil"/>
              <w:bottom w:val="nil"/>
              <w:right w:val="nil"/>
            </w:tcBorders>
            <w:shd w:val="clear" w:color="auto" w:fill="auto"/>
          </w:tcPr>
          <w:p w14:paraId="224B5948" w14:textId="68E82D8A" w:rsidR="00337D3B" w:rsidRPr="00176D3F" w:rsidRDefault="00337D3B" w:rsidP="00010B14">
            <w:pPr>
              <w:pStyle w:val="FigureTitle"/>
            </w:pPr>
            <w:r w:rsidRPr="00784A05">
              <w:rPr>
                <w:b w:val="0"/>
              </w:rPr>
              <w:t xml:space="preserve">Figure </w:t>
            </w:r>
            <w:r>
              <w:rPr>
                <w:b w:val="0"/>
              </w:rPr>
              <w:t>6.15</w:t>
            </w:r>
            <w:r>
              <w:tab/>
              <w:t xml:space="preserve">Estimated victims of property </w:t>
            </w:r>
            <w:r w:rsidR="00010B14">
              <w:t>offences, p</w:t>
            </w:r>
            <w:r w:rsidR="00C478CC">
              <w:t xml:space="preserve">er 100 000 people, </w:t>
            </w:r>
            <w:r>
              <w:t>2016</w:t>
            </w:r>
            <w:r>
              <w:noBreakHyphen/>
              <w:t>17</w:t>
            </w:r>
            <w:r w:rsidRPr="00E91298">
              <w:rPr>
                <w:rStyle w:val="NoteLabel"/>
                <w:b/>
              </w:rPr>
              <w:t>a</w:t>
            </w:r>
            <w:r w:rsidR="00F134C4">
              <w:rPr>
                <w:rStyle w:val="NoteLabel"/>
                <w:b/>
              </w:rPr>
              <w:t>, b</w:t>
            </w:r>
          </w:p>
        </w:tc>
      </w:tr>
      <w:tr w:rsidR="00337D3B" w14:paraId="6C6C226E" w14:textId="77777777" w:rsidTr="0061204D">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FC000" w:themeColor="accent4"/>
                <w:bottom w:val="single" w:sz="6" w:space="0" w:color="FFC000" w:themeColor="accent4"/>
              </w:tblBorders>
              <w:tblCellMar>
                <w:top w:w="28" w:type="dxa"/>
              </w:tblCellMar>
              <w:tblLook w:val="0000" w:firstRow="0" w:lastRow="0" w:firstColumn="0" w:lastColumn="0" w:noHBand="0" w:noVBand="0"/>
              <w:tblDescription w:val="Nested table used for design layout."/>
            </w:tblPr>
            <w:tblGrid>
              <w:gridCol w:w="8505"/>
            </w:tblGrid>
            <w:tr w:rsidR="00305FCE" w:rsidRPr="00B1465D" w14:paraId="13471DD3" w14:textId="77777777" w:rsidTr="00305FCE">
              <w:trPr>
                <w:tblHeader/>
                <w:jc w:val="center"/>
              </w:trPr>
              <w:tc>
                <w:tcPr>
                  <w:tcW w:w="8505" w:type="dxa"/>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305FCE" w:rsidRPr="00636C3F" w14:paraId="2CFA7637" w14:textId="77777777" w:rsidTr="00AF3190">
                    <w:tc>
                      <w:tcPr>
                        <w:tcW w:w="304" w:type="dxa"/>
                        <w:tcBorders>
                          <w:top w:val="nil"/>
                          <w:left w:val="nil"/>
                          <w:bottom w:val="nil"/>
                          <w:right w:val="nil"/>
                        </w:tcBorders>
                        <w:shd w:val="clear" w:color="auto" w:fill="auto"/>
                        <w:tcMar>
                          <w:top w:w="28" w:type="dxa"/>
                          <w:bottom w:w="28" w:type="dxa"/>
                        </w:tcMar>
                      </w:tcPr>
                      <w:p w14:paraId="6EB51B78" w14:textId="77777777" w:rsidR="00305FCE" w:rsidRPr="00636C3F" w:rsidRDefault="00305FCE" w:rsidP="00305FCE">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34EBAD20" w14:textId="77777777" w:rsidR="00305FCE" w:rsidRPr="00636C3F" w:rsidRDefault="00305FCE" w:rsidP="00305FCE">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505D7912" w14:textId="4158502C" w:rsidR="00305FCE" w:rsidRPr="00636C3F" w:rsidRDefault="00305FCE" w:rsidP="00685236">
                        <w:pPr>
                          <w:pStyle w:val="TableBodyText"/>
                          <w:jc w:val="left"/>
                        </w:pPr>
                        <w:r w:rsidRPr="00636C3F">
                          <w:t>Data are comparable (subject to caveats) across jurisdictions</w:t>
                        </w:r>
                        <w:r w:rsidR="00685236">
                          <w:t>.</w:t>
                        </w:r>
                      </w:p>
                    </w:tc>
                  </w:tr>
                </w:tbl>
                <w:p w14:paraId="7CB05202" w14:textId="77777777" w:rsidR="00305FCE" w:rsidRPr="00305FCE" w:rsidRDefault="00305FCE" w:rsidP="00305FCE">
                  <w:pPr>
                    <w:pStyle w:val="TableBodyText"/>
                  </w:pPr>
                </w:p>
              </w:tc>
            </w:tr>
            <w:tr w:rsidR="00305FCE" w:rsidRPr="00B1465D" w14:paraId="21D46129" w14:textId="77777777" w:rsidTr="00305FCE">
              <w:trPr>
                <w:tblHeader/>
                <w:jc w:val="center"/>
              </w:trPr>
              <w:tc>
                <w:tcPr>
                  <w:tcW w:w="8505" w:type="dxa"/>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305FCE" w:rsidRPr="00636C3F" w14:paraId="3BE89BE9" w14:textId="77777777" w:rsidTr="00AF3190">
                    <w:tc>
                      <w:tcPr>
                        <w:tcW w:w="304" w:type="dxa"/>
                        <w:tcBorders>
                          <w:top w:val="nil"/>
                          <w:left w:val="nil"/>
                          <w:bottom w:val="nil"/>
                          <w:right w:val="nil"/>
                        </w:tcBorders>
                        <w:shd w:val="clear" w:color="auto" w:fill="auto"/>
                        <w:tcMar>
                          <w:top w:w="28" w:type="dxa"/>
                          <w:bottom w:w="28" w:type="dxa"/>
                        </w:tcMar>
                      </w:tcPr>
                      <w:p w14:paraId="1F95EB2F" w14:textId="77777777" w:rsidR="00305FCE" w:rsidRPr="00636C3F" w:rsidRDefault="00305FCE" w:rsidP="00305FCE">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556C1D53" w14:textId="77777777" w:rsidR="00305FCE" w:rsidRPr="00636C3F" w:rsidRDefault="00305FCE" w:rsidP="00305FCE">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2FADDC49" w14:textId="492C1A43" w:rsidR="00305FCE" w:rsidRPr="00922364" w:rsidRDefault="00305FCE" w:rsidP="002B0C11">
                        <w:pPr>
                          <w:pStyle w:val="TableBodyText"/>
                          <w:jc w:val="left"/>
                        </w:pPr>
                        <w:r w:rsidRPr="00922364">
                          <w:t xml:space="preserve">Data are complete (subject to caveats) for the current reporting period. </w:t>
                        </w:r>
                      </w:p>
                    </w:tc>
                  </w:tr>
                </w:tbl>
                <w:p w14:paraId="5F502CD2" w14:textId="77777777" w:rsidR="00305FCE" w:rsidRPr="00305FCE" w:rsidRDefault="00305FCE" w:rsidP="00305FCE">
                  <w:pPr>
                    <w:pStyle w:val="TableBodyText"/>
                  </w:pPr>
                </w:p>
              </w:tc>
            </w:tr>
            <w:tr w:rsidR="00337D3B" w:rsidRPr="00B1465D" w14:paraId="036E8931" w14:textId="77777777" w:rsidTr="00305FCE">
              <w:trPr>
                <w:tblHeader/>
                <w:jc w:val="center"/>
              </w:trPr>
              <w:tc>
                <w:tcPr>
                  <w:tcW w:w="8505" w:type="dxa"/>
                  <w:tcBorders>
                    <w:top w:val="nil"/>
                    <w:bottom w:val="nil"/>
                  </w:tcBorders>
                </w:tcPr>
                <w:p w14:paraId="663E69D2" w14:textId="6688A863" w:rsidR="00337D3B" w:rsidRPr="00D67346" w:rsidRDefault="006C3C0B" w:rsidP="0061204D">
                  <w:pPr>
                    <w:pStyle w:val="Figure"/>
                  </w:pPr>
                  <w:r>
                    <w:rPr>
                      <w:noProof/>
                    </w:rPr>
                    <w:drawing>
                      <wp:inline distT="0" distB="0" distL="0" distR="0" wp14:anchorId="613D20E5" wp14:editId="0AD7D000">
                        <wp:extent cx="5407660" cy="2707005"/>
                        <wp:effectExtent l="0" t="0" r="2540" b="0"/>
                        <wp:docPr id="17" name="Picture 17" descr="Figure 6.15 Estimated victims of property offences, per 100 000 people, 2016-17&#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7660" cy="2707005"/>
                                </a:xfrm>
                                <a:prstGeom prst="rect">
                                  <a:avLst/>
                                </a:prstGeom>
                                <a:noFill/>
                              </pic:spPr>
                            </pic:pic>
                          </a:graphicData>
                        </a:graphic>
                      </wp:inline>
                    </w:drawing>
                  </w:r>
                </w:p>
              </w:tc>
            </w:tr>
          </w:tbl>
          <w:p w14:paraId="4291BF7E" w14:textId="77777777" w:rsidR="00337D3B" w:rsidRDefault="00337D3B" w:rsidP="0061204D">
            <w:pPr>
              <w:pStyle w:val="Figure"/>
            </w:pPr>
          </w:p>
        </w:tc>
      </w:tr>
      <w:tr w:rsidR="00337D3B" w:rsidRPr="00176D3F" w14:paraId="297C97A5" w14:textId="77777777" w:rsidTr="0061204D">
        <w:tc>
          <w:tcPr>
            <w:tcW w:w="5000" w:type="pct"/>
            <w:tcBorders>
              <w:top w:val="nil"/>
              <w:left w:val="nil"/>
              <w:bottom w:val="nil"/>
              <w:right w:val="nil"/>
            </w:tcBorders>
            <w:shd w:val="clear" w:color="auto" w:fill="auto"/>
          </w:tcPr>
          <w:p w14:paraId="0B71D81D" w14:textId="2D223A97" w:rsidR="00337D3B" w:rsidRPr="00176D3F" w:rsidRDefault="00F134C4" w:rsidP="004C3F47">
            <w:pPr>
              <w:pStyle w:val="Note"/>
            </w:pPr>
            <w:proofErr w:type="spellStart"/>
            <w:r>
              <w:rPr>
                <w:rStyle w:val="NoteLabel"/>
              </w:rPr>
              <w:t>a</w:t>
            </w:r>
            <w:proofErr w:type="spellEnd"/>
            <w:r>
              <w:t xml:space="preserve"> </w:t>
            </w:r>
            <w:r w:rsidRPr="00D434EE">
              <w:t>Error bars represent the 95 per cent confidence interval ass</w:t>
            </w:r>
            <w:r>
              <w:t xml:space="preserve">ociated with each point estimate. </w:t>
            </w:r>
            <w:r w:rsidRPr="00F134C4">
              <w:rPr>
                <w:rStyle w:val="NoteLabel"/>
              </w:rPr>
              <w:t>b</w:t>
            </w:r>
            <w:r w:rsidR="00337D3B">
              <w:t xml:space="preserve"> See box</w:t>
            </w:r>
            <w:r w:rsidR="004C3F47">
              <w:t> </w:t>
            </w:r>
            <w:r w:rsidR="00337D3B">
              <w:t>6.1</w:t>
            </w:r>
            <w:r w:rsidR="00CA43F4">
              <w:t>4</w:t>
            </w:r>
            <w:r w:rsidR="00337D3B" w:rsidRPr="00C602B2">
              <w:t xml:space="preserve"> and </w:t>
            </w:r>
            <w:r w:rsidR="00337D3B" w:rsidRPr="003041C9">
              <w:t xml:space="preserve">table </w:t>
            </w:r>
            <w:r w:rsidR="00337D3B">
              <w:t>6A.1</w:t>
            </w:r>
            <w:r w:rsidR="00F22031">
              <w:t>2</w:t>
            </w:r>
            <w:r w:rsidR="00337D3B">
              <w:t xml:space="preserve"> </w:t>
            </w:r>
            <w:r w:rsidR="00337D3B" w:rsidRPr="00C602B2">
              <w:t>for detailed definitions, footnotes and caveats</w:t>
            </w:r>
            <w:r w:rsidR="00337D3B">
              <w:t>.</w:t>
            </w:r>
          </w:p>
        </w:tc>
      </w:tr>
      <w:tr w:rsidR="00337D3B" w:rsidRPr="00176D3F" w14:paraId="3F5BC995" w14:textId="77777777" w:rsidTr="0061204D">
        <w:tc>
          <w:tcPr>
            <w:tcW w:w="5000" w:type="pct"/>
            <w:tcBorders>
              <w:top w:val="nil"/>
              <w:left w:val="nil"/>
              <w:bottom w:val="nil"/>
              <w:right w:val="nil"/>
            </w:tcBorders>
            <w:shd w:val="clear" w:color="auto" w:fill="auto"/>
          </w:tcPr>
          <w:p w14:paraId="2BD256E1" w14:textId="58AF0C8E" w:rsidR="00337D3B" w:rsidRPr="00176D3F" w:rsidRDefault="00337D3B" w:rsidP="002A2425">
            <w:pPr>
              <w:pStyle w:val="Source"/>
            </w:pPr>
            <w:r>
              <w:rPr>
                <w:i/>
              </w:rPr>
              <w:t>S</w:t>
            </w:r>
            <w:r w:rsidRPr="00784A05">
              <w:rPr>
                <w:i/>
              </w:rPr>
              <w:t>ource</w:t>
            </w:r>
            <w:r w:rsidRPr="00176D3F">
              <w:t xml:space="preserve">: </w:t>
            </w:r>
            <w:r>
              <w:t xml:space="preserve">Derived from </w:t>
            </w:r>
            <w:r w:rsidRPr="00B154C8">
              <w:t>ABS (201</w:t>
            </w:r>
            <w:r>
              <w:t>8</w:t>
            </w:r>
            <w:r w:rsidRPr="00B154C8">
              <w:t xml:space="preserve">) </w:t>
            </w:r>
            <w:r w:rsidRPr="00B154C8">
              <w:rPr>
                <w:i/>
              </w:rPr>
              <w:t xml:space="preserve">Crime </w:t>
            </w:r>
            <w:r w:rsidRPr="003B1112">
              <w:rPr>
                <w:i/>
              </w:rPr>
              <w:t>Victimisation, Australia</w:t>
            </w:r>
            <w:r>
              <w:t xml:space="preserve"> </w:t>
            </w:r>
            <w:r w:rsidRPr="001E36FE">
              <w:rPr>
                <w:i/>
              </w:rPr>
              <w:t>201</w:t>
            </w:r>
            <w:r>
              <w:rPr>
                <w:i/>
              </w:rPr>
              <w:t>6</w:t>
            </w:r>
            <w:r>
              <w:rPr>
                <w:i/>
              </w:rPr>
              <w:noBreakHyphen/>
              <w:t>17</w:t>
            </w:r>
            <w:r>
              <w:t>, Cat. no</w:t>
            </w:r>
            <w:r w:rsidR="002A2425">
              <w:t xml:space="preserve">. </w:t>
            </w:r>
            <w:r>
              <w:t>4530.0; table 6A.12</w:t>
            </w:r>
            <w:r w:rsidRPr="0014390A">
              <w:t>.</w:t>
            </w:r>
          </w:p>
        </w:tc>
      </w:tr>
      <w:tr w:rsidR="00337D3B" w14:paraId="2A95B4D3" w14:textId="77777777" w:rsidTr="0061204D">
        <w:tc>
          <w:tcPr>
            <w:tcW w:w="5000" w:type="pct"/>
            <w:tcBorders>
              <w:top w:val="nil"/>
              <w:left w:val="nil"/>
              <w:bottom w:val="single" w:sz="6" w:space="0" w:color="78A22F"/>
              <w:right w:val="nil"/>
            </w:tcBorders>
            <w:shd w:val="clear" w:color="auto" w:fill="auto"/>
          </w:tcPr>
          <w:p w14:paraId="3F513CC9" w14:textId="77777777" w:rsidR="00337D3B" w:rsidRDefault="00337D3B" w:rsidP="0061204D">
            <w:pPr>
              <w:pStyle w:val="Figurespace"/>
            </w:pPr>
          </w:p>
        </w:tc>
      </w:tr>
      <w:tr w:rsidR="00337D3B" w:rsidRPr="000863A5" w14:paraId="550A0501" w14:textId="77777777" w:rsidTr="0061204D">
        <w:tc>
          <w:tcPr>
            <w:tcW w:w="5000" w:type="pct"/>
            <w:tcBorders>
              <w:top w:val="single" w:sz="6" w:space="0" w:color="78A22F"/>
              <w:left w:val="nil"/>
              <w:bottom w:val="nil"/>
              <w:right w:val="nil"/>
            </w:tcBorders>
          </w:tcPr>
          <w:p w14:paraId="4C46D945" w14:textId="4679B44E" w:rsidR="00337D3B" w:rsidRPr="00626D32" w:rsidRDefault="00337D3B" w:rsidP="0061204D">
            <w:pPr>
              <w:pStyle w:val="BoxSpaceBelow"/>
            </w:pPr>
          </w:p>
        </w:tc>
      </w:tr>
    </w:tbl>
    <w:p w14:paraId="7C6EE880" w14:textId="77777777" w:rsidR="00337D3B" w:rsidRPr="00310AA4" w:rsidRDefault="00337D3B" w:rsidP="00310AA4">
      <w:pPr>
        <w:pStyle w:val="Heading4"/>
      </w:pPr>
      <w:r w:rsidRPr="00310AA4">
        <w:t>Perceptions of safety</w:t>
      </w:r>
    </w:p>
    <w:p w14:paraId="45DA8158" w14:textId="59E3DAC6" w:rsidR="00337D3B" w:rsidRPr="00310AA4" w:rsidRDefault="00337D3B" w:rsidP="00310AA4">
      <w:pPr>
        <w:pStyle w:val="BodyText"/>
      </w:pPr>
      <w:r w:rsidRPr="00310AA4">
        <w:t>‘Perceptions of safety’ is an indicator of governments’ objective to contribute to a safe and secure community that enables people to undertake their lawful pursuits confidently and safely (box 6.1</w:t>
      </w:r>
      <w:r w:rsidR="00CA43F4" w:rsidRPr="00310AA4">
        <w:t>5</w:t>
      </w:r>
      <w:r w:rsidRPr="00310AA4">
        <w:t>).</w:t>
      </w:r>
    </w:p>
    <w:p w14:paraId="56C26749" w14:textId="77777777" w:rsidR="0099694F" w:rsidRDefault="0099694F" w:rsidP="00AF3190">
      <w:pPr>
        <w:pStyle w:val="BodyText"/>
      </w:pPr>
    </w:p>
    <w:p w14:paraId="6AA0D6C5" w14:textId="46070148" w:rsidR="00337D3B" w:rsidRDefault="00337D3B" w:rsidP="00A04FE4">
      <w:pPr>
        <w:pStyle w:val="BoxSpaceAbove"/>
        <w:spacing w:before="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37D3B" w14:paraId="692513CC" w14:textId="77777777" w:rsidTr="0061204D">
        <w:trPr>
          <w:tblHeader/>
        </w:trPr>
        <w:tc>
          <w:tcPr>
            <w:tcW w:w="5000" w:type="pct"/>
            <w:tcBorders>
              <w:top w:val="single" w:sz="6" w:space="0" w:color="78A22F"/>
              <w:left w:val="nil"/>
              <w:bottom w:val="nil"/>
              <w:right w:val="nil"/>
            </w:tcBorders>
            <w:shd w:val="clear" w:color="auto" w:fill="F2F2F2"/>
          </w:tcPr>
          <w:p w14:paraId="375C408C" w14:textId="6D6F9BA0" w:rsidR="00337D3B" w:rsidRDefault="00337D3B" w:rsidP="00A80F71">
            <w:pPr>
              <w:pStyle w:val="BoxTitle"/>
            </w:pPr>
            <w:r>
              <w:rPr>
                <w:b w:val="0"/>
              </w:rPr>
              <w:t>Box 6.</w:t>
            </w:r>
            <w:r w:rsidR="00A80F71">
              <w:rPr>
                <w:b w:val="0"/>
              </w:rPr>
              <w:t>15</w:t>
            </w:r>
            <w:r>
              <w:tab/>
              <w:t>Perceptions of safety</w:t>
            </w:r>
          </w:p>
        </w:tc>
      </w:tr>
      <w:tr w:rsidR="00337D3B" w14:paraId="12B40B6D" w14:textId="77777777" w:rsidTr="0061204D">
        <w:tc>
          <w:tcPr>
            <w:tcW w:w="5000" w:type="pct"/>
            <w:tcBorders>
              <w:top w:val="nil"/>
              <w:left w:val="nil"/>
              <w:bottom w:val="nil"/>
              <w:right w:val="nil"/>
            </w:tcBorders>
            <w:shd w:val="clear" w:color="auto" w:fill="F2F2F2"/>
          </w:tcPr>
          <w:p w14:paraId="4E756A40" w14:textId="77777777" w:rsidR="00337D3B" w:rsidRDefault="00337D3B" w:rsidP="0061204D">
            <w:pPr>
              <w:pStyle w:val="Box"/>
            </w:pPr>
            <w:r>
              <w:t>‘Perceptions of safety’ is defined by two measures:</w:t>
            </w:r>
          </w:p>
          <w:p w14:paraId="0979FDBC" w14:textId="77777777" w:rsidR="00337D3B" w:rsidRDefault="00337D3B" w:rsidP="0061204D">
            <w:pPr>
              <w:pStyle w:val="BoxListBullet"/>
            </w:pPr>
            <w:r>
              <w:t>the proportion of people who felt ‘safe’ or ‘very safe’ at home during the night</w:t>
            </w:r>
          </w:p>
          <w:p w14:paraId="2807B8AA" w14:textId="77777777" w:rsidR="00337D3B" w:rsidRDefault="00337D3B" w:rsidP="0061204D">
            <w:pPr>
              <w:pStyle w:val="BoxListBullet"/>
            </w:pPr>
            <w:r>
              <w:t>the proportion of people who felt ‘safe’ or ‘very safe’ in public places, including ‘walking locally’ and travelling on public transport during the day and at night.</w:t>
            </w:r>
          </w:p>
          <w:p w14:paraId="4B442168" w14:textId="496D1262" w:rsidR="00337D3B" w:rsidRDefault="00337D3B" w:rsidP="0061204D">
            <w:pPr>
              <w:pStyle w:val="Box"/>
            </w:pPr>
            <w:r>
              <w:t xml:space="preserve">A high or increasing proportion of people who felt ‘safe’ or ‘very safe’ is desirable. </w:t>
            </w:r>
            <w:r w:rsidRPr="007F2386">
              <w:t xml:space="preserve">Perceptions of safety may not reflect reported crime, </w:t>
            </w:r>
            <w:r>
              <w:t>which</w:t>
            </w:r>
            <w:r w:rsidRPr="007F2386">
              <w:t xml:space="preserve"> might understate actual crime, and many factors might affect public perceptions of crime levels and safety.</w:t>
            </w:r>
            <w:r>
              <w:t xml:space="preserve"> </w:t>
            </w:r>
          </w:p>
          <w:p w14:paraId="0FC26FD8" w14:textId="77777777" w:rsidR="00337D3B" w:rsidRDefault="00337D3B" w:rsidP="0061204D">
            <w:pPr>
              <w:pStyle w:val="Box"/>
            </w:pPr>
            <w:r>
              <w:t>Data reported for these measures are:</w:t>
            </w:r>
          </w:p>
          <w:p w14:paraId="31497BE0" w14:textId="5E76C843" w:rsidR="00337D3B" w:rsidRPr="009442FD" w:rsidRDefault="00337D3B" w:rsidP="00305FCE">
            <w:pPr>
              <w:pStyle w:val="BoxListBullet"/>
              <w:numPr>
                <w:ilvl w:val="0"/>
                <w:numId w:val="0"/>
              </w:numPr>
              <w:ind w:left="284"/>
            </w:pPr>
            <w:r w:rsidRPr="009273A9">
              <w:rPr>
                <w:shd w:val="clear" w:color="auto" w:fill="F15A25"/>
              </w:rPr>
              <w:t xml:space="preserve">    </w:t>
            </w:r>
            <w:r>
              <w:t xml:space="preserve"> </w:t>
            </w:r>
            <w:r w:rsidRPr="009442FD">
              <w:t>comparable (subject to caveats) across jurisdictions and over time</w:t>
            </w:r>
          </w:p>
          <w:p w14:paraId="6B220203" w14:textId="2BB1998F" w:rsidR="00337D3B" w:rsidRDefault="00337D3B" w:rsidP="00DE3C82">
            <w:pPr>
              <w:pStyle w:val="BoxListBullet"/>
              <w:numPr>
                <w:ilvl w:val="0"/>
                <w:numId w:val="0"/>
              </w:numPr>
              <w:ind w:left="284"/>
            </w:pPr>
            <w:r w:rsidRPr="009273A9">
              <w:rPr>
                <w:shd w:val="clear" w:color="auto" w:fill="F15A25"/>
              </w:rPr>
              <w:t xml:space="preserve">    </w:t>
            </w:r>
            <w:r>
              <w:t xml:space="preserve"> </w:t>
            </w:r>
            <w:r w:rsidRPr="009442FD">
              <w:t>complet</w:t>
            </w:r>
            <w:r w:rsidR="00DE3C82">
              <w:t>e</w:t>
            </w:r>
            <w:r w:rsidRPr="009442FD">
              <w:t xml:space="preserve"> (subject to caveats)</w:t>
            </w:r>
            <w:r>
              <w:t xml:space="preserve"> </w:t>
            </w:r>
            <w:r w:rsidRPr="009442FD">
              <w:t xml:space="preserve">for the current reporting period. All required </w:t>
            </w:r>
            <w:r>
              <w:t xml:space="preserve">2017-18 </w:t>
            </w:r>
            <w:r w:rsidRPr="009442FD">
              <w:t>data are available for all jurisdictions</w:t>
            </w:r>
            <w:r>
              <w:t>.</w:t>
            </w:r>
          </w:p>
        </w:tc>
      </w:tr>
      <w:tr w:rsidR="00337D3B" w14:paraId="1861650E" w14:textId="77777777" w:rsidTr="0061204D">
        <w:tc>
          <w:tcPr>
            <w:tcW w:w="5000" w:type="pct"/>
            <w:tcBorders>
              <w:top w:val="nil"/>
              <w:left w:val="nil"/>
              <w:bottom w:val="single" w:sz="6" w:space="0" w:color="78A22F"/>
              <w:right w:val="nil"/>
            </w:tcBorders>
            <w:shd w:val="clear" w:color="auto" w:fill="F2F2F2"/>
          </w:tcPr>
          <w:p w14:paraId="20272273" w14:textId="77777777" w:rsidR="00337D3B" w:rsidRDefault="00337D3B" w:rsidP="0061204D">
            <w:pPr>
              <w:pStyle w:val="Box"/>
              <w:spacing w:before="0" w:line="120" w:lineRule="exact"/>
            </w:pPr>
          </w:p>
        </w:tc>
      </w:tr>
      <w:tr w:rsidR="00337D3B" w:rsidRPr="000863A5" w14:paraId="09D68359" w14:textId="77777777" w:rsidTr="0061204D">
        <w:tc>
          <w:tcPr>
            <w:tcW w:w="5000" w:type="pct"/>
            <w:tcBorders>
              <w:top w:val="single" w:sz="6" w:space="0" w:color="78A22F"/>
              <w:left w:val="nil"/>
              <w:bottom w:val="nil"/>
              <w:right w:val="nil"/>
            </w:tcBorders>
          </w:tcPr>
          <w:p w14:paraId="6B6E844E" w14:textId="15C9050B" w:rsidR="00337D3B" w:rsidRPr="00626D32" w:rsidRDefault="00337D3B" w:rsidP="00217C07">
            <w:pPr>
              <w:pStyle w:val="BoxSpaceBelow"/>
              <w:spacing w:before="0" w:after="0"/>
            </w:pPr>
          </w:p>
        </w:tc>
      </w:tr>
    </w:tbl>
    <w:p w14:paraId="383A1951" w14:textId="0B99D39E" w:rsidR="0002694F" w:rsidRPr="00310AA4" w:rsidRDefault="00337D3B" w:rsidP="00DE3C82">
      <w:pPr>
        <w:pStyle w:val="BodyText"/>
        <w:spacing w:before="80" w:after="80"/>
      </w:pPr>
      <w:r w:rsidRPr="00310AA4">
        <w:t>Nationally in 2017</w:t>
      </w:r>
      <w:r w:rsidRPr="00310AA4">
        <w:noBreakHyphen/>
        <w:t>18, 88.4 per cent of people felt ‘safe’ or ‘very safe’ at home alone during the night (figure 6.16 and table 6A.5) and 53.1 per cent of people felt safe or very safe when walking locally during the night (figure 6.17</w:t>
      </w:r>
      <w:r w:rsidR="0002694F" w:rsidRPr="00310AA4">
        <w:t>(</w:t>
      </w:r>
      <w:r w:rsidRPr="00310AA4">
        <w:t>a</w:t>
      </w:r>
      <w:r w:rsidR="0002694F" w:rsidRPr="00310AA4">
        <w:t>)</w:t>
      </w:r>
      <w:r w:rsidRPr="00310AA4">
        <w:t>). This proportion dropped to 32.1 per cent when travelling on public transport d</w:t>
      </w:r>
      <w:r w:rsidR="003577FD" w:rsidRPr="00310AA4">
        <w:t>uring the night (figure 6.17</w:t>
      </w:r>
      <w:r w:rsidR="0002694F" w:rsidRPr="00310AA4">
        <w:t>(</w:t>
      </w:r>
      <w:r w:rsidR="003577FD" w:rsidRPr="00310AA4">
        <w:t>b</w:t>
      </w:r>
      <w:r w:rsidR="0002694F" w:rsidRPr="00310AA4">
        <w:t>)</w:t>
      </w:r>
      <w:r w:rsidR="003577FD" w:rsidRPr="00310AA4">
        <w:t>).</w:t>
      </w:r>
      <w:r w:rsidR="0002694F" w:rsidRPr="00310AA4">
        <w:t xml:space="preserve"> </w:t>
      </w:r>
    </w:p>
    <w:p w14:paraId="11AC0193" w14:textId="5BD34153" w:rsidR="003577FD" w:rsidRPr="0057653C" w:rsidRDefault="003577FD" w:rsidP="0057653C">
      <w:pPr>
        <w:pStyle w:val="BoxSpaceAbove"/>
        <w:rPr>
          <w:b/>
          <w:vanish/>
          <w:color w:val="FF00FF"/>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577FD" w14:paraId="1AD14568" w14:textId="77777777" w:rsidTr="00C40348">
        <w:trPr>
          <w:tblHeader/>
        </w:trPr>
        <w:tc>
          <w:tcPr>
            <w:tcW w:w="5000" w:type="pct"/>
            <w:tcBorders>
              <w:top w:val="single" w:sz="6" w:space="0" w:color="78A22F"/>
              <w:left w:val="nil"/>
              <w:bottom w:val="nil"/>
              <w:right w:val="nil"/>
            </w:tcBorders>
            <w:shd w:val="clear" w:color="auto" w:fill="auto"/>
          </w:tcPr>
          <w:p w14:paraId="3CE0E580" w14:textId="2BEFF3CF" w:rsidR="003577FD" w:rsidRPr="00176D3F" w:rsidRDefault="003577FD" w:rsidP="00C74747">
            <w:pPr>
              <w:pStyle w:val="FigureTitle"/>
            </w:pPr>
            <w:r w:rsidRPr="00784A05">
              <w:rPr>
                <w:b w:val="0"/>
              </w:rPr>
              <w:t xml:space="preserve">Figure </w:t>
            </w:r>
            <w:r>
              <w:rPr>
                <w:b w:val="0"/>
              </w:rPr>
              <w:t>6.16</w:t>
            </w:r>
            <w:r>
              <w:tab/>
            </w:r>
            <w:r w:rsidR="00C74747">
              <w:t>P</w:t>
            </w:r>
            <w:r w:rsidR="00A27724">
              <w:t>eople who felt ‘</w:t>
            </w:r>
            <w:r>
              <w:t>safe’ or ‘very safe’ a</w:t>
            </w:r>
            <w:r w:rsidRPr="00E0497B">
              <w:t xml:space="preserve">t home </w:t>
            </w:r>
            <w:r w:rsidRPr="00084C76">
              <w:t>alone</w:t>
            </w:r>
            <w:r>
              <w:t xml:space="preserve"> during the night</w:t>
            </w:r>
            <w:r w:rsidRPr="00E91298">
              <w:rPr>
                <w:rStyle w:val="NoteLabel"/>
                <w:b/>
              </w:rPr>
              <w:t>a</w:t>
            </w:r>
            <w:r w:rsidR="00F134C4" w:rsidRPr="00F134C4">
              <w:rPr>
                <w:rStyle w:val="NoteLabel"/>
                <w:b/>
              </w:rPr>
              <w:t>, b</w:t>
            </w:r>
          </w:p>
        </w:tc>
      </w:tr>
      <w:tr w:rsidR="003577FD" w14:paraId="5CBD9222" w14:textId="77777777" w:rsidTr="00C40348">
        <w:tc>
          <w:tcPr>
            <w:tcW w:w="5000" w:type="pct"/>
            <w:tcBorders>
              <w:top w:val="nil"/>
              <w:left w:val="nil"/>
              <w:bottom w:val="nil"/>
              <w:right w:val="nil"/>
            </w:tcBorders>
            <w:shd w:val="clear" w:color="auto" w:fill="auto"/>
            <w:tcMar>
              <w:top w:w="28" w:type="dxa"/>
              <w:bottom w:w="28" w:type="dxa"/>
            </w:tcMar>
          </w:tcPr>
          <w:tbl>
            <w:tblPr>
              <w:tblW w:w="5000" w:type="pct"/>
              <w:jc w:val="center"/>
              <w:tblBorders>
                <w:top w:val="single" w:sz="6" w:space="0" w:color="FFC000" w:themeColor="accent4"/>
                <w:bottom w:val="single" w:sz="6" w:space="0" w:color="FFC000"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3577FD" w:rsidRPr="00B1465D" w14:paraId="77BFA0AB" w14:textId="77777777" w:rsidTr="003547C3">
              <w:trPr>
                <w:tblHeader/>
                <w:jc w:val="center"/>
              </w:trPr>
              <w:tc>
                <w:tcPr>
                  <w:tcW w:w="5000" w:type="pct"/>
                  <w:tcBorders>
                    <w:top w:val="nil"/>
                    <w:bottom w:val="nil"/>
                  </w:tcBorders>
                </w:tcPr>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296"/>
                    <w:gridCol w:w="665"/>
                    <w:gridCol w:w="7544"/>
                  </w:tblGrid>
                  <w:tr w:rsidR="00217C07" w:rsidRPr="00C96187" w14:paraId="6CA53BAA" w14:textId="77777777" w:rsidTr="003547C3">
                    <w:tc>
                      <w:tcPr>
                        <w:tcW w:w="174" w:type="pct"/>
                        <w:tcBorders>
                          <w:top w:val="nil"/>
                          <w:left w:val="nil"/>
                          <w:bottom w:val="nil"/>
                          <w:right w:val="nil"/>
                        </w:tcBorders>
                        <w:shd w:val="clear" w:color="auto" w:fill="auto"/>
                        <w:tcMar>
                          <w:top w:w="28" w:type="dxa"/>
                          <w:bottom w:w="28" w:type="dxa"/>
                        </w:tcMar>
                      </w:tcPr>
                      <w:p w14:paraId="32F695F2" w14:textId="77777777" w:rsidR="00217C07" w:rsidRPr="00C96187" w:rsidRDefault="00217C07" w:rsidP="00217C07">
                        <w:pPr>
                          <w:pStyle w:val="TableBodyText"/>
                        </w:pPr>
                      </w:p>
                    </w:tc>
                    <w:tc>
                      <w:tcPr>
                        <w:tcW w:w="391" w:type="pct"/>
                        <w:tcBorders>
                          <w:top w:val="nil"/>
                          <w:left w:val="nil"/>
                          <w:bottom w:val="nil"/>
                          <w:right w:val="nil"/>
                        </w:tcBorders>
                        <w:shd w:val="clear" w:color="auto" w:fill="F15A25"/>
                      </w:tcPr>
                      <w:p w14:paraId="38E3323E" w14:textId="77777777" w:rsidR="00217C07" w:rsidRPr="00C96187" w:rsidRDefault="00217C07" w:rsidP="00217C07">
                        <w:pPr>
                          <w:keepNext/>
                          <w:keepLines/>
                          <w:spacing w:before="60" w:after="60" w:line="240" w:lineRule="atLeast"/>
                          <w:jc w:val="center"/>
                          <w:rPr>
                            <w:rFonts w:ascii="Arial" w:hAnsi="Arial" w:cs="Arial"/>
                            <w:sz w:val="18"/>
                            <w:szCs w:val="18"/>
                          </w:rPr>
                        </w:pPr>
                      </w:p>
                    </w:tc>
                    <w:tc>
                      <w:tcPr>
                        <w:tcW w:w="4435" w:type="pct"/>
                        <w:tcBorders>
                          <w:top w:val="nil"/>
                          <w:left w:val="nil"/>
                          <w:bottom w:val="nil"/>
                          <w:right w:val="nil"/>
                        </w:tcBorders>
                        <w:shd w:val="clear" w:color="auto" w:fill="auto"/>
                      </w:tcPr>
                      <w:p w14:paraId="7F0B3961" w14:textId="448E9394" w:rsidR="00217C07" w:rsidRPr="00C96187" w:rsidRDefault="00217C07" w:rsidP="00217C07">
                        <w:pPr>
                          <w:pStyle w:val="TableBodyText"/>
                          <w:jc w:val="left"/>
                        </w:pPr>
                        <w:r w:rsidRPr="00077710">
                          <w:t xml:space="preserve">Data are </w:t>
                        </w:r>
                        <w:r>
                          <w:t xml:space="preserve">comparable </w:t>
                        </w:r>
                        <w:r w:rsidRPr="00077710">
                          <w:t>(subject to caveats)</w:t>
                        </w:r>
                        <w:r>
                          <w:t xml:space="preserve"> across jurisdictions and over time.</w:t>
                        </w:r>
                      </w:p>
                    </w:tc>
                  </w:tr>
                </w:tbl>
                <w:p w14:paraId="4A81FC7A" w14:textId="77777777" w:rsidR="003577FD" w:rsidRPr="00B1465D" w:rsidRDefault="003577FD" w:rsidP="003577FD">
                  <w:pPr>
                    <w:pStyle w:val="TableBodyText"/>
                    <w:jc w:val="left"/>
                  </w:pPr>
                </w:p>
              </w:tc>
            </w:tr>
            <w:tr w:rsidR="003577FD" w:rsidRPr="00B1465D" w14:paraId="773968D8" w14:textId="77777777" w:rsidTr="003547C3">
              <w:trPr>
                <w:tblHeader/>
                <w:jc w:val="center"/>
              </w:trPr>
              <w:tc>
                <w:tcPr>
                  <w:tcW w:w="5000" w:type="pct"/>
                  <w:tcBorders>
                    <w:top w:val="nil"/>
                    <w:bottom w:val="nil"/>
                  </w:tcBorders>
                </w:tcPr>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296"/>
                    <w:gridCol w:w="665"/>
                    <w:gridCol w:w="7544"/>
                  </w:tblGrid>
                  <w:tr w:rsidR="00217C07" w:rsidRPr="00C96187" w14:paraId="50A4051C" w14:textId="77777777" w:rsidTr="003547C3">
                    <w:tc>
                      <w:tcPr>
                        <w:tcW w:w="174" w:type="pct"/>
                        <w:tcBorders>
                          <w:top w:val="nil"/>
                          <w:left w:val="nil"/>
                          <w:bottom w:val="nil"/>
                          <w:right w:val="nil"/>
                        </w:tcBorders>
                        <w:shd w:val="clear" w:color="auto" w:fill="auto"/>
                        <w:tcMar>
                          <w:top w:w="28" w:type="dxa"/>
                          <w:bottom w:w="28" w:type="dxa"/>
                        </w:tcMar>
                      </w:tcPr>
                      <w:p w14:paraId="54F39447" w14:textId="77777777" w:rsidR="00217C07" w:rsidRPr="00C96187" w:rsidRDefault="00217C07" w:rsidP="00217C07">
                        <w:pPr>
                          <w:pStyle w:val="TableBodyText"/>
                        </w:pPr>
                      </w:p>
                    </w:tc>
                    <w:tc>
                      <w:tcPr>
                        <w:tcW w:w="391" w:type="pct"/>
                        <w:tcBorders>
                          <w:top w:val="nil"/>
                          <w:left w:val="nil"/>
                          <w:bottom w:val="nil"/>
                          <w:right w:val="nil"/>
                        </w:tcBorders>
                        <w:shd w:val="clear" w:color="auto" w:fill="F15A25"/>
                      </w:tcPr>
                      <w:p w14:paraId="1F8C562A" w14:textId="77777777" w:rsidR="00217C07" w:rsidRPr="00C96187" w:rsidRDefault="00217C07" w:rsidP="00217C07">
                        <w:pPr>
                          <w:keepNext/>
                          <w:keepLines/>
                          <w:spacing w:before="60" w:after="60" w:line="240" w:lineRule="atLeast"/>
                          <w:jc w:val="center"/>
                          <w:rPr>
                            <w:rFonts w:ascii="Arial" w:hAnsi="Arial" w:cs="Arial"/>
                            <w:sz w:val="18"/>
                            <w:szCs w:val="18"/>
                          </w:rPr>
                        </w:pPr>
                      </w:p>
                    </w:tc>
                    <w:tc>
                      <w:tcPr>
                        <w:tcW w:w="4435" w:type="pct"/>
                        <w:tcBorders>
                          <w:top w:val="nil"/>
                          <w:left w:val="nil"/>
                          <w:bottom w:val="nil"/>
                          <w:right w:val="nil"/>
                        </w:tcBorders>
                        <w:shd w:val="clear" w:color="auto" w:fill="auto"/>
                      </w:tcPr>
                      <w:p w14:paraId="65D25216" w14:textId="704174A1" w:rsidR="00217C07" w:rsidRPr="00C96187" w:rsidRDefault="00217C07" w:rsidP="00217C07">
                        <w:pPr>
                          <w:pStyle w:val="TableBodyText"/>
                          <w:jc w:val="left"/>
                        </w:pPr>
                        <w:r w:rsidRPr="00077710">
                          <w:t xml:space="preserve">Data are complete (subject to caveats) for the current reporting period. </w:t>
                        </w:r>
                      </w:p>
                    </w:tc>
                  </w:tr>
                </w:tbl>
                <w:p w14:paraId="5D894C1A" w14:textId="77777777" w:rsidR="003577FD" w:rsidRPr="00B1465D" w:rsidRDefault="003577FD" w:rsidP="003577FD">
                  <w:pPr>
                    <w:pStyle w:val="TableBodyText"/>
                    <w:jc w:val="left"/>
                  </w:pPr>
                </w:p>
              </w:tc>
            </w:tr>
            <w:tr w:rsidR="003577FD" w:rsidRPr="00B1465D" w14:paraId="30A16595" w14:textId="77777777" w:rsidTr="003547C3">
              <w:trPr>
                <w:tblHeader/>
                <w:jc w:val="center"/>
              </w:trPr>
              <w:tc>
                <w:tcPr>
                  <w:tcW w:w="5000" w:type="pct"/>
                  <w:tcBorders>
                    <w:top w:val="nil"/>
                    <w:bottom w:val="nil"/>
                  </w:tcBorders>
                </w:tcPr>
                <w:p w14:paraId="69605B74" w14:textId="2031EF5D" w:rsidR="003577FD" w:rsidRPr="003577FD" w:rsidRDefault="008409A4" w:rsidP="003577FD">
                  <w:pPr>
                    <w:pStyle w:val="Figure"/>
                  </w:pPr>
                  <w:r>
                    <w:rPr>
                      <w:noProof/>
                    </w:rPr>
                    <w:drawing>
                      <wp:inline distT="0" distB="0" distL="0" distR="0" wp14:anchorId="71D85268" wp14:editId="51F32604">
                        <wp:extent cx="5224780" cy="2707005"/>
                        <wp:effectExtent l="0" t="0" r="0" b="0"/>
                        <wp:docPr id="24" name="Picture 24" descr="Figure 6.16 People who felt 'safe' or 'very safe' at home alone during the night&#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24780" cy="2707005"/>
                                </a:xfrm>
                                <a:prstGeom prst="rect">
                                  <a:avLst/>
                                </a:prstGeom>
                                <a:noFill/>
                              </pic:spPr>
                            </pic:pic>
                          </a:graphicData>
                        </a:graphic>
                      </wp:inline>
                    </w:drawing>
                  </w:r>
                </w:p>
              </w:tc>
            </w:tr>
          </w:tbl>
          <w:p w14:paraId="3AC2C2F2" w14:textId="77777777" w:rsidR="003577FD" w:rsidRDefault="003577FD" w:rsidP="003547C3">
            <w:pPr>
              <w:pStyle w:val="Figure"/>
            </w:pPr>
          </w:p>
        </w:tc>
      </w:tr>
      <w:tr w:rsidR="003577FD" w:rsidRPr="00176D3F" w14:paraId="4F182A9C" w14:textId="77777777" w:rsidTr="003547C3">
        <w:tc>
          <w:tcPr>
            <w:tcW w:w="5000" w:type="pct"/>
            <w:tcBorders>
              <w:top w:val="nil"/>
              <w:left w:val="nil"/>
              <w:bottom w:val="nil"/>
              <w:right w:val="nil"/>
            </w:tcBorders>
            <w:shd w:val="clear" w:color="auto" w:fill="auto"/>
          </w:tcPr>
          <w:p w14:paraId="6F9C027B" w14:textId="1018DD24" w:rsidR="003577FD" w:rsidRPr="00176D3F" w:rsidRDefault="00F134C4" w:rsidP="004C3F47">
            <w:pPr>
              <w:pStyle w:val="Note"/>
            </w:pPr>
            <w:proofErr w:type="spellStart"/>
            <w:r>
              <w:rPr>
                <w:rStyle w:val="NoteLabel"/>
              </w:rPr>
              <w:t>a</w:t>
            </w:r>
            <w:proofErr w:type="spellEnd"/>
            <w:r>
              <w:t xml:space="preserve"> </w:t>
            </w:r>
            <w:r w:rsidRPr="00D434EE">
              <w:t>Error bars represent the 95 per cent confidence interval associated with each point estimate</w:t>
            </w:r>
            <w:r>
              <w:t xml:space="preserve">. </w:t>
            </w:r>
            <w:r>
              <w:rPr>
                <w:rStyle w:val="NoteLabel"/>
              </w:rPr>
              <w:t>b</w:t>
            </w:r>
            <w:r w:rsidR="003577FD">
              <w:t xml:space="preserve"> See box</w:t>
            </w:r>
            <w:r w:rsidR="004C3F47">
              <w:t> </w:t>
            </w:r>
            <w:r w:rsidR="003577FD">
              <w:t>6.1</w:t>
            </w:r>
            <w:r w:rsidR="00CA43F4">
              <w:t>5</w:t>
            </w:r>
            <w:r w:rsidR="003577FD" w:rsidRPr="00C602B2">
              <w:t xml:space="preserve"> and </w:t>
            </w:r>
            <w:r w:rsidR="003577FD">
              <w:t>table</w:t>
            </w:r>
            <w:r w:rsidR="003577FD" w:rsidRPr="00746DD7">
              <w:t xml:space="preserve"> </w:t>
            </w:r>
            <w:r w:rsidR="003577FD" w:rsidRPr="0096336D">
              <w:t>6A.</w:t>
            </w:r>
            <w:r w:rsidR="003577FD">
              <w:t xml:space="preserve">5 </w:t>
            </w:r>
            <w:r w:rsidR="003577FD" w:rsidRPr="00C602B2">
              <w:t>for detailed definitions, footnotes and caveats</w:t>
            </w:r>
            <w:r w:rsidR="003577FD">
              <w:t>.</w:t>
            </w:r>
          </w:p>
        </w:tc>
      </w:tr>
      <w:tr w:rsidR="003577FD" w:rsidRPr="00176D3F" w14:paraId="1EB28155" w14:textId="77777777" w:rsidTr="003547C3">
        <w:tc>
          <w:tcPr>
            <w:tcW w:w="5000" w:type="pct"/>
            <w:tcBorders>
              <w:top w:val="nil"/>
              <w:left w:val="nil"/>
              <w:bottom w:val="nil"/>
              <w:right w:val="nil"/>
            </w:tcBorders>
            <w:shd w:val="clear" w:color="auto" w:fill="auto"/>
          </w:tcPr>
          <w:p w14:paraId="6D277B4F" w14:textId="2DE5E491" w:rsidR="003577FD" w:rsidRPr="00176D3F" w:rsidRDefault="003577FD" w:rsidP="00310AA4">
            <w:pPr>
              <w:pStyle w:val="Source"/>
              <w:spacing w:before="40"/>
            </w:pPr>
            <w:r>
              <w:rPr>
                <w:i/>
              </w:rPr>
              <w:t>S</w:t>
            </w:r>
            <w:r w:rsidRPr="00784A05">
              <w:rPr>
                <w:i/>
              </w:rPr>
              <w:t>ource</w:t>
            </w:r>
            <w:r w:rsidRPr="00176D3F">
              <w:t xml:space="preserve">: </w:t>
            </w:r>
            <w:r w:rsidRPr="00E0497B">
              <w:t>ANZPAA (unpublished); table 6A</w:t>
            </w:r>
            <w:r w:rsidRPr="003D5B75">
              <w:t>.</w:t>
            </w:r>
            <w:r>
              <w:t>5</w:t>
            </w:r>
            <w:r w:rsidRPr="00E0497B">
              <w:t>.</w:t>
            </w:r>
          </w:p>
        </w:tc>
      </w:tr>
      <w:tr w:rsidR="003577FD" w14:paraId="6072BEA7" w14:textId="77777777" w:rsidTr="003547C3">
        <w:tc>
          <w:tcPr>
            <w:tcW w:w="5000" w:type="pct"/>
            <w:tcBorders>
              <w:top w:val="nil"/>
              <w:left w:val="nil"/>
              <w:bottom w:val="single" w:sz="6" w:space="0" w:color="78A22F"/>
              <w:right w:val="nil"/>
            </w:tcBorders>
            <w:shd w:val="clear" w:color="auto" w:fill="auto"/>
          </w:tcPr>
          <w:p w14:paraId="411868A1" w14:textId="77777777" w:rsidR="003577FD" w:rsidRDefault="003577FD" w:rsidP="003547C3">
            <w:pPr>
              <w:pStyle w:val="Figurespace"/>
            </w:pPr>
          </w:p>
        </w:tc>
      </w:tr>
      <w:tr w:rsidR="003577FD" w:rsidRPr="000863A5" w14:paraId="4E98E02F" w14:textId="77777777" w:rsidTr="003547C3">
        <w:tc>
          <w:tcPr>
            <w:tcW w:w="5000" w:type="pct"/>
            <w:tcBorders>
              <w:top w:val="single" w:sz="6" w:space="0" w:color="78A22F"/>
              <w:left w:val="nil"/>
              <w:bottom w:val="nil"/>
              <w:right w:val="nil"/>
            </w:tcBorders>
          </w:tcPr>
          <w:p w14:paraId="2D090887" w14:textId="527DEE2F" w:rsidR="003577FD" w:rsidRPr="00626D32" w:rsidRDefault="003577FD" w:rsidP="00730E78">
            <w:pPr>
              <w:pStyle w:val="BoxSpaceBelow"/>
              <w:spacing w:before="40" w:after="40"/>
            </w:pPr>
          </w:p>
        </w:tc>
      </w:tr>
    </w:tbl>
    <w:p w14:paraId="22BE19F9" w14:textId="362225CF" w:rsidR="00337D3B" w:rsidRDefault="00337D3B" w:rsidP="00337D3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37D3B" w14:paraId="34F67BC6" w14:textId="77777777" w:rsidTr="00C40348">
        <w:trPr>
          <w:tblHeader/>
        </w:trPr>
        <w:tc>
          <w:tcPr>
            <w:tcW w:w="5000" w:type="pct"/>
            <w:tcBorders>
              <w:top w:val="single" w:sz="6" w:space="0" w:color="78A22F"/>
              <w:left w:val="nil"/>
              <w:bottom w:val="nil"/>
              <w:right w:val="nil"/>
            </w:tcBorders>
            <w:shd w:val="clear" w:color="auto" w:fill="auto"/>
          </w:tcPr>
          <w:p w14:paraId="71F73D45" w14:textId="55B56BA8" w:rsidR="00337D3B" w:rsidRPr="009F00ED" w:rsidRDefault="00337D3B" w:rsidP="00C74747">
            <w:pPr>
              <w:pStyle w:val="FigureTitle"/>
              <w:rPr>
                <w:rStyle w:val="NoteLabel"/>
              </w:rPr>
            </w:pPr>
            <w:r w:rsidRPr="00784A05">
              <w:rPr>
                <w:b w:val="0"/>
              </w:rPr>
              <w:t xml:space="preserve">Figure </w:t>
            </w:r>
            <w:r>
              <w:rPr>
                <w:b w:val="0"/>
              </w:rPr>
              <w:t>6.17</w:t>
            </w:r>
            <w:r>
              <w:tab/>
              <w:t>P</w:t>
            </w:r>
            <w:r w:rsidR="00C74747">
              <w:t xml:space="preserve">eople </w:t>
            </w:r>
            <w:r w:rsidR="00217C07">
              <w:t>who fe</w:t>
            </w:r>
            <w:r w:rsidR="00A27724">
              <w:t xml:space="preserve">lt </w:t>
            </w:r>
            <w:r w:rsidR="00217C07">
              <w:t>‘safe’ or ‘very safe’ i</w:t>
            </w:r>
            <w:r>
              <w:t>n public places during the night</w:t>
            </w:r>
            <w:r w:rsidRPr="00E91298">
              <w:rPr>
                <w:rStyle w:val="NoteLabel"/>
                <w:b/>
              </w:rPr>
              <w:t>a</w:t>
            </w:r>
            <w:r w:rsidR="00F134C4">
              <w:rPr>
                <w:rStyle w:val="NoteLabel"/>
                <w:b/>
              </w:rPr>
              <w:t>, b</w:t>
            </w:r>
          </w:p>
        </w:tc>
      </w:tr>
      <w:tr w:rsidR="00337D3B" w14:paraId="525EFEAF" w14:textId="77777777" w:rsidTr="00C40348">
        <w:tc>
          <w:tcPr>
            <w:tcW w:w="5000" w:type="pct"/>
            <w:tcBorders>
              <w:top w:val="nil"/>
              <w:left w:val="nil"/>
              <w:bottom w:val="nil"/>
              <w:right w:val="nil"/>
            </w:tcBorders>
            <w:shd w:val="clear" w:color="auto" w:fill="auto"/>
            <w:tcMar>
              <w:top w:w="28" w:type="dxa"/>
              <w:bottom w:w="28" w:type="dxa"/>
            </w:tcMar>
          </w:tcPr>
          <w:tbl>
            <w:tblPr>
              <w:tblW w:w="5000" w:type="pct"/>
              <w:jc w:val="center"/>
              <w:tblBorders>
                <w:top w:val="single" w:sz="6" w:space="0" w:color="FFC000" w:themeColor="accent4"/>
                <w:bottom w:val="single" w:sz="6" w:space="0" w:color="FFC000" w:themeColor="accent4"/>
              </w:tblBorders>
              <w:tblCellMar>
                <w:top w:w="28" w:type="dxa"/>
              </w:tblCellMar>
              <w:tblLook w:val="0000" w:firstRow="0" w:lastRow="0" w:firstColumn="0" w:lastColumn="0" w:noHBand="0" w:noVBand="0"/>
              <w:tblDescription w:val="Nested table used for design layout."/>
            </w:tblPr>
            <w:tblGrid>
              <w:gridCol w:w="8505"/>
            </w:tblGrid>
            <w:tr w:rsidR="00AF3190" w:rsidRPr="00B1465D" w14:paraId="02E13B70" w14:textId="77777777" w:rsidTr="0061204D">
              <w:trPr>
                <w:tblHeader/>
                <w:jc w:val="center"/>
              </w:trPr>
              <w:tc>
                <w:tcPr>
                  <w:tcW w:w="8505" w:type="dxa"/>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AF3190" w:rsidRPr="00636C3F" w14:paraId="0CE44566" w14:textId="77777777" w:rsidTr="00AF3190">
                    <w:tc>
                      <w:tcPr>
                        <w:tcW w:w="304" w:type="dxa"/>
                        <w:tcBorders>
                          <w:top w:val="nil"/>
                          <w:left w:val="nil"/>
                          <w:bottom w:val="nil"/>
                          <w:right w:val="nil"/>
                        </w:tcBorders>
                        <w:shd w:val="clear" w:color="auto" w:fill="auto"/>
                        <w:tcMar>
                          <w:top w:w="28" w:type="dxa"/>
                          <w:bottom w:w="28" w:type="dxa"/>
                        </w:tcMar>
                      </w:tcPr>
                      <w:p w14:paraId="12401835" w14:textId="77777777" w:rsidR="00AF3190" w:rsidRPr="00636C3F" w:rsidRDefault="00AF3190" w:rsidP="00AF3190">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3FED70D0" w14:textId="77777777" w:rsidR="00AF3190" w:rsidRPr="00636C3F" w:rsidRDefault="00AF3190" w:rsidP="00AF3190">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130DA0F3" w14:textId="77777777" w:rsidR="00AF3190" w:rsidRPr="00636C3F" w:rsidRDefault="00AF3190" w:rsidP="00AF3190">
                        <w:pPr>
                          <w:pStyle w:val="TableBodyText"/>
                          <w:jc w:val="left"/>
                        </w:pPr>
                        <w:r w:rsidRPr="00636C3F">
                          <w:t>Data are comparable (subject to caveats) across jurisdictions and over time.</w:t>
                        </w:r>
                      </w:p>
                    </w:tc>
                  </w:tr>
                </w:tbl>
                <w:p w14:paraId="653023FB" w14:textId="77777777" w:rsidR="00AF3190" w:rsidRPr="00A03BD6" w:rsidRDefault="00AF3190" w:rsidP="00AF3190">
                  <w:pPr>
                    <w:pStyle w:val="TableBodyText"/>
                  </w:pPr>
                </w:p>
              </w:tc>
            </w:tr>
            <w:tr w:rsidR="00AF3190" w:rsidRPr="00B1465D" w14:paraId="5937E005" w14:textId="77777777" w:rsidTr="0061204D">
              <w:trPr>
                <w:tblHeader/>
                <w:jc w:val="center"/>
              </w:trPr>
              <w:tc>
                <w:tcPr>
                  <w:tcW w:w="8505" w:type="dxa"/>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AF3190" w:rsidRPr="00636C3F" w14:paraId="50392FE7" w14:textId="77777777" w:rsidTr="00AF3190">
                    <w:tc>
                      <w:tcPr>
                        <w:tcW w:w="304" w:type="dxa"/>
                        <w:tcBorders>
                          <w:top w:val="nil"/>
                          <w:left w:val="nil"/>
                          <w:bottom w:val="nil"/>
                          <w:right w:val="nil"/>
                        </w:tcBorders>
                        <w:shd w:val="clear" w:color="auto" w:fill="auto"/>
                        <w:tcMar>
                          <w:top w:w="28" w:type="dxa"/>
                          <w:bottom w:w="28" w:type="dxa"/>
                        </w:tcMar>
                      </w:tcPr>
                      <w:p w14:paraId="2C471998" w14:textId="77777777" w:rsidR="00AF3190" w:rsidRPr="00636C3F" w:rsidRDefault="00AF3190" w:rsidP="00AF3190">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3EADB742" w14:textId="77777777" w:rsidR="00AF3190" w:rsidRPr="00636C3F" w:rsidRDefault="00AF3190" w:rsidP="00AF3190">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295C2D0E" w14:textId="1F7FC620" w:rsidR="00AF3190" w:rsidRPr="00922364" w:rsidRDefault="00AF3190" w:rsidP="002B0C11">
                        <w:pPr>
                          <w:pStyle w:val="TableBodyText"/>
                          <w:jc w:val="left"/>
                        </w:pPr>
                        <w:r w:rsidRPr="00922364">
                          <w:t xml:space="preserve">Data are complete (subject to caveats) for the current reporting period. </w:t>
                        </w:r>
                      </w:p>
                    </w:tc>
                  </w:tr>
                </w:tbl>
                <w:p w14:paraId="24407E3E" w14:textId="77777777" w:rsidR="00AF3190" w:rsidRPr="00A03BD6" w:rsidRDefault="00AF3190" w:rsidP="00AF3190">
                  <w:pPr>
                    <w:pStyle w:val="TableBodyText"/>
                  </w:pPr>
                </w:p>
              </w:tc>
            </w:tr>
            <w:tr w:rsidR="00337D3B" w:rsidRPr="00B1465D" w14:paraId="107642D3" w14:textId="77777777" w:rsidTr="0061204D">
              <w:trPr>
                <w:tblHeader/>
                <w:jc w:val="center"/>
              </w:trPr>
              <w:tc>
                <w:tcPr>
                  <w:tcW w:w="8505" w:type="dxa"/>
                  <w:tcBorders>
                    <w:top w:val="nil"/>
                    <w:bottom w:val="nil"/>
                  </w:tcBorders>
                </w:tcPr>
                <w:p w14:paraId="6EF73092" w14:textId="77777777" w:rsidR="00337D3B" w:rsidRDefault="00337D3B" w:rsidP="0061204D">
                  <w:pPr>
                    <w:pStyle w:val="Figure"/>
                    <w:numPr>
                      <w:ilvl w:val="0"/>
                      <w:numId w:val="24"/>
                    </w:numPr>
                    <w:spacing w:before="60" w:after="60"/>
                    <w:rPr>
                      <w:rFonts w:ascii="Arial" w:hAnsi="Arial" w:cs="Arial"/>
                      <w:b/>
                      <w:sz w:val="18"/>
                      <w:szCs w:val="18"/>
                    </w:rPr>
                  </w:pPr>
                  <w:r w:rsidRPr="00A03BD6">
                    <w:rPr>
                      <w:rFonts w:ascii="Arial" w:hAnsi="Arial" w:cs="Arial"/>
                      <w:b/>
                      <w:sz w:val="18"/>
                      <w:szCs w:val="18"/>
                    </w:rPr>
                    <w:t>Proportion who felt ‘safe’ or ‘very safe’ walking locally</w:t>
                  </w:r>
                </w:p>
                <w:p w14:paraId="1C0F427C" w14:textId="342BC59D" w:rsidR="00337D3B" w:rsidRPr="00DE78D8" w:rsidRDefault="008409A4" w:rsidP="00DE78D8">
                  <w:pPr>
                    <w:pStyle w:val="Figure"/>
                  </w:pPr>
                  <w:r>
                    <w:rPr>
                      <w:noProof/>
                    </w:rPr>
                    <w:drawing>
                      <wp:inline distT="0" distB="0" distL="0" distR="0" wp14:anchorId="68FF54EC" wp14:editId="1A82B2C7">
                        <wp:extent cx="5407660" cy="2707005"/>
                        <wp:effectExtent l="0" t="0" r="2540" b="0"/>
                        <wp:docPr id="26" name="Picture 26" descr="Figure 6.17 People who felt 'safe' or 'very safe' in public places during the night&#10;&#10;(a) Proportion who felt 'safe' or 'very safe' walking locally&#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7660" cy="2707005"/>
                                </a:xfrm>
                                <a:prstGeom prst="rect">
                                  <a:avLst/>
                                </a:prstGeom>
                                <a:noFill/>
                              </pic:spPr>
                            </pic:pic>
                          </a:graphicData>
                        </a:graphic>
                      </wp:inline>
                    </w:drawing>
                  </w:r>
                </w:p>
              </w:tc>
            </w:tr>
            <w:tr w:rsidR="00337D3B" w:rsidRPr="00B1465D" w14:paraId="36187908" w14:textId="77777777" w:rsidTr="0061204D">
              <w:trPr>
                <w:tblHeader/>
                <w:jc w:val="center"/>
              </w:trPr>
              <w:tc>
                <w:tcPr>
                  <w:tcW w:w="8505" w:type="dxa"/>
                  <w:tcBorders>
                    <w:top w:val="nil"/>
                    <w:bottom w:val="nil"/>
                  </w:tcBorders>
                </w:tcPr>
                <w:p w14:paraId="23EE5FD6" w14:textId="77777777" w:rsidR="00337D3B" w:rsidRDefault="00337D3B" w:rsidP="0061204D">
                  <w:pPr>
                    <w:pStyle w:val="Figure"/>
                    <w:numPr>
                      <w:ilvl w:val="0"/>
                      <w:numId w:val="24"/>
                    </w:numPr>
                    <w:spacing w:before="60" w:after="60"/>
                    <w:rPr>
                      <w:rFonts w:ascii="Arial" w:hAnsi="Arial" w:cs="Arial"/>
                      <w:b/>
                      <w:sz w:val="18"/>
                      <w:szCs w:val="18"/>
                    </w:rPr>
                  </w:pPr>
                  <w:r w:rsidRPr="00A03BD6">
                    <w:rPr>
                      <w:rFonts w:ascii="Arial" w:hAnsi="Arial" w:cs="Arial"/>
                      <w:b/>
                      <w:sz w:val="18"/>
                      <w:szCs w:val="18"/>
                    </w:rPr>
                    <w:t>Proportion who felt ‘safe’ or ‘very safe’ travelling on public transport</w:t>
                  </w:r>
                </w:p>
                <w:p w14:paraId="0ADF5DA7" w14:textId="6D46BDD5" w:rsidR="00337D3B" w:rsidRPr="008409A4" w:rsidRDefault="008409A4" w:rsidP="008409A4">
                  <w:pPr>
                    <w:pStyle w:val="Figure"/>
                  </w:pPr>
                  <w:r>
                    <w:rPr>
                      <w:noProof/>
                    </w:rPr>
                    <w:drawing>
                      <wp:inline distT="0" distB="0" distL="0" distR="0" wp14:anchorId="0A907BD3" wp14:editId="75535478">
                        <wp:extent cx="5401310" cy="2707005"/>
                        <wp:effectExtent l="0" t="0" r="8890" b="0"/>
                        <wp:docPr id="29" name="Picture 29" descr="Figure 6.17 People who felt 'safe' or 'very safe' in public places during the night&#10;&#10;(b) Proportion who felt 'safe' or 'very safe' travelling on public transport&#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1310" cy="2707005"/>
                                </a:xfrm>
                                <a:prstGeom prst="rect">
                                  <a:avLst/>
                                </a:prstGeom>
                                <a:noFill/>
                              </pic:spPr>
                            </pic:pic>
                          </a:graphicData>
                        </a:graphic>
                      </wp:inline>
                    </w:drawing>
                  </w:r>
                </w:p>
              </w:tc>
            </w:tr>
          </w:tbl>
          <w:p w14:paraId="63E7E592" w14:textId="77777777" w:rsidR="00337D3B" w:rsidRDefault="00337D3B" w:rsidP="0061204D">
            <w:pPr>
              <w:pStyle w:val="Figure"/>
            </w:pPr>
          </w:p>
        </w:tc>
      </w:tr>
      <w:tr w:rsidR="00337D3B" w:rsidRPr="00176D3F" w14:paraId="1769B018" w14:textId="77777777" w:rsidTr="0061204D">
        <w:tc>
          <w:tcPr>
            <w:tcW w:w="5000" w:type="pct"/>
            <w:tcBorders>
              <w:top w:val="nil"/>
              <w:left w:val="nil"/>
              <w:bottom w:val="nil"/>
              <w:right w:val="nil"/>
            </w:tcBorders>
            <w:shd w:val="clear" w:color="auto" w:fill="auto"/>
          </w:tcPr>
          <w:p w14:paraId="215D67F4" w14:textId="7D72CA73" w:rsidR="00337D3B" w:rsidRPr="00176D3F" w:rsidRDefault="00F134C4" w:rsidP="00F134C4">
            <w:pPr>
              <w:pStyle w:val="Note"/>
            </w:pPr>
            <w:proofErr w:type="spellStart"/>
            <w:r>
              <w:rPr>
                <w:rStyle w:val="NoteLabel"/>
              </w:rPr>
              <w:t>a</w:t>
            </w:r>
            <w:proofErr w:type="spellEnd"/>
            <w:r>
              <w:t xml:space="preserve"> </w:t>
            </w:r>
            <w:r w:rsidRPr="00D434EE">
              <w:t>Error bars represent the 95 per cent confidence interval associated with each point estimate</w:t>
            </w:r>
            <w:r>
              <w:t xml:space="preserve">. </w:t>
            </w:r>
            <w:r>
              <w:rPr>
                <w:rStyle w:val="NoteLabel"/>
              </w:rPr>
              <w:t xml:space="preserve">b </w:t>
            </w:r>
            <w:r w:rsidR="004C3F47">
              <w:t>See box </w:t>
            </w:r>
            <w:r w:rsidR="00337D3B">
              <w:t>6.1</w:t>
            </w:r>
            <w:r w:rsidR="00CA43F4">
              <w:t>5</w:t>
            </w:r>
            <w:r w:rsidR="00337D3B" w:rsidRPr="00C602B2">
              <w:t xml:space="preserve"> and </w:t>
            </w:r>
            <w:r w:rsidR="00337D3B" w:rsidRPr="003041C9">
              <w:t>tabl</w:t>
            </w:r>
            <w:r w:rsidR="00337D3B">
              <w:t xml:space="preserve">e </w:t>
            </w:r>
            <w:r w:rsidR="00337D3B" w:rsidRPr="00590CF6">
              <w:t>6A.</w:t>
            </w:r>
            <w:r w:rsidR="00337D3B">
              <w:t xml:space="preserve">5 for </w:t>
            </w:r>
            <w:r w:rsidR="00337D3B" w:rsidRPr="00C602B2">
              <w:t>detailed definitions, footnotes and caveats</w:t>
            </w:r>
            <w:r w:rsidR="00337D3B">
              <w:t>.</w:t>
            </w:r>
          </w:p>
        </w:tc>
      </w:tr>
      <w:tr w:rsidR="00337D3B" w:rsidRPr="00176D3F" w14:paraId="150D9203" w14:textId="77777777" w:rsidTr="0061204D">
        <w:tc>
          <w:tcPr>
            <w:tcW w:w="5000" w:type="pct"/>
            <w:tcBorders>
              <w:top w:val="nil"/>
              <w:left w:val="nil"/>
              <w:bottom w:val="nil"/>
              <w:right w:val="nil"/>
            </w:tcBorders>
            <w:shd w:val="clear" w:color="auto" w:fill="auto"/>
          </w:tcPr>
          <w:p w14:paraId="4C9541E3" w14:textId="77777777" w:rsidR="00337D3B" w:rsidRPr="00176D3F" w:rsidRDefault="00337D3B" w:rsidP="0061204D">
            <w:pPr>
              <w:pStyle w:val="Source"/>
            </w:pPr>
            <w:r>
              <w:rPr>
                <w:i/>
              </w:rPr>
              <w:t>S</w:t>
            </w:r>
            <w:r w:rsidRPr="00784A05">
              <w:rPr>
                <w:i/>
              </w:rPr>
              <w:t>ource</w:t>
            </w:r>
            <w:r w:rsidRPr="00176D3F">
              <w:t xml:space="preserve">: </w:t>
            </w:r>
            <w:r w:rsidRPr="003041C9">
              <w:t xml:space="preserve">ANZPAA (unpublished); tables </w:t>
            </w:r>
            <w:r w:rsidRPr="00590CF6">
              <w:t>6A.</w:t>
            </w:r>
            <w:r>
              <w:t>5</w:t>
            </w:r>
            <w:r w:rsidRPr="00590CF6">
              <w:t>.</w:t>
            </w:r>
          </w:p>
        </w:tc>
      </w:tr>
      <w:tr w:rsidR="00337D3B" w14:paraId="5BFC47FC" w14:textId="77777777" w:rsidTr="0061204D">
        <w:tc>
          <w:tcPr>
            <w:tcW w:w="5000" w:type="pct"/>
            <w:tcBorders>
              <w:top w:val="nil"/>
              <w:left w:val="nil"/>
              <w:bottom w:val="single" w:sz="6" w:space="0" w:color="78A22F"/>
              <w:right w:val="nil"/>
            </w:tcBorders>
            <w:shd w:val="clear" w:color="auto" w:fill="auto"/>
          </w:tcPr>
          <w:p w14:paraId="44A729D2" w14:textId="77777777" w:rsidR="00337D3B" w:rsidRDefault="00337D3B" w:rsidP="0061204D">
            <w:pPr>
              <w:pStyle w:val="Figurespace"/>
            </w:pPr>
          </w:p>
        </w:tc>
      </w:tr>
      <w:tr w:rsidR="00337D3B" w:rsidRPr="000863A5" w14:paraId="7611442E" w14:textId="77777777" w:rsidTr="0061204D">
        <w:tc>
          <w:tcPr>
            <w:tcW w:w="5000" w:type="pct"/>
            <w:tcBorders>
              <w:top w:val="single" w:sz="6" w:space="0" w:color="78A22F"/>
              <w:left w:val="nil"/>
              <w:bottom w:val="nil"/>
              <w:right w:val="nil"/>
            </w:tcBorders>
          </w:tcPr>
          <w:p w14:paraId="7862818F" w14:textId="57114207" w:rsidR="00337D3B" w:rsidRPr="00626D32" w:rsidRDefault="00337D3B" w:rsidP="0061204D">
            <w:pPr>
              <w:pStyle w:val="BoxSpaceBelow"/>
            </w:pPr>
          </w:p>
        </w:tc>
      </w:tr>
    </w:tbl>
    <w:p w14:paraId="0F719505" w14:textId="77777777" w:rsidR="00337D3B" w:rsidRDefault="00337D3B" w:rsidP="00337D3B">
      <w:pPr>
        <w:pStyle w:val="Heading4"/>
      </w:pPr>
      <w:r>
        <w:lastRenderedPageBreak/>
        <w:t>Perception of crime problems</w:t>
      </w:r>
    </w:p>
    <w:p w14:paraId="136EA17C" w14:textId="3A610725" w:rsidR="00337D3B" w:rsidRDefault="00337D3B" w:rsidP="00337D3B">
      <w:pPr>
        <w:pStyle w:val="BodyText"/>
      </w:pPr>
      <w:r>
        <w:t xml:space="preserve">‘Perceptions of crime problems’ is an indicator of governments’ </w:t>
      </w:r>
      <w:r w:rsidRPr="00EB350B">
        <w:t xml:space="preserve">objective to contribute to a safe and secure community that enables people to undertake their lawful </w:t>
      </w:r>
      <w:r>
        <w:t xml:space="preserve">pursuits confidently and safely </w:t>
      </w:r>
      <w:r w:rsidRPr="00EB350B">
        <w:t>(box 6</w:t>
      </w:r>
      <w:r>
        <w:t>.1</w:t>
      </w:r>
      <w:r w:rsidR="00CA43F4">
        <w:t>6</w:t>
      </w:r>
      <w:r w:rsidRPr="00EB350B">
        <w:t>).</w:t>
      </w:r>
    </w:p>
    <w:p w14:paraId="1635BC29" w14:textId="568A6D2C" w:rsidR="00337D3B" w:rsidRDefault="00337D3B" w:rsidP="00337D3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37D3B" w14:paraId="1D78DCC1" w14:textId="77777777" w:rsidTr="0061204D">
        <w:trPr>
          <w:tblHeader/>
        </w:trPr>
        <w:tc>
          <w:tcPr>
            <w:tcW w:w="5000" w:type="pct"/>
            <w:tcBorders>
              <w:top w:val="single" w:sz="6" w:space="0" w:color="78A22F"/>
              <w:left w:val="nil"/>
              <w:bottom w:val="nil"/>
              <w:right w:val="nil"/>
            </w:tcBorders>
            <w:shd w:val="clear" w:color="auto" w:fill="F2F2F2"/>
          </w:tcPr>
          <w:p w14:paraId="26802785" w14:textId="3B318D90" w:rsidR="00337D3B" w:rsidRDefault="00337D3B" w:rsidP="00A80F71">
            <w:pPr>
              <w:pStyle w:val="BoxTitle"/>
            </w:pPr>
            <w:r>
              <w:rPr>
                <w:b w:val="0"/>
              </w:rPr>
              <w:t>Box 6.</w:t>
            </w:r>
            <w:r w:rsidR="00A80F71">
              <w:rPr>
                <w:b w:val="0"/>
              </w:rPr>
              <w:t>16</w:t>
            </w:r>
            <w:r>
              <w:tab/>
              <w:t>Perceptions of crime problems</w:t>
            </w:r>
          </w:p>
        </w:tc>
      </w:tr>
      <w:tr w:rsidR="00337D3B" w14:paraId="68967FAD" w14:textId="77777777" w:rsidTr="0061204D">
        <w:tc>
          <w:tcPr>
            <w:tcW w:w="5000" w:type="pct"/>
            <w:tcBorders>
              <w:top w:val="nil"/>
              <w:left w:val="nil"/>
              <w:bottom w:val="nil"/>
              <w:right w:val="nil"/>
            </w:tcBorders>
            <w:shd w:val="clear" w:color="auto" w:fill="F2F2F2"/>
          </w:tcPr>
          <w:p w14:paraId="40B99DDF" w14:textId="77777777" w:rsidR="00337D3B" w:rsidRDefault="00337D3B" w:rsidP="0061204D">
            <w:pPr>
              <w:pStyle w:val="Box"/>
            </w:pPr>
            <w:r>
              <w:t>‘Perceptions of crime problems’ is measured by the proportion of people who thought that various types of crime were a ‘major problem’ or ‘somewhat of a problem’ in their neighbourhood.</w:t>
            </w:r>
          </w:p>
          <w:p w14:paraId="2BEA51F9" w14:textId="77777777" w:rsidR="00337D3B" w:rsidRDefault="00337D3B" w:rsidP="0061204D">
            <w:pPr>
              <w:pStyle w:val="Box"/>
            </w:pPr>
            <w:r>
              <w:t>A low or decreasing proportion of people who thought the selected types of crime were a ‘major problem’ or ‘somewhat of a problem’ in their neighbourhood is desirable.</w:t>
            </w:r>
          </w:p>
          <w:p w14:paraId="57578EC1" w14:textId="77777777" w:rsidR="00337D3B" w:rsidRDefault="00337D3B" w:rsidP="0061204D">
            <w:pPr>
              <w:pStyle w:val="Box"/>
            </w:pPr>
            <w:r w:rsidRPr="00404E92">
              <w:t>Care needs to be taken in interpreting data on perceptions of crime, because reducing people’s concerns about crime and reducing the actual level of crime are two separate but related challenges. Comparisons between perceptions of crime problems and the level of crime raise questions about the factors that affect perceptions, and highlight the importance of considering the full suite of performance indicators rather than assessing performance on specific measures in isolation.</w:t>
            </w:r>
          </w:p>
          <w:p w14:paraId="550C5F06" w14:textId="77777777" w:rsidR="00337D3B" w:rsidRDefault="00337D3B" w:rsidP="0061204D">
            <w:pPr>
              <w:pStyle w:val="Box"/>
            </w:pPr>
            <w:r>
              <w:t>Data reported for this measure are:</w:t>
            </w:r>
          </w:p>
          <w:p w14:paraId="56A64C02" w14:textId="01FA4FB9" w:rsidR="00337D3B" w:rsidRPr="009442FD" w:rsidRDefault="00337D3B" w:rsidP="00305FCE">
            <w:pPr>
              <w:pStyle w:val="BoxListBullet"/>
              <w:numPr>
                <w:ilvl w:val="0"/>
                <w:numId w:val="0"/>
              </w:numPr>
              <w:ind w:left="284"/>
            </w:pPr>
            <w:r w:rsidRPr="009273A9">
              <w:rPr>
                <w:shd w:val="clear" w:color="auto" w:fill="F15A25"/>
              </w:rPr>
              <w:t xml:space="preserve">    </w:t>
            </w:r>
            <w:r>
              <w:t xml:space="preserve"> </w:t>
            </w:r>
            <w:r w:rsidRPr="009442FD">
              <w:t>comparable (subject to caveats) across jurisdictions and over time</w:t>
            </w:r>
          </w:p>
          <w:p w14:paraId="44BED8F8" w14:textId="77777777" w:rsidR="00337D3B" w:rsidRDefault="00337D3B" w:rsidP="00305FCE">
            <w:pPr>
              <w:pStyle w:val="BoxListBullet"/>
              <w:numPr>
                <w:ilvl w:val="0"/>
                <w:numId w:val="0"/>
              </w:numPr>
              <w:ind w:left="284"/>
            </w:pPr>
            <w:r w:rsidRPr="009273A9">
              <w:rPr>
                <w:shd w:val="clear" w:color="auto" w:fill="F15A25"/>
              </w:rPr>
              <w:t xml:space="preserve">    </w:t>
            </w:r>
            <w:r>
              <w:t xml:space="preserve"> </w:t>
            </w:r>
            <w:r w:rsidRPr="009442FD">
              <w:t>complete (subject to caveats)</w:t>
            </w:r>
            <w:r>
              <w:t xml:space="preserve"> </w:t>
            </w:r>
            <w:r w:rsidRPr="009442FD">
              <w:t xml:space="preserve">for the current reporting period. All required </w:t>
            </w:r>
            <w:r>
              <w:t xml:space="preserve">2017-18 </w:t>
            </w:r>
            <w:r w:rsidRPr="009442FD">
              <w:t>data are available for all jurisdictions</w:t>
            </w:r>
            <w:r>
              <w:t>.</w:t>
            </w:r>
          </w:p>
        </w:tc>
      </w:tr>
      <w:tr w:rsidR="00337D3B" w14:paraId="398CFD0F" w14:textId="77777777" w:rsidTr="0061204D">
        <w:tc>
          <w:tcPr>
            <w:tcW w:w="5000" w:type="pct"/>
            <w:tcBorders>
              <w:top w:val="nil"/>
              <w:left w:val="nil"/>
              <w:bottom w:val="single" w:sz="6" w:space="0" w:color="78A22F"/>
              <w:right w:val="nil"/>
            </w:tcBorders>
            <w:shd w:val="clear" w:color="auto" w:fill="F2F2F2"/>
          </w:tcPr>
          <w:p w14:paraId="70AD0B07" w14:textId="77777777" w:rsidR="00337D3B" w:rsidRDefault="00337D3B" w:rsidP="0061204D">
            <w:pPr>
              <w:pStyle w:val="Box"/>
              <w:spacing w:before="0" w:line="120" w:lineRule="exact"/>
            </w:pPr>
          </w:p>
        </w:tc>
      </w:tr>
      <w:tr w:rsidR="00337D3B" w:rsidRPr="000863A5" w14:paraId="37D99624" w14:textId="77777777" w:rsidTr="0061204D">
        <w:tc>
          <w:tcPr>
            <w:tcW w:w="5000" w:type="pct"/>
            <w:tcBorders>
              <w:top w:val="single" w:sz="6" w:space="0" w:color="78A22F"/>
              <w:left w:val="nil"/>
              <w:bottom w:val="nil"/>
              <w:right w:val="nil"/>
            </w:tcBorders>
          </w:tcPr>
          <w:p w14:paraId="70D5097B" w14:textId="178B05E2" w:rsidR="00337D3B" w:rsidRPr="00626D32" w:rsidRDefault="00337D3B" w:rsidP="0061204D">
            <w:pPr>
              <w:pStyle w:val="BoxSpaceBelow"/>
            </w:pPr>
          </w:p>
        </w:tc>
      </w:tr>
    </w:tbl>
    <w:p w14:paraId="3161B0A1" w14:textId="719535CF" w:rsidR="00337D3B" w:rsidRDefault="00337D3B" w:rsidP="00337D3B">
      <w:pPr>
        <w:pStyle w:val="BodyText"/>
      </w:pPr>
      <w:r>
        <w:t>Nationally</w:t>
      </w:r>
      <w:r w:rsidR="00CA43F4">
        <w:t xml:space="preserve"> </w:t>
      </w:r>
      <w:r w:rsidRPr="00F71F72">
        <w:rPr>
          <w:color w:val="000000" w:themeColor="text1"/>
        </w:rPr>
        <w:t>in 201</w:t>
      </w:r>
      <w:r>
        <w:rPr>
          <w:color w:val="000000" w:themeColor="text1"/>
        </w:rPr>
        <w:t>7</w:t>
      </w:r>
      <w:r w:rsidRPr="00F71F72">
        <w:rPr>
          <w:color w:val="000000" w:themeColor="text1"/>
        </w:rPr>
        <w:noBreakHyphen/>
        <w:t>1</w:t>
      </w:r>
      <w:r>
        <w:rPr>
          <w:color w:val="000000" w:themeColor="text1"/>
        </w:rPr>
        <w:t>8</w:t>
      </w:r>
      <w:r>
        <w:t xml:space="preserve">, people identified the following issues as a ‘major problem’ or ‘somewhat of a problem’ in their neighbourhoods: </w:t>
      </w:r>
    </w:p>
    <w:p w14:paraId="0BC1EA42" w14:textId="7B18D398" w:rsidR="00337D3B" w:rsidRPr="001E5F05" w:rsidRDefault="00337D3B" w:rsidP="001E5F05">
      <w:pPr>
        <w:pStyle w:val="ListBullet"/>
      </w:pPr>
      <w:r w:rsidRPr="001E5F05">
        <w:t>49.6 per cent of people thought illegal drugs to be a problem (figure 6.18</w:t>
      </w:r>
      <w:r w:rsidR="003B7A67">
        <w:t>(</w:t>
      </w:r>
      <w:r w:rsidRPr="001E5F05">
        <w:t>a</w:t>
      </w:r>
      <w:r w:rsidR="003B7A67">
        <w:t>)</w:t>
      </w:r>
      <w:r w:rsidRPr="001E5F05">
        <w:t>)</w:t>
      </w:r>
    </w:p>
    <w:p w14:paraId="29448A52" w14:textId="027A577F" w:rsidR="00337D3B" w:rsidRPr="001E5F05" w:rsidRDefault="00337D3B" w:rsidP="001E5F05">
      <w:pPr>
        <w:pStyle w:val="ListBullet"/>
      </w:pPr>
      <w:r w:rsidRPr="001E5F05">
        <w:t>67.4 per cent of people thought ‘speeding cars, dangerous or noisy driving’ to be a problem (figure 6.18</w:t>
      </w:r>
      <w:r w:rsidR="003B7A67">
        <w:t>(</w:t>
      </w:r>
      <w:r w:rsidRPr="001E5F05">
        <w:t>b</w:t>
      </w:r>
      <w:r w:rsidR="003B7A67">
        <w:t>)</w:t>
      </w:r>
      <w:r w:rsidRPr="001E5F05">
        <w:t>).</w:t>
      </w:r>
    </w:p>
    <w:p w14:paraId="1FF81F0A" w14:textId="77777777" w:rsidR="00337D3B" w:rsidRDefault="00337D3B" w:rsidP="00337D3B">
      <w:pPr>
        <w:rPr>
          <w:szCs w:val="20"/>
        </w:rPr>
      </w:pPr>
      <w:r>
        <w:br w:type="page"/>
      </w:r>
    </w:p>
    <w:p w14:paraId="0CCB91E9" w14:textId="4B6D5ADC" w:rsidR="00337D3B" w:rsidRDefault="00337D3B" w:rsidP="00337D3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37D3B" w14:paraId="12B66A4C" w14:textId="77777777" w:rsidTr="00C40348">
        <w:trPr>
          <w:tblHeader/>
        </w:trPr>
        <w:tc>
          <w:tcPr>
            <w:tcW w:w="5000" w:type="pct"/>
            <w:tcBorders>
              <w:top w:val="single" w:sz="6" w:space="0" w:color="78A22F"/>
              <w:left w:val="nil"/>
              <w:bottom w:val="nil"/>
              <w:right w:val="nil"/>
            </w:tcBorders>
            <w:shd w:val="clear" w:color="auto" w:fill="auto"/>
          </w:tcPr>
          <w:p w14:paraId="78A951DC" w14:textId="6C3084A2" w:rsidR="00337D3B" w:rsidRPr="00176D3F" w:rsidRDefault="00337D3B" w:rsidP="00C74747">
            <w:pPr>
              <w:pStyle w:val="FigureTitle"/>
            </w:pPr>
            <w:r w:rsidRPr="00784A05">
              <w:rPr>
                <w:b w:val="0"/>
              </w:rPr>
              <w:t xml:space="preserve">Figure </w:t>
            </w:r>
            <w:r>
              <w:rPr>
                <w:b w:val="0"/>
              </w:rPr>
              <w:t>6.18</w:t>
            </w:r>
            <w:r>
              <w:tab/>
              <w:t>P</w:t>
            </w:r>
            <w:r w:rsidR="00C74747">
              <w:t xml:space="preserve">eople </w:t>
            </w:r>
            <w:r w:rsidR="00892479">
              <w:t>who consider</w:t>
            </w:r>
            <w:r w:rsidR="00816B41">
              <w:t>ed ‘</w:t>
            </w:r>
            <w:r w:rsidR="00892479">
              <w:t>illegal drugs</w:t>
            </w:r>
            <w:r w:rsidR="00816B41">
              <w:t>’</w:t>
            </w:r>
            <w:r w:rsidR="00892479">
              <w:t xml:space="preserve"> and </w:t>
            </w:r>
            <w:r w:rsidR="00816B41">
              <w:t>‘</w:t>
            </w:r>
            <w:r w:rsidR="00892479">
              <w:t>s</w:t>
            </w:r>
            <w:r w:rsidR="00892479" w:rsidRPr="00892479">
              <w:t>peeding cars, dangerous or noisy driving</w:t>
            </w:r>
            <w:r w:rsidR="00816B41">
              <w:t>’</w:t>
            </w:r>
            <w:r w:rsidR="00892479" w:rsidRPr="00892479">
              <w:t xml:space="preserve"> </w:t>
            </w:r>
            <w:r>
              <w:t>to be either a ‘major problem’ or ‘somewhat of a problem’ in their neighbourhood</w:t>
            </w:r>
            <w:r w:rsidRPr="00C8495E">
              <w:rPr>
                <w:rStyle w:val="NoteLabel"/>
                <w:b/>
              </w:rPr>
              <w:t>a</w:t>
            </w:r>
            <w:r w:rsidR="00955DCD">
              <w:rPr>
                <w:rStyle w:val="NoteLabel"/>
                <w:b/>
              </w:rPr>
              <w:t>, b</w:t>
            </w:r>
          </w:p>
        </w:tc>
      </w:tr>
      <w:tr w:rsidR="00337D3B" w14:paraId="5D076CB0" w14:textId="77777777" w:rsidTr="00C40348">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FC000" w:themeColor="accent4"/>
                <w:bottom w:val="single" w:sz="6" w:space="0" w:color="FFC000" w:themeColor="accent4"/>
              </w:tblBorders>
              <w:tblCellMar>
                <w:top w:w="28" w:type="dxa"/>
              </w:tblCellMar>
              <w:tblLook w:val="0000" w:firstRow="0" w:lastRow="0" w:firstColumn="0" w:lastColumn="0" w:noHBand="0" w:noVBand="0"/>
              <w:tblDescription w:val="Nested table used for design layout."/>
            </w:tblPr>
            <w:tblGrid>
              <w:gridCol w:w="8505"/>
            </w:tblGrid>
            <w:tr w:rsidR="00AF3190" w:rsidRPr="00B1465D" w14:paraId="7748396B" w14:textId="77777777" w:rsidTr="0061204D">
              <w:trPr>
                <w:tblHeader/>
                <w:jc w:val="center"/>
              </w:trPr>
              <w:tc>
                <w:tcPr>
                  <w:tcW w:w="8505" w:type="dxa"/>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AF3190" w:rsidRPr="00636C3F" w14:paraId="714D5EEF" w14:textId="77777777" w:rsidTr="00AF3190">
                    <w:tc>
                      <w:tcPr>
                        <w:tcW w:w="304" w:type="dxa"/>
                        <w:tcBorders>
                          <w:top w:val="nil"/>
                          <w:left w:val="nil"/>
                          <w:bottom w:val="nil"/>
                          <w:right w:val="nil"/>
                        </w:tcBorders>
                        <w:shd w:val="clear" w:color="auto" w:fill="auto"/>
                        <w:tcMar>
                          <w:top w:w="28" w:type="dxa"/>
                          <w:bottom w:w="28" w:type="dxa"/>
                        </w:tcMar>
                      </w:tcPr>
                      <w:p w14:paraId="3BEB84D3" w14:textId="77777777" w:rsidR="00AF3190" w:rsidRPr="00636C3F" w:rsidRDefault="00AF3190" w:rsidP="00AF3190">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55535F61" w14:textId="77777777" w:rsidR="00AF3190" w:rsidRPr="00636C3F" w:rsidRDefault="00AF3190" w:rsidP="00AF3190">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7A7EE613" w14:textId="77777777" w:rsidR="00AF3190" w:rsidRPr="00636C3F" w:rsidRDefault="00AF3190" w:rsidP="00AF3190">
                        <w:pPr>
                          <w:pStyle w:val="TableBodyText"/>
                          <w:jc w:val="left"/>
                        </w:pPr>
                        <w:r w:rsidRPr="00636C3F">
                          <w:t>Data are comparable (subject to caveats) across jurisdictions and over time.</w:t>
                        </w:r>
                      </w:p>
                    </w:tc>
                  </w:tr>
                </w:tbl>
                <w:p w14:paraId="60F6CDF6" w14:textId="77777777" w:rsidR="00AF3190" w:rsidRPr="008E0A3D" w:rsidRDefault="00AF3190" w:rsidP="00AF3190">
                  <w:pPr>
                    <w:pStyle w:val="TableBodyText"/>
                  </w:pPr>
                </w:p>
              </w:tc>
            </w:tr>
            <w:tr w:rsidR="00AF3190" w:rsidRPr="00B1465D" w14:paraId="0988A9CC" w14:textId="77777777" w:rsidTr="00C40348">
              <w:trPr>
                <w:tblHeader/>
                <w:jc w:val="center"/>
              </w:trPr>
              <w:tc>
                <w:tcPr>
                  <w:tcW w:w="8505" w:type="dxa"/>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AF3190" w:rsidRPr="00636C3F" w14:paraId="6044AFF7" w14:textId="77777777" w:rsidTr="00AF3190">
                    <w:tc>
                      <w:tcPr>
                        <w:tcW w:w="304" w:type="dxa"/>
                        <w:tcBorders>
                          <w:top w:val="nil"/>
                          <w:left w:val="nil"/>
                          <w:bottom w:val="nil"/>
                          <w:right w:val="nil"/>
                        </w:tcBorders>
                        <w:shd w:val="clear" w:color="auto" w:fill="auto"/>
                        <w:tcMar>
                          <w:top w:w="28" w:type="dxa"/>
                          <w:bottom w:w="28" w:type="dxa"/>
                        </w:tcMar>
                      </w:tcPr>
                      <w:p w14:paraId="403FF6BA" w14:textId="77777777" w:rsidR="00AF3190" w:rsidRPr="00636C3F" w:rsidRDefault="00AF3190" w:rsidP="00AF3190">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70E919CE" w14:textId="77777777" w:rsidR="00AF3190" w:rsidRPr="00636C3F" w:rsidRDefault="00AF3190" w:rsidP="00AF3190">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398FE4AE" w14:textId="1DAAA557" w:rsidR="00AF3190" w:rsidRPr="00922364" w:rsidRDefault="00AF3190" w:rsidP="002B0C11">
                        <w:pPr>
                          <w:pStyle w:val="TableBodyText"/>
                          <w:jc w:val="left"/>
                        </w:pPr>
                        <w:r w:rsidRPr="00922364">
                          <w:t xml:space="preserve">Data are complete (subject to caveats) for the current reporting period. </w:t>
                        </w:r>
                      </w:p>
                    </w:tc>
                  </w:tr>
                </w:tbl>
                <w:p w14:paraId="2D1E96B7" w14:textId="77777777" w:rsidR="00AF3190" w:rsidRPr="008E0A3D" w:rsidRDefault="00AF3190" w:rsidP="00AF3190">
                  <w:pPr>
                    <w:pStyle w:val="TableBodyText"/>
                  </w:pPr>
                </w:p>
              </w:tc>
            </w:tr>
            <w:tr w:rsidR="00337D3B" w:rsidRPr="00B1465D" w14:paraId="474C8A1A" w14:textId="77777777" w:rsidTr="00C40348">
              <w:trPr>
                <w:tblHeader/>
                <w:jc w:val="center"/>
              </w:trPr>
              <w:tc>
                <w:tcPr>
                  <w:tcW w:w="8505" w:type="dxa"/>
                  <w:tcBorders>
                    <w:top w:val="nil"/>
                    <w:left w:val="nil"/>
                    <w:bottom w:val="nil"/>
                  </w:tcBorders>
                </w:tcPr>
                <w:p w14:paraId="7B18A55F" w14:textId="6F2F27E0" w:rsidR="00337D3B" w:rsidRDefault="00337D3B" w:rsidP="00C40348">
                  <w:pPr>
                    <w:pStyle w:val="Figure"/>
                    <w:numPr>
                      <w:ilvl w:val="0"/>
                      <w:numId w:val="25"/>
                    </w:numPr>
                    <w:spacing w:before="60" w:after="60"/>
                    <w:rPr>
                      <w:rFonts w:ascii="Arial" w:hAnsi="Arial" w:cs="Arial"/>
                      <w:b/>
                      <w:sz w:val="18"/>
                      <w:szCs w:val="18"/>
                    </w:rPr>
                  </w:pPr>
                  <w:r w:rsidRPr="008E0A3D">
                    <w:rPr>
                      <w:rFonts w:ascii="Arial" w:hAnsi="Arial" w:cs="Arial"/>
                      <w:b/>
                      <w:sz w:val="18"/>
                      <w:szCs w:val="18"/>
                    </w:rPr>
                    <w:t>Illegal drugs</w:t>
                  </w:r>
                </w:p>
                <w:p w14:paraId="6FAFD35D" w14:textId="1CA98D99" w:rsidR="00337D3B" w:rsidRPr="008409A4" w:rsidRDefault="008409A4" w:rsidP="008409A4">
                  <w:pPr>
                    <w:pStyle w:val="Figure"/>
                  </w:pPr>
                  <w:r>
                    <w:rPr>
                      <w:noProof/>
                    </w:rPr>
                    <w:drawing>
                      <wp:inline distT="0" distB="0" distL="0" distR="0" wp14:anchorId="4424F275" wp14:editId="1F130DCC">
                        <wp:extent cx="5407660" cy="2707005"/>
                        <wp:effectExtent l="0" t="0" r="2540" b="0"/>
                        <wp:docPr id="30" name="Picture 30" descr="Figure 6.18 People who considered 'illegal drugs' and 'speeding cars, dangerous or noisy driving' to be either a 'major problem' or 'somewhat of a problem' in their neighbourhood&#10;&#10;(a) Illegal drug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07660" cy="2707005"/>
                                </a:xfrm>
                                <a:prstGeom prst="rect">
                                  <a:avLst/>
                                </a:prstGeom>
                                <a:noFill/>
                              </pic:spPr>
                            </pic:pic>
                          </a:graphicData>
                        </a:graphic>
                      </wp:inline>
                    </w:drawing>
                  </w:r>
                </w:p>
              </w:tc>
            </w:tr>
            <w:tr w:rsidR="00337D3B" w:rsidRPr="00B1465D" w14:paraId="16295D8F" w14:textId="77777777" w:rsidTr="00C40348">
              <w:trPr>
                <w:tblHeader/>
                <w:jc w:val="center"/>
              </w:trPr>
              <w:tc>
                <w:tcPr>
                  <w:tcW w:w="8505" w:type="dxa"/>
                  <w:tcBorders>
                    <w:top w:val="nil"/>
                    <w:left w:val="nil"/>
                    <w:bottom w:val="nil"/>
                  </w:tcBorders>
                </w:tcPr>
                <w:p w14:paraId="5E5ACFE6" w14:textId="7A2EB452" w:rsidR="00337D3B" w:rsidRDefault="00337D3B" w:rsidP="00C40348">
                  <w:pPr>
                    <w:pStyle w:val="Figure"/>
                    <w:numPr>
                      <w:ilvl w:val="0"/>
                      <w:numId w:val="25"/>
                    </w:numPr>
                    <w:spacing w:before="60" w:after="60"/>
                    <w:rPr>
                      <w:rFonts w:ascii="Arial" w:hAnsi="Arial" w:cs="Arial"/>
                      <w:b/>
                      <w:sz w:val="18"/>
                      <w:szCs w:val="18"/>
                    </w:rPr>
                  </w:pPr>
                  <w:r>
                    <w:rPr>
                      <w:rFonts w:ascii="Arial" w:hAnsi="Arial" w:cs="Arial"/>
                      <w:b/>
                      <w:sz w:val="18"/>
                      <w:szCs w:val="18"/>
                    </w:rPr>
                    <w:t>Speeding cars, dangerous or noisy driving</w:t>
                  </w:r>
                </w:p>
                <w:p w14:paraId="5CE69D32" w14:textId="70B8BCC5" w:rsidR="00337D3B" w:rsidRPr="00DE78D8" w:rsidRDefault="008409A4" w:rsidP="00DE78D8">
                  <w:pPr>
                    <w:pStyle w:val="Figure"/>
                  </w:pPr>
                  <w:r>
                    <w:rPr>
                      <w:noProof/>
                    </w:rPr>
                    <w:drawing>
                      <wp:inline distT="0" distB="0" distL="0" distR="0" wp14:anchorId="2AACD5BE" wp14:editId="01034127">
                        <wp:extent cx="5401310" cy="2707005"/>
                        <wp:effectExtent l="0" t="0" r="8890" b="0"/>
                        <wp:docPr id="33" name="Picture 33" descr="Figure 6.18 People who considered 'illegal drugs' and 'speeding cars, dangerous or noisy driving' to be either a 'major problem' or 'somewhat of a problem' in their neighbourhood&#10;&#10;(b) Speeding cars, dangerous or noisy driving&#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1310" cy="2707005"/>
                                </a:xfrm>
                                <a:prstGeom prst="rect">
                                  <a:avLst/>
                                </a:prstGeom>
                                <a:noFill/>
                              </pic:spPr>
                            </pic:pic>
                          </a:graphicData>
                        </a:graphic>
                      </wp:inline>
                    </w:drawing>
                  </w:r>
                </w:p>
              </w:tc>
            </w:tr>
          </w:tbl>
          <w:p w14:paraId="4BF6FAFC" w14:textId="77777777" w:rsidR="00337D3B" w:rsidRDefault="00337D3B" w:rsidP="0061204D">
            <w:pPr>
              <w:pStyle w:val="Figure"/>
            </w:pPr>
          </w:p>
        </w:tc>
      </w:tr>
      <w:tr w:rsidR="00337D3B" w:rsidRPr="00176D3F" w14:paraId="65DD348A" w14:textId="77777777" w:rsidTr="0061204D">
        <w:tc>
          <w:tcPr>
            <w:tcW w:w="5000" w:type="pct"/>
            <w:tcBorders>
              <w:top w:val="nil"/>
              <w:left w:val="nil"/>
              <w:bottom w:val="nil"/>
              <w:right w:val="nil"/>
            </w:tcBorders>
            <w:shd w:val="clear" w:color="auto" w:fill="auto"/>
          </w:tcPr>
          <w:p w14:paraId="00E17F4C" w14:textId="2380C058" w:rsidR="00337D3B" w:rsidRPr="00176D3F" w:rsidRDefault="00955DCD" w:rsidP="004C3F47">
            <w:pPr>
              <w:pStyle w:val="Note"/>
            </w:pPr>
            <w:proofErr w:type="spellStart"/>
            <w:r>
              <w:rPr>
                <w:rStyle w:val="NoteLabel"/>
              </w:rPr>
              <w:t>a</w:t>
            </w:r>
            <w:proofErr w:type="spellEnd"/>
            <w:r>
              <w:t xml:space="preserve"> </w:t>
            </w:r>
            <w:r w:rsidRPr="00D434EE">
              <w:t>Error bars represent the 95 per cent confidence interval associated with each point estimat</w:t>
            </w:r>
            <w:r>
              <w:t xml:space="preserve">e. </w:t>
            </w:r>
            <w:r>
              <w:rPr>
                <w:rStyle w:val="NoteLabel"/>
              </w:rPr>
              <w:t>b</w:t>
            </w:r>
            <w:r w:rsidR="00337D3B">
              <w:t xml:space="preserve"> See box</w:t>
            </w:r>
            <w:r w:rsidR="004C3F47">
              <w:t> </w:t>
            </w:r>
            <w:r w:rsidR="00337D3B">
              <w:t>6.1</w:t>
            </w:r>
            <w:r w:rsidR="00A80F71">
              <w:t>6</w:t>
            </w:r>
            <w:r w:rsidR="00337D3B" w:rsidRPr="00C602B2">
              <w:t xml:space="preserve"> and </w:t>
            </w:r>
            <w:r w:rsidR="00337D3B" w:rsidRPr="003041C9">
              <w:t>tabl</w:t>
            </w:r>
            <w:r w:rsidR="00337D3B">
              <w:t xml:space="preserve">e </w:t>
            </w:r>
            <w:r w:rsidR="00337D3B" w:rsidRPr="00590CF6">
              <w:t>6A.</w:t>
            </w:r>
            <w:r w:rsidR="00337D3B">
              <w:t xml:space="preserve">6 for </w:t>
            </w:r>
            <w:r w:rsidR="00337D3B" w:rsidRPr="00C602B2">
              <w:t>detailed definitions, footnotes and caveats</w:t>
            </w:r>
            <w:r w:rsidR="00337D3B">
              <w:t>.</w:t>
            </w:r>
          </w:p>
        </w:tc>
      </w:tr>
      <w:tr w:rsidR="00337D3B" w:rsidRPr="00176D3F" w14:paraId="0878D5B5" w14:textId="77777777" w:rsidTr="0061204D">
        <w:tc>
          <w:tcPr>
            <w:tcW w:w="5000" w:type="pct"/>
            <w:tcBorders>
              <w:top w:val="nil"/>
              <w:left w:val="nil"/>
              <w:bottom w:val="nil"/>
              <w:right w:val="nil"/>
            </w:tcBorders>
            <w:shd w:val="clear" w:color="auto" w:fill="auto"/>
          </w:tcPr>
          <w:p w14:paraId="7235793C" w14:textId="77777777" w:rsidR="00337D3B" w:rsidRPr="00176D3F" w:rsidRDefault="00337D3B" w:rsidP="0061204D">
            <w:pPr>
              <w:pStyle w:val="Source"/>
            </w:pPr>
            <w:r>
              <w:rPr>
                <w:i/>
              </w:rPr>
              <w:t>S</w:t>
            </w:r>
            <w:r w:rsidRPr="00784A05">
              <w:rPr>
                <w:i/>
              </w:rPr>
              <w:t>ource</w:t>
            </w:r>
            <w:r w:rsidRPr="00176D3F">
              <w:t xml:space="preserve">: </w:t>
            </w:r>
            <w:r w:rsidRPr="003041C9">
              <w:t xml:space="preserve">ANZPAA (unpublished); table </w:t>
            </w:r>
            <w:r w:rsidRPr="00590CF6">
              <w:t>6A.</w:t>
            </w:r>
            <w:r>
              <w:t>6</w:t>
            </w:r>
            <w:r w:rsidRPr="00590CF6">
              <w:t>.</w:t>
            </w:r>
          </w:p>
        </w:tc>
      </w:tr>
      <w:tr w:rsidR="00337D3B" w14:paraId="27A69CA0" w14:textId="77777777" w:rsidTr="0061204D">
        <w:tc>
          <w:tcPr>
            <w:tcW w:w="5000" w:type="pct"/>
            <w:tcBorders>
              <w:top w:val="nil"/>
              <w:left w:val="nil"/>
              <w:bottom w:val="single" w:sz="6" w:space="0" w:color="78A22F"/>
              <w:right w:val="nil"/>
            </w:tcBorders>
            <w:shd w:val="clear" w:color="auto" w:fill="auto"/>
          </w:tcPr>
          <w:p w14:paraId="1EAB2B3E" w14:textId="77777777" w:rsidR="00337D3B" w:rsidRDefault="00337D3B" w:rsidP="0061204D">
            <w:pPr>
              <w:pStyle w:val="Figurespace"/>
            </w:pPr>
          </w:p>
        </w:tc>
      </w:tr>
      <w:tr w:rsidR="00337D3B" w:rsidRPr="000863A5" w14:paraId="752EC06B" w14:textId="77777777" w:rsidTr="0061204D">
        <w:tc>
          <w:tcPr>
            <w:tcW w:w="5000" w:type="pct"/>
            <w:tcBorders>
              <w:top w:val="single" w:sz="6" w:space="0" w:color="78A22F"/>
              <w:left w:val="nil"/>
              <w:bottom w:val="nil"/>
              <w:right w:val="nil"/>
            </w:tcBorders>
          </w:tcPr>
          <w:p w14:paraId="3DD37B52" w14:textId="3D4386C2" w:rsidR="00337D3B" w:rsidRPr="00626D32" w:rsidRDefault="00337D3B" w:rsidP="0061204D">
            <w:pPr>
              <w:pStyle w:val="BoxSpaceBelow"/>
            </w:pPr>
          </w:p>
        </w:tc>
      </w:tr>
    </w:tbl>
    <w:p w14:paraId="1D98BB97" w14:textId="77777777" w:rsidR="00337D3B" w:rsidRPr="00593C0C" w:rsidRDefault="00337D3B" w:rsidP="00593C0C">
      <w:pPr>
        <w:pStyle w:val="Heading4"/>
        <w:spacing w:before="240"/>
      </w:pPr>
      <w:r w:rsidRPr="00593C0C">
        <w:lastRenderedPageBreak/>
        <w:t>Road deaths</w:t>
      </w:r>
    </w:p>
    <w:p w14:paraId="076146EE" w14:textId="61C6EA44" w:rsidR="00337D3B" w:rsidRPr="00593C0C" w:rsidRDefault="00337D3B" w:rsidP="00593C0C">
      <w:pPr>
        <w:pStyle w:val="BodyText"/>
        <w:spacing w:before="120"/>
      </w:pPr>
      <w:r w:rsidRPr="00593C0C">
        <w:t xml:space="preserve">‘Road deaths’ is an indicator of governments’ objective to contribute to a safe and secure community that enables people to undertake their lawful pursuits confidently and safely </w:t>
      </w:r>
      <w:r w:rsidRPr="00593C0C">
        <w:br/>
        <w:t>(box 6.1</w:t>
      </w:r>
      <w:r w:rsidR="00CA43F4">
        <w:t>7</w:t>
      </w:r>
      <w:r w:rsidRPr="00593C0C">
        <w:t>).</w:t>
      </w:r>
    </w:p>
    <w:p w14:paraId="39EADF58" w14:textId="209B839C" w:rsidR="00337D3B" w:rsidRDefault="00337D3B" w:rsidP="00593C0C">
      <w:pPr>
        <w:pStyle w:val="BoxSpaceAbove"/>
        <w:spacing w:before="12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37D3B" w14:paraId="110BFDFF" w14:textId="77777777" w:rsidTr="00241410">
        <w:trPr>
          <w:tblHeader/>
        </w:trPr>
        <w:tc>
          <w:tcPr>
            <w:tcW w:w="5000" w:type="pct"/>
            <w:tcBorders>
              <w:top w:val="single" w:sz="6" w:space="0" w:color="78A22F"/>
              <w:left w:val="nil"/>
              <w:bottom w:val="nil"/>
              <w:right w:val="nil"/>
            </w:tcBorders>
            <w:shd w:val="clear" w:color="auto" w:fill="F2F2F2"/>
          </w:tcPr>
          <w:p w14:paraId="0287065E" w14:textId="0204D839" w:rsidR="00337D3B" w:rsidRDefault="00337D3B" w:rsidP="00A80F71">
            <w:pPr>
              <w:pStyle w:val="BoxTitle"/>
            </w:pPr>
            <w:r>
              <w:rPr>
                <w:b w:val="0"/>
              </w:rPr>
              <w:t>Box 6.</w:t>
            </w:r>
            <w:r w:rsidR="00A80F71">
              <w:rPr>
                <w:b w:val="0"/>
              </w:rPr>
              <w:t>17</w:t>
            </w:r>
            <w:r>
              <w:tab/>
              <w:t>Road deaths</w:t>
            </w:r>
          </w:p>
        </w:tc>
      </w:tr>
      <w:tr w:rsidR="00337D3B" w14:paraId="06164A49" w14:textId="77777777" w:rsidTr="00241410">
        <w:tc>
          <w:tcPr>
            <w:tcW w:w="5000" w:type="pct"/>
            <w:tcBorders>
              <w:top w:val="nil"/>
              <w:left w:val="nil"/>
              <w:bottom w:val="nil"/>
              <w:right w:val="nil"/>
            </w:tcBorders>
            <w:shd w:val="clear" w:color="auto" w:fill="F2F2F2"/>
          </w:tcPr>
          <w:p w14:paraId="141BDBCF" w14:textId="77777777" w:rsidR="00337D3B" w:rsidRPr="00EB5046" w:rsidRDefault="00337D3B" w:rsidP="0061204D">
            <w:pPr>
              <w:pStyle w:val="Box"/>
              <w:rPr>
                <w:color w:val="000000" w:themeColor="text1"/>
              </w:rPr>
            </w:pPr>
            <w:r w:rsidRPr="00EB5046">
              <w:rPr>
                <w:color w:val="000000" w:themeColor="text1"/>
              </w:rPr>
              <w:t>‘Road deaths’ is defined as the number of road deaths per 100 000 registered vehicles.</w:t>
            </w:r>
          </w:p>
          <w:p w14:paraId="0BCC5936" w14:textId="77777777" w:rsidR="00337D3B" w:rsidRDefault="00337D3B" w:rsidP="0061204D">
            <w:pPr>
              <w:pStyle w:val="Box"/>
              <w:rPr>
                <w:color w:val="000000" w:themeColor="text1"/>
              </w:rPr>
            </w:pPr>
            <w:r w:rsidRPr="00EB5046">
              <w:rPr>
                <w:color w:val="000000" w:themeColor="text1"/>
              </w:rPr>
              <w:t>No deaths or a decreasing rate of road deaths per 100 000 registered vehicles is desirable. The rate of road deaths is affected by a number of factors in addition to activities undertaken by police services, such as the condition of roads, driver education and media campaigns.</w:t>
            </w:r>
          </w:p>
          <w:p w14:paraId="39872B42" w14:textId="77777777" w:rsidR="00337D3B" w:rsidRDefault="00337D3B" w:rsidP="0061204D">
            <w:pPr>
              <w:pStyle w:val="Box"/>
            </w:pPr>
            <w:r>
              <w:t>Data reported for this measure are:</w:t>
            </w:r>
          </w:p>
          <w:p w14:paraId="11935720" w14:textId="398E38A4" w:rsidR="00337D3B" w:rsidRPr="009442FD" w:rsidRDefault="00337D3B" w:rsidP="00017B70">
            <w:pPr>
              <w:pStyle w:val="BoxListBullet"/>
              <w:numPr>
                <w:ilvl w:val="0"/>
                <w:numId w:val="0"/>
              </w:numPr>
              <w:ind w:left="284"/>
            </w:pPr>
            <w:r w:rsidRPr="009273A9">
              <w:rPr>
                <w:shd w:val="clear" w:color="auto" w:fill="F15A25"/>
              </w:rPr>
              <w:t xml:space="preserve">    </w:t>
            </w:r>
            <w:r>
              <w:t xml:space="preserve"> </w:t>
            </w:r>
            <w:r w:rsidR="009801C9" w:rsidRPr="00C40348">
              <w:t>comparable (</w:t>
            </w:r>
            <w:r w:rsidRPr="009442FD">
              <w:t>subject to caveats)</w:t>
            </w:r>
            <w:r>
              <w:t xml:space="preserve"> </w:t>
            </w:r>
            <w:r w:rsidRPr="009442FD">
              <w:t>fo</w:t>
            </w:r>
            <w:r w:rsidR="00017B70">
              <w:t>r the current reporting period</w:t>
            </w:r>
          </w:p>
          <w:p w14:paraId="5C82196D" w14:textId="0B1C6672" w:rsidR="00337D3B" w:rsidRDefault="00017B70" w:rsidP="00C40348">
            <w:pPr>
              <w:pStyle w:val="BoxListBullet"/>
              <w:numPr>
                <w:ilvl w:val="0"/>
                <w:numId w:val="0"/>
              </w:numPr>
              <w:ind w:left="284"/>
            </w:pPr>
            <w:r w:rsidRPr="009273A9">
              <w:rPr>
                <w:shd w:val="clear" w:color="auto" w:fill="F15A25"/>
              </w:rPr>
              <w:t xml:space="preserve">    </w:t>
            </w:r>
            <w:r>
              <w:t xml:space="preserve"> complet</w:t>
            </w:r>
            <w:r w:rsidR="00C40348">
              <w:t>e</w:t>
            </w:r>
            <w:r>
              <w:t xml:space="preserve"> (subject to caveats) for the current reporting period. All required 2017-18 data are available for all jurisdictions.</w:t>
            </w:r>
          </w:p>
        </w:tc>
      </w:tr>
      <w:tr w:rsidR="00337D3B" w14:paraId="66DB3C48" w14:textId="77777777" w:rsidTr="00241410">
        <w:tc>
          <w:tcPr>
            <w:tcW w:w="5000" w:type="pct"/>
            <w:tcBorders>
              <w:top w:val="nil"/>
              <w:left w:val="nil"/>
              <w:bottom w:val="single" w:sz="6" w:space="0" w:color="78A22F"/>
              <w:right w:val="nil"/>
            </w:tcBorders>
            <w:shd w:val="clear" w:color="auto" w:fill="F2F2F2"/>
          </w:tcPr>
          <w:p w14:paraId="202C8446" w14:textId="77777777" w:rsidR="00337D3B" w:rsidRDefault="00337D3B" w:rsidP="0061204D">
            <w:pPr>
              <w:pStyle w:val="Box"/>
              <w:spacing w:before="0" w:line="120" w:lineRule="exact"/>
            </w:pPr>
          </w:p>
        </w:tc>
      </w:tr>
      <w:tr w:rsidR="00337D3B" w:rsidRPr="000863A5" w14:paraId="590CDCEA" w14:textId="77777777" w:rsidTr="0061204D">
        <w:tc>
          <w:tcPr>
            <w:tcW w:w="5000" w:type="pct"/>
            <w:tcBorders>
              <w:top w:val="single" w:sz="6" w:space="0" w:color="78A22F"/>
              <w:left w:val="nil"/>
              <w:bottom w:val="nil"/>
              <w:right w:val="nil"/>
            </w:tcBorders>
          </w:tcPr>
          <w:p w14:paraId="03A4819C" w14:textId="0914AE86" w:rsidR="00337D3B" w:rsidRPr="00626D32" w:rsidRDefault="00337D3B" w:rsidP="00593C0C">
            <w:pPr>
              <w:pStyle w:val="BoxSpaceBelow"/>
              <w:spacing w:before="0" w:after="0"/>
            </w:pPr>
          </w:p>
        </w:tc>
      </w:tr>
    </w:tbl>
    <w:p w14:paraId="3A2D6A4A" w14:textId="5F67640A" w:rsidR="00305FCE" w:rsidRPr="00F2238A" w:rsidRDefault="00337D3B" w:rsidP="004F3CC5">
      <w:pPr>
        <w:pStyle w:val="BodyText"/>
        <w:spacing w:before="120" w:after="240"/>
      </w:pPr>
      <w:r w:rsidRPr="00126FF9">
        <w:t xml:space="preserve">Nationally in 2017-18, there were 6.4 road deaths per 100 000 registered vehicles (figure 6.19). These results should be considered in conjunction with </w:t>
      </w:r>
      <w:r w:rsidRPr="00F2238A">
        <w:t>data on traffic accident hospitalisations (table 6A.1</w:t>
      </w:r>
      <w:r w:rsidR="00126FF9" w:rsidRPr="00F2238A">
        <w:t>9</w:t>
      </w:r>
      <w:r w:rsidRPr="00F2238A">
        <w:t>).</w:t>
      </w:r>
    </w:p>
    <w:p w14:paraId="2A1D433B" w14:textId="7977FCA7" w:rsidR="00337D3B" w:rsidRPr="0057653C" w:rsidRDefault="00337D3B" w:rsidP="0057653C">
      <w:pPr>
        <w:pStyle w:val="BoxSpaceAbove"/>
        <w:spacing w:before="120"/>
        <w:rPr>
          <w:b/>
          <w:vanish/>
          <w:color w:val="FF00FF"/>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37D3B" w14:paraId="53085317" w14:textId="77777777" w:rsidTr="0061204D">
        <w:trPr>
          <w:tblHeader/>
        </w:trPr>
        <w:tc>
          <w:tcPr>
            <w:tcW w:w="5000" w:type="pct"/>
            <w:tcBorders>
              <w:top w:val="single" w:sz="6" w:space="0" w:color="78A22F"/>
              <w:left w:val="nil"/>
              <w:bottom w:val="nil"/>
              <w:right w:val="nil"/>
            </w:tcBorders>
            <w:shd w:val="clear" w:color="auto" w:fill="auto"/>
          </w:tcPr>
          <w:p w14:paraId="3FA90A99" w14:textId="05FEE12A" w:rsidR="00337D3B" w:rsidRPr="00176D3F" w:rsidRDefault="00337D3B" w:rsidP="0061204D">
            <w:pPr>
              <w:pStyle w:val="FigureTitle"/>
            </w:pPr>
            <w:r w:rsidRPr="00784A05">
              <w:rPr>
                <w:b w:val="0"/>
              </w:rPr>
              <w:t xml:space="preserve">Figure </w:t>
            </w:r>
            <w:r>
              <w:rPr>
                <w:b w:val="0"/>
              </w:rPr>
              <w:t>6.19</w:t>
            </w:r>
            <w:r>
              <w:tab/>
              <w:t>Road deaths per 100 000 registered vehicles</w:t>
            </w:r>
            <w:r w:rsidRPr="00C8495E">
              <w:rPr>
                <w:rStyle w:val="NoteLabel"/>
                <w:b/>
              </w:rPr>
              <w:t>a</w:t>
            </w:r>
          </w:p>
        </w:tc>
      </w:tr>
      <w:tr w:rsidR="00337D3B" w14:paraId="18E22B6A" w14:textId="77777777" w:rsidTr="0061204D">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FC000" w:themeColor="accent4"/>
                <w:bottom w:val="single" w:sz="6" w:space="0" w:color="FFC000" w:themeColor="accent4"/>
              </w:tblBorders>
              <w:tblCellMar>
                <w:top w:w="28" w:type="dxa"/>
              </w:tblCellMar>
              <w:tblLook w:val="0000" w:firstRow="0" w:lastRow="0" w:firstColumn="0" w:lastColumn="0" w:noHBand="0" w:noVBand="0"/>
              <w:tblDescription w:val="Nested table used for design layout."/>
            </w:tblPr>
            <w:tblGrid>
              <w:gridCol w:w="8505"/>
            </w:tblGrid>
            <w:tr w:rsidR="008C1460" w:rsidRPr="00B1465D" w14:paraId="3A9E0B23" w14:textId="77777777" w:rsidTr="008C1460">
              <w:trPr>
                <w:tblHeader/>
                <w:jc w:val="center"/>
              </w:trPr>
              <w:tc>
                <w:tcPr>
                  <w:tcW w:w="8505" w:type="dxa"/>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8C1460" w:rsidRPr="00636C3F" w14:paraId="13584679" w14:textId="77777777" w:rsidTr="00AF3190">
                    <w:tc>
                      <w:tcPr>
                        <w:tcW w:w="304" w:type="dxa"/>
                        <w:tcBorders>
                          <w:top w:val="nil"/>
                          <w:left w:val="nil"/>
                          <w:bottom w:val="nil"/>
                          <w:right w:val="nil"/>
                        </w:tcBorders>
                        <w:shd w:val="clear" w:color="auto" w:fill="auto"/>
                        <w:tcMar>
                          <w:top w:w="28" w:type="dxa"/>
                          <w:bottom w:w="28" w:type="dxa"/>
                        </w:tcMar>
                      </w:tcPr>
                      <w:p w14:paraId="3FF8E378" w14:textId="77777777" w:rsidR="008C1460" w:rsidRPr="00636C3F" w:rsidRDefault="008C1460" w:rsidP="008C1460">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4A3B5A85" w14:textId="77777777" w:rsidR="008C1460" w:rsidRPr="00636C3F" w:rsidRDefault="008C1460" w:rsidP="008C1460">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620C77AE" w14:textId="77777777" w:rsidR="008C1460" w:rsidRPr="00636C3F" w:rsidRDefault="008C1460" w:rsidP="008C1460">
                        <w:pPr>
                          <w:pStyle w:val="TableBodyText"/>
                          <w:jc w:val="left"/>
                        </w:pPr>
                        <w:r w:rsidRPr="00636C3F">
                          <w:t>Data are comparable (subject to caveats) across jurisdictions and over time.</w:t>
                        </w:r>
                      </w:p>
                    </w:tc>
                  </w:tr>
                </w:tbl>
                <w:p w14:paraId="0B183460" w14:textId="77777777" w:rsidR="008C1460" w:rsidRDefault="008C1460" w:rsidP="008C1460">
                  <w:pPr>
                    <w:pStyle w:val="TableBodyText"/>
                    <w:rPr>
                      <w:noProof/>
                    </w:rPr>
                  </w:pPr>
                </w:p>
              </w:tc>
            </w:tr>
            <w:tr w:rsidR="008C1460" w:rsidRPr="00B1465D" w14:paraId="62ABAD12" w14:textId="77777777" w:rsidTr="008C1460">
              <w:trPr>
                <w:tblHeader/>
                <w:jc w:val="center"/>
              </w:trPr>
              <w:tc>
                <w:tcPr>
                  <w:tcW w:w="8505" w:type="dxa"/>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8C1460" w:rsidRPr="00636C3F" w14:paraId="269FCC20" w14:textId="77777777" w:rsidTr="00AF3190">
                    <w:tc>
                      <w:tcPr>
                        <w:tcW w:w="304" w:type="dxa"/>
                        <w:tcBorders>
                          <w:top w:val="nil"/>
                          <w:left w:val="nil"/>
                          <w:bottom w:val="nil"/>
                          <w:right w:val="nil"/>
                        </w:tcBorders>
                        <w:shd w:val="clear" w:color="auto" w:fill="auto"/>
                        <w:tcMar>
                          <w:top w:w="28" w:type="dxa"/>
                          <w:bottom w:w="28" w:type="dxa"/>
                        </w:tcMar>
                      </w:tcPr>
                      <w:p w14:paraId="3C9457E4" w14:textId="77777777" w:rsidR="008C1460" w:rsidRPr="00636C3F" w:rsidRDefault="008C1460" w:rsidP="008C1460">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21FC87B1" w14:textId="77777777" w:rsidR="008C1460" w:rsidRPr="00636C3F" w:rsidRDefault="008C1460" w:rsidP="008C1460">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6FEE5E2D" w14:textId="6B7EB94C" w:rsidR="008C1460" w:rsidRPr="00922364" w:rsidRDefault="008C1460" w:rsidP="002B0C11">
                        <w:pPr>
                          <w:pStyle w:val="TableBodyText"/>
                          <w:jc w:val="left"/>
                        </w:pPr>
                        <w:r w:rsidRPr="00922364">
                          <w:t xml:space="preserve">Data are complete (subject to caveats) for the current reporting period. </w:t>
                        </w:r>
                      </w:p>
                    </w:tc>
                  </w:tr>
                </w:tbl>
                <w:p w14:paraId="67E1F61D" w14:textId="77777777" w:rsidR="008C1460" w:rsidRDefault="008C1460" w:rsidP="008C1460">
                  <w:pPr>
                    <w:pStyle w:val="TableBodyText"/>
                    <w:rPr>
                      <w:noProof/>
                    </w:rPr>
                  </w:pPr>
                </w:p>
              </w:tc>
            </w:tr>
            <w:tr w:rsidR="00337D3B" w:rsidRPr="00B1465D" w14:paraId="22E0CB41" w14:textId="77777777" w:rsidTr="008C1460">
              <w:trPr>
                <w:tblHeader/>
                <w:jc w:val="center"/>
              </w:trPr>
              <w:tc>
                <w:tcPr>
                  <w:tcW w:w="8505" w:type="dxa"/>
                  <w:tcBorders>
                    <w:top w:val="nil"/>
                    <w:bottom w:val="nil"/>
                  </w:tcBorders>
                </w:tcPr>
                <w:p w14:paraId="01688C73" w14:textId="4A940D55" w:rsidR="00337D3B" w:rsidRPr="00C6671C" w:rsidRDefault="00E44E98" w:rsidP="0061204D">
                  <w:pPr>
                    <w:pStyle w:val="Figure"/>
                  </w:pPr>
                  <w:r>
                    <w:rPr>
                      <w:noProof/>
                    </w:rPr>
                    <w:drawing>
                      <wp:inline distT="0" distB="0" distL="0" distR="0" wp14:anchorId="560AFF33" wp14:editId="530C5110">
                        <wp:extent cx="5407660" cy="2707005"/>
                        <wp:effectExtent l="0" t="0" r="2540" b="0"/>
                        <wp:docPr id="27" name="Picture 27" descr="Figure 6.19 Road deaths per 100 000 registered vehicle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07660" cy="2707005"/>
                                </a:xfrm>
                                <a:prstGeom prst="rect">
                                  <a:avLst/>
                                </a:prstGeom>
                                <a:noFill/>
                              </pic:spPr>
                            </pic:pic>
                          </a:graphicData>
                        </a:graphic>
                      </wp:inline>
                    </w:drawing>
                  </w:r>
                </w:p>
              </w:tc>
            </w:tr>
          </w:tbl>
          <w:p w14:paraId="24E24E4A" w14:textId="77777777" w:rsidR="00337D3B" w:rsidRDefault="00337D3B" w:rsidP="0061204D">
            <w:pPr>
              <w:pStyle w:val="Figure"/>
            </w:pPr>
          </w:p>
        </w:tc>
      </w:tr>
      <w:tr w:rsidR="00337D3B" w:rsidRPr="00176D3F" w14:paraId="4B79E3FB" w14:textId="77777777" w:rsidTr="0061204D">
        <w:tc>
          <w:tcPr>
            <w:tcW w:w="5000" w:type="pct"/>
            <w:tcBorders>
              <w:top w:val="nil"/>
              <w:left w:val="nil"/>
              <w:bottom w:val="nil"/>
              <w:right w:val="nil"/>
            </w:tcBorders>
            <w:shd w:val="clear" w:color="auto" w:fill="auto"/>
          </w:tcPr>
          <w:p w14:paraId="37A83805" w14:textId="34B94042" w:rsidR="00337D3B" w:rsidRPr="00176D3F" w:rsidRDefault="00337D3B" w:rsidP="00CA43F4">
            <w:pPr>
              <w:pStyle w:val="Note"/>
            </w:pPr>
            <w:r>
              <w:rPr>
                <w:rStyle w:val="NoteLabel"/>
              </w:rPr>
              <w:t>a</w:t>
            </w:r>
            <w:r>
              <w:t xml:space="preserve"> </w:t>
            </w:r>
            <w:r w:rsidRPr="009253ED">
              <w:rPr>
                <w:szCs w:val="18"/>
              </w:rPr>
              <w:t>See box 6.1</w:t>
            </w:r>
            <w:r w:rsidR="00CA43F4">
              <w:rPr>
                <w:szCs w:val="18"/>
              </w:rPr>
              <w:t>7</w:t>
            </w:r>
            <w:r w:rsidRPr="009253ED">
              <w:rPr>
                <w:szCs w:val="18"/>
              </w:rPr>
              <w:t xml:space="preserve"> and table 6A.18 for detailed definitions, footnotes and caveats.</w:t>
            </w:r>
          </w:p>
        </w:tc>
      </w:tr>
      <w:tr w:rsidR="00337D3B" w:rsidRPr="00176D3F" w14:paraId="172344AC" w14:textId="77777777" w:rsidTr="0061204D">
        <w:tc>
          <w:tcPr>
            <w:tcW w:w="5000" w:type="pct"/>
            <w:tcBorders>
              <w:top w:val="nil"/>
              <w:left w:val="nil"/>
              <w:bottom w:val="nil"/>
              <w:right w:val="nil"/>
            </w:tcBorders>
            <w:shd w:val="clear" w:color="auto" w:fill="auto"/>
          </w:tcPr>
          <w:p w14:paraId="1E2BF358" w14:textId="25803592" w:rsidR="00337D3B" w:rsidRPr="00176D3F" w:rsidRDefault="00337D3B" w:rsidP="00593C0C">
            <w:pPr>
              <w:pStyle w:val="Source"/>
            </w:pPr>
            <w:r>
              <w:rPr>
                <w:i/>
              </w:rPr>
              <w:t>S</w:t>
            </w:r>
            <w:r w:rsidRPr="00784A05">
              <w:rPr>
                <w:i/>
              </w:rPr>
              <w:t>ource</w:t>
            </w:r>
            <w:r w:rsidRPr="00176D3F">
              <w:t xml:space="preserve">: </w:t>
            </w:r>
            <w:r w:rsidRPr="009253ED">
              <w:rPr>
                <w:szCs w:val="18"/>
              </w:rPr>
              <w:t>Australian Road Fatality</w:t>
            </w:r>
            <w:r w:rsidR="00593C0C">
              <w:rPr>
                <w:szCs w:val="18"/>
              </w:rPr>
              <w:t xml:space="preserve"> Statistics, w</w:t>
            </w:r>
            <w:r>
              <w:rPr>
                <w:szCs w:val="18"/>
              </w:rPr>
              <w:t>ww.bitre.gov.au</w:t>
            </w:r>
            <w:r w:rsidRPr="009253ED">
              <w:rPr>
                <w:szCs w:val="18"/>
              </w:rPr>
              <w:t>; ABS (201</w:t>
            </w:r>
            <w:r>
              <w:rPr>
                <w:szCs w:val="18"/>
              </w:rPr>
              <w:t>8</w:t>
            </w:r>
            <w:r w:rsidRPr="009253ED">
              <w:rPr>
                <w:szCs w:val="18"/>
              </w:rPr>
              <w:t xml:space="preserve">) </w:t>
            </w:r>
            <w:r w:rsidRPr="00BD4341">
              <w:rPr>
                <w:i/>
                <w:szCs w:val="18"/>
              </w:rPr>
              <w:t>Motor Vehicle Census</w:t>
            </w:r>
            <w:r>
              <w:rPr>
                <w:szCs w:val="18"/>
              </w:rPr>
              <w:t xml:space="preserve"> (various years), Australia, C</w:t>
            </w:r>
            <w:r w:rsidRPr="009253ED">
              <w:rPr>
                <w:szCs w:val="18"/>
              </w:rPr>
              <w:t>at. n</w:t>
            </w:r>
            <w:r>
              <w:rPr>
                <w:szCs w:val="18"/>
              </w:rPr>
              <w:t xml:space="preserve">o. </w:t>
            </w:r>
            <w:r w:rsidRPr="009253ED">
              <w:rPr>
                <w:szCs w:val="18"/>
              </w:rPr>
              <w:t>9309.0; table 6A.18.</w:t>
            </w:r>
          </w:p>
        </w:tc>
      </w:tr>
      <w:tr w:rsidR="00337D3B" w14:paraId="2019D01E" w14:textId="77777777" w:rsidTr="0061204D">
        <w:tc>
          <w:tcPr>
            <w:tcW w:w="5000" w:type="pct"/>
            <w:tcBorders>
              <w:top w:val="nil"/>
              <w:left w:val="nil"/>
              <w:bottom w:val="single" w:sz="6" w:space="0" w:color="78A22F"/>
              <w:right w:val="nil"/>
            </w:tcBorders>
            <w:shd w:val="clear" w:color="auto" w:fill="auto"/>
          </w:tcPr>
          <w:p w14:paraId="3F0E3BD2" w14:textId="77777777" w:rsidR="00337D3B" w:rsidRDefault="00337D3B" w:rsidP="0061204D">
            <w:pPr>
              <w:pStyle w:val="Figurespace"/>
            </w:pPr>
          </w:p>
        </w:tc>
      </w:tr>
      <w:tr w:rsidR="00337D3B" w:rsidRPr="000863A5" w14:paraId="714446EA" w14:textId="77777777" w:rsidTr="0061204D">
        <w:tc>
          <w:tcPr>
            <w:tcW w:w="5000" w:type="pct"/>
            <w:tcBorders>
              <w:top w:val="single" w:sz="6" w:space="0" w:color="78A22F"/>
              <w:left w:val="nil"/>
              <w:bottom w:val="nil"/>
              <w:right w:val="nil"/>
            </w:tcBorders>
          </w:tcPr>
          <w:p w14:paraId="1951C6CC" w14:textId="0B2498CB" w:rsidR="00337D3B" w:rsidRPr="00626D32" w:rsidRDefault="00337D3B" w:rsidP="00593C0C">
            <w:pPr>
              <w:pStyle w:val="BoxSpaceBelow"/>
              <w:spacing w:before="20" w:after="20"/>
            </w:pPr>
          </w:p>
        </w:tc>
      </w:tr>
    </w:tbl>
    <w:p w14:paraId="2C578371" w14:textId="6F66C4F9" w:rsidR="00337D3B" w:rsidRDefault="00337D3B" w:rsidP="00337D3B">
      <w:pPr>
        <w:pStyle w:val="Heading2"/>
        <w:spacing w:before="0" w:after="560"/>
      </w:pPr>
      <w:r>
        <w:lastRenderedPageBreak/>
        <w:t>6.</w:t>
      </w:r>
      <w:r w:rsidR="00183EEE">
        <w:rPr>
          <w:noProof/>
        </w:rPr>
        <w:t>4</w:t>
      </w:r>
      <w:r>
        <w:tab/>
        <w:t>Definitions of key terms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6.4 Definitions of key terms &#10;&#10;Table with key terms&#10;&#10;More details can be found within the text surrounding this image."/>
      </w:tblPr>
      <w:tblGrid>
        <w:gridCol w:w="2127"/>
        <w:gridCol w:w="6652"/>
      </w:tblGrid>
      <w:tr w:rsidR="00337D3B" w14:paraId="6C654CBB" w14:textId="77777777" w:rsidTr="0061204D">
        <w:tc>
          <w:tcPr>
            <w:tcW w:w="2127" w:type="dxa"/>
          </w:tcPr>
          <w:p w14:paraId="345A41D8" w14:textId="77777777" w:rsidR="00337D3B" w:rsidRPr="008C59C4" w:rsidRDefault="00337D3B" w:rsidP="0061204D">
            <w:pPr>
              <w:pStyle w:val="TableBodyText"/>
              <w:spacing w:after="0"/>
              <w:jc w:val="left"/>
              <w:rPr>
                <w:b/>
              </w:rPr>
            </w:pPr>
            <w:r w:rsidRPr="008C59C4">
              <w:rPr>
                <w:b/>
              </w:rPr>
              <w:t>Aboriginal and Torres Strait Islander staff</w:t>
            </w:r>
          </w:p>
        </w:tc>
        <w:tc>
          <w:tcPr>
            <w:tcW w:w="6652" w:type="dxa"/>
          </w:tcPr>
          <w:p w14:paraId="059CD35D" w14:textId="77777777" w:rsidR="00337D3B" w:rsidRDefault="00337D3B" w:rsidP="0061204D">
            <w:pPr>
              <w:pStyle w:val="TableBodyText"/>
              <w:spacing w:after="0"/>
              <w:jc w:val="left"/>
            </w:pPr>
            <w:r w:rsidRPr="00AB35CF">
              <w:t xml:space="preserve">Number of staff who are </w:t>
            </w:r>
            <w:r>
              <w:t>self–</w:t>
            </w:r>
            <w:r w:rsidRPr="00AB35CF">
              <w:t>identified as being of Aboriginal or Torres Strait Islander descent.</w:t>
            </w:r>
          </w:p>
        </w:tc>
      </w:tr>
      <w:tr w:rsidR="00337D3B" w14:paraId="5C3E3D78" w14:textId="77777777" w:rsidTr="0061204D">
        <w:tc>
          <w:tcPr>
            <w:tcW w:w="2127" w:type="dxa"/>
          </w:tcPr>
          <w:p w14:paraId="053D99BF" w14:textId="77777777" w:rsidR="00337D3B" w:rsidRPr="008C59C4" w:rsidRDefault="00337D3B" w:rsidP="0061204D">
            <w:pPr>
              <w:pStyle w:val="TableBodyText"/>
              <w:spacing w:before="40" w:after="0"/>
              <w:jc w:val="left"/>
              <w:rPr>
                <w:b/>
              </w:rPr>
            </w:pPr>
            <w:r w:rsidRPr="00AB35CF">
              <w:rPr>
                <w:b/>
              </w:rPr>
              <w:t>Adjudicated defendant</w:t>
            </w:r>
          </w:p>
        </w:tc>
        <w:tc>
          <w:tcPr>
            <w:tcW w:w="6652" w:type="dxa"/>
          </w:tcPr>
          <w:p w14:paraId="273FF8F3" w14:textId="77777777" w:rsidR="00337D3B" w:rsidRDefault="00337D3B" w:rsidP="0061204D">
            <w:pPr>
              <w:pStyle w:val="TableBodyText"/>
              <w:spacing w:before="40" w:after="0"/>
              <w:jc w:val="left"/>
            </w:pPr>
            <w:r w:rsidRPr="00AB35CF">
              <w:t>A defendant is a person or organisation against whom one or more criminal charges have been laid and which are heard together as one unit of work by a court level. An adjudicated finalisation is a method of finalisation based on a judgment or decision by the court as to whether or not the defendant is guilty of the charge(s) laid against them.</w:t>
            </w:r>
          </w:p>
        </w:tc>
      </w:tr>
      <w:tr w:rsidR="00337D3B" w14:paraId="1DC33FFE" w14:textId="77777777" w:rsidTr="0061204D">
        <w:tc>
          <w:tcPr>
            <w:tcW w:w="2127" w:type="dxa"/>
          </w:tcPr>
          <w:p w14:paraId="5AC91177" w14:textId="77777777" w:rsidR="00337D3B" w:rsidRPr="008C59C4" w:rsidRDefault="00337D3B" w:rsidP="0061204D">
            <w:pPr>
              <w:pStyle w:val="TableBodyText"/>
              <w:spacing w:before="40" w:after="0"/>
              <w:jc w:val="left"/>
              <w:rPr>
                <w:b/>
              </w:rPr>
            </w:pPr>
            <w:r w:rsidRPr="00AB35CF">
              <w:rPr>
                <w:b/>
              </w:rPr>
              <w:t>Armed robbery</w:t>
            </w:r>
          </w:p>
        </w:tc>
        <w:tc>
          <w:tcPr>
            <w:tcW w:w="6652" w:type="dxa"/>
          </w:tcPr>
          <w:p w14:paraId="6EAFD925" w14:textId="77777777" w:rsidR="00337D3B" w:rsidRPr="00AB35CF" w:rsidRDefault="00337D3B" w:rsidP="0061204D">
            <w:pPr>
              <w:pStyle w:val="TableBodyText"/>
              <w:spacing w:before="40" w:after="0"/>
              <w:jc w:val="left"/>
            </w:pPr>
            <w:r w:rsidRPr="00AB35CF">
              <w:t>Robbery conducted with the use (actual or implied) of a weapon, where a weapon can include, but is not restricted to:</w:t>
            </w:r>
          </w:p>
          <w:p w14:paraId="6B2A5541" w14:textId="77777777" w:rsidR="00337D3B" w:rsidRPr="00AB35CF" w:rsidRDefault="00337D3B" w:rsidP="0061204D">
            <w:pPr>
              <w:pStyle w:val="TableBullet"/>
              <w:keepNext w:val="0"/>
              <w:keepLines w:val="0"/>
              <w:spacing w:after="0"/>
            </w:pPr>
            <w:r w:rsidRPr="00AB35CF">
              <w:t>firearms — pistol, revolver, rifle, automatic/semiautomatic rifle, shotgun, military firearm, airgun, nail gun, cannon, imitation firearm and implied firearm</w:t>
            </w:r>
          </w:p>
          <w:p w14:paraId="52157F58" w14:textId="77777777" w:rsidR="00337D3B" w:rsidRDefault="00337D3B" w:rsidP="0061204D">
            <w:pPr>
              <w:pStyle w:val="TableBullet"/>
              <w:spacing w:after="0"/>
            </w:pPr>
            <w:r w:rsidRPr="00AB35CF">
              <w:t>other weapons — knife, sharp instrument, blunt instrument, hammer, axe, club, iron bar, piece of wood, syringe/hypodermic needle, bow and arrow, crossbow, spear gun, blowgun, rope, wire, chemical, acid, explosive, vehicle, bottle/glass, other dangerous article and imitation weapons.</w:t>
            </w:r>
          </w:p>
        </w:tc>
      </w:tr>
      <w:tr w:rsidR="00337D3B" w14:paraId="54EC078D" w14:textId="77777777" w:rsidTr="0061204D">
        <w:tc>
          <w:tcPr>
            <w:tcW w:w="2127" w:type="dxa"/>
          </w:tcPr>
          <w:p w14:paraId="667AB1C3" w14:textId="77777777" w:rsidR="00337D3B" w:rsidRPr="008C59C4" w:rsidRDefault="00337D3B" w:rsidP="0061204D">
            <w:pPr>
              <w:pStyle w:val="TableBodyText"/>
              <w:spacing w:before="40" w:after="0"/>
              <w:jc w:val="left"/>
              <w:rPr>
                <w:b/>
              </w:rPr>
            </w:pPr>
            <w:r w:rsidRPr="00AB35CF">
              <w:rPr>
                <w:b/>
              </w:rPr>
              <w:t>Assault</w:t>
            </w:r>
          </w:p>
        </w:tc>
        <w:tc>
          <w:tcPr>
            <w:tcW w:w="6652" w:type="dxa"/>
          </w:tcPr>
          <w:p w14:paraId="0C02726A" w14:textId="77777777" w:rsidR="00337D3B" w:rsidRDefault="00337D3B" w:rsidP="0061204D">
            <w:pPr>
              <w:pStyle w:val="TableBodyText"/>
              <w:spacing w:before="40" w:after="0"/>
              <w:jc w:val="left"/>
            </w:pPr>
            <w:r w:rsidRPr="00AB35CF">
              <w:t>The direct (and immediate/confrontational) infliction of force, injury or violence on a person(s) or the direct (and immediate/confrontational) threat of force, injury or violence where there is an apprehension that the threat could be enacted.</w:t>
            </w:r>
          </w:p>
        </w:tc>
      </w:tr>
      <w:tr w:rsidR="00337D3B" w14:paraId="7895C026" w14:textId="77777777" w:rsidTr="0061204D">
        <w:tc>
          <w:tcPr>
            <w:tcW w:w="2127" w:type="dxa"/>
          </w:tcPr>
          <w:p w14:paraId="7DEA8B27" w14:textId="77777777" w:rsidR="00337D3B" w:rsidRPr="008C59C4" w:rsidRDefault="00337D3B" w:rsidP="0061204D">
            <w:pPr>
              <w:pStyle w:val="TableBodyText"/>
              <w:spacing w:before="40" w:after="0"/>
              <w:jc w:val="left"/>
              <w:rPr>
                <w:b/>
              </w:rPr>
            </w:pPr>
            <w:r w:rsidRPr="00AB35CF">
              <w:rPr>
                <w:b/>
              </w:rPr>
              <w:t>Available full time equivalent staff</w:t>
            </w:r>
          </w:p>
        </w:tc>
        <w:tc>
          <w:tcPr>
            <w:tcW w:w="6652" w:type="dxa"/>
          </w:tcPr>
          <w:p w14:paraId="29E95CB1" w14:textId="77777777" w:rsidR="00337D3B" w:rsidRDefault="00337D3B" w:rsidP="0061204D">
            <w:pPr>
              <w:pStyle w:val="TableBodyText"/>
              <w:spacing w:before="40" w:after="0"/>
              <w:jc w:val="left"/>
            </w:pPr>
            <w:r w:rsidRPr="00AB35CF">
              <w:t>Any full time equivalent category where the individual is on duty performing a function. To be measured using average staffing level for the whole reporting period.</w:t>
            </w:r>
          </w:p>
        </w:tc>
      </w:tr>
      <w:tr w:rsidR="00337D3B" w14:paraId="074ECDCA" w14:textId="77777777" w:rsidTr="0061204D">
        <w:tc>
          <w:tcPr>
            <w:tcW w:w="2127" w:type="dxa"/>
          </w:tcPr>
          <w:p w14:paraId="0648ACD6" w14:textId="77777777" w:rsidR="00337D3B" w:rsidRPr="008C59C4" w:rsidRDefault="00337D3B" w:rsidP="0061204D">
            <w:pPr>
              <w:pStyle w:val="TableBodyText"/>
              <w:spacing w:before="40" w:after="0"/>
              <w:jc w:val="left"/>
              <w:rPr>
                <w:b/>
              </w:rPr>
            </w:pPr>
            <w:r w:rsidRPr="0054057B">
              <w:rPr>
                <w:b/>
              </w:rPr>
              <w:t>Cautioning</w:t>
            </w:r>
          </w:p>
        </w:tc>
        <w:tc>
          <w:tcPr>
            <w:tcW w:w="6652" w:type="dxa"/>
          </w:tcPr>
          <w:p w14:paraId="2D1B31B6" w14:textId="77777777" w:rsidR="00337D3B" w:rsidRDefault="00337D3B" w:rsidP="0061204D">
            <w:pPr>
              <w:pStyle w:val="TableBodyText"/>
              <w:spacing w:before="40" w:after="0"/>
              <w:jc w:val="left"/>
            </w:pPr>
            <w:r w:rsidRPr="0054057B">
              <w:t>A formal method of dealing with young offenders without taking court proceedings. Police officers may caution young offenders instead of charging them if the offence or the circumstance of the offence is not serious.</w:t>
            </w:r>
          </w:p>
        </w:tc>
      </w:tr>
      <w:tr w:rsidR="00337D3B" w14:paraId="11C3F01D" w14:textId="77777777" w:rsidTr="0061204D">
        <w:tc>
          <w:tcPr>
            <w:tcW w:w="2127" w:type="dxa"/>
          </w:tcPr>
          <w:p w14:paraId="75397A79" w14:textId="77777777" w:rsidR="00337D3B" w:rsidRPr="008C59C4" w:rsidRDefault="00337D3B" w:rsidP="0061204D">
            <w:pPr>
              <w:pStyle w:val="TableBodyText"/>
              <w:spacing w:before="40" w:after="0"/>
              <w:jc w:val="left"/>
              <w:rPr>
                <w:b/>
              </w:rPr>
            </w:pPr>
            <w:r w:rsidRPr="0054057B">
              <w:rPr>
                <w:b/>
              </w:rPr>
              <w:t>Civilian staff</w:t>
            </w:r>
          </w:p>
        </w:tc>
        <w:tc>
          <w:tcPr>
            <w:tcW w:w="6652" w:type="dxa"/>
          </w:tcPr>
          <w:p w14:paraId="391C67B9" w14:textId="77777777" w:rsidR="00337D3B" w:rsidRDefault="00337D3B" w:rsidP="0061204D">
            <w:pPr>
              <w:pStyle w:val="TableBodyText"/>
              <w:spacing w:before="40" w:after="0"/>
              <w:jc w:val="left"/>
            </w:pPr>
            <w:r w:rsidRPr="0054057B">
              <w:t>Unsworn staff, including specialists (civilian training and teaching medical and other specialists) and civilian administrative and management staff.</w:t>
            </w:r>
          </w:p>
        </w:tc>
      </w:tr>
      <w:tr w:rsidR="00337D3B" w14:paraId="5BEC4C1E" w14:textId="77777777" w:rsidTr="0061204D">
        <w:tc>
          <w:tcPr>
            <w:tcW w:w="2127" w:type="dxa"/>
          </w:tcPr>
          <w:p w14:paraId="24DF3C16" w14:textId="77777777" w:rsidR="00337D3B" w:rsidRPr="0054057B" w:rsidRDefault="00337D3B" w:rsidP="0061204D">
            <w:pPr>
              <w:pStyle w:val="TableBodyText"/>
              <w:spacing w:before="40" w:after="0"/>
              <w:jc w:val="left"/>
              <w:rPr>
                <w:b/>
              </w:rPr>
            </w:pPr>
            <w:r w:rsidRPr="0054057B">
              <w:rPr>
                <w:b/>
              </w:rPr>
              <w:t>Complaints</w:t>
            </w:r>
          </w:p>
        </w:tc>
        <w:tc>
          <w:tcPr>
            <w:tcW w:w="6652" w:type="dxa"/>
          </w:tcPr>
          <w:p w14:paraId="2310F0A2" w14:textId="77777777" w:rsidR="00337D3B" w:rsidRPr="0054057B" w:rsidRDefault="00337D3B" w:rsidP="0061204D">
            <w:pPr>
              <w:pStyle w:val="TableBodyText"/>
              <w:spacing w:before="40" w:after="0"/>
              <w:jc w:val="left"/>
            </w:pPr>
            <w:r w:rsidRPr="0054057B">
              <w:t>Number of statements of complaint by members of the public regarding police conduct.</w:t>
            </w:r>
          </w:p>
        </w:tc>
      </w:tr>
      <w:tr w:rsidR="00337D3B" w14:paraId="4588FAB0" w14:textId="77777777" w:rsidTr="0061204D">
        <w:tc>
          <w:tcPr>
            <w:tcW w:w="2127" w:type="dxa"/>
          </w:tcPr>
          <w:p w14:paraId="13310FDD" w14:textId="77777777" w:rsidR="00337D3B" w:rsidRPr="0054057B" w:rsidRDefault="00337D3B" w:rsidP="0061204D">
            <w:pPr>
              <w:pStyle w:val="TableBodyText"/>
              <w:spacing w:before="40" w:after="0"/>
              <w:jc w:val="left"/>
              <w:rPr>
                <w:b/>
              </w:rPr>
            </w:pPr>
            <w:r w:rsidRPr="00AB35CF">
              <w:rPr>
                <w:b/>
              </w:rPr>
              <w:t>Depreciation</w:t>
            </w:r>
          </w:p>
        </w:tc>
        <w:tc>
          <w:tcPr>
            <w:tcW w:w="6652" w:type="dxa"/>
          </w:tcPr>
          <w:p w14:paraId="5C3A5984" w14:textId="77777777" w:rsidR="00337D3B" w:rsidRPr="0054057B" w:rsidRDefault="00337D3B" w:rsidP="0061204D">
            <w:pPr>
              <w:pStyle w:val="TableBodyText"/>
              <w:spacing w:before="40" w:after="0"/>
              <w:jc w:val="left"/>
            </w:pPr>
            <w:r w:rsidRPr="00AB35CF">
              <w:t>Where possible, based on current asset valuation.</w:t>
            </w:r>
          </w:p>
        </w:tc>
      </w:tr>
      <w:tr w:rsidR="00DB78BC" w14:paraId="7F7BABD7" w14:textId="77777777" w:rsidTr="0061204D">
        <w:tc>
          <w:tcPr>
            <w:tcW w:w="2127" w:type="dxa"/>
          </w:tcPr>
          <w:p w14:paraId="2E3A1351" w14:textId="019F4A85" w:rsidR="00DB78BC" w:rsidRPr="00AB35CF" w:rsidRDefault="00DB78BC" w:rsidP="00DB78BC">
            <w:pPr>
              <w:pStyle w:val="TableBodyText"/>
              <w:spacing w:before="40" w:after="0"/>
              <w:jc w:val="left"/>
              <w:rPr>
                <w:b/>
              </w:rPr>
            </w:pPr>
            <w:r>
              <w:rPr>
                <w:b/>
              </w:rPr>
              <w:t>Estimated resident population (ERP)</w:t>
            </w:r>
          </w:p>
        </w:tc>
        <w:tc>
          <w:tcPr>
            <w:tcW w:w="6652" w:type="dxa"/>
          </w:tcPr>
          <w:p w14:paraId="0503D7D5" w14:textId="72BFDEAF" w:rsidR="00DB78BC" w:rsidRPr="00AB35CF" w:rsidRDefault="00DB78BC" w:rsidP="00DB78BC">
            <w:pPr>
              <w:pStyle w:val="TableBodyText"/>
              <w:spacing w:before="40" w:after="0"/>
              <w:jc w:val="left"/>
            </w:pPr>
            <w:r w:rsidRPr="00DB78BC">
              <w:t>The official Australian Bureau of Statistics estimate of the Australian population. The ERP is derived from the 5-yearly Census counts, and is updated quarterly between censuses. It is based on the usual residence of the person.</w:t>
            </w:r>
          </w:p>
        </w:tc>
      </w:tr>
      <w:tr w:rsidR="00DB78BC" w14:paraId="4B79F01C" w14:textId="77777777" w:rsidTr="0061204D">
        <w:tc>
          <w:tcPr>
            <w:tcW w:w="2127" w:type="dxa"/>
          </w:tcPr>
          <w:p w14:paraId="330614B2" w14:textId="77777777" w:rsidR="00DB78BC" w:rsidRPr="00AB35CF" w:rsidRDefault="00DB78BC" w:rsidP="00DB78BC">
            <w:pPr>
              <w:pStyle w:val="TableBodyText"/>
              <w:spacing w:before="40" w:after="0"/>
              <w:jc w:val="left"/>
              <w:rPr>
                <w:b/>
              </w:rPr>
            </w:pPr>
            <w:r w:rsidRPr="00AB35CF">
              <w:rPr>
                <w:b/>
              </w:rPr>
              <w:t>Full time equivalent (FTE)</w:t>
            </w:r>
          </w:p>
        </w:tc>
        <w:tc>
          <w:tcPr>
            <w:tcW w:w="6652" w:type="dxa"/>
          </w:tcPr>
          <w:p w14:paraId="0B54B394" w14:textId="77777777" w:rsidR="00DB78BC" w:rsidRPr="00AB35CF" w:rsidRDefault="00DB78BC" w:rsidP="00DB78BC">
            <w:pPr>
              <w:pStyle w:val="TableBodyText"/>
              <w:spacing w:before="40" w:after="0"/>
              <w:jc w:val="left"/>
            </w:pPr>
            <w:r w:rsidRPr="00AB35CF">
              <w:t>The equivalent number of full time staff required to provide the same hours of work as performed by staff actually employed. A full time staff member is equivalent to a full time equivalent of one, while a part time staff member is greater than zero but less than one.</w:t>
            </w:r>
          </w:p>
        </w:tc>
      </w:tr>
      <w:tr w:rsidR="00DB78BC" w14:paraId="3A661A1A" w14:textId="77777777" w:rsidTr="0061204D">
        <w:tc>
          <w:tcPr>
            <w:tcW w:w="2127" w:type="dxa"/>
          </w:tcPr>
          <w:p w14:paraId="1FFD369E" w14:textId="77777777" w:rsidR="00DB78BC" w:rsidRPr="00AB35CF" w:rsidRDefault="00DB78BC" w:rsidP="00DB78BC">
            <w:pPr>
              <w:pStyle w:val="TableBodyText"/>
              <w:spacing w:before="40" w:after="0"/>
              <w:jc w:val="left"/>
              <w:rPr>
                <w:b/>
              </w:rPr>
            </w:pPr>
            <w:r w:rsidRPr="00AB35CF">
              <w:rPr>
                <w:b/>
              </w:rPr>
              <w:t>Juvenile diversion</w:t>
            </w:r>
          </w:p>
        </w:tc>
        <w:tc>
          <w:tcPr>
            <w:tcW w:w="6652" w:type="dxa"/>
          </w:tcPr>
          <w:p w14:paraId="50251A13" w14:textId="77777777" w:rsidR="00DB78BC" w:rsidRPr="00E8292A" w:rsidRDefault="00DB78BC" w:rsidP="00E8292A">
            <w:pPr>
              <w:pStyle w:val="TableBodyText"/>
              <w:jc w:val="left"/>
            </w:pPr>
            <w:r w:rsidRPr="00E8292A">
              <w:t>Juvenile offenders who are diverted by police (for example, through the use of cautions, official warnings or other diversionary programs) away from the criminal justice system.</w:t>
            </w:r>
          </w:p>
        </w:tc>
      </w:tr>
      <w:tr w:rsidR="00DB78BC" w14:paraId="5A96CD11" w14:textId="77777777" w:rsidTr="0061204D">
        <w:tc>
          <w:tcPr>
            <w:tcW w:w="2127" w:type="dxa"/>
          </w:tcPr>
          <w:p w14:paraId="000C294B" w14:textId="77777777" w:rsidR="00DB78BC" w:rsidRDefault="00DB78BC" w:rsidP="00DB78BC">
            <w:pPr>
              <w:pStyle w:val="TableBodyText"/>
              <w:spacing w:before="40" w:after="0"/>
              <w:jc w:val="left"/>
              <w:rPr>
                <w:b/>
              </w:rPr>
            </w:pPr>
            <w:r>
              <w:rPr>
                <w:b/>
              </w:rPr>
              <w:t>Magistrates court defendants resulting in guilty plea or finding</w:t>
            </w:r>
          </w:p>
        </w:tc>
        <w:tc>
          <w:tcPr>
            <w:tcW w:w="6652" w:type="dxa"/>
          </w:tcPr>
          <w:p w14:paraId="68B21045" w14:textId="16065C9F" w:rsidR="00946AFB" w:rsidRPr="00946AFB" w:rsidRDefault="0082270A" w:rsidP="00C40348">
            <w:pPr>
              <w:pStyle w:val="TableBodyText"/>
              <w:jc w:val="left"/>
            </w:pPr>
            <w:r w:rsidRPr="00C40348">
              <w:t>D</w:t>
            </w:r>
            <w:r w:rsidR="00946AFB" w:rsidRPr="00C40348">
              <w:t>efendants who had their case(s) (excluding committal hearings) adjudicated by the Magistrates’ Courts where these resulted in a guilty plea or finding</w:t>
            </w:r>
            <w:r w:rsidR="00946AFB" w:rsidRPr="002711D4">
              <w:t>.</w:t>
            </w:r>
          </w:p>
          <w:p w14:paraId="1A26B913" w14:textId="3DD1DDAB" w:rsidR="00DB78BC" w:rsidRPr="00AB35CF" w:rsidRDefault="00DB78BC" w:rsidP="00946AFB">
            <w:pPr>
              <w:pStyle w:val="TableBodyText"/>
              <w:jc w:val="left"/>
            </w:pPr>
            <w:r w:rsidRPr="00946AFB">
              <w:t>A guilty plea is the formal sta</w:t>
            </w:r>
            <w:r w:rsidR="009862E2" w:rsidRPr="00946AFB">
              <w:t xml:space="preserve">tement by a defendant admitting </w:t>
            </w:r>
            <w:r w:rsidRPr="00946AFB">
              <w:t>culpability in relation to a criminal charge. A not guilty plea is the formal statement by a defendant denying culpability in relation to a charge. For this data collection, a plea of ‘not guilty’ should also include ‘no plea’, ‘plea reserved’ and ‘other defended plea’.</w:t>
            </w:r>
          </w:p>
        </w:tc>
      </w:tr>
    </w:tbl>
    <w:p w14:paraId="6645E3BC" w14:textId="77777777" w:rsidR="00337D3B" w:rsidRDefault="00337D3B" w:rsidP="00337D3B">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6.4 Definitions of key terms &#10;&#10;Table with key terms&#10;&#10;More details can be found within the text surrounding this image."/>
      </w:tblPr>
      <w:tblGrid>
        <w:gridCol w:w="2127"/>
        <w:gridCol w:w="6652"/>
      </w:tblGrid>
      <w:tr w:rsidR="00337D3B" w14:paraId="45B4D2D0" w14:textId="77777777" w:rsidTr="0061204D">
        <w:tc>
          <w:tcPr>
            <w:tcW w:w="2127" w:type="dxa"/>
          </w:tcPr>
          <w:p w14:paraId="223E85FB" w14:textId="77777777" w:rsidR="00337D3B" w:rsidRPr="00AB35CF" w:rsidRDefault="00337D3B" w:rsidP="0061204D">
            <w:pPr>
              <w:pStyle w:val="TableBodyText"/>
              <w:keepNext w:val="0"/>
              <w:keepLines w:val="0"/>
              <w:spacing w:after="0"/>
              <w:jc w:val="left"/>
              <w:rPr>
                <w:b/>
              </w:rPr>
            </w:pPr>
          </w:p>
        </w:tc>
        <w:tc>
          <w:tcPr>
            <w:tcW w:w="6652" w:type="dxa"/>
          </w:tcPr>
          <w:p w14:paraId="53A6AA20" w14:textId="77777777" w:rsidR="00337D3B" w:rsidRDefault="00337D3B" w:rsidP="0061204D">
            <w:pPr>
              <w:pStyle w:val="TableBodyText"/>
              <w:keepNext w:val="0"/>
              <w:keepLines w:val="0"/>
              <w:spacing w:after="0"/>
              <w:ind w:right="28"/>
              <w:jc w:val="left"/>
            </w:pPr>
            <w:r>
              <w:t>Further, these definitions:</w:t>
            </w:r>
          </w:p>
          <w:p w14:paraId="3BD97374" w14:textId="77777777" w:rsidR="00337D3B" w:rsidRDefault="00337D3B" w:rsidP="0061204D">
            <w:pPr>
              <w:pStyle w:val="TableBullet"/>
              <w:spacing w:after="0"/>
            </w:pPr>
            <w:r>
              <w:t>exclude preliminary (committal) hearings for indictable offences dealt with by a lower court</w:t>
            </w:r>
          </w:p>
          <w:p w14:paraId="202EFD36" w14:textId="0807987B" w:rsidR="00337D3B" w:rsidRPr="00AB35CF" w:rsidRDefault="00337D3B" w:rsidP="00D004E1">
            <w:pPr>
              <w:pStyle w:val="TableBullet"/>
              <w:spacing w:after="0"/>
            </w:pPr>
            <w:r>
              <w:t>coun</w:t>
            </w:r>
            <w:r w:rsidR="00D004E1">
              <w:t>t</w:t>
            </w:r>
            <w:r>
              <w:t xml:space="preserve"> cases that involve multiple charges as a ‘lower court case resulting in a plea of guilty’ if a plea of guilty has resulted for at least one of those charges.</w:t>
            </w:r>
          </w:p>
        </w:tc>
      </w:tr>
      <w:tr w:rsidR="00337D3B" w14:paraId="3767F334" w14:textId="77777777" w:rsidTr="0061204D">
        <w:tc>
          <w:tcPr>
            <w:tcW w:w="2127" w:type="dxa"/>
          </w:tcPr>
          <w:p w14:paraId="4508595E" w14:textId="77777777" w:rsidR="00337D3B" w:rsidRDefault="00337D3B" w:rsidP="0061204D">
            <w:pPr>
              <w:pStyle w:val="TableBodyText"/>
              <w:keepNext w:val="0"/>
              <w:keepLines w:val="0"/>
              <w:spacing w:before="40" w:after="0"/>
              <w:jc w:val="left"/>
              <w:rPr>
                <w:b/>
              </w:rPr>
            </w:pPr>
            <w:r w:rsidRPr="00AB35CF">
              <w:rPr>
                <w:b/>
              </w:rPr>
              <w:t>Motor vehicle theft</w:t>
            </w:r>
          </w:p>
        </w:tc>
        <w:tc>
          <w:tcPr>
            <w:tcW w:w="6652" w:type="dxa"/>
          </w:tcPr>
          <w:p w14:paraId="6C5942E3" w14:textId="77777777" w:rsidR="00337D3B" w:rsidRPr="00AB35CF" w:rsidRDefault="00337D3B" w:rsidP="0061204D">
            <w:pPr>
              <w:pStyle w:val="TableBodyText"/>
              <w:keepNext w:val="0"/>
              <w:keepLines w:val="0"/>
              <w:spacing w:before="40" w:after="0"/>
              <w:jc w:val="left"/>
            </w:pPr>
            <w:r w:rsidRPr="00AB35CF">
              <w:t>The taking of another person’s motor vehicle illegally and without permission.</w:t>
            </w:r>
          </w:p>
        </w:tc>
      </w:tr>
      <w:tr w:rsidR="00337D3B" w14:paraId="790CB1B2" w14:textId="77777777" w:rsidTr="0061204D">
        <w:tc>
          <w:tcPr>
            <w:tcW w:w="2127" w:type="dxa"/>
          </w:tcPr>
          <w:p w14:paraId="29E9EBBB" w14:textId="77777777" w:rsidR="00337D3B" w:rsidRPr="00AB35CF" w:rsidRDefault="00337D3B" w:rsidP="0061204D">
            <w:pPr>
              <w:pStyle w:val="TableBodyText"/>
              <w:keepNext w:val="0"/>
              <w:keepLines w:val="0"/>
              <w:spacing w:before="40" w:after="0"/>
              <w:jc w:val="left"/>
              <w:rPr>
                <w:b/>
              </w:rPr>
            </w:pPr>
            <w:r w:rsidRPr="00AB35CF">
              <w:rPr>
                <w:b/>
              </w:rPr>
              <w:t>Murder</w:t>
            </w:r>
          </w:p>
        </w:tc>
        <w:tc>
          <w:tcPr>
            <w:tcW w:w="6652" w:type="dxa"/>
          </w:tcPr>
          <w:p w14:paraId="0E05369C" w14:textId="77777777" w:rsidR="00337D3B" w:rsidRPr="00AB35CF" w:rsidRDefault="00337D3B" w:rsidP="0061204D">
            <w:pPr>
              <w:pStyle w:val="TableBodyText"/>
              <w:keepNext w:val="0"/>
              <w:keepLines w:val="0"/>
              <w:spacing w:before="40" w:after="0"/>
              <w:jc w:val="left"/>
            </w:pPr>
            <w:r w:rsidRPr="00AB35CF">
              <w:t>The wilful killing of a person either intentionally or with reckless indifference to life.</w:t>
            </w:r>
          </w:p>
        </w:tc>
      </w:tr>
      <w:tr w:rsidR="00337D3B" w14:paraId="28228534" w14:textId="77777777" w:rsidTr="0061204D">
        <w:tc>
          <w:tcPr>
            <w:tcW w:w="2127" w:type="dxa"/>
          </w:tcPr>
          <w:p w14:paraId="7709EE40" w14:textId="77777777" w:rsidR="00337D3B" w:rsidRPr="00AB35CF" w:rsidRDefault="00337D3B" w:rsidP="0061204D">
            <w:pPr>
              <w:pStyle w:val="TableBodyText"/>
              <w:keepNext w:val="0"/>
              <w:keepLines w:val="0"/>
              <w:spacing w:before="40" w:after="0"/>
              <w:jc w:val="left"/>
              <w:rPr>
                <w:b/>
              </w:rPr>
            </w:pPr>
            <w:r w:rsidRPr="00AB35CF">
              <w:rPr>
                <w:b/>
              </w:rPr>
              <w:t>Non</w:t>
            </w:r>
            <w:r>
              <w:rPr>
                <w:b/>
              </w:rPr>
              <w:noBreakHyphen/>
              <w:t xml:space="preserve"> Indigenous</w:t>
            </w:r>
            <w:r w:rsidRPr="00AB35CF">
              <w:rPr>
                <w:b/>
              </w:rPr>
              <w:t xml:space="preserve"> full time equivalent staff</w:t>
            </w:r>
          </w:p>
        </w:tc>
        <w:tc>
          <w:tcPr>
            <w:tcW w:w="6652" w:type="dxa"/>
          </w:tcPr>
          <w:p w14:paraId="5305FF5D" w14:textId="77777777" w:rsidR="00337D3B" w:rsidRPr="00AB35CF" w:rsidRDefault="00337D3B" w:rsidP="0061204D">
            <w:pPr>
              <w:pStyle w:val="TableBodyText"/>
              <w:keepNext w:val="0"/>
              <w:keepLines w:val="0"/>
              <w:spacing w:before="40" w:after="0"/>
              <w:jc w:val="left"/>
            </w:pPr>
            <w:r w:rsidRPr="00AB35CF">
              <w:t xml:space="preserve">Number of full time equivalent staff who do not satisfy the </w:t>
            </w:r>
            <w:r>
              <w:t>Aboriginal and Torres Strait Islander</w:t>
            </w:r>
            <w:r w:rsidRPr="00AB35CF">
              <w:t xml:space="preserve"> staff criteria.</w:t>
            </w:r>
          </w:p>
        </w:tc>
      </w:tr>
      <w:tr w:rsidR="00337D3B" w14:paraId="455D1D3C" w14:textId="77777777" w:rsidTr="0061204D">
        <w:tc>
          <w:tcPr>
            <w:tcW w:w="2127" w:type="dxa"/>
          </w:tcPr>
          <w:p w14:paraId="4F5CDD61" w14:textId="77777777" w:rsidR="00337D3B" w:rsidRPr="00AB35CF" w:rsidRDefault="00337D3B" w:rsidP="0061204D">
            <w:pPr>
              <w:pStyle w:val="TableBodyText"/>
              <w:keepNext w:val="0"/>
              <w:keepLines w:val="0"/>
              <w:spacing w:before="40" w:after="0"/>
              <w:jc w:val="left"/>
              <w:rPr>
                <w:b/>
              </w:rPr>
            </w:pPr>
            <w:r w:rsidRPr="00AB35CF">
              <w:rPr>
                <w:b/>
              </w:rPr>
              <w:t>Non</w:t>
            </w:r>
            <w:r>
              <w:rPr>
                <w:b/>
              </w:rPr>
              <w:noBreakHyphen/>
            </w:r>
            <w:r w:rsidRPr="00AB35CF">
              <w:rPr>
                <w:b/>
              </w:rPr>
              <w:t>operational full time equivalent staff</w:t>
            </w:r>
          </w:p>
        </w:tc>
        <w:tc>
          <w:tcPr>
            <w:tcW w:w="6652" w:type="dxa"/>
          </w:tcPr>
          <w:p w14:paraId="38A5A2A3" w14:textId="77777777" w:rsidR="00337D3B" w:rsidRPr="00AB35CF" w:rsidRDefault="00337D3B" w:rsidP="0061204D">
            <w:pPr>
              <w:pStyle w:val="TableBodyText"/>
              <w:keepNext w:val="0"/>
              <w:keepLines w:val="0"/>
              <w:spacing w:before="40" w:after="0"/>
              <w:jc w:val="left"/>
            </w:pPr>
            <w:r w:rsidRPr="00AB35CF">
              <w:t>Any person who does not satisfy the operational staff criteria, including functional support staff only. Functional support full time equivalent staff include any person (sworn or unsworn) not satisfying the operational or operational support staff criteria (for example, finance, policy, research, personnel services, building and property services, transport services, and management above the level of station and shift supervisors).</w:t>
            </w:r>
          </w:p>
        </w:tc>
      </w:tr>
      <w:tr w:rsidR="00337D3B" w14:paraId="3127D689" w14:textId="77777777" w:rsidTr="0061204D">
        <w:tc>
          <w:tcPr>
            <w:tcW w:w="2127" w:type="dxa"/>
          </w:tcPr>
          <w:p w14:paraId="20374E5B" w14:textId="77777777" w:rsidR="00337D3B" w:rsidRPr="00AB35CF" w:rsidRDefault="00337D3B" w:rsidP="0061204D">
            <w:pPr>
              <w:pStyle w:val="TableBodyText"/>
              <w:keepNext w:val="0"/>
              <w:keepLines w:val="0"/>
              <w:spacing w:before="40" w:after="0"/>
              <w:jc w:val="left"/>
              <w:rPr>
                <w:b/>
              </w:rPr>
            </w:pPr>
            <w:r w:rsidRPr="004D0B4C">
              <w:rPr>
                <w:b/>
                <w:color w:val="000000" w:themeColor="text1"/>
              </w:rPr>
              <w:t>Offender</w:t>
            </w:r>
          </w:p>
        </w:tc>
        <w:tc>
          <w:tcPr>
            <w:tcW w:w="6652" w:type="dxa"/>
          </w:tcPr>
          <w:p w14:paraId="04C5BE72" w14:textId="77777777" w:rsidR="00337D3B" w:rsidRPr="00AB35CF" w:rsidRDefault="00337D3B" w:rsidP="0061204D">
            <w:pPr>
              <w:pStyle w:val="TableBodyText"/>
              <w:keepNext w:val="0"/>
              <w:keepLines w:val="0"/>
              <w:spacing w:before="40" w:after="0"/>
              <w:jc w:val="left"/>
            </w:pPr>
            <w:r w:rsidRPr="004D0B4C">
              <w:rPr>
                <w:color w:val="000000" w:themeColor="text1"/>
              </w:rPr>
              <w:t xml:space="preserve">In </w:t>
            </w:r>
            <w:r>
              <w:rPr>
                <w:color w:val="000000" w:themeColor="text1"/>
              </w:rPr>
              <w:t>this</w:t>
            </w:r>
            <w:r w:rsidRPr="004D0B4C">
              <w:rPr>
                <w:color w:val="000000" w:themeColor="text1"/>
              </w:rPr>
              <w:t xml:space="preserve"> chapter, the term ‘offender’ refers to a person who is alleged to have committed an offence.</w:t>
            </w:r>
          </w:p>
        </w:tc>
      </w:tr>
      <w:tr w:rsidR="00337D3B" w14:paraId="18A7C27B" w14:textId="77777777" w:rsidTr="0061204D">
        <w:tc>
          <w:tcPr>
            <w:tcW w:w="2127" w:type="dxa"/>
          </w:tcPr>
          <w:p w14:paraId="605E054F" w14:textId="77777777" w:rsidR="00337D3B" w:rsidRPr="004D0B4C" w:rsidRDefault="00337D3B" w:rsidP="0061204D">
            <w:pPr>
              <w:pStyle w:val="TableBodyText"/>
              <w:keepNext w:val="0"/>
              <w:keepLines w:val="0"/>
              <w:spacing w:before="40" w:after="0"/>
              <w:jc w:val="left"/>
              <w:rPr>
                <w:b/>
                <w:color w:val="000000" w:themeColor="text1"/>
              </w:rPr>
            </w:pPr>
            <w:r w:rsidRPr="00AB35CF">
              <w:rPr>
                <w:b/>
              </w:rPr>
              <w:t>Operational staff</w:t>
            </w:r>
          </w:p>
        </w:tc>
        <w:tc>
          <w:tcPr>
            <w:tcW w:w="6652" w:type="dxa"/>
          </w:tcPr>
          <w:p w14:paraId="11FE82BD" w14:textId="77777777" w:rsidR="00337D3B" w:rsidRPr="00AB35CF" w:rsidRDefault="00337D3B" w:rsidP="0061204D">
            <w:pPr>
              <w:pStyle w:val="TableBodyText"/>
              <w:keepNext w:val="0"/>
              <w:keepLines w:val="0"/>
              <w:spacing w:before="40" w:after="0"/>
              <w:jc w:val="left"/>
            </w:pPr>
            <w:r w:rsidRPr="00AB35CF">
              <w:t xml:space="preserve">An operational police staff member (sworn or unsworn) is any member of the police force whose primarily duty is the delivery of police or police related services to an external customer (where an external customer predominately refers to members of the public but may also include law enforcement outputs delivered to other government departments). </w:t>
            </w:r>
          </w:p>
          <w:p w14:paraId="6BEA5ABC" w14:textId="77777777" w:rsidR="00337D3B" w:rsidRPr="004D0B4C" w:rsidRDefault="00337D3B" w:rsidP="0061204D">
            <w:pPr>
              <w:pStyle w:val="TableBodyText"/>
              <w:keepNext w:val="0"/>
              <w:keepLines w:val="0"/>
              <w:spacing w:after="0"/>
              <w:ind w:right="28"/>
              <w:jc w:val="left"/>
              <w:rPr>
                <w:color w:val="000000" w:themeColor="text1"/>
              </w:rPr>
            </w:pPr>
            <w:r w:rsidRPr="00AB35CF">
              <w:t>Operational staff include: general duties officers, investigators, traffic operatives, tactical officers, station counter staff, communication officers, crime scene staff, disaster victim identification, and prosecution and judicial support officers.</w:t>
            </w:r>
          </w:p>
        </w:tc>
      </w:tr>
      <w:tr w:rsidR="00337D3B" w14:paraId="7791D227" w14:textId="77777777" w:rsidTr="0061204D">
        <w:tc>
          <w:tcPr>
            <w:tcW w:w="2127" w:type="dxa"/>
          </w:tcPr>
          <w:p w14:paraId="76DC969D" w14:textId="77777777" w:rsidR="00337D3B" w:rsidRPr="00AB35CF" w:rsidRDefault="00337D3B" w:rsidP="0061204D">
            <w:pPr>
              <w:pStyle w:val="TableBodyText"/>
              <w:keepNext w:val="0"/>
              <w:keepLines w:val="0"/>
              <w:spacing w:before="40" w:after="0"/>
              <w:jc w:val="left"/>
              <w:rPr>
                <w:b/>
              </w:rPr>
            </w:pPr>
            <w:r w:rsidRPr="00AB35CF">
              <w:rPr>
                <w:b/>
              </w:rPr>
              <w:t>Other recurrent expenditure</w:t>
            </w:r>
          </w:p>
        </w:tc>
        <w:tc>
          <w:tcPr>
            <w:tcW w:w="6652" w:type="dxa"/>
          </w:tcPr>
          <w:p w14:paraId="078AEC24" w14:textId="77777777" w:rsidR="00337D3B" w:rsidRPr="00AB35CF" w:rsidRDefault="00337D3B" w:rsidP="0061204D">
            <w:pPr>
              <w:pStyle w:val="TableBodyText"/>
              <w:keepNext w:val="0"/>
              <w:keepLines w:val="0"/>
              <w:spacing w:before="40" w:after="0"/>
              <w:jc w:val="left"/>
            </w:pPr>
            <w:r w:rsidRPr="00AB35CF">
              <w:t>Maintenance and working expenses; expenditure incurred by other departments on behalf of police; expenditure on contracted police services; and other recurrent costs not elsewhere classified. Expenditure is disaggregated by service delivery area.</w:t>
            </w:r>
          </w:p>
        </w:tc>
      </w:tr>
      <w:tr w:rsidR="00337D3B" w14:paraId="099B0BA1" w14:textId="77777777" w:rsidTr="0061204D">
        <w:tc>
          <w:tcPr>
            <w:tcW w:w="2127" w:type="dxa"/>
          </w:tcPr>
          <w:p w14:paraId="30382166" w14:textId="77777777" w:rsidR="00337D3B" w:rsidRPr="00AB35CF" w:rsidRDefault="00337D3B" w:rsidP="0061204D">
            <w:pPr>
              <w:pStyle w:val="TableBodyText"/>
              <w:keepNext w:val="0"/>
              <w:keepLines w:val="0"/>
              <w:spacing w:before="40" w:after="0"/>
              <w:jc w:val="left"/>
              <w:rPr>
                <w:b/>
              </w:rPr>
            </w:pPr>
            <w:r w:rsidRPr="00AB35CF">
              <w:rPr>
                <w:b/>
              </w:rPr>
              <w:t>Other theft</w:t>
            </w:r>
          </w:p>
        </w:tc>
        <w:tc>
          <w:tcPr>
            <w:tcW w:w="6652" w:type="dxa"/>
          </w:tcPr>
          <w:p w14:paraId="74660A03" w14:textId="77777777" w:rsidR="00337D3B" w:rsidRPr="00AB35CF" w:rsidRDefault="00337D3B" w:rsidP="0061204D">
            <w:pPr>
              <w:pStyle w:val="TableBodyText"/>
              <w:keepNext w:val="0"/>
              <w:keepLines w:val="0"/>
              <w:spacing w:before="40" w:after="0"/>
              <w:jc w:val="left"/>
            </w:pPr>
            <w:r w:rsidRPr="00AB35CF">
              <w:t>The taking of another person’s property with the intention of depriving the owner of the property illegally and without permission, but without force, threat of force, use of coercive measures, deceit or having gained unlawful entry to any structure, even if the intent was to commit theft.</w:t>
            </w:r>
          </w:p>
        </w:tc>
      </w:tr>
      <w:tr w:rsidR="00337D3B" w14:paraId="72C0A7B0" w14:textId="77777777" w:rsidTr="0061204D">
        <w:tc>
          <w:tcPr>
            <w:tcW w:w="2127" w:type="dxa"/>
          </w:tcPr>
          <w:p w14:paraId="1C19E0C1" w14:textId="77777777" w:rsidR="00337D3B" w:rsidRPr="00AB35CF" w:rsidRDefault="00337D3B" w:rsidP="0061204D">
            <w:pPr>
              <w:pStyle w:val="TableBodyText"/>
              <w:keepNext w:val="0"/>
              <w:keepLines w:val="0"/>
              <w:spacing w:before="40" w:after="0"/>
              <w:jc w:val="left"/>
              <w:rPr>
                <w:b/>
              </w:rPr>
            </w:pPr>
            <w:r w:rsidRPr="00AB35CF">
              <w:rPr>
                <w:b/>
              </w:rPr>
              <w:t>Outcome of investigations</w:t>
            </w:r>
          </w:p>
        </w:tc>
        <w:tc>
          <w:tcPr>
            <w:tcW w:w="6652" w:type="dxa"/>
          </w:tcPr>
          <w:p w14:paraId="27D0079C" w14:textId="77777777" w:rsidR="00337D3B" w:rsidRPr="00AB35CF" w:rsidRDefault="00337D3B" w:rsidP="0061204D">
            <w:pPr>
              <w:pStyle w:val="TableBodyText"/>
              <w:keepNext w:val="0"/>
              <w:keepLines w:val="0"/>
              <w:spacing w:before="40" w:after="0"/>
              <w:jc w:val="left"/>
            </w:pPr>
            <w:r w:rsidRPr="00AB35CF">
              <w:t>The stage reached by a police investigation after a period of 30 days has elapsed since the recording of the incident.</w:t>
            </w:r>
          </w:p>
        </w:tc>
      </w:tr>
      <w:tr w:rsidR="00337D3B" w14:paraId="27EFE470" w14:textId="77777777" w:rsidTr="0061204D">
        <w:tc>
          <w:tcPr>
            <w:tcW w:w="2127" w:type="dxa"/>
          </w:tcPr>
          <w:p w14:paraId="63EDF7BB" w14:textId="77777777" w:rsidR="00337D3B" w:rsidRPr="00AB35CF" w:rsidRDefault="00337D3B" w:rsidP="0061204D">
            <w:pPr>
              <w:pStyle w:val="TableBodyText"/>
              <w:keepNext w:val="0"/>
              <w:keepLines w:val="0"/>
              <w:spacing w:before="40" w:after="0"/>
              <w:jc w:val="left"/>
              <w:rPr>
                <w:b/>
              </w:rPr>
            </w:pPr>
            <w:r w:rsidRPr="00AB35CF">
              <w:rPr>
                <w:b/>
              </w:rPr>
              <w:t>Property crimes</w:t>
            </w:r>
          </w:p>
        </w:tc>
        <w:tc>
          <w:tcPr>
            <w:tcW w:w="6652" w:type="dxa"/>
          </w:tcPr>
          <w:p w14:paraId="3B45B73F" w14:textId="77777777" w:rsidR="00337D3B" w:rsidRPr="00AB35CF" w:rsidRDefault="00337D3B" w:rsidP="0061204D">
            <w:pPr>
              <w:pStyle w:val="TableBodyText"/>
              <w:keepNext w:val="0"/>
              <w:keepLines w:val="0"/>
              <w:spacing w:before="40" w:after="0"/>
              <w:jc w:val="left"/>
            </w:pPr>
            <w:r w:rsidRPr="00AB35CF">
              <w:t>Total recorded crimes against property, including:</w:t>
            </w:r>
          </w:p>
          <w:p w14:paraId="7C93BE74" w14:textId="77777777" w:rsidR="00337D3B" w:rsidRPr="00AB35CF" w:rsidRDefault="00337D3B" w:rsidP="0061204D">
            <w:pPr>
              <w:pStyle w:val="TableBullet"/>
              <w:spacing w:after="0"/>
            </w:pPr>
            <w:r w:rsidRPr="00AB35CF">
              <w:t>unlawful entry with intent</w:t>
            </w:r>
          </w:p>
          <w:p w14:paraId="4AFE6EC9" w14:textId="77777777" w:rsidR="00337D3B" w:rsidRPr="00AB35CF" w:rsidRDefault="00337D3B" w:rsidP="0061204D">
            <w:pPr>
              <w:pStyle w:val="TableBullet"/>
              <w:spacing w:after="0"/>
            </w:pPr>
            <w:r w:rsidRPr="00AB35CF">
              <w:t>motor vehicle theft</w:t>
            </w:r>
          </w:p>
          <w:p w14:paraId="1DECFE99" w14:textId="5EDFB93A" w:rsidR="00337D3B" w:rsidRPr="00AB35CF" w:rsidRDefault="00337D3B" w:rsidP="0041765F">
            <w:pPr>
              <w:pStyle w:val="TableBullet"/>
              <w:spacing w:after="0"/>
            </w:pPr>
            <w:r w:rsidRPr="00AB35CF">
              <w:t>othe</w:t>
            </w:r>
            <w:r w:rsidR="0041765F">
              <w:t>r</w:t>
            </w:r>
            <w:r w:rsidRPr="00AB35CF">
              <w:t xml:space="preserve"> theft.</w:t>
            </w:r>
          </w:p>
        </w:tc>
      </w:tr>
      <w:tr w:rsidR="00337D3B" w14:paraId="3C4E7FCC" w14:textId="77777777" w:rsidTr="0061204D">
        <w:tc>
          <w:tcPr>
            <w:tcW w:w="2127" w:type="dxa"/>
          </w:tcPr>
          <w:p w14:paraId="391B60A6" w14:textId="77777777" w:rsidR="00337D3B" w:rsidRPr="00AB35CF" w:rsidRDefault="00337D3B" w:rsidP="0061204D">
            <w:pPr>
              <w:pStyle w:val="TableBodyText"/>
              <w:keepNext w:val="0"/>
              <w:keepLines w:val="0"/>
              <w:spacing w:before="40" w:after="0"/>
              <w:jc w:val="left"/>
              <w:rPr>
                <w:b/>
              </w:rPr>
            </w:pPr>
            <w:r w:rsidRPr="00AB35CF">
              <w:rPr>
                <w:b/>
              </w:rPr>
              <w:t>Real expenditure</w:t>
            </w:r>
          </w:p>
        </w:tc>
        <w:tc>
          <w:tcPr>
            <w:tcW w:w="6652" w:type="dxa"/>
          </w:tcPr>
          <w:p w14:paraId="6A57907A" w14:textId="276E5D9B" w:rsidR="00337D3B" w:rsidRPr="00AB35CF" w:rsidRDefault="00337D3B" w:rsidP="00126FF9">
            <w:pPr>
              <w:pStyle w:val="TableBodyText"/>
              <w:keepNext w:val="0"/>
              <w:keepLines w:val="0"/>
              <w:spacing w:before="40" w:after="0"/>
              <w:jc w:val="left"/>
            </w:pPr>
            <w:r w:rsidRPr="00AB35CF">
              <w:t xml:space="preserve">Actual expenditure </w:t>
            </w:r>
            <w:r>
              <w:t xml:space="preserve">is </w:t>
            </w:r>
            <w:r w:rsidRPr="00AB35CF">
              <w:t>adjusted for cha</w:t>
            </w:r>
            <w:r>
              <w:t xml:space="preserve">nges in prices. </w:t>
            </w:r>
            <w:r w:rsidRPr="00205F27">
              <w:t>Time series financial data are adjusted to 201</w:t>
            </w:r>
            <w:r w:rsidR="00126FF9">
              <w:t>7</w:t>
            </w:r>
            <w:r>
              <w:noBreakHyphen/>
              <w:t>1</w:t>
            </w:r>
            <w:r w:rsidR="00126FF9">
              <w:t>8</w:t>
            </w:r>
            <w:r>
              <w:t xml:space="preserve"> </w:t>
            </w:r>
            <w:r w:rsidRPr="00205F27">
              <w:t>dollars using the General Government Final Consumption Expenditure (GGFCE) chain price deflator (201</w:t>
            </w:r>
            <w:r w:rsidR="00126FF9">
              <w:t>7</w:t>
            </w:r>
            <w:r>
              <w:noBreakHyphen/>
            </w:r>
            <w:r w:rsidRPr="00205F27">
              <w:t>1</w:t>
            </w:r>
            <w:r w:rsidR="00126FF9">
              <w:t>8</w:t>
            </w:r>
            <w:r w:rsidRPr="00205F27">
              <w:t xml:space="preserve"> = 100</w:t>
            </w:r>
            <w:r>
              <w:t>). See table 2A.50</w:t>
            </w:r>
            <w:r w:rsidRPr="00205F27">
              <w:t xml:space="preserve"> and chapter 2 for more details.</w:t>
            </w:r>
          </w:p>
        </w:tc>
      </w:tr>
      <w:tr w:rsidR="00337D3B" w14:paraId="28F1834E" w14:textId="77777777" w:rsidTr="0061204D">
        <w:tc>
          <w:tcPr>
            <w:tcW w:w="2127" w:type="dxa"/>
          </w:tcPr>
          <w:p w14:paraId="2A898908" w14:textId="77777777" w:rsidR="00337D3B" w:rsidRPr="00AB35CF" w:rsidRDefault="00337D3B" w:rsidP="0061204D">
            <w:pPr>
              <w:pStyle w:val="TableBodyText"/>
              <w:keepNext w:val="0"/>
              <w:keepLines w:val="0"/>
              <w:spacing w:before="40" w:after="0"/>
              <w:jc w:val="left"/>
              <w:rPr>
                <w:b/>
              </w:rPr>
            </w:pPr>
            <w:r w:rsidRPr="00AB35CF">
              <w:rPr>
                <w:b/>
              </w:rPr>
              <w:t>Recorded crime</w:t>
            </w:r>
          </w:p>
        </w:tc>
        <w:tc>
          <w:tcPr>
            <w:tcW w:w="6652" w:type="dxa"/>
          </w:tcPr>
          <w:p w14:paraId="795ABC2A" w14:textId="77777777" w:rsidR="00337D3B" w:rsidRPr="00AB35CF" w:rsidRDefault="00337D3B" w:rsidP="0061204D">
            <w:pPr>
              <w:pStyle w:val="TableBodyText"/>
              <w:keepNext w:val="0"/>
              <w:keepLines w:val="0"/>
              <w:spacing w:before="40" w:after="0"/>
              <w:jc w:val="left"/>
            </w:pPr>
            <w:r w:rsidRPr="00AB35CF">
              <w:t>Crimes reported to (or detected) and recorded by police.</w:t>
            </w:r>
          </w:p>
        </w:tc>
      </w:tr>
      <w:tr w:rsidR="00337D3B" w14:paraId="24D7EE25" w14:textId="77777777" w:rsidTr="0061204D">
        <w:tc>
          <w:tcPr>
            <w:tcW w:w="2127" w:type="dxa"/>
          </w:tcPr>
          <w:p w14:paraId="54471E7A" w14:textId="77777777" w:rsidR="00337D3B" w:rsidRPr="00AB35CF" w:rsidRDefault="00337D3B" w:rsidP="0061204D">
            <w:pPr>
              <w:pStyle w:val="TableBodyText"/>
              <w:keepNext w:val="0"/>
              <w:keepLines w:val="0"/>
              <w:spacing w:before="40" w:after="0"/>
              <w:jc w:val="left"/>
              <w:rPr>
                <w:b/>
              </w:rPr>
            </w:pPr>
            <w:r w:rsidRPr="00AB35CF">
              <w:rPr>
                <w:b/>
              </w:rPr>
              <w:t>Registered vehicles</w:t>
            </w:r>
          </w:p>
        </w:tc>
        <w:tc>
          <w:tcPr>
            <w:tcW w:w="6652" w:type="dxa"/>
          </w:tcPr>
          <w:p w14:paraId="476911AD" w14:textId="77777777" w:rsidR="00337D3B" w:rsidRPr="00AB35CF" w:rsidRDefault="00337D3B" w:rsidP="0061204D">
            <w:pPr>
              <w:pStyle w:val="TableBodyText"/>
              <w:keepNext w:val="0"/>
              <w:keepLines w:val="0"/>
              <w:spacing w:before="40" w:after="0"/>
              <w:jc w:val="left"/>
            </w:pPr>
            <w:r w:rsidRPr="00AB35CF">
              <w:t>Total registered motor vehicles, including motorcycles.</w:t>
            </w:r>
          </w:p>
        </w:tc>
      </w:tr>
      <w:tr w:rsidR="00337D3B" w14:paraId="6AC74F08" w14:textId="77777777" w:rsidTr="0061204D">
        <w:tc>
          <w:tcPr>
            <w:tcW w:w="2127" w:type="dxa"/>
          </w:tcPr>
          <w:p w14:paraId="0AD7C22F" w14:textId="77777777" w:rsidR="00337D3B" w:rsidRPr="00AB35CF" w:rsidRDefault="00337D3B" w:rsidP="0061204D">
            <w:pPr>
              <w:pStyle w:val="TableBodyText"/>
              <w:keepNext w:val="0"/>
              <w:keepLines w:val="0"/>
              <w:spacing w:before="40" w:after="0"/>
              <w:jc w:val="left"/>
              <w:rPr>
                <w:b/>
              </w:rPr>
            </w:pPr>
            <w:r w:rsidRPr="00AB35CF">
              <w:rPr>
                <w:b/>
              </w:rPr>
              <w:t>Reporting rate</w:t>
            </w:r>
          </w:p>
        </w:tc>
        <w:tc>
          <w:tcPr>
            <w:tcW w:w="6652" w:type="dxa"/>
          </w:tcPr>
          <w:p w14:paraId="12413628" w14:textId="77777777" w:rsidR="00337D3B" w:rsidRPr="00AB35CF" w:rsidRDefault="00337D3B" w:rsidP="0061204D">
            <w:pPr>
              <w:pStyle w:val="TableBodyText"/>
              <w:keepNext w:val="0"/>
              <w:keepLines w:val="0"/>
              <w:spacing w:before="40" w:after="0"/>
              <w:jc w:val="left"/>
            </w:pPr>
            <w:r w:rsidRPr="00AB35CF">
              <w:t>The proportion of crime victims who told police about the last crime incident of which they were the victim, as measured by a crime victimisation survey.</w:t>
            </w:r>
          </w:p>
        </w:tc>
      </w:tr>
      <w:tr w:rsidR="00337D3B" w14:paraId="015C28F4" w14:textId="77777777" w:rsidTr="0061204D">
        <w:tc>
          <w:tcPr>
            <w:tcW w:w="2127" w:type="dxa"/>
          </w:tcPr>
          <w:p w14:paraId="7B2FD014" w14:textId="77777777" w:rsidR="00337D3B" w:rsidRPr="00AB35CF" w:rsidRDefault="00337D3B" w:rsidP="0061204D">
            <w:pPr>
              <w:pStyle w:val="TableBodyText"/>
              <w:keepNext w:val="0"/>
              <w:keepLines w:val="0"/>
              <w:spacing w:before="40" w:after="0"/>
              <w:jc w:val="left"/>
              <w:rPr>
                <w:b/>
              </w:rPr>
            </w:pPr>
            <w:r w:rsidRPr="00AB35CF">
              <w:rPr>
                <w:b/>
              </w:rPr>
              <w:t>Revenue from own sources</w:t>
            </w:r>
          </w:p>
        </w:tc>
        <w:tc>
          <w:tcPr>
            <w:tcW w:w="6652" w:type="dxa"/>
          </w:tcPr>
          <w:p w14:paraId="744E77F0" w14:textId="77777777" w:rsidR="00337D3B" w:rsidRPr="00AB35CF" w:rsidRDefault="00337D3B" w:rsidP="0061204D">
            <w:pPr>
              <w:pStyle w:val="TableBodyText"/>
              <w:keepNext w:val="0"/>
              <w:keepLines w:val="0"/>
              <w:spacing w:before="40" w:after="0"/>
              <w:jc w:val="left"/>
            </w:pPr>
            <w:r w:rsidRPr="00AB35CF">
              <w:t>Revenue from activities undertaken by police, including revenue from the sale of stores, plant and vehicles; donations and industry contributions; user charges; and other revenue (excluding fine revenue and revenue from the issuing of firearm licenses).</w:t>
            </w:r>
          </w:p>
        </w:tc>
      </w:tr>
      <w:tr w:rsidR="00337D3B" w14:paraId="6B7B535B" w14:textId="77777777" w:rsidTr="0061204D">
        <w:tc>
          <w:tcPr>
            <w:tcW w:w="2127" w:type="dxa"/>
          </w:tcPr>
          <w:p w14:paraId="479BC85F" w14:textId="77777777" w:rsidR="00337D3B" w:rsidRPr="00AB35CF" w:rsidRDefault="00337D3B" w:rsidP="0061204D">
            <w:pPr>
              <w:pStyle w:val="TableBodyText"/>
              <w:keepNext w:val="0"/>
              <w:keepLines w:val="0"/>
              <w:spacing w:before="40" w:after="0"/>
              <w:jc w:val="left"/>
              <w:rPr>
                <w:b/>
              </w:rPr>
            </w:pPr>
            <w:r w:rsidRPr="00AB35CF">
              <w:rPr>
                <w:b/>
              </w:rPr>
              <w:t>Road deaths</w:t>
            </w:r>
          </w:p>
        </w:tc>
        <w:tc>
          <w:tcPr>
            <w:tcW w:w="6652" w:type="dxa"/>
          </w:tcPr>
          <w:p w14:paraId="3E62B30A" w14:textId="77777777" w:rsidR="00337D3B" w:rsidRPr="00AB35CF" w:rsidRDefault="00337D3B" w:rsidP="0061204D">
            <w:pPr>
              <w:pStyle w:val="TableBodyText"/>
              <w:keepNext w:val="0"/>
              <w:keepLines w:val="0"/>
              <w:spacing w:before="40" w:after="0"/>
              <w:jc w:val="left"/>
            </w:pPr>
            <w:r w:rsidRPr="00AB35CF">
              <w:t>Fatal road injury accidents as defined by the Australian Transport Safety Bureau.</w:t>
            </w:r>
          </w:p>
        </w:tc>
      </w:tr>
      <w:tr w:rsidR="00337D3B" w14:paraId="4187B26D" w14:textId="77777777" w:rsidTr="0061204D">
        <w:tc>
          <w:tcPr>
            <w:tcW w:w="2127" w:type="dxa"/>
          </w:tcPr>
          <w:p w14:paraId="7539CA42" w14:textId="77777777" w:rsidR="00337D3B" w:rsidRPr="00AB35CF" w:rsidRDefault="00337D3B" w:rsidP="0061204D">
            <w:pPr>
              <w:pStyle w:val="TableBodyText"/>
              <w:keepNext w:val="0"/>
              <w:keepLines w:val="0"/>
              <w:spacing w:before="40" w:after="0"/>
              <w:jc w:val="left"/>
              <w:rPr>
                <w:b/>
              </w:rPr>
            </w:pPr>
            <w:r w:rsidRPr="00AB35CF">
              <w:rPr>
                <w:b/>
              </w:rPr>
              <w:t>Robbery</w:t>
            </w:r>
          </w:p>
        </w:tc>
        <w:tc>
          <w:tcPr>
            <w:tcW w:w="6652" w:type="dxa"/>
          </w:tcPr>
          <w:p w14:paraId="45113E16" w14:textId="77777777" w:rsidR="00337D3B" w:rsidRPr="00AB35CF" w:rsidRDefault="00337D3B" w:rsidP="0061204D">
            <w:pPr>
              <w:pStyle w:val="TableBodyText"/>
              <w:keepNext w:val="0"/>
              <w:keepLines w:val="0"/>
              <w:spacing w:before="40" w:after="0"/>
              <w:jc w:val="left"/>
            </w:pPr>
            <w:r w:rsidRPr="00AB35CF">
              <w:t>The unlawful taking of property from the immediate possession, control, custody or care of a person, with the intent to permanently deprive the owner of the property accompanied by the use, and/or threatened use of immediate force or violence.</w:t>
            </w:r>
          </w:p>
        </w:tc>
      </w:tr>
      <w:tr w:rsidR="00337D3B" w14:paraId="2151F1D9" w14:textId="77777777" w:rsidTr="0061204D">
        <w:tc>
          <w:tcPr>
            <w:tcW w:w="2127" w:type="dxa"/>
          </w:tcPr>
          <w:p w14:paraId="0DD4D0AC" w14:textId="77777777" w:rsidR="00337D3B" w:rsidRPr="00AB35CF" w:rsidRDefault="00337D3B" w:rsidP="0061204D">
            <w:pPr>
              <w:pStyle w:val="TableBodyText"/>
              <w:keepNext w:val="0"/>
              <w:keepLines w:val="0"/>
              <w:spacing w:before="40" w:after="0"/>
              <w:jc w:val="left"/>
              <w:rPr>
                <w:b/>
              </w:rPr>
            </w:pPr>
            <w:r w:rsidRPr="00AB35CF">
              <w:rPr>
                <w:b/>
              </w:rPr>
              <w:lastRenderedPageBreak/>
              <w:t>Salaries and payments in the nature of salary</w:t>
            </w:r>
          </w:p>
          <w:p w14:paraId="38561E7E" w14:textId="77777777" w:rsidR="00337D3B" w:rsidRPr="00AB35CF" w:rsidRDefault="00337D3B" w:rsidP="0061204D">
            <w:pPr>
              <w:pStyle w:val="TableBodyText"/>
              <w:spacing w:after="0"/>
              <w:jc w:val="left"/>
              <w:rPr>
                <w:b/>
              </w:rPr>
            </w:pPr>
          </w:p>
        </w:tc>
        <w:tc>
          <w:tcPr>
            <w:tcW w:w="6652" w:type="dxa"/>
          </w:tcPr>
          <w:p w14:paraId="5ADC909A" w14:textId="77777777" w:rsidR="00337D3B" w:rsidRDefault="00337D3B" w:rsidP="0061204D">
            <w:pPr>
              <w:pStyle w:val="TableBodyText"/>
              <w:spacing w:after="0"/>
              <w:jc w:val="left"/>
            </w:pPr>
            <w:r>
              <w:t>Includes:</w:t>
            </w:r>
          </w:p>
          <w:p w14:paraId="5AA45310" w14:textId="77777777" w:rsidR="00337D3B" w:rsidRDefault="00337D3B" w:rsidP="0061204D">
            <w:pPr>
              <w:pStyle w:val="TableBullet"/>
              <w:spacing w:after="0"/>
            </w:pPr>
            <w:r>
              <w:t>base salary package</w:t>
            </w:r>
          </w:p>
          <w:p w14:paraId="6D1374F6" w14:textId="77777777" w:rsidR="00337D3B" w:rsidRDefault="00337D3B" w:rsidP="0061204D">
            <w:pPr>
              <w:pStyle w:val="TableBullet"/>
              <w:spacing w:after="0"/>
            </w:pPr>
            <w:r>
              <w:t>motor vehicle expenses that are part of employer fringe benefits</w:t>
            </w:r>
          </w:p>
          <w:p w14:paraId="1E7AEDA4" w14:textId="77777777" w:rsidR="00337D3B" w:rsidRDefault="00337D3B" w:rsidP="0061204D">
            <w:pPr>
              <w:pStyle w:val="TableBullet"/>
              <w:spacing w:after="0"/>
            </w:pPr>
            <w:r>
              <w:t>superannuation, early retirement schemes and payments to pension schemes (employer contributions)</w:t>
            </w:r>
          </w:p>
          <w:p w14:paraId="6CFB722F" w14:textId="77777777" w:rsidR="00337D3B" w:rsidRDefault="00337D3B" w:rsidP="0061204D">
            <w:pPr>
              <w:pStyle w:val="TableBullet"/>
              <w:spacing w:after="0"/>
            </w:pPr>
            <w:r>
              <w:t>workers compensation (full cost) including premiums, levies, bills, legal fees</w:t>
            </w:r>
          </w:p>
          <w:p w14:paraId="05586B77" w14:textId="77777777" w:rsidR="00337D3B" w:rsidRPr="00AB35CF" w:rsidRDefault="00337D3B" w:rsidP="0061204D">
            <w:pPr>
              <w:pStyle w:val="TableBullet"/>
              <w:spacing w:after="0"/>
            </w:pPr>
            <w:r w:rsidRPr="00AB35CF">
              <w:t>higher duty allowances (actual amounts paid)</w:t>
            </w:r>
          </w:p>
          <w:p w14:paraId="2C1F6768" w14:textId="77777777" w:rsidR="00337D3B" w:rsidRPr="00AB35CF" w:rsidRDefault="00337D3B" w:rsidP="0061204D">
            <w:pPr>
              <w:pStyle w:val="TableBullet"/>
              <w:spacing w:after="0"/>
            </w:pPr>
            <w:r w:rsidRPr="00AB35CF">
              <w:t>overtime (actual amounts paid)</w:t>
            </w:r>
          </w:p>
          <w:p w14:paraId="4BCEDCF1" w14:textId="77777777" w:rsidR="00337D3B" w:rsidRPr="00AB35CF" w:rsidRDefault="00337D3B" w:rsidP="0061204D">
            <w:pPr>
              <w:pStyle w:val="TableBullet"/>
              <w:spacing w:after="0"/>
            </w:pPr>
            <w:r w:rsidRPr="00AB35CF">
              <w:t>actual termination and long service leave</w:t>
            </w:r>
          </w:p>
          <w:p w14:paraId="59FEF36C" w14:textId="77777777" w:rsidR="00337D3B" w:rsidRPr="00AB35CF" w:rsidRDefault="00337D3B" w:rsidP="0061204D">
            <w:pPr>
              <w:pStyle w:val="TableBullet"/>
              <w:spacing w:after="0"/>
            </w:pPr>
            <w:r w:rsidRPr="00AB35CF">
              <w:t>actual annual leave</w:t>
            </w:r>
          </w:p>
          <w:p w14:paraId="24CD6954" w14:textId="77777777" w:rsidR="00337D3B" w:rsidRPr="00AB35CF" w:rsidRDefault="00337D3B" w:rsidP="0061204D">
            <w:pPr>
              <w:pStyle w:val="TableBullet"/>
              <w:spacing w:after="0"/>
            </w:pPr>
            <w:r w:rsidRPr="00AB35CF">
              <w:t>actual sick leave</w:t>
            </w:r>
          </w:p>
          <w:p w14:paraId="774E6EFD" w14:textId="77777777" w:rsidR="00337D3B" w:rsidRPr="00AB35CF" w:rsidRDefault="00337D3B" w:rsidP="0061204D">
            <w:pPr>
              <w:pStyle w:val="TableBullet"/>
              <w:spacing w:after="0"/>
            </w:pPr>
            <w:r w:rsidRPr="00AB35CF">
              <w:t>actual maternity/paternity leave</w:t>
            </w:r>
          </w:p>
          <w:p w14:paraId="1704D7F3" w14:textId="77777777" w:rsidR="00337D3B" w:rsidRPr="00AB35CF" w:rsidRDefault="00337D3B" w:rsidP="0061204D">
            <w:pPr>
              <w:pStyle w:val="TableBullet"/>
              <w:spacing w:after="0"/>
            </w:pPr>
            <w:r w:rsidRPr="00AB35CF">
              <w:t>fringe benefits tax paid</w:t>
            </w:r>
          </w:p>
          <w:p w14:paraId="2FDD3874" w14:textId="77777777" w:rsidR="00337D3B" w:rsidRPr="00AB35CF" w:rsidRDefault="00337D3B" w:rsidP="0061204D">
            <w:pPr>
              <w:pStyle w:val="TableBullet"/>
              <w:spacing w:after="0"/>
            </w:pPr>
            <w:r w:rsidRPr="00AB35CF">
              <w:t>fringe benefits provided (for example, school fee salary sacrifice at cost to the government, car parking, duress alarms, telephone account reimbursements, ‘gold passes’, other salary sacrifice benefits, frequent flyer benefits, overtime meals provided and any other components that are not part of a salary package)</w:t>
            </w:r>
          </w:p>
          <w:p w14:paraId="54CB964D" w14:textId="490C30ED" w:rsidR="00337D3B" w:rsidRPr="00AB35CF" w:rsidRDefault="00337D3B" w:rsidP="002B0C11">
            <w:pPr>
              <w:pStyle w:val="TableBullet"/>
              <w:spacing w:after="0"/>
            </w:pPr>
            <w:r w:rsidRPr="00AB35CF">
              <w:t>payrol</w:t>
            </w:r>
            <w:r w:rsidR="002B0C11">
              <w:t>l</w:t>
            </w:r>
            <w:r w:rsidRPr="00AB35CF">
              <w:t xml:space="preserve"> tax.</w:t>
            </w:r>
          </w:p>
        </w:tc>
      </w:tr>
      <w:tr w:rsidR="00337D3B" w14:paraId="727C6279" w14:textId="77777777" w:rsidTr="0061204D">
        <w:trPr>
          <w:trHeight w:val="160"/>
        </w:trPr>
        <w:tc>
          <w:tcPr>
            <w:tcW w:w="2127" w:type="dxa"/>
          </w:tcPr>
          <w:p w14:paraId="5FB7DE8F" w14:textId="77777777" w:rsidR="00337D3B" w:rsidRPr="00AB35CF" w:rsidRDefault="00337D3B" w:rsidP="0061204D">
            <w:pPr>
              <w:pStyle w:val="TableBodyText"/>
              <w:keepNext w:val="0"/>
              <w:keepLines w:val="0"/>
              <w:spacing w:before="40" w:after="0"/>
              <w:jc w:val="left"/>
              <w:rPr>
                <w:b/>
              </w:rPr>
            </w:pPr>
            <w:r w:rsidRPr="00AB35CF">
              <w:rPr>
                <w:b/>
              </w:rPr>
              <w:t>Sexual assault</w:t>
            </w:r>
          </w:p>
        </w:tc>
        <w:tc>
          <w:tcPr>
            <w:tcW w:w="6652" w:type="dxa"/>
          </w:tcPr>
          <w:p w14:paraId="2BE1EDCA" w14:textId="77777777" w:rsidR="00337D3B" w:rsidRPr="00AB35CF" w:rsidRDefault="00337D3B" w:rsidP="0061204D">
            <w:pPr>
              <w:pStyle w:val="TableBodyText"/>
              <w:keepNext w:val="0"/>
              <w:keepLines w:val="0"/>
              <w:spacing w:before="40" w:after="0"/>
              <w:jc w:val="left"/>
            </w:pPr>
            <w:r w:rsidRPr="00AB35CF">
              <w:t xml:space="preserve">Physical contact of a sexual nature directed towards another person where that person does not give consent, that person gives consent as a result of intimidation or fraud, or consent is proscribed (that is, the person is legally deemed incapable of giving consent as a result of youth, temporary/permanent (mental) incapacity or a familial relationship). </w:t>
            </w:r>
          </w:p>
          <w:p w14:paraId="156C300F" w14:textId="77777777" w:rsidR="00337D3B" w:rsidRPr="00EC529A" w:rsidRDefault="00337D3B" w:rsidP="0061204D">
            <w:pPr>
              <w:pStyle w:val="TableBodyText"/>
              <w:spacing w:after="0"/>
              <w:jc w:val="left"/>
            </w:pPr>
            <w:r w:rsidRPr="00AB35CF">
              <w:t>Includes rape, attempted rape, indecent assault and assault with intent to commit sexual assault. Excludes sexual harassment not leading to assault.</w:t>
            </w:r>
          </w:p>
        </w:tc>
      </w:tr>
      <w:tr w:rsidR="00337D3B" w14:paraId="51717103" w14:textId="77777777" w:rsidTr="0061204D">
        <w:trPr>
          <w:trHeight w:val="160"/>
        </w:trPr>
        <w:tc>
          <w:tcPr>
            <w:tcW w:w="2127" w:type="dxa"/>
          </w:tcPr>
          <w:p w14:paraId="28DAB08C" w14:textId="77777777" w:rsidR="00337D3B" w:rsidRPr="00AB35CF" w:rsidRDefault="00337D3B" w:rsidP="0061204D">
            <w:pPr>
              <w:pStyle w:val="TableBodyText"/>
              <w:keepNext w:val="0"/>
              <w:keepLines w:val="0"/>
              <w:spacing w:before="40" w:after="0"/>
              <w:jc w:val="left"/>
              <w:rPr>
                <w:b/>
              </w:rPr>
            </w:pPr>
            <w:r w:rsidRPr="00AB35CF">
              <w:rPr>
                <w:b/>
              </w:rPr>
              <w:t>Sworn staff</w:t>
            </w:r>
          </w:p>
        </w:tc>
        <w:tc>
          <w:tcPr>
            <w:tcW w:w="6652" w:type="dxa"/>
          </w:tcPr>
          <w:p w14:paraId="68B3B69C" w14:textId="77777777" w:rsidR="00337D3B" w:rsidRPr="00AB35CF" w:rsidRDefault="00337D3B" w:rsidP="0061204D">
            <w:pPr>
              <w:pStyle w:val="TableBodyText"/>
              <w:keepNext w:val="0"/>
              <w:keepLines w:val="0"/>
              <w:spacing w:before="40" w:after="0"/>
              <w:jc w:val="left"/>
            </w:pPr>
            <w:r w:rsidRPr="00AB35CF">
              <w:t>Sworn police staff recognised under each jurisdiction’s Police Act.</w:t>
            </w:r>
          </w:p>
        </w:tc>
      </w:tr>
      <w:tr w:rsidR="00337D3B" w14:paraId="48FDC077" w14:textId="77777777" w:rsidTr="0061204D">
        <w:trPr>
          <w:trHeight w:val="160"/>
        </w:trPr>
        <w:tc>
          <w:tcPr>
            <w:tcW w:w="2127" w:type="dxa"/>
          </w:tcPr>
          <w:p w14:paraId="080960FA" w14:textId="77777777" w:rsidR="00337D3B" w:rsidRPr="00AB35CF" w:rsidRDefault="00337D3B" w:rsidP="0061204D">
            <w:pPr>
              <w:pStyle w:val="TableBodyText"/>
              <w:keepNext w:val="0"/>
              <w:keepLines w:val="0"/>
              <w:spacing w:before="40" w:after="0"/>
              <w:jc w:val="left"/>
              <w:rPr>
                <w:b/>
              </w:rPr>
            </w:pPr>
            <w:r w:rsidRPr="00AB35CF">
              <w:rPr>
                <w:b/>
              </w:rPr>
              <w:t>Total capital expenditure</w:t>
            </w:r>
          </w:p>
        </w:tc>
        <w:tc>
          <w:tcPr>
            <w:tcW w:w="6652" w:type="dxa"/>
          </w:tcPr>
          <w:p w14:paraId="6ADA04F9" w14:textId="77777777" w:rsidR="00337D3B" w:rsidRPr="00AB35CF" w:rsidRDefault="00337D3B" w:rsidP="0061204D">
            <w:pPr>
              <w:pStyle w:val="TableBodyText"/>
              <w:keepNext w:val="0"/>
              <w:keepLines w:val="0"/>
              <w:spacing w:before="40" w:after="0"/>
              <w:jc w:val="left"/>
            </w:pPr>
            <w:r w:rsidRPr="00AB35CF">
              <w:t>Total expenditure on the purchase of new or second hand capital assets, and expenditure on significant repairs or additions to assets that add to the assets’ service potential or service life.</w:t>
            </w:r>
          </w:p>
        </w:tc>
      </w:tr>
      <w:tr w:rsidR="00337D3B" w14:paraId="3DA5F970" w14:textId="77777777" w:rsidTr="0061204D">
        <w:trPr>
          <w:trHeight w:val="160"/>
        </w:trPr>
        <w:tc>
          <w:tcPr>
            <w:tcW w:w="2127" w:type="dxa"/>
          </w:tcPr>
          <w:p w14:paraId="49CD6062" w14:textId="77777777" w:rsidR="00337D3B" w:rsidRPr="00AB35CF" w:rsidRDefault="00337D3B" w:rsidP="0061204D">
            <w:pPr>
              <w:pStyle w:val="TableBodyText"/>
              <w:keepNext w:val="0"/>
              <w:keepLines w:val="0"/>
              <w:spacing w:before="40" w:after="0"/>
              <w:jc w:val="left"/>
              <w:rPr>
                <w:b/>
              </w:rPr>
            </w:pPr>
            <w:r w:rsidRPr="00AB35CF">
              <w:rPr>
                <w:b/>
              </w:rPr>
              <w:t>Total expenditure</w:t>
            </w:r>
          </w:p>
        </w:tc>
        <w:tc>
          <w:tcPr>
            <w:tcW w:w="6652" w:type="dxa"/>
          </w:tcPr>
          <w:p w14:paraId="66F7708F" w14:textId="77777777" w:rsidR="00337D3B" w:rsidRPr="00AB35CF" w:rsidRDefault="00337D3B" w:rsidP="0061204D">
            <w:pPr>
              <w:pStyle w:val="TableBodyText"/>
              <w:keepNext w:val="0"/>
              <w:keepLines w:val="0"/>
              <w:spacing w:before="40" w:after="0"/>
              <w:jc w:val="left"/>
            </w:pPr>
            <w:r w:rsidRPr="00AB35CF">
              <w:t>Total capital expenditure plus total recurrent expenditure (less revenue from own sources).</w:t>
            </w:r>
          </w:p>
        </w:tc>
      </w:tr>
      <w:tr w:rsidR="00337D3B" w14:paraId="300DC702" w14:textId="77777777" w:rsidTr="0061204D">
        <w:trPr>
          <w:trHeight w:val="160"/>
        </w:trPr>
        <w:tc>
          <w:tcPr>
            <w:tcW w:w="2127" w:type="dxa"/>
          </w:tcPr>
          <w:p w14:paraId="235F0F36" w14:textId="77777777" w:rsidR="00337D3B" w:rsidRPr="00AB35CF" w:rsidRDefault="00337D3B" w:rsidP="0061204D">
            <w:pPr>
              <w:pStyle w:val="TableBodyText"/>
              <w:keepNext w:val="0"/>
              <w:keepLines w:val="0"/>
              <w:spacing w:before="40" w:after="0"/>
              <w:jc w:val="left"/>
              <w:rPr>
                <w:b/>
              </w:rPr>
            </w:pPr>
            <w:r w:rsidRPr="00AB35CF">
              <w:rPr>
                <w:b/>
              </w:rPr>
              <w:t>Total FTE staff</w:t>
            </w:r>
          </w:p>
        </w:tc>
        <w:tc>
          <w:tcPr>
            <w:tcW w:w="6652" w:type="dxa"/>
          </w:tcPr>
          <w:p w14:paraId="10D75613" w14:textId="045AB60D" w:rsidR="00337D3B" w:rsidRPr="00AB35CF" w:rsidRDefault="00337D3B" w:rsidP="002B0C11">
            <w:pPr>
              <w:pStyle w:val="TableBodyText"/>
              <w:keepNext w:val="0"/>
              <w:keepLines w:val="0"/>
              <w:spacing w:before="40" w:after="0"/>
              <w:jc w:val="left"/>
            </w:pPr>
            <w:r w:rsidRPr="00AB35CF">
              <w:t>Operational staff and non</w:t>
            </w:r>
            <w:r>
              <w:noBreakHyphen/>
            </w:r>
            <w:r w:rsidRPr="00AB35CF">
              <w:t>operational staff, including full time equivalent staff on pai</w:t>
            </w:r>
            <w:r>
              <w:t>d leave</w:t>
            </w:r>
            <w:r w:rsidR="002B0C11">
              <w:t xml:space="preserve"> or a</w:t>
            </w:r>
            <w:r w:rsidRPr="00AB35CF">
              <w:t>bsence from duty (including secondment and training), as measured using absolute numbers for the whole reporting period.</w:t>
            </w:r>
          </w:p>
        </w:tc>
      </w:tr>
      <w:tr w:rsidR="00337D3B" w14:paraId="5216DE5F" w14:textId="77777777" w:rsidTr="0061204D">
        <w:trPr>
          <w:trHeight w:val="160"/>
        </w:trPr>
        <w:tc>
          <w:tcPr>
            <w:tcW w:w="2127" w:type="dxa"/>
          </w:tcPr>
          <w:p w14:paraId="1B9862BB" w14:textId="77777777" w:rsidR="00337D3B" w:rsidRPr="00AB35CF" w:rsidRDefault="00337D3B" w:rsidP="0061204D">
            <w:pPr>
              <w:pStyle w:val="TableBodyText"/>
              <w:keepNext w:val="0"/>
              <w:keepLines w:val="0"/>
              <w:spacing w:before="40" w:after="0"/>
              <w:jc w:val="left"/>
              <w:rPr>
                <w:b/>
              </w:rPr>
            </w:pPr>
            <w:r w:rsidRPr="00AB35CF">
              <w:rPr>
                <w:b/>
              </w:rPr>
              <w:t>Total number of staff</w:t>
            </w:r>
          </w:p>
        </w:tc>
        <w:tc>
          <w:tcPr>
            <w:tcW w:w="6652" w:type="dxa"/>
          </w:tcPr>
          <w:p w14:paraId="401072F4" w14:textId="77777777" w:rsidR="00337D3B" w:rsidRPr="00AB35CF" w:rsidRDefault="00337D3B" w:rsidP="0061204D">
            <w:pPr>
              <w:pStyle w:val="TableBodyText"/>
              <w:keepNext w:val="0"/>
              <w:keepLines w:val="0"/>
              <w:spacing w:before="40" w:after="0"/>
              <w:jc w:val="left"/>
            </w:pPr>
            <w:r w:rsidRPr="00AB35CF">
              <w:t>Full time equivalent staff directly employed on an annual basis (excluding labour contracted out).</w:t>
            </w:r>
          </w:p>
        </w:tc>
      </w:tr>
      <w:tr w:rsidR="00337D3B" w14:paraId="45F6BA58" w14:textId="77777777" w:rsidTr="0061204D">
        <w:trPr>
          <w:trHeight w:val="160"/>
        </w:trPr>
        <w:tc>
          <w:tcPr>
            <w:tcW w:w="2127" w:type="dxa"/>
          </w:tcPr>
          <w:p w14:paraId="525DB349" w14:textId="77777777" w:rsidR="00337D3B" w:rsidRPr="00AB35CF" w:rsidRDefault="00337D3B" w:rsidP="0061204D">
            <w:pPr>
              <w:pStyle w:val="TableBodyText"/>
              <w:keepNext w:val="0"/>
              <w:keepLines w:val="0"/>
              <w:spacing w:before="40" w:after="0"/>
              <w:jc w:val="left"/>
              <w:rPr>
                <w:b/>
              </w:rPr>
            </w:pPr>
            <w:r w:rsidRPr="00AB35CF">
              <w:rPr>
                <w:b/>
              </w:rPr>
              <w:t>Total recurrent expenditure</w:t>
            </w:r>
          </w:p>
        </w:tc>
        <w:tc>
          <w:tcPr>
            <w:tcW w:w="6652" w:type="dxa"/>
          </w:tcPr>
          <w:p w14:paraId="6FB3CA03" w14:textId="77777777" w:rsidR="00337D3B" w:rsidRPr="00AB35CF" w:rsidRDefault="00337D3B" w:rsidP="0061204D">
            <w:pPr>
              <w:pStyle w:val="TableBodyText"/>
              <w:keepNext w:val="0"/>
              <w:keepLines w:val="0"/>
              <w:spacing w:before="40" w:after="0"/>
              <w:jc w:val="left"/>
            </w:pPr>
            <w:r w:rsidRPr="00AB35CF">
              <w:t xml:space="preserve">Includes: </w:t>
            </w:r>
          </w:p>
          <w:p w14:paraId="5F59D4C4" w14:textId="77777777" w:rsidR="00337D3B" w:rsidRPr="00AB35CF" w:rsidRDefault="00337D3B" w:rsidP="0061204D">
            <w:pPr>
              <w:pStyle w:val="TableBullet"/>
              <w:spacing w:after="0"/>
            </w:pPr>
            <w:r w:rsidRPr="00AB35CF">
              <w:t>salaries and payments in the nature of salary</w:t>
            </w:r>
          </w:p>
          <w:p w14:paraId="144450D4" w14:textId="77777777" w:rsidR="00337D3B" w:rsidRPr="00AB35CF" w:rsidRDefault="00337D3B" w:rsidP="0061204D">
            <w:pPr>
              <w:pStyle w:val="TableBullet"/>
              <w:spacing w:after="0"/>
            </w:pPr>
            <w:r w:rsidRPr="00AB35CF">
              <w:t>other recurrent expenditure</w:t>
            </w:r>
          </w:p>
          <w:p w14:paraId="1BDD7E87" w14:textId="77777777" w:rsidR="00337D3B" w:rsidRPr="00AB35CF" w:rsidRDefault="00337D3B" w:rsidP="0061204D">
            <w:pPr>
              <w:pStyle w:val="TableBullet"/>
              <w:spacing w:after="0"/>
            </w:pPr>
            <w:r w:rsidRPr="00AB35CF">
              <w:t>depreciation</w:t>
            </w:r>
          </w:p>
          <w:p w14:paraId="1B4BCCA6" w14:textId="77777777" w:rsidR="00337D3B" w:rsidRPr="00AB35CF" w:rsidRDefault="00337D3B" w:rsidP="0061204D">
            <w:pPr>
              <w:pStyle w:val="TableBullet"/>
              <w:spacing w:after="0"/>
            </w:pPr>
            <w:r w:rsidRPr="00AB35CF">
              <w:t>less revenue from own sources.</w:t>
            </w:r>
          </w:p>
        </w:tc>
      </w:tr>
      <w:tr w:rsidR="00337D3B" w14:paraId="0033171A" w14:textId="77777777" w:rsidTr="0061204D">
        <w:trPr>
          <w:trHeight w:val="160"/>
        </w:trPr>
        <w:tc>
          <w:tcPr>
            <w:tcW w:w="2127" w:type="dxa"/>
          </w:tcPr>
          <w:p w14:paraId="2557AB18" w14:textId="77777777" w:rsidR="00337D3B" w:rsidRPr="00AB35CF" w:rsidRDefault="00337D3B" w:rsidP="0061204D">
            <w:pPr>
              <w:pStyle w:val="TableBodyText"/>
              <w:keepNext w:val="0"/>
              <w:keepLines w:val="0"/>
              <w:spacing w:before="40" w:after="0"/>
              <w:jc w:val="left"/>
              <w:rPr>
                <w:b/>
              </w:rPr>
            </w:pPr>
            <w:r w:rsidRPr="00AB35CF">
              <w:rPr>
                <w:b/>
              </w:rPr>
              <w:t>Unlawful entry with intent — involving the taking of property</w:t>
            </w:r>
          </w:p>
        </w:tc>
        <w:tc>
          <w:tcPr>
            <w:tcW w:w="6652" w:type="dxa"/>
          </w:tcPr>
          <w:p w14:paraId="2F4B8B7D" w14:textId="77777777" w:rsidR="00337D3B" w:rsidRPr="00AB35CF" w:rsidRDefault="00337D3B" w:rsidP="0061204D">
            <w:pPr>
              <w:pStyle w:val="TableBodyText"/>
              <w:keepNext w:val="0"/>
              <w:keepLines w:val="0"/>
              <w:spacing w:before="40" w:after="0"/>
              <w:jc w:val="left"/>
            </w:pPr>
            <w:r w:rsidRPr="00AB35CF">
              <w:t>The unlawful entry of a structure (whether forced or unforced) with intent to commit an offence, resulting in the taking of property from the structure. Includes burglary and break</w:t>
            </w:r>
            <w:r>
              <w:noBreakHyphen/>
            </w:r>
            <w:r w:rsidRPr="00AB35CF">
              <w:t>in offences. Excludes trespass or lawful entry with intent.</w:t>
            </w:r>
          </w:p>
        </w:tc>
      </w:tr>
      <w:tr w:rsidR="00337D3B" w14:paraId="6D1296F0" w14:textId="77777777" w:rsidTr="0061204D">
        <w:trPr>
          <w:trHeight w:val="160"/>
        </w:trPr>
        <w:tc>
          <w:tcPr>
            <w:tcW w:w="2127" w:type="dxa"/>
          </w:tcPr>
          <w:p w14:paraId="4309E802" w14:textId="77777777" w:rsidR="00337D3B" w:rsidRPr="00AB35CF" w:rsidRDefault="00337D3B" w:rsidP="0061204D">
            <w:pPr>
              <w:pStyle w:val="TableBodyText"/>
              <w:keepNext w:val="0"/>
              <w:keepLines w:val="0"/>
              <w:spacing w:before="40" w:after="0"/>
              <w:jc w:val="left"/>
              <w:rPr>
                <w:b/>
              </w:rPr>
            </w:pPr>
            <w:r w:rsidRPr="00AB35CF">
              <w:rPr>
                <w:b/>
              </w:rPr>
              <w:t>Unlawful entry with intent — other</w:t>
            </w:r>
          </w:p>
        </w:tc>
        <w:tc>
          <w:tcPr>
            <w:tcW w:w="6652" w:type="dxa"/>
          </w:tcPr>
          <w:p w14:paraId="6E166AF8" w14:textId="77777777" w:rsidR="00337D3B" w:rsidRPr="00AB35CF" w:rsidRDefault="00337D3B" w:rsidP="0061204D">
            <w:pPr>
              <w:pStyle w:val="TableBodyText"/>
              <w:keepNext w:val="0"/>
              <w:keepLines w:val="0"/>
              <w:spacing w:before="40" w:after="0"/>
              <w:jc w:val="left"/>
            </w:pPr>
            <w:r w:rsidRPr="00AB35CF">
              <w:t>The unlawful entry of a structure (whether forced or unforced) with intent to commit an offence, but which does not result in the taking of property from the structure. Excludes trespass or lawful entry with intent.</w:t>
            </w:r>
          </w:p>
        </w:tc>
      </w:tr>
      <w:tr w:rsidR="00337D3B" w14:paraId="51646306" w14:textId="77777777" w:rsidTr="0061204D">
        <w:trPr>
          <w:trHeight w:val="160"/>
        </w:trPr>
        <w:tc>
          <w:tcPr>
            <w:tcW w:w="2127" w:type="dxa"/>
          </w:tcPr>
          <w:p w14:paraId="7D357649" w14:textId="77777777" w:rsidR="00337D3B" w:rsidRPr="00AB35CF" w:rsidRDefault="00337D3B" w:rsidP="0061204D">
            <w:pPr>
              <w:pStyle w:val="TableBodyText"/>
              <w:keepNext w:val="0"/>
              <w:keepLines w:val="0"/>
              <w:spacing w:before="40" w:after="0"/>
              <w:jc w:val="left"/>
              <w:rPr>
                <w:b/>
              </w:rPr>
            </w:pPr>
            <w:r w:rsidRPr="00AB35CF">
              <w:rPr>
                <w:b/>
              </w:rPr>
              <w:t>User cost of capital</w:t>
            </w:r>
          </w:p>
        </w:tc>
        <w:tc>
          <w:tcPr>
            <w:tcW w:w="6652" w:type="dxa"/>
          </w:tcPr>
          <w:p w14:paraId="0707CD87" w14:textId="77777777" w:rsidR="00337D3B" w:rsidRPr="00AB35CF" w:rsidRDefault="00337D3B" w:rsidP="0061204D">
            <w:pPr>
              <w:pStyle w:val="TableBodyText"/>
              <w:keepNext w:val="0"/>
              <w:keepLines w:val="0"/>
              <w:spacing w:before="40" w:after="0"/>
              <w:jc w:val="left"/>
            </w:pPr>
            <w:r w:rsidRPr="00AB35CF">
              <w:t>The opportunity cost of funds tied up in the capital used to deliver services. Calculated as 8 per cent of the current value of non</w:t>
            </w:r>
            <w:r>
              <w:noBreakHyphen/>
            </w:r>
            <w:r w:rsidRPr="00AB35CF">
              <w:t>current physical assets (excluding land).</w:t>
            </w:r>
          </w:p>
        </w:tc>
      </w:tr>
      <w:tr w:rsidR="00337D3B" w14:paraId="26BF5D09" w14:textId="77777777" w:rsidTr="0061204D">
        <w:trPr>
          <w:trHeight w:val="160"/>
        </w:trPr>
        <w:tc>
          <w:tcPr>
            <w:tcW w:w="2127" w:type="dxa"/>
          </w:tcPr>
          <w:p w14:paraId="1337B2C0" w14:textId="77777777" w:rsidR="00337D3B" w:rsidRPr="00AB35CF" w:rsidRDefault="00337D3B" w:rsidP="0061204D">
            <w:pPr>
              <w:pStyle w:val="TableBodyText"/>
              <w:keepNext w:val="0"/>
              <w:keepLines w:val="0"/>
              <w:spacing w:before="40" w:after="0"/>
              <w:jc w:val="left"/>
              <w:rPr>
                <w:b/>
              </w:rPr>
            </w:pPr>
            <w:r w:rsidRPr="00AB35CF">
              <w:rPr>
                <w:b/>
              </w:rPr>
              <w:t>Value of physical assets — buildings and fittings</w:t>
            </w:r>
            <w:r w:rsidRPr="00AB35CF">
              <w:rPr>
                <w:b/>
              </w:rPr>
              <w:tab/>
            </w:r>
          </w:p>
        </w:tc>
        <w:tc>
          <w:tcPr>
            <w:tcW w:w="6652" w:type="dxa"/>
          </w:tcPr>
          <w:p w14:paraId="5AD133DC" w14:textId="77777777" w:rsidR="00337D3B" w:rsidRPr="00AB35CF" w:rsidRDefault="00337D3B" w:rsidP="0061204D">
            <w:pPr>
              <w:pStyle w:val="TableBodyText"/>
              <w:keepNext w:val="0"/>
              <w:keepLines w:val="0"/>
              <w:spacing w:before="40" w:after="0"/>
              <w:jc w:val="left"/>
            </w:pPr>
            <w:r w:rsidRPr="00AB35CF">
              <w:t>The value of buildings and fittings under the direct control of police.</w:t>
            </w:r>
          </w:p>
        </w:tc>
      </w:tr>
      <w:tr w:rsidR="00337D3B" w14:paraId="1DF92AF8" w14:textId="77777777" w:rsidTr="0061204D">
        <w:trPr>
          <w:trHeight w:val="160"/>
        </w:trPr>
        <w:tc>
          <w:tcPr>
            <w:tcW w:w="2127" w:type="dxa"/>
          </w:tcPr>
          <w:p w14:paraId="1660DB25" w14:textId="77777777" w:rsidR="00337D3B" w:rsidRPr="00AB35CF" w:rsidRDefault="00337D3B" w:rsidP="0061204D">
            <w:pPr>
              <w:pStyle w:val="TableBodyText"/>
              <w:keepNext w:val="0"/>
              <w:keepLines w:val="0"/>
              <w:spacing w:before="40" w:after="0"/>
              <w:jc w:val="left"/>
              <w:rPr>
                <w:b/>
              </w:rPr>
            </w:pPr>
            <w:r w:rsidRPr="00AB35CF">
              <w:rPr>
                <w:b/>
              </w:rPr>
              <w:t>Value of physical assets — land</w:t>
            </w:r>
          </w:p>
        </w:tc>
        <w:tc>
          <w:tcPr>
            <w:tcW w:w="6652" w:type="dxa"/>
          </w:tcPr>
          <w:p w14:paraId="1CC3C8C0" w14:textId="77777777" w:rsidR="00337D3B" w:rsidRPr="00AB35CF" w:rsidRDefault="00337D3B" w:rsidP="0061204D">
            <w:pPr>
              <w:pStyle w:val="TableBodyText"/>
              <w:keepNext w:val="0"/>
              <w:keepLines w:val="0"/>
              <w:spacing w:before="40" w:after="0"/>
              <w:jc w:val="left"/>
            </w:pPr>
            <w:r w:rsidRPr="00AB35CF">
              <w:t>The value of land under the direct control of police.</w:t>
            </w:r>
          </w:p>
        </w:tc>
      </w:tr>
      <w:tr w:rsidR="00337D3B" w14:paraId="558EEC2B" w14:textId="77777777" w:rsidTr="0061204D">
        <w:trPr>
          <w:trHeight w:val="160"/>
        </w:trPr>
        <w:tc>
          <w:tcPr>
            <w:tcW w:w="2127" w:type="dxa"/>
          </w:tcPr>
          <w:p w14:paraId="7AF22EED" w14:textId="77777777" w:rsidR="00337D3B" w:rsidRPr="00AB35CF" w:rsidRDefault="00337D3B" w:rsidP="0061204D">
            <w:pPr>
              <w:pStyle w:val="TableBodyText"/>
              <w:keepNext w:val="0"/>
              <w:keepLines w:val="0"/>
              <w:spacing w:before="40" w:after="0"/>
              <w:jc w:val="left"/>
              <w:rPr>
                <w:b/>
              </w:rPr>
            </w:pPr>
            <w:r w:rsidRPr="00AB35CF">
              <w:rPr>
                <w:b/>
              </w:rPr>
              <w:t>Value of physical assets — other</w:t>
            </w:r>
          </w:p>
        </w:tc>
        <w:tc>
          <w:tcPr>
            <w:tcW w:w="6652" w:type="dxa"/>
          </w:tcPr>
          <w:p w14:paraId="37FF3B33" w14:textId="77777777" w:rsidR="00337D3B" w:rsidRPr="00AB35CF" w:rsidRDefault="00337D3B" w:rsidP="0061204D">
            <w:pPr>
              <w:pStyle w:val="TableBodyText"/>
              <w:keepNext w:val="0"/>
              <w:keepLines w:val="0"/>
              <w:spacing w:before="40" w:after="0"/>
              <w:jc w:val="left"/>
            </w:pPr>
            <w:r w:rsidRPr="00AB35CF">
              <w:t>The value of motor vehicles, computer equipment, and general plant and equipment under the direct control of police.</w:t>
            </w:r>
          </w:p>
        </w:tc>
      </w:tr>
    </w:tbl>
    <w:p w14:paraId="670702E3" w14:textId="77777777" w:rsidR="00337D3B" w:rsidRDefault="00337D3B" w:rsidP="00337D3B">
      <w:pPr>
        <w:pStyle w:val="BodyText"/>
        <w:rPr>
          <w:rFonts w:ascii="Arial" w:hAnsi="Arial"/>
          <w:sz w:val="32"/>
        </w:rPr>
      </w:pPr>
      <w:r>
        <w:br w:type="page"/>
      </w:r>
    </w:p>
    <w:p w14:paraId="1306B36E" w14:textId="45886698" w:rsidR="00337D3B" w:rsidRDefault="00337D3B" w:rsidP="00337D3B">
      <w:pPr>
        <w:pStyle w:val="Heading2"/>
        <w:spacing w:after="240"/>
      </w:pPr>
      <w:r>
        <w:lastRenderedPageBreak/>
        <w:t>6.</w:t>
      </w:r>
      <w:r w:rsidR="00183EEE">
        <w:rPr>
          <w:noProof/>
        </w:rPr>
        <w:t>5</w:t>
      </w:r>
      <w:r>
        <w:tab/>
        <w:t>References</w:t>
      </w:r>
    </w:p>
    <w:p w14:paraId="3161E8DF" w14:textId="0DCC4972" w:rsidR="00F2238A" w:rsidRDefault="00F2238A" w:rsidP="00F2238A">
      <w:pPr>
        <w:pStyle w:val="Reference"/>
      </w:pPr>
      <w:r>
        <w:t>NSW Police 2018, Annual Report 2017</w:t>
      </w:r>
      <w:r>
        <w:noBreakHyphen/>
        <w:t>18.</w:t>
      </w:r>
    </w:p>
    <w:p w14:paraId="7F3ACCB5" w14:textId="01C3D56E" w:rsidR="00F2238A" w:rsidRDefault="00F2238A" w:rsidP="00F2238A">
      <w:pPr>
        <w:pStyle w:val="Reference"/>
      </w:pPr>
      <w:r>
        <w:t>Queensland Police Service 2018, Annual report 2017</w:t>
      </w:r>
      <w:r>
        <w:noBreakHyphen/>
        <w:t>18.</w:t>
      </w:r>
    </w:p>
    <w:p w14:paraId="712A6078" w14:textId="2DBA5316" w:rsidR="00F2238A" w:rsidRDefault="00F2238A" w:rsidP="00F2238A">
      <w:pPr>
        <w:pStyle w:val="Reference"/>
      </w:pPr>
      <w:r>
        <w:t>WA Police 2018, Annual Report 2017</w:t>
      </w:r>
      <w:r>
        <w:noBreakHyphen/>
        <w:t>18.</w:t>
      </w:r>
    </w:p>
    <w:p w14:paraId="50DF9DEC" w14:textId="34CD6A95" w:rsidR="00F2238A" w:rsidRDefault="00F2238A" w:rsidP="00F2238A">
      <w:pPr>
        <w:pStyle w:val="Reference"/>
      </w:pPr>
      <w:r>
        <w:t>SA Police 2018, Annual Report 2017</w:t>
      </w:r>
      <w:r>
        <w:noBreakHyphen/>
        <w:t>18.</w:t>
      </w:r>
    </w:p>
    <w:p w14:paraId="60123022" w14:textId="62F22619" w:rsidR="00F2238A" w:rsidRDefault="00F2238A" w:rsidP="00F2238A">
      <w:pPr>
        <w:pStyle w:val="Reference"/>
      </w:pPr>
      <w:r>
        <w:t>ACT Policing 2018, Annual report 2017</w:t>
      </w:r>
      <w:r>
        <w:noBreakHyphen/>
        <w:t>18.</w:t>
      </w:r>
    </w:p>
    <w:p w14:paraId="477EB4FD" w14:textId="77777777" w:rsidR="00F2238A" w:rsidRPr="00F2238A" w:rsidRDefault="00F2238A" w:rsidP="00F2238A">
      <w:pPr>
        <w:pStyle w:val="Reference"/>
      </w:pPr>
    </w:p>
    <w:p w14:paraId="7585FC35" w14:textId="77777777" w:rsidR="00337D3B" w:rsidRPr="00EC529A" w:rsidRDefault="00337D3B" w:rsidP="00337D3B">
      <w:pPr>
        <w:pStyle w:val="BodyText"/>
      </w:pPr>
    </w:p>
    <w:p w14:paraId="30297238" w14:textId="77777777" w:rsidR="00337D3B" w:rsidRPr="008C59C4" w:rsidRDefault="00337D3B" w:rsidP="00337D3B">
      <w:pPr>
        <w:pStyle w:val="BodyText"/>
      </w:pPr>
    </w:p>
    <w:p w14:paraId="410F96A6" w14:textId="77777777" w:rsidR="00337D3B" w:rsidRPr="00337414" w:rsidRDefault="00337D3B" w:rsidP="00337D3B">
      <w:pPr>
        <w:pStyle w:val="BodyText"/>
      </w:pPr>
    </w:p>
    <w:p w14:paraId="0E134303" w14:textId="77777777" w:rsidR="00337D3B" w:rsidRPr="00337414" w:rsidRDefault="00337D3B" w:rsidP="00337D3B">
      <w:pPr>
        <w:pStyle w:val="BodyText"/>
        <w:jc w:val="left"/>
      </w:pPr>
    </w:p>
    <w:p w14:paraId="13FE825D" w14:textId="77777777" w:rsidR="00337D3B" w:rsidRDefault="00337D3B" w:rsidP="00337D3B">
      <w:pPr>
        <w:pStyle w:val="BodyText"/>
      </w:pPr>
    </w:p>
    <w:p w14:paraId="25DBED13" w14:textId="77777777" w:rsidR="00251FAA" w:rsidRDefault="00251FAA"/>
    <w:sectPr w:rsidR="00251FAA" w:rsidSect="002F47F3">
      <w:headerReference w:type="even" r:id="rId30"/>
      <w:headerReference w:type="default" r:id="rId31"/>
      <w:footerReference w:type="even" r:id="rId32"/>
      <w:footerReference w:type="default" r:id="rId33"/>
      <w:pgSz w:w="11907" w:h="16840" w:code="9"/>
      <w:pgMar w:top="1985"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D19A0" w14:textId="77777777" w:rsidR="009B3BE2" w:rsidRDefault="009B3BE2" w:rsidP="00BE1923">
      <w:r>
        <w:separator/>
      </w:r>
    </w:p>
  </w:endnote>
  <w:endnote w:type="continuationSeparator" w:id="0">
    <w:p w14:paraId="58640043" w14:textId="77777777" w:rsidR="009B3BE2" w:rsidRDefault="009B3BE2" w:rsidP="00BE1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B3BE2" w14:paraId="4839F9CF" w14:textId="77777777" w:rsidTr="00AE742B">
      <w:trPr>
        <w:trHeight w:hRule="exact" w:val="567"/>
      </w:trPr>
      <w:tc>
        <w:tcPr>
          <w:tcW w:w="510" w:type="dxa"/>
        </w:tcPr>
        <w:p w14:paraId="775EFAEA" w14:textId="6460F584" w:rsidR="009B3BE2" w:rsidRPr="00A24443" w:rsidRDefault="009B3BE2" w:rsidP="00AE742B">
          <w:pPr>
            <w:pStyle w:val="Footer"/>
            <w:tabs>
              <w:tab w:val="left" w:pos="0"/>
            </w:tabs>
            <w:ind w:right="0"/>
            <w:rPr>
              <w:rStyle w:val="PageNumber"/>
              <w:caps w:val="0"/>
            </w:rPr>
          </w:pPr>
          <w:r>
            <w:rPr>
              <w:rStyle w:val="PageNumber"/>
              <w:caps w:val="0"/>
            </w:rPr>
            <w:t>6.</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91AD0">
            <w:rPr>
              <w:rStyle w:val="PageNumber"/>
              <w:caps w:val="0"/>
              <w:noProof/>
            </w:rPr>
            <w:t>12</w:t>
          </w:r>
          <w:r w:rsidRPr="00A24443">
            <w:rPr>
              <w:rStyle w:val="PageNumber"/>
              <w:caps w:val="0"/>
            </w:rPr>
            <w:fldChar w:fldCharType="end"/>
          </w:r>
        </w:p>
      </w:tc>
      <w:tc>
        <w:tcPr>
          <w:tcW w:w="7767" w:type="dxa"/>
        </w:tcPr>
        <w:p w14:paraId="11CCE2CD" w14:textId="6723EC6C" w:rsidR="009B3BE2" w:rsidRPr="0013739A" w:rsidRDefault="009B3BE2" w:rsidP="00AE742B">
          <w:pPr>
            <w:pStyle w:val="Footer"/>
            <w:rPr>
              <w:rFonts w:cs="Arial"/>
            </w:rPr>
          </w:pPr>
          <w:r>
            <w:rPr>
              <w:rFonts w:cs="Arial"/>
            </w:rPr>
            <w:t>Report on Government Services 2019</w:t>
          </w:r>
          <w:bookmarkStart w:id="4" w:name="DraftReportEven"/>
          <w:bookmarkEnd w:id="4"/>
        </w:p>
      </w:tc>
      <w:tc>
        <w:tcPr>
          <w:tcW w:w="510" w:type="dxa"/>
        </w:tcPr>
        <w:p w14:paraId="7C259109" w14:textId="77777777" w:rsidR="009B3BE2" w:rsidRDefault="009B3BE2" w:rsidP="00AE742B">
          <w:pPr>
            <w:pStyle w:val="Footer"/>
          </w:pPr>
        </w:p>
      </w:tc>
    </w:tr>
  </w:tbl>
  <w:p w14:paraId="733157A2" w14:textId="77777777" w:rsidR="009B3BE2" w:rsidRDefault="009B3BE2" w:rsidP="00AE742B">
    <w:pPr>
      <w:pStyle w:val="FooterEnd"/>
    </w:pPr>
  </w:p>
  <w:p w14:paraId="0292795B" w14:textId="77777777" w:rsidR="009B3BE2" w:rsidRDefault="009B3BE2" w:rsidP="0061204D">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B3BE2" w14:paraId="1A7B4C75" w14:textId="77777777" w:rsidTr="00AE742B">
      <w:trPr>
        <w:trHeight w:hRule="exact" w:val="567"/>
      </w:trPr>
      <w:tc>
        <w:tcPr>
          <w:tcW w:w="510" w:type="dxa"/>
        </w:tcPr>
        <w:p w14:paraId="6AA506CD" w14:textId="77777777" w:rsidR="009B3BE2" w:rsidRDefault="009B3BE2">
          <w:pPr>
            <w:pStyle w:val="Footer"/>
            <w:ind w:right="360" w:firstLine="360"/>
          </w:pPr>
        </w:p>
      </w:tc>
      <w:tc>
        <w:tcPr>
          <w:tcW w:w="7767" w:type="dxa"/>
        </w:tcPr>
        <w:p w14:paraId="5802E0AE" w14:textId="42FA1DE7" w:rsidR="009B3BE2" w:rsidRPr="00BA5B14" w:rsidRDefault="009B3BE2" w:rsidP="00AE742B">
          <w:pPr>
            <w:pStyle w:val="Footer"/>
            <w:jc w:val="right"/>
            <w:rPr>
              <w:rFonts w:cs="Arial"/>
            </w:rPr>
          </w:pPr>
          <w:r>
            <w:rPr>
              <w:rFonts w:cs="Arial"/>
            </w:rPr>
            <w:t>POLICE SERVICES</w:t>
          </w:r>
        </w:p>
      </w:tc>
      <w:tc>
        <w:tcPr>
          <w:tcW w:w="510" w:type="dxa"/>
        </w:tcPr>
        <w:p w14:paraId="017256DF" w14:textId="04845942" w:rsidR="009B3BE2" w:rsidRPr="00A24443" w:rsidRDefault="009B3BE2">
          <w:pPr>
            <w:pStyle w:val="Footer"/>
            <w:jc w:val="right"/>
            <w:rPr>
              <w:caps w:val="0"/>
            </w:rPr>
          </w:pPr>
          <w:r>
            <w:rPr>
              <w:rStyle w:val="PageNumber"/>
              <w:caps w:val="0"/>
            </w:rPr>
            <w:t>6.</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91AD0">
            <w:rPr>
              <w:rStyle w:val="PageNumber"/>
              <w:caps w:val="0"/>
              <w:noProof/>
            </w:rPr>
            <w:t>11</w:t>
          </w:r>
          <w:r w:rsidRPr="00A24443">
            <w:rPr>
              <w:rStyle w:val="PageNumber"/>
              <w:caps w:val="0"/>
            </w:rPr>
            <w:fldChar w:fldCharType="end"/>
          </w:r>
        </w:p>
      </w:tc>
    </w:tr>
  </w:tbl>
  <w:p w14:paraId="0730D4C3" w14:textId="77777777" w:rsidR="009B3BE2" w:rsidRDefault="009B3BE2">
    <w:pPr>
      <w:pStyle w:val="FooterEnd"/>
    </w:pPr>
  </w:p>
  <w:p w14:paraId="5CAE07F1" w14:textId="77777777" w:rsidR="009B3BE2" w:rsidRDefault="009B3BE2">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66BF3" w14:textId="77777777" w:rsidR="009B3BE2" w:rsidRDefault="009B3BE2" w:rsidP="00BE1923">
      <w:r>
        <w:separator/>
      </w:r>
    </w:p>
  </w:footnote>
  <w:footnote w:type="continuationSeparator" w:id="0">
    <w:p w14:paraId="7C719BAF" w14:textId="77777777" w:rsidR="009B3BE2" w:rsidRDefault="009B3BE2" w:rsidP="00BE1923">
      <w:r>
        <w:continuationSeparator/>
      </w:r>
    </w:p>
  </w:footnote>
  <w:footnote w:id="1">
    <w:p w14:paraId="60F6668E" w14:textId="77777777" w:rsidR="009B3BE2" w:rsidRDefault="009B3BE2" w:rsidP="00337D3B">
      <w:pPr>
        <w:pStyle w:val="FootnoteText"/>
      </w:pPr>
      <w:r w:rsidRPr="0044647F">
        <w:rPr>
          <w:rStyle w:val="NoteLabel"/>
          <w:b w:val="0"/>
        </w:rPr>
        <w:footnoteRef/>
      </w:r>
      <w:r w:rsidRPr="0044647F">
        <w:rPr>
          <w:rStyle w:val="NoteLabel"/>
          <w:b w:val="0"/>
        </w:rPr>
        <w:tab/>
      </w:r>
      <w:r w:rsidRPr="0044647F">
        <w:t>The use of the term ‘offender’ in this chapter refers to a person who is alleged to have committed an offence. It differs from the definition used in chapter 8 (‘Corrective services’), where the term ‘offender’ refers to a person who has been convicted of an offence and is subject to a correctional sentence.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9B3BE2" w14:paraId="56A1E70B" w14:textId="77777777">
      <w:tc>
        <w:tcPr>
          <w:tcW w:w="2155" w:type="dxa"/>
          <w:tcBorders>
            <w:top w:val="single" w:sz="24" w:space="0" w:color="auto"/>
          </w:tcBorders>
        </w:tcPr>
        <w:p w14:paraId="15C5C799" w14:textId="77777777" w:rsidR="009B3BE2" w:rsidRDefault="009B3BE2" w:rsidP="0061204D">
          <w:pPr>
            <w:pStyle w:val="HeaderEven"/>
          </w:pPr>
        </w:p>
      </w:tc>
      <w:tc>
        <w:tcPr>
          <w:tcW w:w="6634" w:type="dxa"/>
          <w:tcBorders>
            <w:top w:val="single" w:sz="6" w:space="0" w:color="auto"/>
          </w:tcBorders>
        </w:tcPr>
        <w:p w14:paraId="5F86EF94" w14:textId="58BCCCFD" w:rsidR="009B3BE2" w:rsidRDefault="009B3BE2" w:rsidP="008F44F0">
          <w:pPr>
            <w:pStyle w:val="Header"/>
            <w:jc w:val="right"/>
          </w:pPr>
        </w:p>
      </w:tc>
    </w:tr>
  </w:tbl>
  <w:p w14:paraId="1C296884" w14:textId="77777777" w:rsidR="009B3BE2" w:rsidRDefault="009B3BE2" w:rsidP="0061204D">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B3BE2" w14:paraId="506C4CB6" w14:textId="77777777">
      <w:tc>
        <w:tcPr>
          <w:tcW w:w="6634" w:type="dxa"/>
          <w:tcBorders>
            <w:top w:val="single" w:sz="6" w:space="0" w:color="auto"/>
          </w:tcBorders>
        </w:tcPr>
        <w:p w14:paraId="0F5C9A4A" w14:textId="26F3241A" w:rsidR="009B3BE2" w:rsidRDefault="009B3BE2" w:rsidP="008F44F0">
          <w:pPr>
            <w:pStyle w:val="Header"/>
          </w:pPr>
        </w:p>
      </w:tc>
      <w:tc>
        <w:tcPr>
          <w:tcW w:w="2155" w:type="dxa"/>
          <w:tcBorders>
            <w:top w:val="single" w:sz="24" w:space="0" w:color="auto"/>
          </w:tcBorders>
        </w:tcPr>
        <w:p w14:paraId="6E97CBA4" w14:textId="77777777" w:rsidR="009B3BE2" w:rsidRDefault="009B3BE2" w:rsidP="0061204D">
          <w:pPr>
            <w:pStyle w:val="HeaderOdd"/>
          </w:pPr>
        </w:p>
      </w:tc>
    </w:tr>
  </w:tbl>
  <w:p w14:paraId="65C7BEF4" w14:textId="77777777" w:rsidR="009B3BE2" w:rsidRDefault="009B3BE2" w:rsidP="0061204D">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0B5AF1CA"/>
    <w:lvl w:ilvl="0">
      <w:start w:val="1"/>
      <w:numFmt w:val="decimal"/>
      <w:lvlText w:val="%1."/>
      <w:lvlJc w:val="left"/>
      <w:pPr>
        <w:tabs>
          <w:tab w:val="num" w:pos="360"/>
        </w:tabs>
        <w:ind w:left="360"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C80AB2"/>
    <w:multiLevelType w:val="multilevel"/>
    <w:tmpl w:val="1DA24A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F577C9"/>
    <w:multiLevelType w:val="hybridMultilevel"/>
    <w:tmpl w:val="35E018F8"/>
    <w:lvl w:ilvl="0" w:tplc="3A461F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7"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8"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1"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3"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2C230394"/>
    <w:multiLevelType w:val="hybridMultilevel"/>
    <w:tmpl w:val="545A67D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6" w15:restartNumberingAfterBreak="0">
    <w:nsid w:val="456A489F"/>
    <w:multiLevelType w:val="hybridMultilevel"/>
    <w:tmpl w:val="5158F342"/>
    <w:lvl w:ilvl="0" w:tplc="A8DEFCD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AB36C30"/>
    <w:multiLevelType w:val="hybridMultilevel"/>
    <w:tmpl w:val="B44438F2"/>
    <w:lvl w:ilvl="0" w:tplc="DF64BF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0"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1"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2"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E34B06"/>
    <w:multiLevelType w:val="hybridMultilevel"/>
    <w:tmpl w:val="4CC0FB66"/>
    <w:lvl w:ilvl="0" w:tplc="4A7252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6" w15:restartNumberingAfterBreak="0">
    <w:nsid w:val="79881937"/>
    <w:multiLevelType w:val="multilevel"/>
    <w:tmpl w:val="36EA1A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8"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5"/>
  </w:num>
  <w:num w:numId="2">
    <w:abstractNumId w:val="4"/>
  </w:num>
  <w:num w:numId="3">
    <w:abstractNumId w:val="19"/>
  </w:num>
  <w:num w:numId="4">
    <w:abstractNumId w:val="6"/>
  </w:num>
  <w:num w:numId="5">
    <w:abstractNumId w:val="25"/>
  </w:num>
  <w:num w:numId="6">
    <w:abstractNumId w:val="21"/>
  </w:num>
  <w:num w:numId="7">
    <w:abstractNumId w:val="10"/>
  </w:num>
  <w:num w:numId="8">
    <w:abstractNumId w:val="20"/>
  </w:num>
  <w:num w:numId="9">
    <w:abstractNumId w:val="9"/>
  </w:num>
  <w:num w:numId="10">
    <w:abstractNumId w:val="8"/>
  </w:num>
  <w:num w:numId="11">
    <w:abstractNumId w:val="12"/>
  </w:num>
  <w:num w:numId="12">
    <w:abstractNumId w:val="13"/>
  </w:num>
  <w:num w:numId="13">
    <w:abstractNumId w:val="7"/>
  </w:num>
  <w:num w:numId="14">
    <w:abstractNumId w:val="22"/>
  </w:num>
  <w:num w:numId="15">
    <w:abstractNumId w:val="27"/>
  </w:num>
  <w:num w:numId="16">
    <w:abstractNumId w:val="18"/>
  </w:num>
  <w:num w:numId="17">
    <w:abstractNumId w:val="28"/>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3"/>
  </w:num>
  <w:num w:numId="21">
    <w:abstractNumId w:val="11"/>
  </w:num>
  <w:num w:numId="22">
    <w:abstractNumId w:val="14"/>
  </w:num>
  <w:num w:numId="23">
    <w:abstractNumId w:val="16"/>
  </w:num>
  <w:num w:numId="24">
    <w:abstractNumId w:val="24"/>
  </w:num>
  <w:num w:numId="25">
    <w:abstractNumId w:val="17"/>
  </w:num>
  <w:num w:numId="26">
    <w:abstractNumId w:val="5"/>
  </w:num>
  <w:num w:numId="27">
    <w:abstractNumId w:val="1"/>
  </w:num>
  <w:num w:numId="28">
    <w:abstractNumId w:val="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attachedTemplate r:id="rId1"/>
  <w:linkStyles/>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4F0"/>
    <w:rsid w:val="00006C4B"/>
    <w:rsid w:val="00010B14"/>
    <w:rsid w:val="00017B70"/>
    <w:rsid w:val="00023AF4"/>
    <w:rsid w:val="0002694F"/>
    <w:rsid w:val="000311F7"/>
    <w:rsid w:val="00036475"/>
    <w:rsid w:val="00036A5C"/>
    <w:rsid w:val="000502EC"/>
    <w:rsid w:val="00054C01"/>
    <w:rsid w:val="00054F7B"/>
    <w:rsid w:val="0008738B"/>
    <w:rsid w:val="00090912"/>
    <w:rsid w:val="0009658E"/>
    <w:rsid w:val="000A32BB"/>
    <w:rsid w:val="000C4141"/>
    <w:rsid w:val="000D7521"/>
    <w:rsid w:val="000E2CD3"/>
    <w:rsid w:val="001226E4"/>
    <w:rsid w:val="001232CE"/>
    <w:rsid w:val="001260B7"/>
    <w:rsid w:val="00126FF9"/>
    <w:rsid w:val="00131244"/>
    <w:rsid w:val="001367AB"/>
    <w:rsid w:val="00143225"/>
    <w:rsid w:val="00147003"/>
    <w:rsid w:val="00147A72"/>
    <w:rsid w:val="0015027A"/>
    <w:rsid w:val="00156620"/>
    <w:rsid w:val="00157FA1"/>
    <w:rsid w:val="0016074C"/>
    <w:rsid w:val="00160A11"/>
    <w:rsid w:val="00160A1F"/>
    <w:rsid w:val="00161D01"/>
    <w:rsid w:val="001623AC"/>
    <w:rsid w:val="00183EEE"/>
    <w:rsid w:val="001A4DE5"/>
    <w:rsid w:val="001A5012"/>
    <w:rsid w:val="001E4E41"/>
    <w:rsid w:val="001E5F05"/>
    <w:rsid w:val="001F060F"/>
    <w:rsid w:val="001F1256"/>
    <w:rsid w:val="001F22E6"/>
    <w:rsid w:val="00210FB5"/>
    <w:rsid w:val="00214A9F"/>
    <w:rsid w:val="00217C07"/>
    <w:rsid w:val="00225124"/>
    <w:rsid w:val="002409A9"/>
    <w:rsid w:val="00241081"/>
    <w:rsid w:val="00241410"/>
    <w:rsid w:val="00251FAA"/>
    <w:rsid w:val="0025296A"/>
    <w:rsid w:val="00265BC0"/>
    <w:rsid w:val="002711D4"/>
    <w:rsid w:val="00283F15"/>
    <w:rsid w:val="00297137"/>
    <w:rsid w:val="002A2425"/>
    <w:rsid w:val="002B0C11"/>
    <w:rsid w:val="002B4B0A"/>
    <w:rsid w:val="002C65DE"/>
    <w:rsid w:val="002E2931"/>
    <w:rsid w:val="002E5813"/>
    <w:rsid w:val="002F47F3"/>
    <w:rsid w:val="00305FCE"/>
    <w:rsid w:val="00306D30"/>
    <w:rsid w:val="00310AA4"/>
    <w:rsid w:val="00316A29"/>
    <w:rsid w:val="003225C4"/>
    <w:rsid w:val="00337D3B"/>
    <w:rsid w:val="0034664B"/>
    <w:rsid w:val="003547C3"/>
    <w:rsid w:val="003577FD"/>
    <w:rsid w:val="0036517B"/>
    <w:rsid w:val="00367F53"/>
    <w:rsid w:val="00376E28"/>
    <w:rsid w:val="003A202E"/>
    <w:rsid w:val="003B7609"/>
    <w:rsid w:val="003B7A67"/>
    <w:rsid w:val="003C7541"/>
    <w:rsid w:val="003D02C2"/>
    <w:rsid w:val="003D3391"/>
    <w:rsid w:val="003F292C"/>
    <w:rsid w:val="00412D8A"/>
    <w:rsid w:val="004146BF"/>
    <w:rsid w:val="00415A23"/>
    <w:rsid w:val="0041765F"/>
    <w:rsid w:val="0042534B"/>
    <w:rsid w:val="00445E39"/>
    <w:rsid w:val="0044647F"/>
    <w:rsid w:val="004562D5"/>
    <w:rsid w:val="00456529"/>
    <w:rsid w:val="004636A1"/>
    <w:rsid w:val="004654CD"/>
    <w:rsid w:val="004656E2"/>
    <w:rsid w:val="00465CD7"/>
    <w:rsid w:val="00467565"/>
    <w:rsid w:val="00472D28"/>
    <w:rsid w:val="00474113"/>
    <w:rsid w:val="00475CE1"/>
    <w:rsid w:val="0048219B"/>
    <w:rsid w:val="00491AD0"/>
    <w:rsid w:val="004A5481"/>
    <w:rsid w:val="004B4DE1"/>
    <w:rsid w:val="004C0D3F"/>
    <w:rsid w:val="004C3F47"/>
    <w:rsid w:val="004E12AB"/>
    <w:rsid w:val="004F3CC5"/>
    <w:rsid w:val="00510952"/>
    <w:rsid w:val="005144F7"/>
    <w:rsid w:val="00515F81"/>
    <w:rsid w:val="00525E1B"/>
    <w:rsid w:val="0054130B"/>
    <w:rsid w:val="00551B4B"/>
    <w:rsid w:val="00562461"/>
    <w:rsid w:val="005709A6"/>
    <w:rsid w:val="00571AA0"/>
    <w:rsid w:val="00574E2E"/>
    <w:rsid w:val="0057653C"/>
    <w:rsid w:val="0057700A"/>
    <w:rsid w:val="005802BE"/>
    <w:rsid w:val="005810EF"/>
    <w:rsid w:val="00583ADC"/>
    <w:rsid w:val="00584E69"/>
    <w:rsid w:val="00593C0C"/>
    <w:rsid w:val="00595140"/>
    <w:rsid w:val="005B1F18"/>
    <w:rsid w:val="005D6A85"/>
    <w:rsid w:val="0060303B"/>
    <w:rsid w:val="006111D2"/>
    <w:rsid w:val="006119B1"/>
    <w:rsid w:val="0061204D"/>
    <w:rsid w:val="00615607"/>
    <w:rsid w:val="00624940"/>
    <w:rsid w:val="006249A7"/>
    <w:rsid w:val="00630C32"/>
    <w:rsid w:val="006475ED"/>
    <w:rsid w:val="00652F34"/>
    <w:rsid w:val="0066583A"/>
    <w:rsid w:val="00682ED2"/>
    <w:rsid w:val="00685236"/>
    <w:rsid w:val="00686E83"/>
    <w:rsid w:val="00691243"/>
    <w:rsid w:val="0069336A"/>
    <w:rsid w:val="006A6A03"/>
    <w:rsid w:val="006B423D"/>
    <w:rsid w:val="006C3C0B"/>
    <w:rsid w:val="006C518B"/>
    <w:rsid w:val="006E5317"/>
    <w:rsid w:val="006F0452"/>
    <w:rsid w:val="006F12E9"/>
    <w:rsid w:val="00710FBE"/>
    <w:rsid w:val="007251CC"/>
    <w:rsid w:val="00730E78"/>
    <w:rsid w:val="00736117"/>
    <w:rsid w:val="007371C6"/>
    <w:rsid w:val="00750149"/>
    <w:rsid w:val="00752F2F"/>
    <w:rsid w:val="00760CAD"/>
    <w:rsid w:val="0076286B"/>
    <w:rsid w:val="007677D7"/>
    <w:rsid w:val="00793101"/>
    <w:rsid w:val="00797D5D"/>
    <w:rsid w:val="007A2EE8"/>
    <w:rsid w:val="007B7441"/>
    <w:rsid w:val="007C25AC"/>
    <w:rsid w:val="007C525C"/>
    <w:rsid w:val="007D6025"/>
    <w:rsid w:val="007E1FFD"/>
    <w:rsid w:val="007E4DEC"/>
    <w:rsid w:val="007E5ACD"/>
    <w:rsid w:val="007E6A18"/>
    <w:rsid w:val="007F2040"/>
    <w:rsid w:val="007F7B3A"/>
    <w:rsid w:val="008165D2"/>
    <w:rsid w:val="00816B41"/>
    <w:rsid w:val="0082270A"/>
    <w:rsid w:val="0083308E"/>
    <w:rsid w:val="008409A4"/>
    <w:rsid w:val="0084491C"/>
    <w:rsid w:val="0086163C"/>
    <w:rsid w:val="00866FAB"/>
    <w:rsid w:val="00874808"/>
    <w:rsid w:val="0089101A"/>
    <w:rsid w:val="00892479"/>
    <w:rsid w:val="00897DAB"/>
    <w:rsid w:val="008C1460"/>
    <w:rsid w:val="008E729F"/>
    <w:rsid w:val="008F3EFB"/>
    <w:rsid w:val="008F44F0"/>
    <w:rsid w:val="00917540"/>
    <w:rsid w:val="00922364"/>
    <w:rsid w:val="00927897"/>
    <w:rsid w:val="00946AFB"/>
    <w:rsid w:val="009501F7"/>
    <w:rsid w:val="009556F6"/>
    <w:rsid w:val="00955DCD"/>
    <w:rsid w:val="00961351"/>
    <w:rsid w:val="0096669C"/>
    <w:rsid w:val="009801C9"/>
    <w:rsid w:val="009862E2"/>
    <w:rsid w:val="0099694F"/>
    <w:rsid w:val="009A69D3"/>
    <w:rsid w:val="009B02A3"/>
    <w:rsid w:val="009B3BE2"/>
    <w:rsid w:val="009B4ADD"/>
    <w:rsid w:val="009B4DA7"/>
    <w:rsid w:val="009C4A0E"/>
    <w:rsid w:val="009C4F84"/>
    <w:rsid w:val="009D1655"/>
    <w:rsid w:val="009E0A42"/>
    <w:rsid w:val="009F695F"/>
    <w:rsid w:val="00A02F9B"/>
    <w:rsid w:val="00A04FE4"/>
    <w:rsid w:val="00A14297"/>
    <w:rsid w:val="00A14B0E"/>
    <w:rsid w:val="00A15706"/>
    <w:rsid w:val="00A16679"/>
    <w:rsid w:val="00A255FA"/>
    <w:rsid w:val="00A26225"/>
    <w:rsid w:val="00A27724"/>
    <w:rsid w:val="00A32153"/>
    <w:rsid w:val="00A3759C"/>
    <w:rsid w:val="00A661C3"/>
    <w:rsid w:val="00A80F71"/>
    <w:rsid w:val="00AB5D71"/>
    <w:rsid w:val="00AB6175"/>
    <w:rsid w:val="00AD6C12"/>
    <w:rsid w:val="00AE3970"/>
    <w:rsid w:val="00AE5BFB"/>
    <w:rsid w:val="00AE742B"/>
    <w:rsid w:val="00AF03EE"/>
    <w:rsid w:val="00AF3190"/>
    <w:rsid w:val="00B0161D"/>
    <w:rsid w:val="00B03BCA"/>
    <w:rsid w:val="00B10BF2"/>
    <w:rsid w:val="00B20943"/>
    <w:rsid w:val="00B358EB"/>
    <w:rsid w:val="00B557C7"/>
    <w:rsid w:val="00B65DCA"/>
    <w:rsid w:val="00B72963"/>
    <w:rsid w:val="00B7308C"/>
    <w:rsid w:val="00B8051B"/>
    <w:rsid w:val="00B81EDB"/>
    <w:rsid w:val="00B9147D"/>
    <w:rsid w:val="00B94157"/>
    <w:rsid w:val="00BA2FC2"/>
    <w:rsid w:val="00BC0851"/>
    <w:rsid w:val="00BD72E5"/>
    <w:rsid w:val="00BE1923"/>
    <w:rsid w:val="00BF45EF"/>
    <w:rsid w:val="00BF5A91"/>
    <w:rsid w:val="00C01CAF"/>
    <w:rsid w:val="00C04984"/>
    <w:rsid w:val="00C1331C"/>
    <w:rsid w:val="00C16955"/>
    <w:rsid w:val="00C16E5D"/>
    <w:rsid w:val="00C324D2"/>
    <w:rsid w:val="00C40348"/>
    <w:rsid w:val="00C468EB"/>
    <w:rsid w:val="00C478CC"/>
    <w:rsid w:val="00C564F0"/>
    <w:rsid w:val="00C57EF9"/>
    <w:rsid w:val="00C61D71"/>
    <w:rsid w:val="00C74747"/>
    <w:rsid w:val="00C8495E"/>
    <w:rsid w:val="00C87708"/>
    <w:rsid w:val="00C93D74"/>
    <w:rsid w:val="00CA2A2F"/>
    <w:rsid w:val="00CA43F4"/>
    <w:rsid w:val="00CC6184"/>
    <w:rsid w:val="00CC790D"/>
    <w:rsid w:val="00D004E1"/>
    <w:rsid w:val="00D40297"/>
    <w:rsid w:val="00D421EB"/>
    <w:rsid w:val="00D51365"/>
    <w:rsid w:val="00D55780"/>
    <w:rsid w:val="00D712D5"/>
    <w:rsid w:val="00D71761"/>
    <w:rsid w:val="00D82B93"/>
    <w:rsid w:val="00D87209"/>
    <w:rsid w:val="00DA0311"/>
    <w:rsid w:val="00DA64DE"/>
    <w:rsid w:val="00DA6684"/>
    <w:rsid w:val="00DA6984"/>
    <w:rsid w:val="00DB78BC"/>
    <w:rsid w:val="00DC6035"/>
    <w:rsid w:val="00DE3C82"/>
    <w:rsid w:val="00DE5076"/>
    <w:rsid w:val="00DE5E05"/>
    <w:rsid w:val="00DE78D8"/>
    <w:rsid w:val="00DF4303"/>
    <w:rsid w:val="00E24E2B"/>
    <w:rsid w:val="00E34B58"/>
    <w:rsid w:val="00E44E98"/>
    <w:rsid w:val="00E70DEB"/>
    <w:rsid w:val="00E8292A"/>
    <w:rsid w:val="00E91298"/>
    <w:rsid w:val="00E93456"/>
    <w:rsid w:val="00EA76BE"/>
    <w:rsid w:val="00EC1BAA"/>
    <w:rsid w:val="00EC22AA"/>
    <w:rsid w:val="00EC4372"/>
    <w:rsid w:val="00EC62BB"/>
    <w:rsid w:val="00ED19DB"/>
    <w:rsid w:val="00F134C4"/>
    <w:rsid w:val="00F22031"/>
    <w:rsid w:val="00F2238A"/>
    <w:rsid w:val="00F63470"/>
    <w:rsid w:val="00F678A8"/>
    <w:rsid w:val="00F72498"/>
    <w:rsid w:val="00F7347B"/>
    <w:rsid w:val="00FA2C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19009B"/>
  <w15:chartTrackingRefBased/>
  <w15:docId w15:val="{60CB3522-6FB6-4982-AF83-2537C0A25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91AD0"/>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BodyText"/>
    <w:next w:val="BodyText"/>
    <w:link w:val="Heading1Char"/>
    <w:rsid w:val="00491AD0"/>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491AD0"/>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491AD0"/>
    <w:pPr>
      <w:spacing w:before="560" w:line="320" w:lineRule="exact"/>
      <w:ind w:left="0" w:firstLine="0"/>
      <w:outlineLvl w:val="2"/>
    </w:pPr>
    <w:rPr>
      <w:sz w:val="26"/>
    </w:rPr>
  </w:style>
  <w:style w:type="paragraph" w:styleId="Heading4">
    <w:name w:val="heading 4"/>
    <w:basedOn w:val="Heading3"/>
    <w:next w:val="BodyText"/>
    <w:link w:val="Heading4Char"/>
    <w:qFormat/>
    <w:rsid w:val="00491AD0"/>
    <w:pPr>
      <w:spacing w:before="480"/>
      <w:outlineLvl w:val="3"/>
    </w:pPr>
    <w:rPr>
      <w:b w:val="0"/>
      <w:sz w:val="24"/>
    </w:rPr>
  </w:style>
  <w:style w:type="paragraph" w:styleId="Heading5">
    <w:name w:val="heading 5"/>
    <w:basedOn w:val="Heading4"/>
    <w:next w:val="BodyText"/>
    <w:link w:val="Heading5Char"/>
    <w:qFormat/>
    <w:rsid w:val="00491AD0"/>
    <w:pPr>
      <w:outlineLvl w:val="4"/>
    </w:pPr>
    <w:rPr>
      <w:i/>
      <w:sz w:val="22"/>
    </w:rPr>
  </w:style>
  <w:style w:type="paragraph" w:styleId="Heading6">
    <w:name w:val="heading 6"/>
    <w:basedOn w:val="BodyText"/>
    <w:next w:val="BodyText"/>
    <w:link w:val="Heading6Char"/>
    <w:semiHidden/>
    <w:rsid w:val="00491AD0"/>
    <w:pPr>
      <w:spacing w:after="60"/>
      <w:jc w:val="left"/>
      <w:outlineLvl w:val="5"/>
    </w:pPr>
    <w:rPr>
      <w:i/>
      <w:sz w:val="22"/>
    </w:rPr>
  </w:style>
  <w:style w:type="paragraph" w:styleId="Heading7">
    <w:name w:val="heading 7"/>
    <w:basedOn w:val="BodyText"/>
    <w:next w:val="BodyText"/>
    <w:link w:val="Heading7Char"/>
    <w:semiHidden/>
    <w:rsid w:val="00491AD0"/>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491AD0"/>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491AD0"/>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491A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91AD0"/>
  </w:style>
  <w:style w:type="character" w:customStyle="1" w:styleId="Heading1Char">
    <w:name w:val="Heading 1 Char"/>
    <w:basedOn w:val="DefaultParagraphFont"/>
    <w:link w:val="Heading1"/>
    <w:rsid w:val="00BE1923"/>
    <w:rPr>
      <w:rFonts w:ascii="Times New Roman" w:eastAsia="Times New Roman" w:hAnsi="Times New Roman" w:cs="Times New Roman"/>
      <w:sz w:val="52"/>
      <w:szCs w:val="20"/>
      <w:lang w:eastAsia="en-AU"/>
    </w:rPr>
  </w:style>
  <w:style w:type="character" w:customStyle="1" w:styleId="Heading2Char">
    <w:name w:val="Heading 2 Char"/>
    <w:basedOn w:val="DefaultParagraphFont"/>
    <w:link w:val="Heading2"/>
    <w:rsid w:val="00BE1923"/>
    <w:rPr>
      <w:rFonts w:ascii="Arial" w:eastAsia="Times New Roman" w:hAnsi="Arial" w:cs="Times New Roman"/>
      <w:b/>
      <w:sz w:val="32"/>
      <w:szCs w:val="20"/>
      <w:lang w:eastAsia="en-AU"/>
    </w:rPr>
  </w:style>
  <w:style w:type="character" w:customStyle="1" w:styleId="Heading3Char">
    <w:name w:val="Heading 3 Char"/>
    <w:basedOn w:val="DefaultParagraphFont"/>
    <w:link w:val="Heading3"/>
    <w:rsid w:val="00BE1923"/>
    <w:rPr>
      <w:rFonts w:ascii="Arial" w:eastAsia="Times New Roman" w:hAnsi="Arial" w:cs="Times New Roman"/>
      <w:b/>
      <w:sz w:val="26"/>
      <w:szCs w:val="20"/>
      <w:lang w:eastAsia="en-AU"/>
    </w:rPr>
  </w:style>
  <w:style w:type="character" w:customStyle="1" w:styleId="Heading4Char">
    <w:name w:val="Heading 4 Char"/>
    <w:basedOn w:val="DefaultParagraphFont"/>
    <w:link w:val="Heading4"/>
    <w:rsid w:val="00BE1923"/>
    <w:rPr>
      <w:rFonts w:ascii="Arial" w:eastAsia="Times New Roman" w:hAnsi="Arial" w:cs="Times New Roman"/>
      <w:sz w:val="24"/>
      <w:szCs w:val="20"/>
      <w:lang w:eastAsia="en-AU"/>
    </w:rPr>
  </w:style>
  <w:style w:type="character" w:customStyle="1" w:styleId="Heading5Char">
    <w:name w:val="Heading 5 Char"/>
    <w:basedOn w:val="DefaultParagraphFont"/>
    <w:link w:val="Heading5"/>
    <w:rsid w:val="00491AD0"/>
    <w:rPr>
      <w:rFonts w:ascii="Arial" w:eastAsia="Times New Roman" w:hAnsi="Arial" w:cs="Times New Roman"/>
      <w:i/>
      <w:szCs w:val="20"/>
      <w:lang w:eastAsia="en-AU"/>
    </w:rPr>
  </w:style>
  <w:style w:type="character" w:customStyle="1" w:styleId="Heading6Char">
    <w:name w:val="Heading 6 Char"/>
    <w:basedOn w:val="DefaultParagraphFont"/>
    <w:link w:val="Heading6"/>
    <w:semiHidden/>
    <w:rsid w:val="00BE1923"/>
    <w:rPr>
      <w:rFonts w:ascii="Times New Roman" w:eastAsia="Times New Roman" w:hAnsi="Times New Roman" w:cs="Times New Roman"/>
      <w:i/>
      <w:szCs w:val="20"/>
      <w:lang w:eastAsia="en-AU"/>
    </w:rPr>
  </w:style>
  <w:style w:type="character" w:customStyle="1" w:styleId="Heading7Char">
    <w:name w:val="Heading 7 Char"/>
    <w:basedOn w:val="DefaultParagraphFont"/>
    <w:link w:val="Heading7"/>
    <w:semiHidden/>
    <w:rsid w:val="00BE1923"/>
    <w:rPr>
      <w:rFonts w:ascii="Arial" w:eastAsia="Times New Roman" w:hAnsi="Arial" w:cs="Times New Roman"/>
      <w:sz w:val="20"/>
      <w:szCs w:val="20"/>
      <w:lang w:eastAsia="en-AU"/>
    </w:rPr>
  </w:style>
  <w:style w:type="character" w:customStyle="1" w:styleId="Heading8Char">
    <w:name w:val="Heading 8 Char"/>
    <w:basedOn w:val="DefaultParagraphFont"/>
    <w:link w:val="Heading8"/>
    <w:semiHidden/>
    <w:rsid w:val="00BE1923"/>
    <w:rPr>
      <w:rFonts w:ascii="Arial" w:eastAsia="Times New Roman" w:hAnsi="Arial" w:cs="Times New Roman"/>
      <w:i/>
      <w:sz w:val="20"/>
      <w:szCs w:val="20"/>
      <w:lang w:eastAsia="en-AU"/>
    </w:rPr>
  </w:style>
  <w:style w:type="character" w:customStyle="1" w:styleId="Heading9Char">
    <w:name w:val="Heading 9 Char"/>
    <w:basedOn w:val="DefaultParagraphFont"/>
    <w:link w:val="Heading9"/>
    <w:semiHidden/>
    <w:rsid w:val="00BE1923"/>
    <w:rPr>
      <w:rFonts w:ascii="Arial" w:eastAsia="Times New Roman" w:hAnsi="Arial" w:cs="Times New Roman"/>
      <w:b/>
      <w:i/>
      <w:sz w:val="18"/>
      <w:szCs w:val="20"/>
      <w:lang w:eastAsia="en-AU"/>
    </w:rPr>
  </w:style>
  <w:style w:type="paragraph" w:styleId="BodyText">
    <w:name w:val="Body Text"/>
    <w:aliases w:val="new legislation style,Body Text Char1 Char,Body Text Char Char Char,Body Text Char1 Char Char Char,Body Text Char Char Char Char Char1,Body Text Char2 Char1 Char Char Char Char Char,Body Text Char2 Char,new legislation style Char1 Char,Body Te"/>
    <w:link w:val="BodyTextChar"/>
    <w:qFormat/>
    <w:rsid w:val="00491AD0"/>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aliases w:val="new legislation style Char,Body Text Char1 Char Char,Body Text Char Char Char Char,Body Text Char1 Char Char Char Char,Body Text Char Char Char Char Char1 Char,Body Text Char2 Char1 Char Char Char Char Char Char,Body Text Char2 Char Char"/>
    <w:basedOn w:val="DefaultParagraphFont"/>
    <w:link w:val="BodyText"/>
    <w:rsid w:val="00491AD0"/>
    <w:rPr>
      <w:rFonts w:ascii="Times New Roman" w:eastAsia="Times New Roman" w:hAnsi="Times New Roman" w:cs="Times New Roman"/>
      <w:sz w:val="24"/>
      <w:szCs w:val="20"/>
      <w:lang w:eastAsia="en-AU"/>
    </w:rPr>
  </w:style>
  <w:style w:type="paragraph" w:styleId="Footer">
    <w:name w:val="footer"/>
    <w:basedOn w:val="BodyText"/>
    <w:link w:val="FooterChar"/>
    <w:rsid w:val="00491AD0"/>
    <w:pPr>
      <w:spacing w:before="80" w:line="200" w:lineRule="exact"/>
      <w:ind w:right="6"/>
      <w:jc w:val="left"/>
    </w:pPr>
    <w:rPr>
      <w:rFonts w:ascii="Arial" w:hAnsi="Arial"/>
      <w:caps/>
      <w:spacing w:val="-4"/>
      <w:sz w:val="16"/>
    </w:rPr>
  </w:style>
  <w:style w:type="character" w:customStyle="1" w:styleId="FooterChar">
    <w:name w:val="Footer Char"/>
    <w:basedOn w:val="BodyTextChar"/>
    <w:link w:val="Footer"/>
    <w:rsid w:val="00491AD0"/>
    <w:rPr>
      <w:rFonts w:ascii="Arial" w:eastAsia="Times New Roman" w:hAnsi="Arial" w:cs="Times New Roman"/>
      <w:caps/>
      <w:spacing w:val="-4"/>
      <w:sz w:val="16"/>
      <w:szCs w:val="20"/>
      <w:lang w:eastAsia="en-AU"/>
    </w:rPr>
  </w:style>
  <w:style w:type="paragraph" w:customStyle="1" w:styleId="FooterEnd">
    <w:name w:val="Footer End"/>
    <w:basedOn w:val="Footer"/>
    <w:rsid w:val="00491AD0"/>
    <w:pPr>
      <w:spacing w:before="0" w:line="20" w:lineRule="exact"/>
    </w:pPr>
  </w:style>
  <w:style w:type="paragraph" w:styleId="Header">
    <w:name w:val="header"/>
    <w:basedOn w:val="BodyText"/>
    <w:link w:val="HeaderChar"/>
    <w:rsid w:val="00491AD0"/>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BE1923"/>
    <w:rPr>
      <w:rFonts w:ascii="Arial" w:eastAsia="Times New Roman" w:hAnsi="Arial" w:cs="Times New Roman"/>
      <w:caps/>
      <w:sz w:val="24"/>
      <w:szCs w:val="20"/>
      <w:lang w:eastAsia="en-AU"/>
    </w:rPr>
  </w:style>
  <w:style w:type="paragraph" w:customStyle="1" w:styleId="HeaderEnd">
    <w:name w:val="Header End"/>
    <w:basedOn w:val="Header"/>
    <w:autoRedefine/>
    <w:rsid w:val="00491AD0"/>
    <w:pPr>
      <w:spacing w:line="20" w:lineRule="exact"/>
    </w:pPr>
    <w:rPr>
      <w:sz w:val="16"/>
    </w:rPr>
  </w:style>
  <w:style w:type="paragraph" w:customStyle="1" w:styleId="HeaderEven">
    <w:name w:val="Header Even"/>
    <w:basedOn w:val="Header"/>
    <w:semiHidden/>
    <w:rsid w:val="00491AD0"/>
  </w:style>
  <w:style w:type="paragraph" w:customStyle="1" w:styleId="HeaderOdd">
    <w:name w:val="Header Odd"/>
    <w:basedOn w:val="Header"/>
    <w:semiHidden/>
    <w:rsid w:val="00491AD0"/>
  </w:style>
  <w:style w:type="character" w:styleId="PageNumber">
    <w:name w:val="page number"/>
    <w:basedOn w:val="DefaultParagraphFont"/>
    <w:rsid w:val="00491AD0"/>
    <w:rPr>
      <w:rFonts w:ascii="Arial" w:hAnsi="Arial"/>
      <w:b/>
      <w:sz w:val="16"/>
    </w:rPr>
  </w:style>
  <w:style w:type="paragraph" w:customStyle="1" w:styleId="Abbreviation">
    <w:name w:val="Abbreviation"/>
    <w:basedOn w:val="BodyText"/>
    <w:rsid w:val="00491AD0"/>
    <w:pPr>
      <w:spacing w:before="120"/>
      <w:ind w:left="2381" w:hanging="2381"/>
      <w:jc w:val="left"/>
    </w:pPr>
  </w:style>
  <w:style w:type="paragraph" w:customStyle="1" w:styleId="Box">
    <w:name w:val="Box"/>
    <w:basedOn w:val="BodyText"/>
    <w:link w:val="BoxChar"/>
    <w:qFormat/>
    <w:rsid w:val="00491AD0"/>
    <w:pPr>
      <w:keepNext/>
      <w:spacing w:before="120" w:line="260" w:lineRule="atLeast"/>
    </w:pPr>
    <w:rPr>
      <w:rFonts w:ascii="Arial" w:hAnsi="Arial"/>
      <w:sz w:val="20"/>
    </w:rPr>
  </w:style>
  <w:style w:type="paragraph" w:customStyle="1" w:styleId="BoxContinued">
    <w:name w:val="Box Continued"/>
    <w:basedOn w:val="BodyText"/>
    <w:next w:val="BodyText"/>
    <w:semiHidden/>
    <w:rsid w:val="00491AD0"/>
    <w:pPr>
      <w:spacing w:before="180" w:line="220" w:lineRule="exact"/>
      <w:jc w:val="right"/>
    </w:pPr>
    <w:rPr>
      <w:rFonts w:ascii="Arial" w:hAnsi="Arial"/>
      <w:sz w:val="18"/>
    </w:rPr>
  </w:style>
  <w:style w:type="paragraph" w:customStyle="1" w:styleId="BoxHeading1">
    <w:name w:val="Box Heading 1"/>
    <w:basedOn w:val="BodyText"/>
    <w:next w:val="Box"/>
    <w:rsid w:val="00491AD0"/>
    <w:pPr>
      <w:keepNext/>
      <w:spacing w:before="200" w:line="280" w:lineRule="atLeast"/>
    </w:pPr>
    <w:rPr>
      <w:rFonts w:ascii="Arial" w:hAnsi="Arial"/>
      <w:b/>
      <w:sz w:val="22"/>
    </w:rPr>
  </w:style>
  <w:style w:type="paragraph" w:customStyle="1" w:styleId="BoxHeading2">
    <w:name w:val="Box Heading 2"/>
    <w:basedOn w:val="BoxHeading1"/>
    <w:next w:val="Normal"/>
    <w:rsid w:val="00491AD0"/>
    <w:rPr>
      <w:b w:val="0"/>
      <w:i/>
    </w:rPr>
  </w:style>
  <w:style w:type="paragraph" w:customStyle="1" w:styleId="BoxListBullet">
    <w:name w:val="Box List Bullet"/>
    <w:basedOn w:val="BodyText"/>
    <w:link w:val="BoxListBulletChar"/>
    <w:rsid w:val="00491AD0"/>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491AD0"/>
    <w:pPr>
      <w:numPr>
        <w:numId w:val="13"/>
      </w:numPr>
      <w:ind w:left="568" w:hanging="284"/>
    </w:pPr>
  </w:style>
  <w:style w:type="paragraph" w:customStyle="1" w:styleId="BoxListNumber">
    <w:name w:val="Box List Number"/>
    <w:basedOn w:val="BodyText"/>
    <w:rsid w:val="00491AD0"/>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491AD0"/>
    <w:pPr>
      <w:numPr>
        <w:ilvl w:val="1"/>
      </w:numPr>
      <w:ind w:left="681" w:hanging="397"/>
    </w:pPr>
  </w:style>
  <w:style w:type="paragraph" w:customStyle="1" w:styleId="BoxQuote">
    <w:name w:val="Box Quote"/>
    <w:basedOn w:val="BodyText"/>
    <w:next w:val="Box"/>
    <w:qFormat/>
    <w:rsid w:val="00491AD0"/>
    <w:pPr>
      <w:keepNext/>
      <w:spacing w:before="60" w:line="240" w:lineRule="exact"/>
      <w:ind w:left="284"/>
    </w:pPr>
    <w:rPr>
      <w:rFonts w:ascii="Arial" w:hAnsi="Arial"/>
      <w:sz w:val="18"/>
    </w:rPr>
  </w:style>
  <w:style w:type="paragraph" w:customStyle="1" w:styleId="Note">
    <w:name w:val="Note"/>
    <w:basedOn w:val="BodyText"/>
    <w:next w:val="BodyText"/>
    <w:rsid w:val="00491AD0"/>
    <w:pPr>
      <w:keepLines/>
      <w:spacing w:before="80" w:line="220" w:lineRule="exact"/>
    </w:pPr>
    <w:rPr>
      <w:rFonts w:ascii="Arial" w:hAnsi="Arial"/>
      <w:sz w:val="18"/>
    </w:rPr>
  </w:style>
  <w:style w:type="paragraph" w:customStyle="1" w:styleId="Source">
    <w:name w:val="Source"/>
    <w:basedOn w:val="Normal"/>
    <w:next w:val="BodyText"/>
    <w:rsid w:val="00491AD0"/>
    <w:pPr>
      <w:keepLines/>
      <w:spacing w:before="80" w:line="220" w:lineRule="exact"/>
      <w:jc w:val="both"/>
    </w:pPr>
    <w:rPr>
      <w:rFonts w:ascii="Arial" w:hAnsi="Arial"/>
      <w:sz w:val="18"/>
      <w:szCs w:val="20"/>
    </w:rPr>
  </w:style>
  <w:style w:type="paragraph" w:customStyle="1" w:styleId="BoxSource">
    <w:name w:val="Box Source"/>
    <w:basedOn w:val="Source"/>
    <w:next w:val="BodyText"/>
    <w:rsid w:val="00491AD0"/>
    <w:pPr>
      <w:spacing w:before="120"/>
    </w:pPr>
  </w:style>
  <w:style w:type="paragraph" w:customStyle="1" w:styleId="BoxSpaceAbove">
    <w:name w:val="Box Space Above"/>
    <w:basedOn w:val="BodyText"/>
    <w:rsid w:val="00491AD0"/>
    <w:pPr>
      <w:keepNext/>
      <w:spacing w:before="360" w:line="80" w:lineRule="exact"/>
      <w:jc w:val="left"/>
    </w:pPr>
  </w:style>
  <w:style w:type="paragraph" w:styleId="Caption">
    <w:name w:val="caption"/>
    <w:basedOn w:val="Normal"/>
    <w:next w:val="BodyText"/>
    <w:rsid w:val="00491AD0"/>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491AD0"/>
    <w:pPr>
      <w:spacing w:before="120" w:after="0"/>
    </w:pPr>
  </w:style>
  <w:style w:type="paragraph" w:customStyle="1" w:styleId="BoxSubtitle">
    <w:name w:val="Box Subtitle"/>
    <w:basedOn w:val="BoxTitle"/>
    <w:next w:val="Normal"/>
    <w:rsid w:val="00491AD0"/>
    <w:pPr>
      <w:spacing w:after="80" w:line="200" w:lineRule="exact"/>
      <w:ind w:firstLine="0"/>
    </w:pPr>
    <w:rPr>
      <w:b w:val="0"/>
      <w:sz w:val="20"/>
    </w:rPr>
  </w:style>
  <w:style w:type="paragraph" w:customStyle="1" w:styleId="Chapter">
    <w:name w:val="Chapter"/>
    <w:basedOn w:val="Heading1"/>
    <w:next w:val="BodyText"/>
    <w:semiHidden/>
    <w:rsid w:val="00491AD0"/>
    <w:pPr>
      <w:ind w:left="0" w:firstLine="0"/>
      <w:outlineLvl w:val="9"/>
    </w:pPr>
  </w:style>
  <w:style w:type="paragraph" w:customStyle="1" w:styleId="ChapterSummary">
    <w:name w:val="Chapter Summary"/>
    <w:basedOn w:val="BodyText"/>
    <w:rsid w:val="00491AD0"/>
    <w:pPr>
      <w:spacing w:line="280" w:lineRule="atLeast"/>
      <w:ind w:left="907"/>
    </w:pPr>
    <w:rPr>
      <w:rFonts w:ascii="Arial" w:hAnsi="Arial"/>
      <w:b/>
      <w:sz w:val="20"/>
    </w:rPr>
  </w:style>
  <w:style w:type="character" w:styleId="CommentReference">
    <w:name w:val="annotation reference"/>
    <w:basedOn w:val="DefaultParagraphFont"/>
    <w:semiHidden/>
    <w:rsid w:val="00491AD0"/>
    <w:rPr>
      <w:b/>
      <w:vanish/>
      <w:color w:val="FF00FF"/>
      <w:sz w:val="20"/>
    </w:rPr>
  </w:style>
  <w:style w:type="paragraph" w:styleId="CommentText">
    <w:name w:val="annotation text"/>
    <w:basedOn w:val="Normal"/>
    <w:link w:val="CommentTextChar"/>
    <w:semiHidden/>
    <w:rsid w:val="00491AD0"/>
    <w:pPr>
      <w:spacing w:before="120" w:line="240" w:lineRule="atLeast"/>
      <w:ind w:left="567" w:hanging="567"/>
    </w:pPr>
    <w:rPr>
      <w:sz w:val="20"/>
    </w:rPr>
  </w:style>
  <w:style w:type="character" w:customStyle="1" w:styleId="CommentTextChar">
    <w:name w:val="Comment Text Char"/>
    <w:basedOn w:val="DefaultParagraphFont"/>
    <w:link w:val="CommentText"/>
    <w:semiHidden/>
    <w:rsid w:val="00BE1923"/>
    <w:rPr>
      <w:rFonts w:ascii="Times New Roman" w:eastAsia="Times New Roman" w:hAnsi="Times New Roman" w:cs="Times New Roman"/>
      <w:sz w:val="20"/>
      <w:szCs w:val="24"/>
      <w:lang w:eastAsia="en-AU"/>
    </w:rPr>
  </w:style>
  <w:style w:type="paragraph" w:customStyle="1" w:styleId="Continued">
    <w:name w:val="Continued"/>
    <w:basedOn w:val="BoxContinued"/>
    <w:next w:val="BodyText"/>
    <w:rsid w:val="00491AD0"/>
  </w:style>
  <w:style w:type="character" w:customStyle="1" w:styleId="DocumentInfo">
    <w:name w:val="Document Info"/>
    <w:basedOn w:val="DefaultParagraphFont"/>
    <w:semiHidden/>
    <w:rsid w:val="00491AD0"/>
    <w:rPr>
      <w:rFonts w:ascii="Arial" w:hAnsi="Arial"/>
      <w:sz w:val="14"/>
    </w:rPr>
  </w:style>
  <w:style w:type="character" w:customStyle="1" w:styleId="DraftingNote">
    <w:name w:val="Drafting Note"/>
    <w:basedOn w:val="DefaultParagraphFont"/>
    <w:rsid w:val="00491AD0"/>
    <w:rPr>
      <w:b/>
      <w:color w:val="FF0000"/>
      <w:sz w:val="24"/>
      <w:u w:val="dotted"/>
    </w:rPr>
  </w:style>
  <w:style w:type="paragraph" w:customStyle="1" w:styleId="Figure">
    <w:name w:val="Figure"/>
    <w:basedOn w:val="BodyText"/>
    <w:rsid w:val="00491AD0"/>
    <w:pPr>
      <w:keepNext/>
      <w:spacing w:before="120" w:after="120" w:line="240" w:lineRule="atLeast"/>
      <w:jc w:val="center"/>
    </w:pPr>
  </w:style>
  <w:style w:type="paragraph" w:customStyle="1" w:styleId="FigureTitle">
    <w:name w:val="Figure Title"/>
    <w:basedOn w:val="Caption"/>
    <w:next w:val="Subtitle"/>
    <w:rsid w:val="00491AD0"/>
    <w:pPr>
      <w:spacing w:before="120"/>
    </w:pPr>
  </w:style>
  <w:style w:type="paragraph" w:styleId="Subtitle">
    <w:name w:val="Subtitle"/>
    <w:basedOn w:val="Caption"/>
    <w:link w:val="SubtitleChar"/>
    <w:qFormat/>
    <w:rsid w:val="00491AD0"/>
    <w:pPr>
      <w:spacing w:before="0" w:line="200" w:lineRule="exact"/>
      <w:ind w:firstLine="0"/>
    </w:pPr>
    <w:rPr>
      <w:b w:val="0"/>
      <w:sz w:val="20"/>
    </w:rPr>
  </w:style>
  <w:style w:type="character" w:customStyle="1" w:styleId="SubtitleChar">
    <w:name w:val="Subtitle Char"/>
    <w:basedOn w:val="DefaultParagraphFont"/>
    <w:link w:val="Subtitle"/>
    <w:rsid w:val="00491AD0"/>
    <w:rPr>
      <w:rFonts w:ascii="Arial" w:eastAsia="Times New Roman" w:hAnsi="Arial" w:cs="Times New Roman"/>
      <w:sz w:val="20"/>
      <w:szCs w:val="24"/>
      <w:lang w:eastAsia="en-AU"/>
    </w:rPr>
  </w:style>
  <w:style w:type="paragraph" w:customStyle="1" w:styleId="Finding">
    <w:name w:val="Finding"/>
    <w:basedOn w:val="BodyText"/>
    <w:rsid w:val="00491AD0"/>
    <w:pPr>
      <w:keepLines/>
      <w:spacing w:before="120" w:line="280" w:lineRule="atLeast"/>
    </w:pPr>
    <w:rPr>
      <w:rFonts w:ascii="Arial" w:hAnsi="Arial"/>
      <w:sz w:val="22"/>
    </w:rPr>
  </w:style>
  <w:style w:type="paragraph" w:customStyle="1" w:styleId="FindingBullet">
    <w:name w:val="Finding Bullet"/>
    <w:basedOn w:val="Finding"/>
    <w:rsid w:val="00491AD0"/>
    <w:pPr>
      <w:numPr>
        <w:numId w:val="15"/>
      </w:numPr>
      <w:spacing w:before="80"/>
    </w:pPr>
  </w:style>
  <w:style w:type="paragraph" w:customStyle="1" w:styleId="FindingNoTitle">
    <w:name w:val="Finding NoTitle"/>
    <w:basedOn w:val="Finding"/>
    <w:semiHidden/>
    <w:rsid w:val="00491AD0"/>
    <w:pPr>
      <w:spacing w:before="240"/>
    </w:pPr>
  </w:style>
  <w:style w:type="paragraph" w:customStyle="1" w:styleId="RecTitle">
    <w:name w:val="Rec Title"/>
    <w:basedOn w:val="BodyText"/>
    <w:next w:val="Rec"/>
    <w:qFormat/>
    <w:rsid w:val="00491AD0"/>
    <w:pPr>
      <w:keepNext/>
      <w:keepLines/>
      <w:spacing w:line="280" w:lineRule="atLeast"/>
    </w:pPr>
    <w:rPr>
      <w:rFonts w:ascii="Arial" w:hAnsi="Arial"/>
      <w:caps/>
      <w:sz w:val="18"/>
    </w:rPr>
  </w:style>
  <w:style w:type="paragraph" w:customStyle="1" w:styleId="FindingTitle">
    <w:name w:val="Finding Title"/>
    <w:basedOn w:val="RecTitle"/>
    <w:next w:val="Finding"/>
    <w:rsid w:val="00491AD0"/>
  </w:style>
  <w:style w:type="character" w:styleId="FootnoteReference">
    <w:name w:val="footnote reference"/>
    <w:basedOn w:val="DefaultParagraphFont"/>
    <w:semiHidden/>
    <w:rsid w:val="00491AD0"/>
    <w:rPr>
      <w:rFonts w:ascii="Times New Roman" w:hAnsi="Times New Roman"/>
      <w:position w:val="6"/>
      <w:sz w:val="20"/>
      <w:vertAlign w:val="baseline"/>
    </w:rPr>
  </w:style>
  <w:style w:type="paragraph" w:styleId="FootnoteText">
    <w:name w:val="footnote text"/>
    <w:basedOn w:val="BodyText"/>
    <w:link w:val="FootnoteTextChar"/>
    <w:rsid w:val="00491AD0"/>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BE1923"/>
    <w:rPr>
      <w:rFonts w:ascii="Times New Roman" w:eastAsia="Times New Roman" w:hAnsi="Times New Roman" w:cs="Times New Roman"/>
      <w:sz w:val="20"/>
      <w:szCs w:val="20"/>
      <w:lang w:eastAsia="en-AU"/>
    </w:rPr>
  </w:style>
  <w:style w:type="paragraph" w:customStyle="1" w:styleId="InformationRequest">
    <w:name w:val="Information Request"/>
    <w:basedOn w:val="Finding"/>
    <w:next w:val="BodyText"/>
    <w:rsid w:val="00491AD0"/>
    <w:rPr>
      <w:i/>
    </w:rPr>
  </w:style>
  <w:style w:type="paragraph" w:customStyle="1" w:styleId="Jurisdictioncommentsbodytext">
    <w:name w:val="Jurisdiction comments body text"/>
    <w:rsid w:val="00491AD0"/>
    <w:pPr>
      <w:spacing w:after="140" w:line="240" w:lineRule="auto"/>
      <w:jc w:val="both"/>
    </w:pPr>
    <w:rPr>
      <w:rFonts w:ascii="Arial" w:eastAsia="Times New Roman" w:hAnsi="Arial" w:cs="Times New Roman"/>
      <w:sz w:val="24"/>
      <w:szCs w:val="20"/>
    </w:rPr>
  </w:style>
  <w:style w:type="paragraph" w:customStyle="1" w:styleId="Jurisdictioncommentsheading">
    <w:name w:val="Jurisdiction comments heading"/>
    <w:rsid w:val="00491AD0"/>
    <w:pPr>
      <w:spacing w:after="140" w:line="320" w:lineRule="atLeast"/>
      <w:jc w:val="both"/>
    </w:pPr>
    <w:rPr>
      <w:rFonts w:ascii="Arial" w:eastAsia="Times New Roman" w:hAnsi="Arial" w:cs="Times New Roman"/>
      <w:b/>
      <w:sz w:val="24"/>
      <w:szCs w:val="20"/>
    </w:rPr>
  </w:style>
  <w:style w:type="paragraph" w:customStyle="1" w:styleId="Jurisdictioncommentslistbullet">
    <w:name w:val="Jurisdiction comments list bullet"/>
    <w:rsid w:val="00491AD0"/>
    <w:pPr>
      <w:numPr>
        <w:numId w:val="2"/>
      </w:numPr>
      <w:spacing w:after="140" w:line="240" w:lineRule="auto"/>
      <w:jc w:val="both"/>
    </w:pPr>
    <w:rPr>
      <w:rFonts w:ascii="Arial" w:eastAsia="Times New Roman" w:hAnsi="Arial" w:cs="Times New Roman"/>
      <w:sz w:val="24"/>
      <w:szCs w:val="20"/>
    </w:rPr>
  </w:style>
  <w:style w:type="paragraph" w:styleId="ListBullet">
    <w:name w:val="List Bullet"/>
    <w:basedOn w:val="BodyText"/>
    <w:link w:val="ListBulletChar"/>
    <w:rsid w:val="00491AD0"/>
    <w:pPr>
      <w:numPr>
        <w:numId w:val="3"/>
      </w:numPr>
      <w:spacing w:before="120"/>
    </w:pPr>
  </w:style>
  <w:style w:type="paragraph" w:styleId="ListBullet2">
    <w:name w:val="List Bullet 2"/>
    <w:basedOn w:val="BodyText"/>
    <w:rsid w:val="00491AD0"/>
    <w:pPr>
      <w:numPr>
        <w:numId w:val="4"/>
      </w:numPr>
      <w:spacing w:before="120"/>
    </w:pPr>
  </w:style>
  <w:style w:type="paragraph" w:styleId="ListBullet3">
    <w:name w:val="List Bullet 3"/>
    <w:basedOn w:val="BodyText"/>
    <w:rsid w:val="00491AD0"/>
    <w:pPr>
      <w:numPr>
        <w:numId w:val="5"/>
      </w:numPr>
      <w:spacing w:before="120"/>
      <w:ind w:left="1020" w:hanging="340"/>
    </w:pPr>
  </w:style>
  <w:style w:type="paragraph" w:styleId="ListNumber">
    <w:name w:val="List Number"/>
    <w:basedOn w:val="BodyText"/>
    <w:rsid w:val="00491AD0"/>
    <w:pPr>
      <w:numPr>
        <w:numId w:val="9"/>
      </w:numPr>
      <w:spacing w:before="120"/>
    </w:pPr>
  </w:style>
  <w:style w:type="paragraph" w:styleId="ListNumber2">
    <w:name w:val="List Number 2"/>
    <w:basedOn w:val="ListNumber"/>
    <w:rsid w:val="00491AD0"/>
    <w:pPr>
      <w:numPr>
        <w:ilvl w:val="1"/>
      </w:numPr>
    </w:pPr>
  </w:style>
  <w:style w:type="paragraph" w:styleId="ListNumber3">
    <w:name w:val="List Number 3"/>
    <w:basedOn w:val="ListNumber2"/>
    <w:rsid w:val="00491AD0"/>
    <w:pPr>
      <w:numPr>
        <w:ilvl w:val="2"/>
      </w:numPr>
    </w:pPr>
  </w:style>
  <w:style w:type="character" w:customStyle="1" w:styleId="NoteLabel">
    <w:name w:val="Note Label"/>
    <w:basedOn w:val="DefaultParagraphFont"/>
    <w:rsid w:val="00491AD0"/>
    <w:rPr>
      <w:rFonts w:ascii="Arial" w:hAnsi="Arial"/>
      <w:b/>
      <w:position w:val="6"/>
      <w:sz w:val="18"/>
    </w:rPr>
  </w:style>
  <w:style w:type="paragraph" w:customStyle="1" w:styleId="PartDivider">
    <w:name w:val="Part Divider"/>
    <w:basedOn w:val="BodyText"/>
    <w:next w:val="BodyText"/>
    <w:semiHidden/>
    <w:rsid w:val="00491AD0"/>
    <w:pPr>
      <w:spacing w:before="0" w:line="40" w:lineRule="exact"/>
      <w:jc w:val="right"/>
    </w:pPr>
    <w:rPr>
      <w:smallCaps/>
      <w:sz w:val="16"/>
    </w:rPr>
  </w:style>
  <w:style w:type="paragraph" w:customStyle="1" w:styleId="PartNumber">
    <w:name w:val="Part Number"/>
    <w:basedOn w:val="BodyText"/>
    <w:next w:val="BodyText"/>
    <w:semiHidden/>
    <w:rsid w:val="00491AD0"/>
    <w:pPr>
      <w:spacing w:before="4000" w:line="320" w:lineRule="exact"/>
      <w:ind w:left="6634"/>
      <w:jc w:val="right"/>
    </w:pPr>
    <w:rPr>
      <w:smallCaps/>
      <w:spacing w:val="60"/>
      <w:sz w:val="32"/>
    </w:rPr>
  </w:style>
  <w:style w:type="paragraph" w:customStyle="1" w:styleId="PartTitle">
    <w:name w:val="Part Title"/>
    <w:basedOn w:val="BodyText"/>
    <w:semiHidden/>
    <w:rsid w:val="00491AD0"/>
    <w:pPr>
      <w:spacing w:before="160" w:after="1360" w:line="520" w:lineRule="exact"/>
      <w:ind w:right="2381"/>
      <w:jc w:val="right"/>
    </w:pPr>
    <w:rPr>
      <w:smallCaps/>
      <w:sz w:val="52"/>
    </w:rPr>
  </w:style>
  <w:style w:type="paragraph" w:styleId="Quote">
    <w:name w:val="Quote"/>
    <w:basedOn w:val="BodyText"/>
    <w:next w:val="BodyText"/>
    <w:link w:val="QuoteChar"/>
    <w:qFormat/>
    <w:rsid w:val="00491AD0"/>
    <w:pPr>
      <w:spacing w:before="120" w:line="280" w:lineRule="exact"/>
      <w:ind w:left="340"/>
    </w:pPr>
    <w:rPr>
      <w:sz w:val="22"/>
    </w:rPr>
  </w:style>
  <w:style w:type="character" w:customStyle="1" w:styleId="QuoteChar">
    <w:name w:val="Quote Char"/>
    <w:basedOn w:val="DefaultParagraphFont"/>
    <w:link w:val="Quote"/>
    <w:rsid w:val="00BE1923"/>
    <w:rPr>
      <w:rFonts w:ascii="Times New Roman" w:eastAsia="Times New Roman" w:hAnsi="Times New Roman" w:cs="Times New Roman"/>
      <w:szCs w:val="20"/>
      <w:lang w:eastAsia="en-AU"/>
    </w:rPr>
  </w:style>
  <w:style w:type="paragraph" w:customStyle="1" w:styleId="QuoteBullet">
    <w:name w:val="Quote Bullet"/>
    <w:basedOn w:val="Quote"/>
    <w:rsid w:val="00491AD0"/>
    <w:pPr>
      <w:numPr>
        <w:numId w:val="6"/>
      </w:numPr>
    </w:pPr>
  </w:style>
  <w:style w:type="paragraph" w:customStyle="1" w:styleId="Rec">
    <w:name w:val="Rec"/>
    <w:basedOn w:val="BodyText"/>
    <w:qFormat/>
    <w:rsid w:val="00491AD0"/>
    <w:pPr>
      <w:keepLines/>
      <w:spacing w:before="120" w:line="280" w:lineRule="atLeast"/>
    </w:pPr>
    <w:rPr>
      <w:rFonts w:ascii="Arial" w:hAnsi="Arial"/>
      <w:sz w:val="22"/>
    </w:rPr>
  </w:style>
  <w:style w:type="paragraph" w:customStyle="1" w:styleId="RecBullet">
    <w:name w:val="Rec Bullet"/>
    <w:basedOn w:val="Rec"/>
    <w:rsid w:val="00491AD0"/>
    <w:pPr>
      <w:numPr>
        <w:numId w:val="17"/>
      </w:numPr>
      <w:spacing w:before="80"/>
    </w:pPr>
  </w:style>
  <w:style w:type="paragraph" w:customStyle="1" w:styleId="RecB">
    <w:name w:val="RecB"/>
    <w:basedOn w:val="Normal"/>
    <w:semiHidden/>
    <w:rsid w:val="00491AD0"/>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491AD0"/>
    <w:pPr>
      <w:numPr>
        <w:numId w:val="11"/>
      </w:numPr>
      <w:spacing w:before="80"/>
    </w:pPr>
  </w:style>
  <w:style w:type="paragraph" w:customStyle="1" w:styleId="RecBNoTitle">
    <w:name w:val="RecB NoTitle"/>
    <w:basedOn w:val="RecB"/>
    <w:semiHidden/>
    <w:rsid w:val="00491AD0"/>
    <w:pPr>
      <w:spacing w:before="240"/>
    </w:pPr>
  </w:style>
  <w:style w:type="paragraph" w:customStyle="1" w:styleId="Reference">
    <w:name w:val="Reference"/>
    <w:basedOn w:val="BodyText"/>
    <w:rsid w:val="00491AD0"/>
    <w:pPr>
      <w:spacing w:before="120"/>
      <w:ind w:left="340" w:hanging="340"/>
    </w:pPr>
  </w:style>
  <w:style w:type="paragraph" w:customStyle="1" w:styleId="SequenceInfo">
    <w:name w:val="Sequence Info"/>
    <w:basedOn w:val="BodyText"/>
    <w:semiHidden/>
    <w:rsid w:val="00491AD0"/>
    <w:rPr>
      <w:vanish/>
      <w:sz w:val="16"/>
    </w:rPr>
  </w:style>
  <w:style w:type="paragraph" w:customStyle="1" w:styleId="SideNote">
    <w:name w:val="Side Note"/>
    <w:basedOn w:val="BodyText"/>
    <w:next w:val="BodyText"/>
    <w:semiHidden/>
    <w:rsid w:val="00491AD0"/>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491AD0"/>
    <w:pPr>
      <w:framePr w:wrap="around"/>
      <w:numPr>
        <w:numId w:val="7"/>
      </w:numPr>
      <w:tabs>
        <w:tab w:val="left" w:pos="227"/>
      </w:tabs>
    </w:pPr>
  </w:style>
  <w:style w:type="paragraph" w:customStyle="1" w:styleId="SideNoteGraphic">
    <w:name w:val="Side Note Graphic"/>
    <w:basedOn w:val="SideNote"/>
    <w:next w:val="BodyText"/>
    <w:semiHidden/>
    <w:rsid w:val="00491AD0"/>
    <w:pPr>
      <w:framePr w:wrap="around"/>
    </w:pPr>
  </w:style>
  <w:style w:type="paragraph" w:customStyle="1" w:styleId="TableBodyText">
    <w:name w:val="Table Body Text"/>
    <w:basedOn w:val="BodyText"/>
    <w:link w:val="TableBodyTextChar"/>
    <w:rsid w:val="00491AD0"/>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491AD0"/>
    <w:pPr>
      <w:numPr>
        <w:numId w:val="8"/>
      </w:numPr>
      <w:jc w:val="left"/>
    </w:pPr>
  </w:style>
  <w:style w:type="paragraph" w:customStyle="1" w:styleId="TableColumnHeading">
    <w:name w:val="Table Column Heading"/>
    <w:basedOn w:val="TableBodyText"/>
    <w:rsid w:val="00491AD0"/>
    <w:pPr>
      <w:spacing w:before="80" w:after="80"/>
    </w:pPr>
    <w:rPr>
      <w:i/>
    </w:rPr>
  </w:style>
  <w:style w:type="paragraph" w:styleId="TOC2">
    <w:name w:val="toc 2"/>
    <w:basedOn w:val="TOC1"/>
    <w:rsid w:val="00491AD0"/>
    <w:pPr>
      <w:ind w:left="1134" w:hanging="624"/>
    </w:pPr>
    <w:rPr>
      <w:b w:val="0"/>
    </w:rPr>
  </w:style>
  <w:style w:type="paragraph" w:styleId="TOC3">
    <w:name w:val="toc 3"/>
    <w:basedOn w:val="TOC2"/>
    <w:rsid w:val="00491AD0"/>
    <w:pPr>
      <w:spacing w:before="60"/>
      <w:ind w:left="1190" w:hanging="680"/>
    </w:pPr>
  </w:style>
  <w:style w:type="paragraph" w:styleId="TableofFigures">
    <w:name w:val="table of figures"/>
    <w:basedOn w:val="TOC3"/>
    <w:next w:val="BodyText"/>
    <w:semiHidden/>
    <w:rsid w:val="00491AD0"/>
    <w:pPr>
      <w:ind w:left="737" w:hanging="737"/>
    </w:pPr>
  </w:style>
  <w:style w:type="paragraph" w:customStyle="1" w:styleId="TableTitle">
    <w:name w:val="Table Title"/>
    <w:basedOn w:val="Caption"/>
    <w:next w:val="Subtitle"/>
    <w:qFormat/>
    <w:rsid w:val="00491AD0"/>
    <w:pPr>
      <w:spacing w:before="120"/>
    </w:pPr>
  </w:style>
  <w:style w:type="paragraph" w:customStyle="1" w:styleId="TableUnitsRow">
    <w:name w:val="Table Units Row"/>
    <w:basedOn w:val="TableBodyText"/>
    <w:rsid w:val="00491AD0"/>
    <w:pPr>
      <w:spacing w:before="40"/>
    </w:pPr>
  </w:style>
  <w:style w:type="paragraph" w:styleId="TOC1">
    <w:name w:val="toc 1"/>
    <w:basedOn w:val="Normal"/>
    <w:next w:val="TOC2"/>
    <w:link w:val="TOC1Char"/>
    <w:rsid w:val="00491AD0"/>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491AD0"/>
    <w:pPr>
      <w:ind w:left="1191" w:firstLine="0"/>
    </w:pPr>
  </w:style>
  <w:style w:type="paragraph" w:customStyle="1" w:styleId="RecBBullet2">
    <w:name w:val="RecB Bullet 2"/>
    <w:basedOn w:val="ListBullet2"/>
    <w:semiHidden/>
    <w:rsid w:val="00491AD0"/>
    <w:pPr>
      <w:pBdr>
        <w:left w:val="single" w:sz="24" w:space="29" w:color="C0C0C0"/>
      </w:pBdr>
    </w:pPr>
    <w:rPr>
      <w:b/>
      <w:i/>
    </w:rPr>
  </w:style>
  <w:style w:type="paragraph" w:styleId="BalloonText">
    <w:name w:val="Balloon Text"/>
    <w:basedOn w:val="Normal"/>
    <w:link w:val="BalloonTextChar"/>
    <w:rsid w:val="00491AD0"/>
    <w:rPr>
      <w:rFonts w:ascii="Tahoma" w:hAnsi="Tahoma" w:cs="Tahoma"/>
      <w:sz w:val="16"/>
      <w:szCs w:val="16"/>
    </w:rPr>
  </w:style>
  <w:style w:type="character" w:customStyle="1" w:styleId="BalloonTextChar">
    <w:name w:val="Balloon Text Char"/>
    <w:basedOn w:val="DefaultParagraphFont"/>
    <w:link w:val="BalloonText"/>
    <w:rsid w:val="00491AD0"/>
    <w:rPr>
      <w:rFonts w:ascii="Tahoma" w:eastAsia="Times New Roman" w:hAnsi="Tahoma" w:cs="Tahoma"/>
      <w:sz w:val="16"/>
      <w:szCs w:val="16"/>
      <w:lang w:eastAsia="en-AU"/>
    </w:rPr>
  </w:style>
  <w:style w:type="paragraph" w:customStyle="1" w:styleId="BoxListBullet3">
    <w:name w:val="Box List Bullet 3"/>
    <w:basedOn w:val="ListBullet3"/>
    <w:rsid w:val="00491AD0"/>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491AD0"/>
    <w:rPr>
      <w:i/>
      <w:iCs/>
    </w:rPr>
  </w:style>
  <w:style w:type="paragraph" w:customStyle="1" w:styleId="BoxQuoteBullet">
    <w:name w:val="Box Quote Bullet"/>
    <w:basedOn w:val="BoxQuote"/>
    <w:next w:val="Box"/>
    <w:rsid w:val="00491AD0"/>
    <w:pPr>
      <w:numPr>
        <w:numId w:val="12"/>
      </w:numPr>
      <w:ind w:left="568" w:hanging="284"/>
    </w:pPr>
  </w:style>
  <w:style w:type="paragraph" w:customStyle="1" w:styleId="InformationRequestBullet">
    <w:name w:val="Information Request Bullet"/>
    <w:basedOn w:val="ListBullet"/>
    <w:next w:val="BodyText"/>
    <w:rsid w:val="00491AD0"/>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491AD0"/>
    <w:pPr>
      <w:keepNext w:val="0"/>
      <w:spacing w:before="60" w:after="60" w:line="80" w:lineRule="exact"/>
    </w:pPr>
    <w:rPr>
      <w:sz w:val="14"/>
    </w:rPr>
  </w:style>
  <w:style w:type="paragraph" w:customStyle="1" w:styleId="KeyPointsListBullet">
    <w:name w:val="Key Points List Bullet"/>
    <w:basedOn w:val="Normal"/>
    <w:qFormat/>
    <w:rsid w:val="00491AD0"/>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91AD0"/>
    <w:pPr>
      <w:numPr>
        <w:numId w:val="21"/>
      </w:numPr>
      <w:ind w:left="568" w:hanging="284"/>
    </w:pPr>
  </w:style>
  <w:style w:type="paragraph" w:customStyle="1" w:styleId="InformationRequestTitle">
    <w:name w:val="Information Request Title"/>
    <w:basedOn w:val="FindingTitle"/>
    <w:next w:val="InformationRequest"/>
    <w:rsid w:val="00491AD0"/>
    <w:rPr>
      <w:i/>
    </w:rPr>
  </w:style>
  <w:style w:type="paragraph" w:customStyle="1" w:styleId="Space">
    <w:name w:val="Space"/>
    <w:basedOn w:val="Normal"/>
    <w:rsid w:val="00491AD0"/>
    <w:pPr>
      <w:keepNext/>
      <w:spacing w:line="120" w:lineRule="exact"/>
      <w:jc w:val="both"/>
    </w:pPr>
    <w:rPr>
      <w:rFonts w:ascii="Arial" w:hAnsi="Arial"/>
      <w:sz w:val="20"/>
      <w:szCs w:val="20"/>
    </w:rPr>
  </w:style>
  <w:style w:type="paragraph" w:customStyle="1" w:styleId="Heading1nochapterno">
    <w:name w:val="Heading 1 (no chapter no.)"/>
    <w:basedOn w:val="Heading1"/>
    <w:rsid w:val="00491AD0"/>
    <w:pPr>
      <w:spacing w:before="0"/>
      <w:ind w:left="0" w:firstLine="0"/>
    </w:pPr>
  </w:style>
  <w:style w:type="paragraph" w:customStyle="1" w:styleId="Heading2nosectionno">
    <w:name w:val="Heading 2 (no section no.)"/>
    <w:basedOn w:val="Heading2"/>
    <w:rsid w:val="00491AD0"/>
    <w:pPr>
      <w:ind w:left="0" w:firstLine="0"/>
    </w:pPr>
  </w:style>
  <w:style w:type="paragraph" w:customStyle="1" w:styleId="Figurespace">
    <w:name w:val="Figure space"/>
    <w:basedOn w:val="Box"/>
    <w:rsid w:val="00491AD0"/>
    <w:pPr>
      <w:spacing w:before="0" w:line="120" w:lineRule="exact"/>
    </w:pPr>
  </w:style>
  <w:style w:type="paragraph" w:customStyle="1" w:styleId="FooterDraftReport">
    <w:name w:val="FooterDraftReport"/>
    <w:basedOn w:val="Footer"/>
    <w:link w:val="FooterDraftReportChar"/>
    <w:rsid w:val="00491AD0"/>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491AD0"/>
    <w:rPr>
      <w:rFonts w:ascii="Arial" w:eastAsia="Times New Roman" w:hAnsi="Arial" w:cs="Arial"/>
      <w:caps/>
      <w:color w:val="808080"/>
      <w:spacing w:val="-4"/>
      <w:sz w:val="16"/>
      <w:szCs w:val="20"/>
      <w:lang w:eastAsia="en-AU"/>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491AD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491AD0"/>
    <w:rPr>
      <w:rFonts w:ascii="Arial" w:eastAsia="Times New Roman" w:hAnsi="Arial" w:cs="Times New Roman"/>
      <w:b/>
      <w:sz w:val="26"/>
      <w:szCs w:val="26"/>
    </w:rPr>
  </w:style>
  <w:style w:type="character" w:customStyle="1" w:styleId="Continuedintitle">
    <w:name w:val="Continued (in title)"/>
    <w:basedOn w:val="DefaultParagraphFont"/>
    <w:rsid w:val="00491AD0"/>
    <w:rPr>
      <w:rFonts w:ascii="Arial" w:hAnsi="Arial"/>
      <w:b/>
      <w:sz w:val="18"/>
    </w:rPr>
  </w:style>
  <w:style w:type="character" w:styleId="Hyperlink">
    <w:name w:val="Hyperlink"/>
    <w:basedOn w:val="DefaultParagraphFont"/>
    <w:rsid w:val="00337D3B"/>
    <w:rPr>
      <w:color w:val="0563C1" w:themeColor="hyperlink"/>
      <w:u w:val="single"/>
    </w:rPr>
  </w:style>
  <w:style w:type="character" w:customStyle="1" w:styleId="ListBulletChar">
    <w:name w:val="List Bullet Char"/>
    <w:basedOn w:val="BodyTextChar"/>
    <w:link w:val="ListBullet"/>
    <w:rsid w:val="00337D3B"/>
    <w:rPr>
      <w:rFonts w:ascii="Times New Roman" w:eastAsia="Times New Roman" w:hAnsi="Times New Roman" w:cs="Times New Roman"/>
      <w:sz w:val="24"/>
      <w:szCs w:val="20"/>
      <w:lang w:eastAsia="en-AU"/>
    </w:rPr>
  </w:style>
  <w:style w:type="character" w:customStyle="1" w:styleId="BoxChar">
    <w:name w:val="Box Char"/>
    <w:link w:val="Box"/>
    <w:rsid w:val="00337D3B"/>
    <w:rPr>
      <w:rFonts w:ascii="Arial" w:eastAsia="Times New Roman" w:hAnsi="Arial" w:cs="Times New Roman"/>
      <w:sz w:val="20"/>
      <w:szCs w:val="20"/>
      <w:lang w:eastAsia="en-AU"/>
    </w:rPr>
  </w:style>
  <w:style w:type="character" w:customStyle="1" w:styleId="BoxListBulletChar">
    <w:name w:val="Box List Bullet Char"/>
    <w:link w:val="BoxListBullet"/>
    <w:rsid w:val="00337D3B"/>
    <w:rPr>
      <w:rFonts w:ascii="Arial" w:eastAsia="Times New Roman" w:hAnsi="Arial" w:cs="Times New Roman"/>
      <w:sz w:val="20"/>
      <w:szCs w:val="20"/>
      <w:lang w:eastAsia="en-AU"/>
    </w:rPr>
  </w:style>
  <w:style w:type="character" w:customStyle="1" w:styleId="TableBodyTextChar">
    <w:name w:val="Table Body Text Char"/>
    <w:link w:val="TableBodyText"/>
    <w:rsid w:val="00337D3B"/>
    <w:rPr>
      <w:rFonts w:ascii="Arial" w:eastAsia="Times New Roman" w:hAnsi="Arial" w:cs="Times New Roman"/>
      <w:sz w:val="18"/>
      <w:szCs w:val="20"/>
      <w:lang w:eastAsia="en-AU"/>
    </w:rPr>
  </w:style>
  <w:style w:type="paragraph" w:styleId="CommentSubject">
    <w:name w:val="annotation subject"/>
    <w:basedOn w:val="CommentText"/>
    <w:next w:val="CommentText"/>
    <w:link w:val="CommentSubjectChar"/>
    <w:semiHidden/>
    <w:unhideWhenUsed/>
    <w:rsid w:val="00337D3B"/>
    <w:pPr>
      <w:spacing w:before="0" w:line="240" w:lineRule="auto"/>
      <w:ind w:left="0" w:firstLine="0"/>
    </w:pPr>
    <w:rPr>
      <w:b/>
      <w:bCs/>
      <w:szCs w:val="20"/>
    </w:rPr>
  </w:style>
  <w:style w:type="character" w:customStyle="1" w:styleId="CommentSubjectChar">
    <w:name w:val="Comment Subject Char"/>
    <w:basedOn w:val="CommentTextChar"/>
    <w:link w:val="CommentSubject"/>
    <w:semiHidden/>
    <w:rsid w:val="00337D3B"/>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649297">
      <w:bodyDiv w:val="1"/>
      <w:marLeft w:val="0"/>
      <w:marRight w:val="0"/>
      <w:marTop w:val="0"/>
      <w:marBottom w:val="0"/>
      <w:divBdr>
        <w:top w:val="none" w:sz="0" w:space="0" w:color="auto"/>
        <w:left w:val="none" w:sz="0" w:space="0" w:color="auto"/>
        <w:bottom w:val="none" w:sz="0" w:space="0" w:color="auto"/>
        <w:right w:val="none" w:sz="0" w:space="0" w:color="auto"/>
      </w:divBdr>
    </w:div>
    <w:div w:id="524179042">
      <w:bodyDiv w:val="1"/>
      <w:marLeft w:val="0"/>
      <w:marRight w:val="0"/>
      <w:marTop w:val="0"/>
      <w:marBottom w:val="0"/>
      <w:divBdr>
        <w:top w:val="none" w:sz="0" w:space="0" w:color="auto"/>
        <w:left w:val="none" w:sz="0" w:space="0" w:color="auto"/>
        <w:bottom w:val="none" w:sz="0" w:space="0" w:color="auto"/>
        <w:right w:val="none" w:sz="0" w:space="0" w:color="auto"/>
      </w:divBdr>
    </w:div>
    <w:div w:id="1221939309">
      <w:bodyDiv w:val="1"/>
      <w:marLeft w:val="0"/>
      <w:marRight w:val="0"/>
      <w:marTop w:val="0"/>
      <w:marBottom w:val="0"/>
      <w:divBdr>
        <w:top w:val="none" w:sz="0" w:space="0" w:color="auto"/>
        <w:left w:val="none" w:sz="0" w:space="0" w:color="auto"/>
        <w:bottom w:val="none" w:sz="0" w:space="0" w:color="auto"/>
        <w:right w:val="none" w:sz="0" w:space="0" w:color="auto"/>
      </w:divBdr>
    </w:div>
    <w:div w:id="1408378773">
      <w:bodyDiv w:val="1"/>
      <w:marLeft w:val="0"/>
      <w:marRight w:val="0"/>
      <w:marTop w:val="0"/>
      <w:marBottom w:val="0"/>
      <w:divBdr>
        <w:top w:val="none" w:sz="0" w:space="0" w:color="auto"/>
        <w:left w:val="none" w:sz="0" w:space="0" w:color="auto"/>
        <w:bottom w:val="none" w:sz="0" w:space="0" w:color="auto"/>
        <w:right w:val="none" w:sz="0" w:space="0" w:color="auto"/>
      </w:divBdr>
    </w:div>
    <w:div w:id="196707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emf"/><Relationship Id="rId19" Type="http://schemas.openxmlformats.org/officeDocument/2006/relationships/image" Target="media/image12.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eader" Target="header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EBA77-315C-4B5E-A620-01FF80AA5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142</TotalTime>
  <Pages>38</Pages>
  <Words>8145</Words>
  <Characters>46429</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Chapter 6 Police Services - Report on Government Services 2019</vt:lpstr>
    </vt:vector>
  </TitlesOfParts>
  <Manager/>
  <Company>Productivity Commission</Company>
  <LinksUpToDate>false</LinksUpToDate>
  <CharactersWithSpaces>54466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6 Police Services - Report on Government Services 2019</dc:title>
  <dc:subject/>
  <dc:creator>Steering Committee for the Review of Government Service Provision</dc:creator>
  <cp:keywords/>
  <dc:description/>
  <cp:lastModifiedBy>Frech, Tanya</cp:lastModifiedBy>
  <cp:revision>38</cp:revision>
  <cp:lastPrinted>2018-12-12T04:41:00Z</cp:lastPrinted>
  <dcterms:created xsi:type="dcterms:W3CDTF">2018-11-26T23:08:00Z</dcterms:created>
  <dcterms:modified xsi:type="dcterms:W3CDTF">2019-01-24T01:58:00Z</dcterms:modified>
</cp:coreProperties>
</file>