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A8D0" w14:textId="181A0028" w:rsidR="00061391" w:rsidRDefault="00684C30" w:rsidP="00770430">
      <w:pPr>
        <w:pStyle w:val="Heading1"/>
      </w:pPr>
      <w:bookmarkStart w:id="0" w:name="ChapterNumber"/>
      <w:bookmarkStart w:id="1" w:name="_Toc260665287"/>
      <w:bookmarkStart w:id="2" w:name="_Toc275945519"/>
      <w:bookmarkStart w:id="3" w:name="_Toc278127508"/>
      <w:bookmarkStart w:id="4" w:name="_Toc282502378"/>
      <w:bookmarkStart w:id="5" w:name="_Toc313462301"/>
      <w:bookmarkStart w:id="6" w:name="_Toc345416480"/>
      <w:bookmarkStart w:id="7" w:name="_Toc355353083"/>
      <w:bookmarkStart w:id="8" w:name="_Toc369851909"/>
      <w:bookmarkStart w:id="9" w:name="_Toc396221938"/>
      <w:bookmarkStart w:id="10" w:name="_Toc396222177"/>
      <w:bookmarkStart w:id="11" w:name="_Toc401918671"/>
      <w:bookmarkStart w:id="12" w:name="_Toc432581223"/>
      <w:bookmarkStart w:id="13" w:name="_Toc464459205"/>
      <w:bookmarkStart w:id="14" w:name="_Toc464464918"/>
      <w:bookmarkStart w:id="15" w:name="_Toc494980928"/>
      <w:bookmarkStart w:id="16" w:name="_Toc524611004"/>
      <w:r>
        <w:t>16</w:t>
      </w:r>
      <w:bookmarkEnd w:id="0"/>
      <w:r w:rsidR="00D53A87" w:rsidRPr="00033816">
        <w:tab/>
      </w:r>
      <w:r w:rsidR="00163654" w:rsidRPr="00033816">
        <w:t xml:space="preserve">Child protection </w:t>
      </w:r>
      <w:r w:rsidR="00F023D8" w:rsidRPr="00033816">
        <w:t>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dt>
      <w:sdtPr>
        <w:rPr>
          <w:rFonts w:ascii="Times New Roman" w:hAnsi="Times New Roman"/>
          <w:b w:val="0"/>
          <w:kern w:val="28"/>
          <w:sz w:val="52"/>
          <w:szCs w:val="20"/>
          <w:lang w:eastAsia="en-AU"/>
        </w:rPr>
        <w:id w:val="-489861134"/>
        <w:docPartObj>
          <w:docPartGallery w:val="Table of Contents"/>
          <w:docPartUnique/>
        </w:docPartObj>
      </w:sdtPr>
      <w:sdtEndPr>
        <w:rPr>
          <w:kern w:val="0"/>
          <w:sz w:val="24"/>
        </w:rPr>
      </w:sdtEndPr>
      <w:sdtContent>
        <w:p w14:paraId="7DC9DD0E" w14:textId="6AC93D51" w:rsidR="000C5B84" w:rsidRDefault="000C5B84" w:rsidP="00770430">
          <w:pPr>
            <w:pStyle w:val="TOC1"/>
            <w:rPr>
              <w:rFonts w:asciiTheme="minorHAnsi" w:eastAsiaTheme="minorEastAsia" w:hAnsiTheme="minorHAnsi" w:cstheme="minorBidi"/>
              <w:b w:val="0"/>
              <w:noProof/>
              <w:sz w:val="22"/>
              <w:szCs w:val="22"/>
              <w:lang w:eastAsia="en-AU"/>
            </w:rPr>
          </w:pPr>
        </w:p>
        <w:p w14:paraId="4432576C" w14:textId="5472388D" w:rsidR="000C5B84" w:rsidRDefault="000C5B84" w:rsidP="00770430">
          <w:pPr>
            <w:pStyle w:val="TOC2"/>
            <w:tabs>
              <w:tab w:val="left" w:pos="1320"/>
            </w:tabs>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Profile of child protection services</w:t>
          </w:r>
          <w:r>
            <w:rPr>
              <w:noProof/>
            </w:rPr>
            <w:tab/>
            <w:t>16.</w:t>
          </w:r>
          <w:r w:rsidR="00A00889">
            <w:rPr>
              <w:noProof/>
            </w:rPr>
            <w:t>1</w:t>
          </w:r>
        </w:p>
        <w:p w14:paraId="5A50B575" w14:textId="3D224084" w:rsidR="000C5B84" w:rsidRDefault="000C5B84" w:rsidP="00770430">
          <w:pPr>
            <w:pStyle w:val="TOC2"/>
            <w:tabs>
              <w:tab w:val="left" w:pos="1320"/>
            </w:tabs>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Framework of performance indicators</w:t>
          </w:r>
          <w:r>
            <w:rPr>
              <w:noProof/>
            </w:rPr>
            <w:tab/>
            <w:t>16.</w:t>
          </w:r>
          <w:r w:rsidR="00A00889">
            <w:rPr>
              <w:noProof/>
            </w:rPr>
            <w:t>5</w:t>
          </w:r>
        </w:p>
        <w:p w14:paraId="654E2092" w14:textId="024559B4" w:rsidR="000C5B84" w:rsidRDefault="000C5B84" w:rsidP="00770430">
          <w:pPr>
            <w:pStyle w:val="TOC2"/>
            <w:tabs>
              <w:tab w:val="left" w:pos="1320"/>
            </w:tabs>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Key performance indicator results</w:t>
          </w:r>
          <w:r>
            <w:rPr>
              <w:noProof/>
            </w:rPr>
            <w:tab/>
            <w:t>16.</w:t>
          </w:r>
          <w:r w:rsidR="00A00889">
            <w:rPr>
              <w:noProof/>
            </w:rPr>
            <w:t>6</w:t>
          </w:r>
        </w:p>
        <w:p w14:paraId="01445D6E" w14:textId="5D2D9D35" w:rsidR="000C5B84" w:rsidRDefault="000C5B84" w:rsidP="00770430">
          <w:pPr>
            <w:pStyle w:val="TOC2"/>
            <w:tabs>
              <w:tab w:val="left" w:pos="1320"/>
            </w:tabs>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Definitions of key terms</w:t>
          </w:r>
          <w:r>
            <w:rPr>
              <w:noProof/>
            </w:rPr>
            <w:tab/>
            <w:t>16.</w:t>
          </w:r>
          <w:r w:rsidR="00A00889">
            <w:rPr>
              <w:noProof/>
            </w:rPr>
            <w:t>3</w:t>
          </w:r>
          <w:r w:rsidR="0086152F">
            <w:rPr>
              <w:noProof/>
            </w:rPr>
            <w:t>4</w:t>
          </w:r>
        </w:p>
        <w:p w14:paraId="36C0F704" w14:textId="218109BD" w:rsidR="000C5B84" w:rsidRDefault="000C5B84" w:rsidP="00770430">
          <w:pPr>
            <w:pStyle w:val="TOC2"/>
            <w:tabs>
              <w:tab w:val="left" w:pos="1320"/>
            </w:tabs>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References</w:t>
          </w:r>
          <w:r>
            <w:rPr>
              <w:noProof/>
            </w:rPr>
            <w:tab/>
            <w:t>16.</w:t>
          </w:r>
          <w:r w:rsidR="00A00889">
            <w:rPr>
              <w:noProof/>
            </w:rPr>
            <w:t>4</w:t>
          </w:r>
          <w:r w:rsidR="0086152F">
            <w:rPr>
              <w:noProof/>
            </w:rPr>
            <w:t>0</w:t>
          </w:r>
        </w:p>
        <w:p w14:paraId="507FF692" w14:textId="3CF053BD" w:rsidR="000C5B84" w:rsidRPr="00033816" w:rsidRDefault="00403696" w:rsidP="00770430">
          <w:pPr>
            <w:pStyle w:val="BoxSpaceAbove"/>
          </w:pPr>
        </w:p>
      </w:sdtContent>
    </w:sdt>
    <w:p w14:paraId="45A9F846" w14:textId="7E2F25F1" w:rsidR="00D448B3" w:rsidRPr="00033816" w:rsidRDefault="00D448B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03085" w:rsidRPr="00033816" w14:paraId="4672291B" w14:textId="77777777" w:rsidTr="00E92AD4">
        <w:tc>
          <w:tcPr>
            <w:tcW w:w="8789" w:type="dxa"/>
            <w:tcBorders>
              <w:top w:val="single" w:sz="6" w:space="0" w:color="78A22F"/>
              <w:left w:val="nil"/>
              <w:bottom w:val="nil"/>
              <w:right w:val="nil"/>
            </w:tcBorders>
            <w:shd w:val="clear" w:color="auto" w:fill="F2F2F2"/>
          </w:tcPr>
          <w:p w14:paraId="1D75ACC8" w14:textId="77777777" w:rsidR="00F03085" w:rsidRPr="00033816" w:rsidRDefault="00F03085" w:rsidP="00770430">
            <w:pPr>
              <w:pStyle w:val="BoxTitle"/>
            </w:pPr>
            <w:r w:rsidRPr="00033816">
              <w:t>Attachment tables</w:t>
            </w:r>
          </w:p>
        </w:tc>
      </w:tr>
      <w:tr w:rsidR="00F03085" w:rsidRPr="00033816" w14:paraId="22088A26" w14:textId="77777777" w:rsidTr="00E92AD4">
        <w:trPr>
          <w:cantSplit/>
        </w:trPr>
        <w:tc>
          <w:tcPr>
            <w:tcW w:w="8789" w:type="dxa"/>
            <w:tcBorders>
              <w:top w:val="nil"/>
              <w:left w:val="nil"/>
              <w:bottom w:val="nil"/>
              <w:right w:val="nil"/>
            </w:tcBorders>
            <w:shd w:val="clear" w:color="auto" w:fill="F2F2F2"/>
          </w:tcPr>
          <w:p w14:paraId="249FD058" w14:textId="61A25D21" w:rsidR="00F03085" w:rsidRPr="00033816" w:rsidRDefault="00F03085" w:rsidP="00770430">
            <w:pPr>
              <w:pStyle w:val="Box"/>
            </w:pPr>
            <w:r w:rsidRPr="00033816">
              <w:t xml:space="preserve">Attachment tables are identified in references </w:t>
            </w:r>
            <w:r w:rsidR="001D214A" w:rsidRPr="00033816">
              <w:t>throughout this chapter by a ‘</w:t>
            </w:r>
            <w:proofErr w:type="spellStart"/>
            <w:r w:rsidR="001D214A" w:rsidRPr="00033816">
              <w:t>16A</w:t>
            </w:r>
            <w:proofErr w:type="spellEnd"/>
            <w:r w:rsidR="001D214A" w:rsidRPr="00033816">
              <w:t xml:space="preserve">’ prefix (for example, table </w:t>
            </w:r>
            <w:proofErr w:type="spellStart"/>
            <w:r w:rsidR="001D214A" w:rsidRPr="00033816">
              <w:t>16</w:t>
            </w:r>
            <w:r w:rsidRPr="00033816">
              <w:t>A.1</w:t>
            </w:r>
            <w:proofErr w:type="spellEnd"/>
            <w:r w:rsidR="00AE213B" w:rsidRPr="00033816">
              <w:t>) and</w:t>
            </w:r>
            <w:r w:rsidRPr="00033816">
              <w:t xml:space="preserve"> are available from the website at </w:t>
            </w:r>
            <w:proofErr w:type="spellStart"/>
            <w:r w:rsidR="004C565D" w:rsidRPr="004C565D">
              <w:t>www.pc.gov.au</w:t>
            </w:r>
            <w:proofErr w:type="spellEnd"/>
            <w:r w:rsidR="004C565D" w:rsidRPr="004C565D">
              <w:t>/research/</w:t>
            </w:r>
            <w:r w:rsidR="00D97DB2">
              <w:t xml:space="preserve"> </w:t>
            </w:r>
            <w:r w:rsidR="004C565D" w:rsidRPr="004C565D">
              <w:t>ongoing/report-on-government-services</w:t>
            </w:r>
            <w:r w:rsidRPr="00033816">
              <w:t>.</w:t>
            </w:r>
          </w:p>
        </w:tc>
      </w:tr>
      <w:tr w:rsidR="00F03085" w:rsidRPr="00033816" w14:paraId="2D17B041" w14:textId="77777777" w:rsidTr="00E92AD4">
        <w:trPr>
          <w:cantSplit/>
        </w:trPr>
        <w:tc>
          <w:tcPr>
            <w:tcW w:w="8789" w:type="dxa"/>
            <w:tcBorders>
              <w:top w:val="nil"/>
              <w:left w:val="nil"/>
              <w:bottom w:val="single" w:sz="6" w:space="0" w:color="78A22F"/>
              <w:right w:val="nil"/>
            </w:tcBorders>
            <w:shd w:val="clear" w:color="auto" w:fill="F2F2F2"/>
          </w:tcPr>
          <w:p w14:paraId="3CA8A6E7" w14:textId="77777777" w:rsidR="00F03085" w:rsidRPr="00033816" w:rsidRDefault="00F03085" w:rsidP="00770430">
            <w:pPr>
              <w:pStyle w:val="Box"/>
              <w:spacing w:before="0" w:line="120" w:lineRule="exact"/>
            </w:pPr>
          </w:p>
        </w:tc>
      </w:tr>
    </w:tbl>
    <w:p w14:paraId="00D17A45" w14:textId="77777777" w:rsidR="00F033C9" w:rsidRPr="00033816" w:rsidRDefault="00834717" w:rsidP="00770430">
      <w:pPr>
        <w:pStyle w:val="BodyText"/>
        <w:keepNext/>
        <w:widowControl w:val="0"/>
      </w:pPr>
      <w:r w:rsidRPr="00033816">
        <w:t xml:space="preserve">This chapter reports on the performance of </w:t>
      </w:r>
      <w:r w:rsidR="005C43FA" w:rsidRPr="00033816">
        <w:t>child protection services across Australia.</w:t>
      </w:r>
    </w:p>
    <w:p w14:paraId="7514AFE0" w14:textId="4C95E5DF" w:rsidR="004C75A0" w:rsidRPr="00033816" w:rsidRDefault="00D87D84" w:rsidP="00770430">
      <w:pPr>
        <w:pStyle w:val="BodyText"/>
      </w:pPr>
      <w:r w:rsidRPr="00033816">
        <w:t>Further information on the Report on Government Services i</w:t>
      </w:r>
      <w:r w:rsidR="003A5AF2" w:rsidRPr="00033816">
        <w:t>ncluding other reported service</w:t>
      </w:r>
      <w:r w:rsidRPr="00033816">
        <w:t xml:space="preserve"> areas, the glossary and list of abbreviations </w:t>
      </w:r>
      <w:r w:rsidR="003A5AF2" w:rsidRPr="00033816">
        <w:t>is</w:t>
      </w:r>
      <w:r w:rsidRPr="00033816">
        <w:t xml:space="preserve"> </w:t>
      </w:r>
      <w:r w:rsidR="00E01559" w:rsidRPr="00033816">
        <w:t xml:space="preserve">available at </w:t>
      </w:r>
      <w:proofErr w:type="spellStart"/>
      <w:r w:rsidR="004C565D" w:rsidRPr="004C565D">
        <w:t>www.pc.gov.au</w:t>
      </w:r>
      <w:proofErr w:type="spellEnd"/>
      <w:r w:rsidR="004C565D" w:rsidRPr="004C565D">
        <w:t>/research/</w:t>
      </w:r>
      <w:r w:rsidR="00D97DB2">
        <w:t xml:space="preserve"> </w:t>
      </w:r>
      <w:r w:rsidR="004C565D" w:rsidRPr="004C565D">
        <w:t>ongoing/report-on-government-services</w:t>
      </w:r>
      <w:r w:rsidR="004C75A0" w:rsidRPr="00033816">
        <w:t>.</w:t>
      </w:r>
      <w:r w:rsidR="009502AB">
        <w:t xml:space="preserve"> </w:t>
      </w:r>
    </w:p>
    <w:p w14:paraId="2E7BBE33" w14:textId="1D023CD0" w:rsidR="006842D6" w:rsidRPr="00033816" w:rsidRDefault="00DC383D" w:rsidP="00770430">
      <w:pPr>
        <w:pStyle w:val="Heading2"/>
        <w:keepLines/>
      </w:pPr>
      <w:bookmarkStart w:id="17" w:name="_Toc369851910"/>
      <w:bookmarkStart w:id="18" w:name="_Toc464459206"/>
      <w:bookmarkStart w:id="19" w:name="_Toc494980929"/>
      <w:bookmarkStart w:id="20" w:name="_Toc524611005"/>
      <w:r>
        <w:t>16.</w:t>
      </w:r>
      <w:r>
        <w:rPr>
          <w:noProof/>
        </w:rPr>
        <w:t>1</w:t>
      </w:r>
      <w:r w:rsidR="00B144C3" w:rsidRPr="00033816">
        <w:tab/>
      </w:r>
      <w:r w:rsidR="006842D6" w:rsidRPr="00033816">
        <w:t>Profile of child protection services</w:t>
      </w:r>
      <w:bookmarkEnd w:id="17"/>
      <w:bookmarkEnd w:id="18"/>
      <w:bookmarkEnd w:id="19"/>
      <w:bookmarkEnd w:id="20"/>
    </w:p>
    <w:p w14:paraId="5C3C68CB" w14:textId="77777777" w:rsidR="006842D6" w:rsidRPr="00033816" w:rsidRDefault="006842D6" w:rsidP="00770430">
      <w:pPr>
        <w:pStyle w:val="Heading3"/>
      </w:pPr>
      <w:r w:rsidRPr="00033816">
        <w:t>Service overview</w:t>
      </w:r>
    </w:p>
    <w:p w14:paraId="148D0B6A" w14:textId="4FB878BA" w:rsidR="00AA7351" w:rsidRPr="00033816" w:rsidRDefault="00A97EE6" w:rsidP="00770430">
      <w:pPr>
        <w:pStyle w:val="BodyText"/>
      </w:pPr>
      <w:r w:rsidRPr="00033816">
        <w:t>Child</w:t>
      </w:r>
      <w:r w:rsidR="005C43FA" w:rsidRPr="00033816">
        <w:t xml:space="preserve"> protection </w:t>
      </w:r>
      <w:r w:rsidR="002A5F50" w:rsidRPr="00033816">
        <w:t>services</w:t>
      </w:r>
      <w:r w:rsidR="00E1652D" w:rsidRPr="00033816">
        <w:t xml:space="preserve"> </w:t>
      </w:r>
      <w:r w:rsidR="00F30713" w:rsidRPr="00033816">
        <w:t>provide supports and interventions</w:t>
      </w:r>
      <w:r w:rsidR="00E610C4" w:rsidRPr="00033816">
        <w:t xml:space="preserve"> to promote child and family wellbeing, and to </w:t>
      </w:r>
      <w:r w:rsidR="006842D6" w:rsidRPr="00033816">
        <w:t>protect children and</w:t>
      </w:r>
      <w:r w:rsidR="00135389" w:rsidRPr="00033816">
        <w:t xml:space="preserve"> young people </w:t>
      </w:r>
      <w:r w:rsidR="00350801" w:rsidRPr="00033816">
        <w:t>aged</w:t>
      </w:r>
      <w:r w:rsidR="00CF395C" w:rsidRPr="00033816">
        <w:t xml:space="preserve"> </w:t>
      </w:r>
      <w:r w:rsidR="00350801" w:rsidRPr="00033816">
        <w:t>0</w:t>
      </w:r>
      <w:r w:rsidR="00CF395C" w:rsidRPr="00033816">
        <w:rPr>
          <w:w w:val="200"/>
        </w:rPr>
        <w:noBreakHyphen/>
      </w:r>
      <w:r w:rsidR="006842D6" w:rsidRPr="00033816">
        <w:t>17</w:t>
      </w:r>
      <w:r w:rsidR="001D6158" w:rsidRPr="00033816">
        <w:t> </w:t>
      </w:r>
      <w:r w:rsidR="006842D6" w:rsidRPr="00033816">
        <w:t xml:space="preserve">years who are at risk of </w:t>
      </w:r>
      <w:r w:rsidR="001B6D13" w:rsidRPr="00033816">
        <w:t>abuse and neglect</w:t>
      </w:r>
      <w:r w:rsidR="006842D6" w:rsidRPr="00033816">
        <w:t xml:space="preserve"> within their families, or whose families do not have the capacity to </w:t>
      </w:r>
      <w:r w:rsidR="00E610C4" w:rsidRPr="00033816">
        <w:t>provide care and protection</w:t>
      </w:r>
      <w:r w:rsidR="005C43FA" w:rsidRPr="00033816">
        <w:t>.</w:t>
      </w:r>
    </w:p>
    <w:p w14:paraId="597DDD3C" w14:textId="68C0B02B" w:rsidR="00D06ADE" w:rsidRPr="00033816" w:rsidRDefault="00C97680" w:rsidP="00770430">
      <w:pPr>
        <w:pStyle w:val="BodyText"/>
      </w:pPr>
      <w:r w:rsidRPr="00033816">
        <w:t>Figure</w:t>
      </w:r>
      <w:r w:rsidR="00785264">
        <w:t> </w:t>
      </w:r>
      <w:r w:rsidR="00404601" w:rsidRPr="00033816">
        <w:t>16.1</w:t>
      </w:r>
      <w:r w:rsidRPr="00033816">
        <w:t xml:space="preserve"> is a simplified representation of the child protection </w:t>
      </w:r>
      <w:r w:rsidR="00E1652D" w:rsidRPr="00033816">
        <w:t xml:space="preserve">services </w:t>
      </w:r>
      <w:r w:rsidRPr="00033816">
        <w:t>system, depicting common pathways through the system and referrals to support services.</w:t>
      </w:r>
    </w:p>
    <w:p w14:paraId="2E8BF6D2" w14:textId="71CF9B30" w:rsidR="00C97680" w:rsidRPr="00033816" w:rsidRDefault="00C9768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97680" w:rsidRPr="00033816" w14:paraId="757B7175" w14:textId="77777777" w:rsidTr="00E92AD4">
        <w:tc>
          <w:tcPr>
            <w:tcW w:w="8789" w:type="dxa"/>
            <w:tcBorders>
              <w:top w:val="single" w:sz="6" w:space="0" w:color="78A22F"/>
              <w:left w:val="nil"/>
              <w:bottom w:val="nil"/>
              <w:right w:val="nil"/>
            </w:tcBorders>
            <w:shd w:val="clear" w:color="auto" w:fill="auto"/>
          </w:tcPr>
          <w:p w14:paraId="4A8899A7" w14:textId="367F0F8E" w:rsidR="00C97680" w:rsidRPr="00033816" w:rsidRDefault="00C97680" w:rsidP="00770430">
            <w:pPr>
              <w:pStyle w:val="FigureTitle"/>
            </w:pPr>
            <w:r w:rsidRPr="00033816">
              <w:rPr>
                <w:b w:val="0"/>
              </w:rPr>
              <w:t>Figure</w:t>
            </w:r>
            <w:r w:rsidR="00404601" w:rsidRPr="00033816">
              <w:rPr>
                <w:b w:val="0"/>
              </w:rPr>
              <w:t xml:space="preserve"> 16.1</w:t>
            </w:r>
            <w:r w:rsidRPr="00033816">
              <w:tab/>
              <w:t xml:space="preserve">The child protection </w:t>
            </w:r>
            <w:r w:rsidR="00BD06AD" w:rsidRPr="00033816">
              <w:t>s</w:t>
            </w:r>
            <w:r w:rsidRPr="00033816">
              <w:t>ervice</w:t>
            </w:r>
            <w:r w:rsidR="00E1652D" w:rsidRPr="00033816">
              <w:t>s</w:t>
            </w:r>
            <w:r w:rsidRPr="00033816">
              <w:t xml:space="preserve"> system</w:t>
            </w:r>
            <w:r w:rsidRPr="00033816">
              <w:rPr>
                <w:rStyle w:val="NoteLabel"/>
                <w:b/>
              </w:rPr>
              <w:t>a, b, c, d</w:t>
            </w:r>
          </w:p>
        </w:tc>
      </w:tr>
      <w:tr w:rsidR="00C97680" w:rsidRPr="00033816" w14:paraId="71B91DE7" w14:textId="77777777" w:rsidTr="00E92AD4">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C97680" w:rsidRPr="00033816" w14:paraId="2CA873DA" w14:textId="77777777" w:rsidTr="003B6668">
              <w:tc>
                <w:tcPr>
                  <w:tcW w:w="5000" w:type="pct"/>
                  <w:tcBorders>
                    <w:top w:val="nil"/>
                    <w:bottom w:val="nil"/>
                  </w:tcBorders>
                </w:tcPr>
                <w:p w14:paraId="1BBC94E2" w14:textId="67E11D32" w:rsidR="00C97680" w:rsidRPr="00033816" w:rsidRDefault="00C15638" w:rsidP="00770430">
                  <w:pPr>
                    <w:pStyle w:val="Figure"/>
                    <w:spacing w:before="60" w:after="60"/>
                  </w:pPr>
                  <w:r w:rsidRPr="00033816">
                    <w:rPr>
                      <w:noProof/>
                    </w:rPr>
                    <w:drawing>
                      <wp:inline distT="0" distB="0" distL="0" distR="0" wp14:anchorId="0DB46910" wp14:editId="062552CF">
                        <wp:extent cx="5394960" cy="5781040"/>
                        <wp:effectExtent l="0" t="0" r="0" b="0"/>
                        <wp:docPr id="3" name="Picture 3" descr="Figure 16.1 The child protection services system&#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5781040"/>
                                </a:xfrm>
                                <a:prstGeom prst="rect">
                                  <a:avLst/>
                                </a:prstGeom>
                                <a:noFill/>
                                <a:ln>
                                  <a:noFill/>
                                </a:ln>
                              </pic:spPr>
                            </pic:pic>
                          </a:graphicData>
                        </a:graphic>
                      </wp:inline>
                    </w:drawing>
                  </w:r>
                </w:p>
              </w:tc>
            </w:tr>
          </w:tbl>
          <w:p w14:paraId="55712C30" w14:textId="77777777" w:rsidR="00C97680" w:rsidRPr="00033816" w:rsidRDefault="00C97680" w:rsidP="00770430">
            <w:pPr>
              <w:pStyle w:val="Figure"/>
            </w:pPr>
          </w:p>
        </w:tc>
      </w:tr>
      <w:tr w:rsidR="00C97680" w:rsidRPr="00033816" w14:paraId="2284999A" w14:textId="77777777" w:rsidTr="00E92AD4">
        <w:tc>
          <w:tcPr>
            <w:tcW w:w="8789" w:type="dxa"/>
            <w:tcBorders>
              <w:top w:val="nil"/>
              <w:left w:val="nil"/>
              <w:bottom w:val="nil"/>
              <w:right w:val="nil"/>
            </w:tcBorders>
            <w:shd w:val="clear" w:color="auto" w:fill="auto"/>
          </w:tcPr>
          <w:p w14:paraId="65BD1968" w14:textId="087085ED" w:rsidR="00C97680" w:rsidRPr="00033816" w:rsidRDefault="00C97680" w:rsidP="00770430">
            <w:pPr>
              <w:pStyle w:val="Note"/>
            </w:pPr>
            <w:r w:rsidRPr="00033816">
              <w:rPr>
                <w:rStyle w:val="NoteLabel"/>
              </w:rPr>
              <w:t>a</w:t>
            </w:r>
            <w:r w:rsidRPr="00033816">
              <w:t xml:space="preserve"> Dashed lines indicate that clients may or may not receive these services, depending on need, service availability, and client willingness to participate in voluntary services. </w:t>
            </w:r>
            <w:r w:rsidRPr="00033816">
              <w:rPr>
                <w:rStyle w:val="NoteLabel"/>
              </w:rPr>
              <w:t>b</w:t>
            </w:r>
            <w:r w:rsidRPr="00033816">
              <w:t xml:space="preserve"> Support services include family preservation and reunification services provided by government and other agencies. Children and families move in a</w:t>
            </w:r>
            <w:r w:rsidR="00BD06AD" w:rsidRPr="00033816">
              <w:t>nd out of these services</w:t>
            </w:r>
            <w:r w:rsidRPr="00033816">
              <w:t>, and might also</w:t>
            </w:r>
            <w:r w:rsidR="00BD06AD" w:rsidRPr="00033816">
              <w:t xml:space="preserve"> receive protective intervention services</w:t>
            </w:r>
            <w:r w:rsidRPr="00033816">
              <w:t xml:space="preserve"> while receiving support services. </w:t>
            </w:r>
            <w:r w:rsidRPr="00033816">
              <w:rPr>
                <w:rStyle w:val="NoteLabel"/>
              </w:rPr>
              <w:t>c</w:t>
            </w:r>
            <w:r w:rsidRPr="00033816">
              <w:t xml:space="preserve"> </w:t>
            </w:r>
            <w:r w:rsidR="003C36FB" w:rsidRPr="00033816">
              <w:t>Green s</w:t>
            </w:r>
            <w:r w:rsidRPr="00033816">
              <w:t xml:space="preserve">hading indicates data </w:t>
            </w:r>
            <w:r w:rsidR="003C36FB" w:rsidRPr="00033816">
              <w:t>a</w:t>
            </w:r>
            <w:r w:rsidR="00B53AFC" w:rsidRPr="00033816">
              <w:t>re reported.</w:t>
            </w:r>
            <w:r w:rsidRPr="00033816">
              <w:t xml:space="preserve"> </w:t>
            </w:r>
            <w:r w:rsidRPr="00033816">
              <w:rPr>
                <w:rStyle w:val="NoteLabel"/>
              </w:rPr>
              <w:t>d</w:t>
            </w:r>
            <w:r w:rsidR="009B6271" w:rsidRPr="00033816">
              <w:t xml:space="preserve"> AG = Activity Group. See </w:t>
            </w:r>
            <w:r w:rsidRPr="00033816">
              <w:t>section 1</w:t>
            </w:r>
            <w:r w:rsidR="00135389" w:rsidRPr="00033816">
              <w:t>6.4</w:t>
            </w:r>
            <w:r w:rsidRPr="00033816">
              <w:t xml:space="preserve"> for detailed definitions.</w:t>
            </w:r>
          </w:p>
        </w:tc>
      </w:tr>
      <w:tr w:rsidR="00C97680" w:rsidRPr="00033816" w14:paraId="706EE219" w14:textId="77777777" w:rsidTr="00E92AD4">
        <w:tc>
          <w:tcPr>
            <w:tcW w:w="8789" w:type="dxa"/>
            <w:tcBorders>
              <w:top w:val="nil"/>
              <w:left w:val="nil"/>
              <w:bottom w:val="nil"/>
              <w:right w:val="nil"/>
            </w:tcBorders>
            <w:shd w:val="clear" w:color="auto" w:fill="auto"/>
          </w:tcPr>
          <w:p w14:paraId="54057539" w14:textId="77777777" w:rsidR="00C97680" w:rsidRPr="00033816" w:rsidRDefault="00C97680" w:rsidP="00770430">
            <w:pPr>
              <w:pStyle w:val="Source"/>
            </w:pPr>
            <w:r w:rsidRPr="00033816">
              <w:rPr>
                <w:i/>
              </w:rPr>
              <w:t>Source</w:t>
            </w:r>
            <w:r w:rsidRPr="00033816">
              <w:t>: State and Territory governments (unpublished).</w:t>
            </w:r>
          </w:p>
        </w:tc>
      </w:tr>
      <w:tr w:rsidR="00C97680" w:rsidRPr="00033816" w14:paraId="2B2C1CD4" w14:textId="77777777" w:rsidTr="00E92AD4">
        <w:tc>
          <w:tcPr>
            <w:tcW w:w="8789" w:type="dxa"/>
            <w:tcBorders>
              <w:top w:val="nil"/>
              <w:left w:val="nil"/>
              <w:bottom w:val="single" w:sz="6" w:space="0" w:color="78A22F"/>
              <w:right w:val="nil"/>
            </w:tcBorders>
            <w:shd w:val="clear" w:color="auto" w:fill="auto"/>
          </w:tcPr>
          <w:p w14:paraId="68E4C37A" w14:textId="77777777" w:rsidR="00C97680" w:rsidRPr="00033816" w:rsidRDefault="00C97680" w:rsidP="00770430">
            <w:pPr>
              <w:pStyle w:val="Figurespace"/>
            </w:pPr>
          </w:p>
        </w:tc>
      </w:tr>
      <w:tr w:rsidR="00C97680" w:rsidRPr="00033816" w14:paraId="6FD25705" w14:textId="77777777" w:rsidTr="00E92AD4">
        <w:tc>
          <w:tcPr>
            <w:tcW w:w="8789" w:type="dxa"/>
            <w:tcBorders>
              <w:top w:val="single" w:sz="6" w:space="0" w:color="78A22F"/>
              <w:left w:val="nil"/>
              <w:bottom w:val="nil"/>
              <w:right w:val="nil"/>
            </w:tcBorders>
          </w:tcPr>
          <w:p w14:paraId="565AAE02" w14:textId="44817E64" w:rsidR="00C97680" w:rsidRPr="00033816" w:rsidRDefault="00C97680" w:rsidP="00770430">
            <w:pPr>
              <w:pStyle w:val="BoxSpaceBelow"/>
            </w:pPr>
          </w:p>
        </w:tc>
      </w:tr>
    </w:tbl>
    <w:p w14:paraId="736141EA" w14:textId="77777777" w:rsidR="00FF6663" w:rsidRPr="00033816" w:rsidRDefault="00FF6663" w:rsidP="00770430">
      <w:pPr>
        <w:pStyle w:val="Heading3"/>
      </w:pPr>
      <w:r w:rsidRPr="00033816">
        <w:lastRenderedPageBreak/>
        <w:t>Roles and responsibilities</w:t>
      </w:r>
    </w:p>
    <w:p w14:paraId="752AABCF" w14:textId="77777777" w:rsidR="005C43FA" w:rsidRPr="00033816" w:rsidRDefault="00DE7FDD" w:rsidP="00770430">
      <w:pPr>
        <w:pStyle w:val="BodyText"/>
      </w:pPr>
      <w:r w:rsidRPr="00033816">
        <w:t>State and Territory governments have r</w:t>
      </w:r>
      <w:r w:rsidR="005C43FA" w:rsidRPr="00033816">
        <w:t>esponsibility for funding and/or providing child protection services in Australia.</w:t>
      </w:r>
      <w:r w:rsidR="007F2AA3" w:rsidRPr="00033816">
        <w:t xml:space="preserve"> </w:t>
      </w:r>
      <w:r w:rsidR="005C43FA" w:rsidRPr="00033816">
        <w:t>Each jurisdiction has its own legislation that determines the policies and practices of its child protection system</w:t>
      </w:r>
      <w:r w:rsidRPr="00033816">
        <w:t>, and w</w:t>
      </w:r>
      <w:r w:rsidR="005C43FA" w:rsidRPr="00033816">
        <w:t>hile this legislation varies in detail, its intent is similar across jurisdictions.</w:t>
      </w:r>
    </w:p>
    <w:p w14:paraId="010E2382" w14:textId="47C2C1F0" w:rsidR="00FF6663" w:rsidRPr="00033816" w:rsidRDefault="00F01897" w:rsidP="00770430">
      <w:pPr>
        <w:pStyle w:val="BodyText"/>
      </w:pPr>
      <w:r w:rsidRPr="00033816">
        <w:t>Other</w:t>
      </w:r>
      <w:r w:rsidR="005C43FA" w:rsidRPr="00033816">
        <w:t xml:space="preserve"> </w:t>
      </w:r>
      <w:r w:rsidRPr="00033816">
        <w:t>government</w:t>
      </w:r>
      <w:r w:rsidR="00FF6663" w:rsidRPr="00033816">
        <w:t xml:space="preserve"> </w:t>
      </w:r>
      <w:r w:rsidRPr="00033816">
        <w:t xml:space="preserve">service systems </w:t>
      </w:r>
      <w:r w:rsidR="005C43FA" w:rsidRPr="00033816">
        <w:t>can</w:t>
      </w:r>
      <w:r w:rsidR="00FF6663" w:rsidRPr="00033816">
        <w:t xml:space="preserve"> have </w:t>
      </w:r>
      <w:r w:rsidRPr="00033816">
        <w:t xml:space="preserve">a </w:t>
      </w:r>
      <w:r w:rsidR="00FF6663" w:rsidRPr="00033816">
        <w:t xml:space="preserve">role in child </w:t>
      </w:r>
      <w:r w:rsidRPr="00033816">
        <w:t>protection, including</w:t>
      </w:r>
      <w:r w:rsidR="00794141" w:rsidRPr="00033816">
        <w:t>:</w:t>
      </w:r>
    </w:p>
    <w:p w14:paraId="1674D6B8" w14:textId="0F36857B" w:rsidR="001A5430" w:rsidRPr="00033816" w:rsidRDefault="001A5430" w:rsidP="00770430">
      <w:pPr>
        <w:pStyle w:val="ListBullet"/>
      </w:pPr>
      <w:r w:rsidRPr="00033816">
        <w:t>mandatory reporting</w:t>
      </w:r>
      <w:r w:rsidR="00C975C8" w:rsidRPr="00033816">
        <w:t xml:space="preserve"> responsibilities</w:t>
      </w:r>
      <w:r w:rsidRPr="00033816">
        <w:t xml:space="preserve"> for</w:t>
      </w:r>
      <w:r w:rsidR="00ED1091" w:rsidRPr="00033816">
        <w:t xml:space="preserve"> particular occupations in</w:t>
      </w:r>
      <w:r w:rsidRPr="00033816">
        <w:t xml:space="preserve"> some jurisdictions</w:t>
      </w:r>
    </w:p>
    <w:p w14:paraId="1B5E15EE" w14:textId="77777777" w:rsidR="00FF6663" w:rsidRPr="00033816" w:rsidRDefault="00FF6663" w:rsidP="00770430">
      <w:pPr>
        <w:pStyle w:val="ListBullet"/>
      </w:pPr>
      <w:r w:rsidRPr="00033816">
        <w:t>educa</w:t>
      </w:r>
      <w:r w:rsidR="00F01897" w:rsidRPr="00033816">
        <w:t>tion and child care services</w:t>
      </w:r>
      <w:r w:rsidRPr="00033816">
        <w:t xml:space="preserve">, which </w:t>
      </w:r>
      <w:r w:rsidR="006877DF" w:rsidRPr="00033816">
        <w:t xml:space="preserve">in some jurisdictions </w:t>
      </w:r>
      <w:r w:rsidR="001D0DF0" w:rsidRPr="00033816">
        <w:t xml:space="preserve">includes </w:t>
      </w:r>
      <w:r w:rsidR="009B15D5" w:rsidRPr="00033816">
        <w:t xml:space="preserve">education on </w:t>
      </w:r>
      <w:r w:rsidRPr="00033816">
        <w:t xml:space="preserve">protective behaviours </w:t>
      </w:r>
    </w:p>
    <w:p w14:paraId="037C1C93" w14:textId="77777777" w:rsidR="009C1A7F" w:rsidRPr="00033816" w:rsidRDefault="00FF6663" w:rsidP="00770430">
      <w:pPr>
        <w:pStyle w:val="ListBullet"/>
      </w:pPr>
      <w:r w:rsidRPr="00033816">
        <w:t>health services</w:t>
      </w:r>
      <w:r w:rsidR="00947A1A" w:rsidRPr="00033816">
        <w:t xml:space="preserve"> and mental health services</w:t>
      </w:r>
      <w:r w:rsidRPr="00033816">
        <w:t xml:space="preserve">, which support the assessment of child protection matters and deliver </w:t>
      </w:r>
      <w:r w:rsidR="00947A1A" w:rsidRPr="00033816">
        <w:t xml:space="preserve">general medical and dental services as well as </w:t>
      </w:r>
      <w:r w:rsidRPr="00033816">
        <w:t>therapeutic, counselling and other services</w:t>
      </w:r>
    </w:p>
    <w:p w14:paraId="4B60EBB6" w14:textId="77777777" w:rsidR="009C1A7F" w:rsidRPr="00033816" w:rsidRDefault="009C1A7F" w:rsidP="00770430">
      <w:pPr>
        <w:pStyle w:val="ListBullet"/>
      </w:pPr>
      <w:r w:rsidRPr="00033816">
        <w:t>police</w:t>
      </w:r>
      <w:r w:rsidR="00D52FB2" w:rsidRPr="00033816">
        <w:t xml:space="preserve"> services</w:t>
      </w:r>
      <w:r w:rsidRPr="00033816">
        <w:t xml:space="preserve">, which investigate serious allegations of child abuse and neglect, particularly criminal matters, and may also work </w:t>
      </w:r>
      <w:r w:rsidR="00AE213B" w:rsidRPr="00033816">
        <w:t>on child protection assessments</w:t>
      </w:r>
    </w:p>
    <w:p w14:paraId="603F7F11" w14:textId="77777777" w:rsidR="00FF6663" w:rsidRPr="00033816" w:rsidRDefault="009C1A7F" w:rsidP="00770430">
      <w:pPr>
        <w:pStyle w:val="ListBullet"/>
      </w:pPr>
      <w:r w:rsidRPr="00033816">
        <w:t>courts, which decide whether a child will be placed on an order.</w:t>
      </w:r>
    </w:p>
    <w:p w14:paraId="7EFA9E84" w14:textId="5FA18C0D" w:rsidR="00E057F2" w:rsidRPr="00033816" w:rsidRDefault="005C43FA" w:rsidP="00770430">
      <w:pPr>
        <w:pStyle w:val="BodyText"/>
        <w:widowControl w:val="0"/>
      </w:pPr>
      <w:r w:rsidRPr="00033816">
        <w:t>This chapter reports on services provided by State and Territory governments to promote family wellbeing and to protect children, specifically</w:t>
      </w:r>
      <w:r w:rsidR="00E01559" w:rsidRPr="00033816">
        <w:t>:</w:t>
      </w:r>
      <w:r w:rsidRPr="00033816">
        <w:t xml:space="preserve"> family support services; intensive family support services; </w:t>
      </w:r>
      <w:r w:rsidR="006A31B9" w:rsidRPr="00033816">
        <w:t xml:space="preserve">protective </w:t>
      </w:r>
      <w:r w:rsidR="00882478" w:rsidRPr="00033816">
        <w:t xml:space="preserve">intervention </w:t>
      </w:r>
      <w:r w:rsidRPr="00033816">
        <w:t>services and out</w:t>
      </w:r>
      <w:r w:rsidR="008817BB" w:rsidRPr="00033816">
        <w:noBreakHyphen/>
      </w:r>
      <w:r w:rsidRPr="00033816">
        <w:t>of</w:t>
      </w:r>
      <w:r w:rsidR="008817BB" w:rsidRPr="00033816">
        <w:noBreakHyphen/>
      </w:r>
      <w:r w:rsidRPr="00033816">
        <w:t>home care services (see section 16.4 for definitions).</w:t>
      </w:r>
    </w:p>
    <w:p w14:paraId="6FA02B02" w14:textId="77777777" w:rsidR="00F01897" w:rsidRPr="00033816" w:rsidRDefault="00F01897" w:rsidP="00770430">
      <w:pPr>
        <w:pStyle w:val="Heading3"/>
      </w:pPr>
      <w:bookmarkStart w:id="21" w:name="_Toc369851911"/>
      <w:r w:rsidRPr="00033816">
        <w:t>Size and scope</w:t>
      </w:r>
    </w:p>
    <w:p w14:paraId="6E9ECBB5" w14:textId="1CDF8556" w:rsidR="009C6933" w:rsidRPr="00033816" w:rsidRDefault="009C6933" w:rsidP="00770430">
      <w:pPr>
        <w:pStyle w:val="BodyText"/>
      </w:pPr>
      <w:r w:rsidRPr="00033816">
        <w:t xml:space="preserve">Nationally, the following number of children aged 0–17 years received </w:t>
      </w:r>
      <w:r w:rsidR="006A31B9" w:rsidRPr="00033816">
        <w:t>protective</w:t>
      </w:r>
      <w:r w:rsidRPr="00033816">
        <w:t xml:space="preserve"> </w:t>
      </w:r>
      <w:r w:rsidR="00882478" w:rsidRPr="00033816">
        <w:t xml:space="preserve">intervention </w:t>
      </w:r>
      <w:r w:rsidRPr="00033816">
        <w:t xml:space="preserve">services </w:t>
      </w:r>
      <w:r w:rsidR="00CA4556" w:rsidRPr="00033816">
        <w:t>and out</w:t>
      </w:r>
      <w:r w:rsidR="004F6E3D" w:rsidRPr="00033816">
        <w:noBreakHyphen/>
      </w:r>
      <w:r w:rsidR="00CA4556" w:rsidRPr="00033816">
        <w:t>of</w:t>
      </w:r>
      <w:r w:rsidR="004F6E3D" w:rsidRPr="00033816">
        <w:noBreakHyphen/>
      </w:r>
      <w:r w:rsidR="00CA4556" w:rsidRPr="00033816">
        <w:t xml:space="preserve">home care services </w:t>
      </w:r>
      <w:r w:rsidRPr="00033816">
        <w:t>during 201</w:t>
      </w:r>
      <w:r w:rsidR="00830C45">
        <w:t>7</w:t>
      </w:r>
      <w:r w:rsidR="008817BB" w:rsidRPr="00033816">
        <w:noBreakHyphen/>
      </w:r>
      <w:r w:rsidRPr="00033816">
        <w:t>1</w:t>
      </w:r>
      <w:r w:rsidR="00830C45">
        <w:t>8</w:t>
      </w:r>
      <w:r w:rsidR="0041709D">
        <w:t xml:space="preserve"> (also reported as a rate per 1000 children in the population)</w:t>
      </w:r>
      <w:r w:rsidRPr="00033816">
        <w:t xml:space="preserve"> (table</w:t>
      </w:r>
      <w:r w:rsidR="00DE7A2C" w:rsidRPr="00033816">
        <w:t>s</w:t>
      </w:r>
      <w:r w:rsidRPr="00033816">
        <w:t xml:space="preserve"> </w:t>
      </w:r>
      <w:proofErr w:type="spellStart"/>
      <w:r w:rsidR="003D62DA" w:rsidRPr="00033816">
        <w:t>16</w:t>
      </w:r>
      <w:r w:rsidR="00D26A4C" w:rsidRPr="00033816">
        <w:t>A.</w:t>
      </w:r>
      <w:r w:rsidR="002B4F50" w:rsidRPr="00033816">
        <w:t>1</w:t>
      </w:r>
      <w:proofErr w:type="spellEnd"/>
      <w:r w:rsidR="0041709D">
        <w:t>–3</w:t>
      </w:r>
      <w:r w:rsidRPr="00033816">
        <w:t>):</w:t>
      </w:r>
    </w:p>
    <w:p w14:paraId="5CF9D2D1" w14:textId="34AD0CAF" w:rsidR="009D64DF" w:rsidRPr="001B2125" w:rsidRDefault="006D63B1" w:rsidP="00770430">
      <w:pPr>
        <w:pStyle w:val="ListBullet"/>
      </w:pPr>
      <w:r w:rsidRPr="001B2125">
        <w:t>245 382</w:t>
      </w:r>
      <w:r w:rsidR="009C6933" w:rsidRPr="001B2125">
        <w:t xml:space="preserve"> children were the subject of </w:t>
      </w:r>
      <w:r w:rsidR="009C6933" w:rsidRPr="001B2125">
        <w:rPr>
          <w:i/>
        </w:rPr>
        <w:t>notifications</w:t>
      </w:r>
      <w:r w:rsidR="0041709D" w:rsidRPr="001B2125">
        <w:t>;</w:t>
      </w:r>
      <w:r w:rsidR="001A5430" w:rsidRPr="001B2125">
        <w:t xml:space="preserve"> </w:t>
      </w:r>
      <w:r w:rsidRPr="001B2125">
        <w:t>44.7</w:t>
      </w:r>
      <w:r w:rsidR="00F735D1" w:rsidRPr="001B2125">
        <w:rPr>
          <w:b/>
        </w:rPr>
        <w:t xml:space="preserve"> </w:t>
      </w:r>
      <w:r w:rsidR="009C6933" w:rsidRPr="001B2125">
        <w:t xml:space="preserve">notifications per </w:t>
      </w:r>
      <w:r w:rsidR="00AE213B" w:rsidRPr="001B2125">
        <w:t xml:space="preserve">1000 children </w:t>
      </w:r>
    </w:p>
    <w:p w14:paraId="771983B3" w14:textId="1289DFA4" w:rsidR="009D64DF" w:rsidRPr="001B2125" w:rsidRDefault="006D63B1" w:rsidP="00770430">
      <w:pPr>
        <w:pStyle w:val="ListBullet"/>
      </w:pPr>
      <w:r w:rsidRPr="001B2125">
        <w:t>excluding NSW, 65 768</w:t>
      </w:r>
      <w:r w:rsidR="00F735D1" w:rsidRPr="001B2125">
        <w:t xml:space="preserve"> </w:t>
      </w:r>
      <w:r w:rsidR="009C6933" w:rsidRPr="001B2125">
        <w:t xml:space="preserve">children were the subject of a </w:t>
      </w:r>
      <w:r w:rsidR="009C6933" w:rsidRPr="001B2125">
        <w:rPr>
          <w:i/>
        </w:rPr>
        <w:t>finalised investigation</w:t>
      </w:r>
      <w:r w:rsidR="0041709D" w:rsidRPr="001B2125">
        <w:t>;</w:t>
      </w:r>
      <w:r w:rsidR="001A5430" w:rsidRPr="001B2125">
        <w:t xml:space="preserve"> </w:t>
      </w:r>
      <w:r w:rsidR="002F0134" w:rsidRPr="001B2125">
        <w:t>17.5</w:t>
      </w:r>
      <w:r w:rsidR="00997B1E" w:rsidRPr="001B2125">
        <w:t> </w:t>
      </w:r>
      <w:r w:rsidR="009C6933" w:rsidRPr="001B2125">
        <w:t xml:space="preserve">finalised investigations per </w:t>
      </w:r>
      <w:r w:rsidR="00FA41F2" w:rsidRPr="001B2125">
        <w:t xml:space="preserve">1000 children </w:t>
      </w:r>
    </w:p>
    <w:p w14:paraId="28DE59D2" w14:textId="58A527A4" w:rsidR="009C6933" w:rsidRPr="001B2125" w:rsidRDefault="002F0134" w:rsidP="00770430">
      <w:pPr>
        <w:pStyle w:val="ListBullet"/>
      </w:pPr>
      <w:r w:rsidRPr="001B2125">
        <w:t xml:space="preserve">excluding NSW, </w:t>
      </w:r>
      <w:r w:rsidR="009A153A" w:rsidRPr="001B2125">
        <w:t xml:space="preserve">32 031 </w:t>
      </w:r>
      <w:r w:rsidR="009C6933" w:rsidRPr="001B2125">
        <w:t xml:space="preserve">children were the subject of a </w:t>
      </w:r>
      <w:r w:rsidR="009C6933" w:rsidRPr="001B2125">
        <w:rPr>
          <w:i/>
        </w:rPr>
        <w:t>substantiation</w:t>
      </w:r>
      <w:r w:rsidR="0041709D" w:rsidRPr="001B2125">
        <w:t>;</w:t>
      </w:r>
      <w:r w:rsidR="001A5430" w:rsidRPr="001B2125">
        <w:t xml:space="preserve"> </w:t>
      </w:r>
      <w:r w:rsidR="009A153A" w:rsidRPr="001B2125">
        <w:t>8.5 </w:t>
      </w:r>
      <w:r w:rsidR="009C6933" w:rsidRPr="001B2125">
        <w:t xml:space="preserve">substantiations per </w:t>
      </w:r>
      <w:r w:rsidR="00FA41F2" w:rsidRPr="001B2125">
        <w:t xml:space="preserve">1000 children </w:t>
      </w:r>
    </w:p>
    <w:p w14:paraId="7528A76D" w14:textId="5720C3CE" w:rsidR="009C6933" w:rsidRPr="001B2125" w:rsidRDefault="00997B1E" w:rsidP="00770430">
      <w:pPr>
        <w:pStyle w:val="ListBullet"/>
      </w:pPr>
      <w:r w:rsidRPr="001B2125">
        <w:t xml:space="preserve">56 412 </w:t>
      </w:r>
      <w:r w:rsidR="009C6933" w:rsidRPr="001B2125">
        <w:t xml:space="preserve">children were on </w:t>
      </w:r>
      <w:r w:rsidR="009C6933" w:rsidRPr="001B2125">
        <w:rPr>
          <w:i/>
        </w:rPr>
        <w:t>care and protection orders</w:t>
      </w:r>
      <w:r w:rsidR="0041709D" w:rsidRPr="001B2125">
        <w:t>;</w:t>
      </w:r>
      <w:r w:rsidR="005A3C4D" w:rsidRPr="001B2125">
        <w:t xml:space="preserve"> </w:t>
      </w:r>
      <w:r w:rsidRPr="001B2125">
        <w:t>10.2</w:t>
      </w:r>
      <w:r w:rsidR="00EB051D" w:rsidRPr="001B2125">
        <w:t xml:space="preserve"> </w:t>
      </w:r>
      <w:r w:rsidR="009C6933" w:rsidRPr="001B2125">
        <w:t>children</w:t>
      </w:r>
      <w:r w:rsidR="004A4DDC" w:rsidRPr="001B2125">
        <w:t xml:space="preserve"> on care and protection orders</w:t>
      </w:r>
      <w:r w:rsidR="009C6933" w:rsidRPr="001B2125">
        <w:t xml:space="preserve"> per </w:t>
      </w:r>
      <w:r w:rsidR="00AE213B" w:rsidRPr="001B2125">
        <w:t xml:space="preserve">1000 children </w:t>
      </w:r>
    </w:p>
    <w:p w14:paraId="33ABEE25" w14:textId="50E69601" w:rsidR="009C6933" w:rsidRPr="00033816" w:rsidRDefault="00034F5E" w:rsidP="00770430">
      <w:pPr>
        <w:pStyle w:val="ListBullet"/>
      </w:pPr>
      <w:r w:rsidRPr="00770430">
        <w:t>45 756</w:t>
      </w:r>
      <w:r w:rsidR="009C6933" w:rsidRPr="00770430">
        <w:t xml:space="preserve"> children were in </w:t>
      </w:r>
      <w:r w:rsidR="009C6933" w:rsidRPr="00770430">
        <w:rPr>
          <w:i/>
        </w:rPr>
        <w:t>out</w:t>
      </w:r>
      <w:r w:rsidR="008817BB" w:rsidRPr="00770430">
        <w:rPr>
          <w:i/>
        </w:rPr>
        <w:noBreakHyphen/>
      </w:r>
      <w:r w:rsidR="009C6933" w:rsidRPr="00770430">
        <w:rPr>
          <w:i/>
        </w:rPr>
        <w:t>of</w:t>
      </w:r>
      <w:r w:rsidR="008817BB" w:rsidRPr="00770430">
        <w:rPr>
          <w:i/>
        </w:rPr>
        <w:noBreakHyphen/>
      </w:r>
      <w:r w:rsidR="009C6933" w:rsidRPr="00770430">
        <w:rPr>
          <w:i/>
        </w:rPr>
        <w:t>home care</w:t>
      </w:r>
      <w:r w:rsidR="001522BF" w:rsidRPr="00770430">
        <w:t xml:space="preserve"> at 30 June 2018</w:t>
      </w:r>
      <w:r w:rsidR="0041709D" w:rsidRPr="00770430">
        <w:t>;</w:t>
      </w:r>
      <w:r w:rsidR="005A3C4D" w:rsidRPr="00770430">
        <w:t xml:space="preserve"> </w:t>
      </w:r>
      <w:r w:rsidR="00E15CC6" w:rsidRPr="00770430">
        <w:t>8.</w:t>
      </w:r>
      <w:r w:rsidR="007A67E1" w:rsidRPr="00770430">
        <w:t>3</w:t>
      </w:r>
      <w:r w:rsidR="005A3C4D" w:rsidRPr="00770430">
        <w:t xml:space="preserve"> </w:t>
      </w:r>
      <w:r w:rsidR="009C6933" w:rsidRPr="00770430">
        <w:t>children in out</w:t>
      </w:r>
      <w:r w:rsidR="008817BB" w:rsidRPr="00770430">
        <w:noBreakHyphen/>
      </w:r>
      <w:r w:rsidR="009C6933" w:rsidRPr="00770430">
        <w:t>of</w:t>
      </w:r>
      <w:r w:rsidR="008817BB" w:rsidRPr="00770430">
        <w:noBreakHyphen/>
      </w:r>
      <w:r w:rsidR="009C6933" w:rsidRPr="00770430">
        <w:t xml:space="preserve">home care per </w:t>
      </w:r>
      <w:r w:rsidR="00AE213B" w:rsidRPr="00770430">
        <w:t>1000 children</w:t>
      </w:r>
      <w:r w:rsidR="005A3C4D" w:rsidRPr="00770430">
        <w:t>.</w:t>
      </w:r>
      <w:r w:rsidR="008E7015">
        <w:t xml:space="preserve"> There were 11 178 children admitted to care in Australia during 201</w:t>
      </w:r>
      <w:r w:rsidR="00087CFE">
        <w:t>7</w:t>
      </w:r>
      <w:r w:rsidR="008E7015">
        <w:t>-1</w:t>
      </w:r>
      <w:r w:rsidR="00087CFE">
        <w:t>8</w:t>
      </w:r>
      <w:r w:rsidR="008E7015">
        <w:t xml:space="preserve"> and 10 226 discharged</w:t>
      </w:r>
      <w:r w:rsidR="00087CFE">
        <w:t xml:space="preserve"> from care</w:t>
      </w:r>
      <w:r w:rsidR="008E7015">
        <w:t>.</w:t>
      </w:r>
    </w:p>
    <w:p w14:paraId="6A54692D" w14:textId="34F60D22" w:rsidR="00947151" w:rsidRPr="00033816" w:rsidRDefault="00436B31" w:rsidP="00770430">
      <w:pPr>
        <w:pStyle w:val="BodyText"/>
      </w:pPr>
      <w:r w:rsidRPr="00033816">
        <w:t xml:space="preserve">Children can be the subject of more than one notification, investigation and substantiation (table </w:t>
      </w:r>
      <w:proofErr w:type="spellStart"/>
      <w:r w:rsidRPr="00033816">
        <w:t>16A.</w:t>
      </w:r>
      <w:r w:rsidR="009312EF">
        <w:t>4</w:t>
      </w:r>
      <w:proofErr w:type="spellEnd"/>
      <w:r w:rsidRPr="00033816">
        <w:t>)</w:t>
      </w:r>
      <w:r w:rsidR="00EE7B6E" w:rsidRPr="00033816">
        <w:t xml:space="preserve"> and </w:t>
      </w:r>
      <w:r w:rsidR="00EE7B6E" w:rsidRPr="00BF355F">
        <w:t xml:space="preserve">around </w:t>
      </w:r>
      <w:r w:rsidR="00EE7B6E" w:rsidRPr="00731720">
        <w:t xml:space="preserve">one in </w:t>
      </w:r>
      <w:r w:rsidR="009A153A" w:rsidRPr="00731720">
        <w:t xml:space="preserve">four </w:t>
      </w:r>
      <w:r w:rsidR="00EE7B6E" w:rsidRPr="00BF355F">
        <w:t>children</w:t>
      </w:r>
      <w:r w:rsidR="00EE7B6E" w:rsidRPr="00033816">
        <w:t xml:space="preserve"> admitted to a care and protection order has </w:t>
      </w:r>
      <w:r w:rsidR="005625FD" w:rsidRPr="00033816">
        <w:lastRenderedPageBreak/>
        <w:t xml:space="preserve">been admitted </w:t>
      </w:r>
      <w:r w:rsidR="00EE7B6E" w:rsidRPr="00033816">
        <w:t>to such orders</w:t>
      </w:r>
      <w:r w:rsidR="005625FD" w:rsidRPr="00033816">
        <w:t xml:space="preserve"> before</w:t>
      </w:r>
      <w:r w:rsidR="00C94A28" w:rsidRPr="00033816">
        <w:t>, though this proportion varies across states and territories</w:t>
      </w:r>
      <w:r w:rsidR="00EE7B6E" w:rsidRPr="00033816">
        <w:t xml:space="preserve"> (table </w:t>
      </w:r>
      <w:proofErr w:type="spellStart"/>
      <w:r w:rsidR="00EE7B6E" w:rsidRPr="00033816">
        <w:t>16A.</w:t>
      </w:r>
      <w:r w:rsidR="009312EF">
        <w:t>5</w:t>
      </w:r>
      <w:proofErr w:type="spellEnd"/>
      <w:r w:rsidR="00EE7B6E" w:rsidRPr="00033816">
        <w:t>)</w:t>
      </w:r>
      <w:r w:rsidRPr="00033816">
        <w:t>.</w:t>
      </w:r>
      <w:r w:rsidR="00947151" w:rsidRPr="00033816">
        <w:t xml:space="preserve"> The majority of children in out</w:t>
      </w:r>
      <w:r w:rsidR="004F6E3D" w:rsidRPr="00033816">
        <w:noBreakHyphen/>
      </w:r>
      <w:r w:rsidR="00947151" w:rsidRPr="00033816">
        <w:t>of</w:t>
      </w:r>
      <w:r w:rsidR="004F6E3D" w:rsidRPr="00033816">
        <w:noBreakHyphen/>
      </w:r>
      <w:r w:rsidR="00947151" w:rsidRPr="00033816">
        <w:t>home care are on care and p</w:t>
      </w:r>
      <w:r w:rsidR="00384C88" w:rsidRPr="00033816">
        <w:t xml:space="preserve">rotection orders (table </w:t>
      </w:r>
      <w:proofErr w:type="spellStart"/>
      <w:r w:rsidR="00384C88" w:rsidRPr="00033816">
        <w:t>16A.</w:t>
      </w:r>
      <w:r w:rsidR="009312EF">
        <w:t>6</w:t>
      </w:r>
      <w:proofErr w:type="spellEnd"/>
      <w:r w:rsidR="00384C88" w:rsidRPr="00033816">
        <w:t>).</w:t>
      </w:r>
    </w:p>
    <w:p w14:paraId="65DBCA7F" w14:textId="2382E542" w:rsidR="005D7D32" w:rsidRDefault="00947151" w:rsidP="00770430">
      <w:pPr>
        <w:pStyle w:val="BodyText"/>
      </w:pPr>
      <w:r w:rsidRPr="00033816">
        <w:t xml:space="preserve">Aboriginal and Torres Strait Islander children are overrepresented in the child protection system (tables </w:t>
      </w:r>
      <w:proofErr w:type="spellStart"/>
      <w:r w:rsidRPr="00033816">
        <w:t>16A.1</w:t>
      </w:r>
      <w:proofErr w:type="spellEnd"/>
      <w:r w:rsidR="00E562E1">
        <w:t>–3</w:t>
      </w:r>
      <w:r w:rsidRPr="00033816">
        <w:t>). For further details see the performance indicator ‘</w:t>
      </w:r>
      <w:r w:rsidR="00133A95">
        <w:t>D</w:t>
      </w:r>
      <w:r w:rsidRPr="00033816">
        <w:t>isproportionality’ in section 16.3.</w:t>
      </w:r>
    </w:p>
    <w:p w14:paraId="3BF447CC" w14:textId="77777777" w:rsidR="00F01897" w:rsidRPr="00033816" w:rsidRDefault="00F01897" w:rsidP="00770430">
      <w:pPr>
        <w:pStyle w:val="Heading3"/>
      </w:pPr>
      <w:r w:rsidRPr="00033816">
        <w:t>Funding</w:t>
      </w:r>
    </w:p>
    <w:p w14:paraId="257338E6" w14:textId="095E397D" w:rsidR="00F01897" w:rsidRPr="00A60873" w:rsidRDefault="00F01897" w:rsidP="00770430">
      <w:pPr>
        <w:pStyle w:val="BodyText"/>
      </w:pPr>
      <w:r w:rsidRPr="00033816">
        <w:t>Total recurrent expenditure on family support services</w:t>
      </w:r>
      <w:r w:rsidR="006A31B9" w:rsidRPr="00033816">
        <w:t>,</w:t>
      </w:r>
      <w:r w:rsidRPr="00033816">
        <w:t xml:space="preserve"> intensive family support services</w:t>
      </w:r>
      <w:r w:rsidR="006A31B9" w:rsidRPr="00033816">
        <w:t xml:space="preserve">, protective </w:t>
      </w:r>
      <w:r w:rsidR="00882478" w:rsidRPr="00033816">
        <w:t xml:space="preserve">intervention </w:t>
      </w:r>
      <w:r w:rsidR="006A31B9" w:rsidRPr="00033816">
        <w:t>services and out</w:t>
      </w:r>
      <w:r w:rsidR="004F6E3D" w:rsidRPr="00033816">
        <w:noBreakHyphen/>
      </w:r>
      <w:r w:rsidR="006A31B9" w:rsidRPr="00033816">
        <w:t>of</w:t>
      </w:r>
      <w:r w:rsidR="004F6E3D" w:rsidRPr="00033816">
        <w:noBreakHyphen/>
      </w:r>
      <w:r w:rsidR="006A31B9" w:rsidRPr="00033816">
        <w:t xml:space="preserve">home </w:t>
      </w:r>
      <w:r w:rsidR="006A31B9" w:rsidRPr="00A60873">
        <w:t>care services</w:t>
      </w:r>
      <w:r w:rsidRPr="00A60873">
        <w:t xml:space="preserve"> was $</w:t>
      </w:r>
      <w:r w:rsidR="00803F71">
        <w:t>5.</w:t>
      </w:r>
      <w:r w:rsidR="007A67E1">
        <w:t>8</w:t>
      </w:r>
      <w:r w:rsidR="004A4DDC" w:rsidRPr="00A60873">
        <w:t xml:space="preserve"> </w:t>
      </w:r>
      <w:r w:rsidRPr="00A60873">
        <w:t>billion nationally in 201</w:t>
      </w:r>
      <w:r w:rsidR="00830C45" w:rsidRPr="00A60873">
        <w:t>7</w:t>
      </w:r>
      <w:r w:rsidR="008817BB" w:rsidRPr="00A60873">
        <w:noBreakHyphen/>
      </w:r>
      <w:r w:rsidRPr="00A60873">
        <w:t>1</w:t>
      </w:r>
      <w:r w:rsidR="00830C45" w:rsidRPr="00A60873">
        <w:t>8</w:t>
      </w:r>
      <w:r w:rsidRPr="00A60873">
        <w:t xml:space="preserve"> (a real increase of </w:t>
      </w:r>
      <w:r w:rsidR="007A67E1">
        <w:t>10.3</w:t>
      </w:r>
      <w:r w:rsidRPr="00A60873">
        <w:t xml:space="preserve"> per cent from 201</w:t>
      </w:r>
      <w:r w:rsidR="00830C45" w:rsidRPr="00A60873">
        <w:t>6</w:t>
      </w:r>
      <w:r w:rsidR="008817BB" w:rsidRPr="00A60873">
        <w:noBreakHyphen/>
      </w:r>
      <w:r w:rsidR="00F735D1" w:rsidRPr="00A60873">
        <w:t>1</w:t>
      </w:r>
      <w:r w:rsidR="00830C45" w:rsidRPr="00A60873">
        <w:t>7</w:t>
      </w:r>
      <w:r w:rsidRPr="00A60873">
        <w:t>) of which out</w:t>
      </w:r>
      <w:r w:rsidR="008817BB" w:rsidRPr="00A60873">
        <w:noBreakHyphen/>
      </w:r>
      <w:r w:rsidRPr="00A60873">
        <w:t>of</w:t>
      </w:r>
      <w:r w:rsidR="008817BB" w:rsidRPr="00A60873">
        <w:noBreakHyphen/>
      </w:r>
      <w:r w:rsidRPr="00A60873">
        <w:t>home care services accounted for the majority (</w:t>
      </w:r>
      <w:r w:rsidR="007A67E1">
        <w:t>58.5</w:t>
      </w:r>
      <w:r w:rsidR="00A60873" w:rsidRPr="00A60873">
        <w:t xml:space="preserve"> </w:t>
      </w:r>
      <w:r w:rsidRPr="00A60873">
        <w:t>per cent, or $</w:t>
      </w:r>
      <w:r w:rsidR="008B3F8D">
        <w:t>3.4</w:t>
      </w:r>
      <w:r w:rsidRPr="00A60873">
        <w:t xml:space="preserve"> billion) (table </w:t>
      </w:r>
      <w:proofErr w:type="spellStart"/>
      <w:r w:rsidRPr="00A60873">
        <w:t>16A.</w:t>
      </w:r>
      <w:r w:rsidR="009312EF">
        <w:t>7</w:t>
      </w:r>
      <w:proofErr w:type="spellEnd"/>
      <w:r w:rsidRPr="00A60873">
        <w:t>).</w:t>
      </w:r>
    </w:p>
    <w:p w14:paraId="505A9696" w14:textId="7ED01426" w:rsidR="007F0DFA" w:rsidRDefault="00C72285" w:rsidP="00770430">
      <w:pPr>
        <w:pStyle w:val="BodyText"/>
      </w:pPr>
      <w:r w:rsidRPr="00A60873">
        <w:t>In 201</w:t>
      </w:r>
      <w:r w:rsidR="00830C45" w:rsidRPr="00A60873">
        <w:t>7</w:t>
      </w:r>
      <w:r w:rsidR="008817BB" w:rsidRPr="00A60873">
        <w:noBreakHyphen/>
      </w:r>
      <w:r w:rsidRPr="00A60873">
        <w:t>1</w:t>
      </w:r>
      <w:r w:rsidR="00830C45" w:rsidRPr="00A60873">
        <w:t>8</w:t>
      </w:r>
      <w:r w:rsidRPr="00A60873">
        <w:t xml:space="preserve">, real recurrent </w:t>
      </w:r>
      <w:r w:rsidR="00D6614D" w:rsidRPr="00A60873">
        <w:t xml:space="preserve">expenditure on </w:t>
      </w:r>
      <w:r w:rsidR="005D7D32" w:rsidRPr="00A60873">
        <w:t xml:space="preserve">all </w:t>
      </w:r>
      <w:r w:rsidR="00D6614D" w:rsidRPr="00A60873">
        <w:t>child protection</w:t>
      </w:r>
      <w:r w:rsidR="005D7D32" w:rsidRPr="00A60873">
        <w:t xml:space="preserve"> services</w:t>
      </w:r>
      <w:r w:rsidR="00D6614D" w:rsidRPr="00A60873">
        <w:t xml:space="preserve"> per child aged </w:t>
      </w:r>
      <w:r w:rsidR="00A646AE" w:rsidRPr="00A60873">
        <w:br/>
      </w:r>
      <w:r w:rsidR="00D6614D" w:rsidRPr="00A60873">
        <w:t xml:space="preserve">0–17 </w:t>
      </w:r>
      <w:r w:rsidR="00A646AE" w:rsidRPr="00A60873">
        <w:t xml:space="preserve">years </w:t>
      </w:r>
      <w:r w:rsidR="00D6614D" w:rsidRPr="00A60873">
        <w:t xml:space="preserve">in the </w:t>
      </w:r>
      <w:r w:rsidR="00D6614D" w:rsidRPr="00770430">
        <w:t>population was $</w:t>
      </w:r>
      <w:r w:rsidR="00FE775D" w:rsidRPr="00770430">
        <w:t>10</w:t>
      </w:r>
      <w:r w:rsidR="007A67E1" w:rsidRPr="00770430">
        <w:t>5</w:t>
      </w:r>
      <w:r w:rsidR="00FE775D" w:rsidRPr="00770430">
        <w:t>5</w:t>
      </w:r>
      <w:r w:rsidR="00D6614D" w:rsidRPr="00770430">
        <w:t xml:space="preserve"> nationally</w:t>
      </w:r>
      <w:r w:rsidR="00D6614D" w:rsidRPr="00A60873">
        <w:t xml:space="preserve"> (figure</w:t>
      </w:r>
      <w:r w:rsidR="009D4A68" w:rsidRPr="00033816">
        <w:t xml:space="preserve"> 16.2</w:t>
      </w:r>
      <w:r w:rsidR="005D7D32" w:rsidRPr="00033816">
        <w:t>).</w:t>
      </w:r>
    </w:p>
    <w:p w14:paraId="3E4FD9D3" w14:textId="36DAA935" w:rsidR="00D6614D" w:rsidRPr="00033816" w:rsidRDefault="00D661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6614D" w:rsidRPr="00033816" w14:paraId="5AB5CFAD" w14:textId="77777777" w:rsidTr="00C15638">
        <w:trPr>
          <w:tblHeader/>
        </w:trPr>
        <w:tc>
          <w:tcPr>
            <w:tcW w:w="8789" w:type="dxa"/>
            <w:tcBorders>
              <w:top w:val="single" w:sz="6" w:space="0" w:color="78A22F"/>
              <w:left w:val="nil"/>
              <w:bottom w:val="nil"/>
              <w:right w:val="nil"/>
            </w:tcBorders>
            <w:shd w:val="clear" w:color="auto" w:fill="auto"/>
          </w:tcPr>
          <w:p w14:paraId="18644B9F" w14:textId="5671B05A" w:rsidR="00D6614D" w:rsidRPr="00033816" w:rsidRDefault="00D6614D" w:rsidP="00770430">
            <w:pPr>
              <w:pStyle w:val="FigureTitle"/>
            </w:pPr>
            <w:r w:rsidRPr="00033816">
              <w:rPr>
                <w:b w:val="0"/>
              </w:rPr>
              <w:t>Figure</w:t>
            </w:r>
            <w:r w:rsidR="009D4A68" w:rsidRPr="00033816">
              <w:rPr>
                <w:b w:val="0"/>
              </w:rPr>
              <w:t xml:space="preserve"> 16.2</w:t>
            </w:r>
            <w:r w:rsidRPr="00033816">
              <w:tab/>
              <w:t>Total real recurrent expenditure on all child protection services, per child (</w:t>
            </w:r>
            <w:r w:rsidR="00830C45">
              <w:t>2017</w:t>
            </w:r>
            <w:r w:rsidR="004F6E3D" w:rsidRPr="00033816">
              <w:noBreakHyphen/>
            </w:r>
            <w:r w:rsidR="006D3A4B" w:rsidRPr="00033816">
              <w:t>1</w:t>
            </w:r>
            <w:r w:rsidR="00830C45">
              <w:t>8</w:t>
            </w:r>
            <w:r w:rsidRPr="00033816">
              <w:t xml:space="preserve"> dollars)</w:t>
            </w:r>
            <w:r w:rsidRPr="00033816">
              <w:rPr>
                <w:rStyle w:val="NoteLabel"/>
                <w:b/>
              </w:rPr>
              <w:t>a</w:t>
            </w:r>
          </w:p>
        </w:tc>
      </w:tr>
      <w:tr w:rsidR="00D6614D" w:rsidRPr="00033816" w14:paraId="32C7B1FE" w14:textId="77777777" w:rsidTr="00C15638">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D6614D" w:rsidRPr="00033816" w14:paraId="211359FE" w14:textId="77777777" w:rsidTr="00960687">
              <w:trPr>
                <w:trHeight w:val="4252"/>
                <w:tblHeader/>
                <w:jc w:val="center"/>
              </w:trPr>
              <w:tc>
                <w:tcPr>
                  <w:tcW w:w="8504" w:type="dxa"/>
                </w:tcPr>
                <w:p w14:paraId="0BED138A" w14:textId="6A60157F" w:rsidR="00D6614D" w:rsidRPr="00033816" w:rsidRDefault="00ED6BE7" w:rsidP="00770430">
                  <w:pPr>
                    <w:pStyle w:val="Figure"/>
                    <w:spacing w:before="60" w:after="60"/>
                    <w:rPr>
                      <w:rFonts w:ascii="Arial" w:hAnsi="Arial" w:cs="Arial"/>
                      <w:sz w:val="18"/>
                      <w:szCs w:val="18"/>
                    </w:rPr>
                  </w:pPr>
                  <w:r>
                    <w:rPr>
                      <w:noProof/>
                    </w:rPr>
                    <w:drawing>
                      <wp:inline distT="0" distB="0" distL="0" distR="0" wp14:anchorId="0325A73F" wp14:editId="607F5552">
                        <wp:extent cx="5262880" cy="2648585"/>
                        <wp:effectExtent l="0" t="0" r="0" b="0"/>
                        <wp:docPr id="2" name="Chart 2" descr="Figure 16.2 Total real recurrent expenditure on all child protection services, per child (2017-18 dollar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7E703C56" w14:textId="77777777" w:rsidR="00D6614D" w:rsidRPr="00033816" w:rsidRDefault="00D6614D" w:rsidP="00770430">
            <w:pPr>
              <w:pStyle w:val="Figure"/>
            </w:pPr>
          </w:p>
        </w:tc>
      </w:tr>
      <w:tr w:rsidR="00D6614D" w:rsidRPr="00033816" w14:paraId="668F6788" w14:textId="77777777" w:rsidTr="00C15638">
        <w:tc>
          <w:tcPr>
            <w:tcW w:w="8789" w:type="dxa"/>
            <w:tcBorders>
              <w:top w:val="nil"/>
              <w:left w:val="nil"/>
              <w:bottom w:val="nil"/>
              <w:right w:val="nil"/>
            </w:tcBorders>
            <w:shd w:val="clear" w:color="auto" w:fill="auto"/>
          </w:tcPr>
          <w:p w14:paraId="320435C4" w14:textId="7EA2610E" w:rsidR="00D6614D" w:rsidRPr="00033816" w:rsidRDefault="00D6614D" w:rsidP="00770430">
            <w:pPr>
              <w:pStyle w:val="Note"/>
            </w:pPr>
            <w:r w:rsidRPr="00033816">
              <w:rPr>
                <w:rStyle w:val="NoteLabel"/>
              </w:rPr>
              <w:t>a</w:t>
            </w:r>
            <w:r w:rsidR="004B7C23" w:rsidRPr="00033816">
              <w:t xml:space="preserve"> See</w:t>
            </w:r>
            <w:r w:rsidR="001378E8" w:rsidRPr="00033816">
              <w:t xml:space="preserve"> table </w:t>
            </w:r>
            <w:proofErr w:type="spellStart"/>
            <w:r w:rsidR="001378E8" w:rsidRPr="00033816">
              <w:t>16A.</w:t>
            </w:r>
            <w:r w:rsidR="009312EF">
              <w:t>7</w:t>
            </w:r>
            <w:proofErr w:type="spellEnd"/>
            <w:r w:rsidRPr="00033816">
              <w:t xml:space="preserve"> </w:t>
            </w:r>
            <w:r w:rsidR="005D7D32" w:rsidRPr="00033816">
              <w:t>for detailed footnotes</w:t>
            </w:r>
            <w:r w:rsidR="00830C45">
              <w:t xml:space="preserve"> </w:t>
            </w:r>
            <w:r w:rsidR="00B53AFC" w:rsidRPr="00033816">
              <w:t xml:space="preserve">and </w:t>
            </w:r>
            <w:r w:rsidR="005D7D32" w:rsidRPr="00033816">
              <w:t>caveats.</w:t>
            </w:r>
          </w:p>
        </w:tc>
      </w:tr>
      <w:tr w:rsidR="00D6614D" w:rsidRPr="00033816" w14:paraId="28DA5385" w14:textId="77777777" w:rsidTr="00C15638">
        <w:tc>
          <w:tcPr>
            <w:tcW w:w="8789" w:type="dxa"/>
            <w:tcBorders>
              <w:top w:val="nil"/>
              <w:left w:val="nil"/>
              <w:bottom w:val="nil"/>
              <w:right w:val="nil"/>
            </w:tcBorders>
            <w:shd w:val="clear" w:color="auto" w:fill="auto"/>
          </w:tcPr>
          <w:p w14:paraId="2683C99D" w14:textId="6AA6A3B6" w:rsidR="00D6614D" w:rsidRPr="00033816" w:rsidRDefault="00A646AE" w:rsidP="00770430">
            <w:pPr>
              <w:pStyle w:val="Source"/>
            </w:pPr>
            <w:r w:rsidRPr="00033816">
              <w:rPr>
                <w:i/>
              </w:rPr>
              <w:t>S</w:t>
            </w:r>
            <w:r w:rsidR="00D6614D" w:rsidRPr="00033816">
              <w:rPr>
                <w:i/>
              </w:rPr>
              <w:t>ource</w:t>
            </w:r>
            <w:r w:rsidR="00D6614D" w:rsidRPr="00033816">
              <w:t xml:space="preserve">: </w:t>
            </w:r>
            <w:r w:rsidR="005D7D32" w:rsidRPr="00033816">
              <w:t>State and Territory govern</w:t>
            </w:r>
            <w:r w:rsidR="001378E8" w:rsidRPr="00033816">
              <w:t xml:space="preserve">ments (unpublished); table </w:t>
            </w:r>
            <w:proofErr w:type="spellStart"/>
            <w:r w:rsidR="001378E8" w:rsidRPr="00033816">
              <w:t>16A.</w:t>
            </w:r>
            <w:r w:rsidR="009312EF">
              <w:t>7</w:t>
            </w:r>
            <w:proofErr w:type="spellEnd"/>
            <w:r w:rsidR="005D7D32" w:rsidRPr="00033816">
              <w:t>.</w:t>
            </w:r>
          </w:p>
        </w:tc>
      </w:tr>
      <w:tr w:rsidR="00D6614D" w:rsidRPr="00033816" w14:paraId="7F419288" w14:textId="77777777" w:rsidTr="00C15638">
        <w:tc>
          <w:tcPr>
            <w:tcW w:w="8789" w:type="dxa"/>
            <w:tcBorders>
              <w:top w:val="nil"/>
              <w:left w:val="nil"/>
              <w:bottom w:val="single" w:sz="6" w:space="0" w:color="78A22F"/>
              <w:right w:val="nil"/>
            </w:tcBorders>
            <w:shd w:val="clear" w:color="auto" w:fill="auto"/>
          </w:tcPr>
          <w:p w14:paraId="5AC2D3BB" w14:textId="77777777" w:rsidR="00D6614D" w:rsidRPr="00033816" w:rsidRDefault="00D6614D" w:rsidP="00770430">
            <w:pPr>
              <w:pStyle w:val="Figurespace"/>
            </w:pPr>
          </w:p>
        </w:tc>
      </w:tr>
      <w:tr w:rsidR="00D6614D" w:rsidRPr="00033816" w14:paraId="2DB07D3F" w14:textId="77777777" w:rsidTr="00C15638">
        <w:tc>
          <w:tcPr>
            <w:tcW w:w="8789" w:type="dxa"/>
            <w:tcBorders>
              <w:top w:val="single" w:sz="6" w:space="0" w:color="78A22F"/>
              <w:left w:val="nil"/>
              <w:bottom w:val="nil"/>
              <w:right w:val="nil"/>
            </w:tcBorders>
          </w:tcPr>
          <w:p w14:paraId="119F774D" w14:textId="7D9A18C9" w:rsidR="00D6614D" w:rsidRPr="00033816" w:rsidRDefault="00D6614D" w:rsidP="00770430">
            <w:pPr>
              <w:pStyle w:val="BoxSpaceBelow"/>
            </w:pPr>
          </w:p>
        </w:tc>
      </w:tr>
    </w:tbl>
    <w:p w14:paraId="66C19D2C" w14:textId="53798264" w:rsidR="00BB745C" w:rsidRPr="00033816" w:rsidRDefault="001E4E00" w:rsidP="00770430">
      <w:pPr>
        <w:pStyle w:val="BodyText"/>
      </w:pPr>
      <w:r w:rsidRPr="00033816">
        <w:t>D</w:t>
      </w:r>
      <w:r w:rsidR="00DE7FDD" w:rsidRPr="00033816">
        <w:t>ifferences across jurisdictions in the calculation of child protection expenditure</w:t>
      </w:r>
      <w:r w:rsidR="00646276" w:rsidRPr="00033816">
        <w:t xml:space="preserve"> </w:t>
      </w:r>
      <w:r w:rsidRPr="00033816">
        <w:t xml:space="preserve">are listed in </w:t>
      </w:r>
      <w:r w:rsidR="00646276" w:rsidRPr="00033816">
        <w:t>t</w:t>
      </w:r>
      <w:r w:rsidR="00DE7FDD" w:rsidRPr="00033816">
        <w:t xml:space="preserve">able </w:t>
      </w:r>
      <w:proofErr w:type="spellStart"/>
      <w:r w:rsidR="00DE7FDD" w:rsidRPr="00033816">
        <w:t>16A.</w:t>
      </w:r>
      <w:r w:rsidR="009312EF">
        <w:t>8</w:t>
      </w:r>
      <w:proofErr w:type="spellEnd"/>
      <w:r w:rsidR="00DE7FDD" w:rsidRPr="00033816">
        <w:t xml:space="preserve">. </w:t>
      </w:r>
    </w:p>
    <w:p w14:paraId="2CB77F2C" w14:textId="796BF376" w:rsidR="006842D6" w:rsidRPr="00033816" w:rsidRDefault="00DC383D" w:rsidP="00770430">
      <w:pPr>
        <w:pStyle w:val="Heading2"/>
      </w:pPr>
      <w:bookmarkStart w:id="22" w:name="_Toc464459207"/>
      <w:bookmarkStart w:id="23" w:name="_Toc494980930"/>
      <w:bookmarkStart w:id="24" w:name="_Toc524611006"/>
      <w:r>
        <w:lastRenderedPageBreak/>
        <w:t>16.</w:t>
      </w:r>
      <w:r>
        <w:rPr>
          <w:noProof/>
        </w:rPr>
        <w:t>2</w:t>
      </w:r>
      <w:r w:rsidR="00B144C3" w:rsidRPr="00033816">
        <w:tab/>
      </w:r>
      <w:r w:rsidR="006842D6" w:rsidRPr="00033816">
        <w:t>Framework of performance indicators</w:t>
      </w:r>
      <w:bookmarkEnd w:id="21"/>
      <w:bookmarkEnd w:id="22"/>
      <w:bookmarkEnd w:id="23"/>
      <w:bookmarkEnd w:id="24"/>
    </w:p>
    <w:p w14:paraId="16967AD3" w14:textId="619C2F41" w:rsidR="006842D6" w:rsidRPr="00033816" w:rsidRDefault="006842D6" w:rsidP="00770430">
      <w:pPr>
        <w:pStyle w:val="BodyText"/>
      </w:pPr>
      <w:r w:rsidRPr="00033816">
        <w:t>The framework of performance indicators for child protection services is based on shared government objectives (box</w:t>
      </w:r>
      <w:r w:rsidR="00830C45">
        <w:t xml:space="preserve"> </w:t>
      </w:r>
      <w:r w:rsidR="00526008">
        <w:t>16.1</w:t>
      </w:r>
      <w:r w:rsidRPr="00033816">
        <w:t>).</w:t>
      </w:r>
    </w:p>
    <w:p w14:paraId="25F2C134" w14:textId="53D8B8ED" w:rsidR="00023DD4" w:rsidRPr="00033816"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033816" w14:paraId="00DB455E" w14:textId="77777777" w:rsidTr="003319E5">
        <w:tc>
          <w:tcPr>
            <w:tcW w:w="8789" w:type="dxa"/>
            <w:tcBorders>
              <w:top w:val="single" w:sz="6" w:space="0" w:color="78A22F"/>
              <w:left w:val="nil"/>
              <w:bottom w:val="nil"/>
              <w:right w:val="nil"/>
            </w:tcBorders>
            <w:shd w:val="clear" w:color="auto" w:fill="F2F2F2" w:themeFill="background1" w:themeFillShade="F2"/>
          </w:tcPr>
          <w:p w14:paraId="6CEAA57B" w14:textId="3A0D546B" w:rsidR="00023DD4" w:rsidRPr="00033816" w:rsidRDefault="00023DD4" w:rsidP="00770430">
            <w:pPr>
              <w:pStyle w:val="BoxTitle"/>
            </w:pPr>
            <w:r w:rsidRPr="00033816">
              <w:rPr>
                <w:b w:val="0"/>
              </w:rPr>
              <w:t>Box</w:t>
            </w:r>
            <w:r w:rsidR="00E16977" w:rsidRPr="00033816">
              <w:rPr>
                <w:b w:val="0"/>
              </w:rPr>
              <w:t xml:space="preserve"> </w:t>
            </w:r>
            <w:bookmarkStart w:id="25" w:name="OLE_LINK8"/>
            <w:r w:rsidR="00DC383D" w:rsidRPr="00E95100">
              <w:rPr>
                <w:b w:val="0"/>
              </w:rPr>
              <w:t>16.1</w:t>
            </w:r>
            <w:bookmarkEnd w:id="25"/>
            <w:r w:rsidR="00313A1C" w:rsidRPr="00033816">
              <w:tab/>
            </w:r>
            <w:r w:rsidRPr="00033816">
              <w:t>Objectives for child protection services</w:t>
            </w:r>
          </w:p>
        </w:tc>
      </w:tr>
      <w:tr w:rsidR="00023DD4" w:rsidRPr="00033816" w14:paraId="183D7A5D" w14:textId="77777777" w:rsidTr="003319E5">
        <w:trPr>
          <w:cantSplit/>
        </w:trPr>
        <w:tc>
          <w:tcPr>
            <w:tcW w:w="8789" w:type="dxa"/>
            <w:tcBorders>
              <w:top w:val="nil"/>
              <w:left w:val="nil"/>
              <w:bottom w:val="nil"/>
              <w:right w:val="nil"/>
            </w:tcBorders>
            <w:shd w:val="clear" w:color="auto" w:fill="F2F2F2" w:themeFill="background1" w:themeFillShade="F2"/>
          </w:tcPr>
          <w:p w14:paraId="7700C6FD" w14:textId="77777777" w:rsidR="00646276" w:rsidRPr="00033816" w:rsidRDefault="009F31F5" w:rsidP="00770430">
            <w:pPr>
              <w:pStyle w:val="Box"/>
            </w:pPr>
            <w:r w:rsidRPr="00033816">
              <w:t>Child protection services aim to promote child and family wellbeing by</w:t>
            </w:r>
            <w:r w:rsidR="00646276" w:rsidRPr="00033816">
              <w:t>:</w:t>
            </w:r>
            <w:r w:rsidRPr="00033816">
              <w:t xml:space="preserve"> </w:t>
            </w:r>
          </w:p>
          <w:p w14:paraId="73DEDFAE" w14:textId="77777777" w:rsidR="00646276" w:rsidRPr="00033816" w:rsidRDefault="009F31F5" w:rsidP="00770430">
            <w:pPr>
              <w:pStyle w:val="BoxListBullet"/>
            </w:pPr>
            <w:r w:rsidRPr="00033816">
              <w:t>enabling families</w:t>
            </w:r>
            <w:r w:rsidR="00A56BB5" w:rsidRPr="00033816">
              <w:t xml:space="preserve"> to care for</w:t>
            </w:r>
            <w:r w:rsidR="00646276" w:rsidRPr="00033816">
              <w:t>,</w:t>
            </w:r>
            <w:r w:rsidR="00A56BB5" w:rsidRPr="00033816">
              <w:t xml:space="preserve"> and protect</w:t>
            </w:r>
            <w:r w:rsidR="00646276" w:rsidRPr="00033816">
              <w:t>,</w:t>
            </w:r>
            <w:r w:rsidR="00A56BB5" w:rsidRPr="00033816">
              <w:t xml:space="preserve"> children and young people </w:t>
            </w:r>
          </w:p>
          <w:p w14:paraId="483800AF" w14:textId="28A9BCB5" w:rsidR="00646276" w:rsidRPr="00033816" w:rsidRDefault="00A56BB5" w:rsidP="00770430">
            <w:pPr>
              <w:pStyle w:val="BoxListBullet"/>
            </w:pPr>
            <w:r w:rsidRPr="00033816">
              <w:t xml:space="preserve">protecting children and young people who are at risk of abuse and neglect within their families or whose families do not have the capacity </w:t>
            </w:r>
            <w:r w:rsidR="001D5223" w:rsidRPr="00033816">
              <w:t>to provide care and protection</w:t>
            </w:r>
          </w:p>
          <w:p w14:paraId="277F17C3" w14:textId="77777777" w:rsidR="00A56BB5" w:rsidRPr="00033816" w:rsidRDefault="00A56BB5" w:rsidP="00770430">
            <w:pPr>
              <w:pStyle w:val="BoxListBullet"/>
            </w:pPr>
            <w:r w:rsidRPr="00033816">
              <w:t>supporting children and young people in the child protection system to reach their potential.</w:t>
            </w:r>
          </w:p>
          <w:p w14:paraId="51BF53AE" w14:textId="77777777" w:rsidR="00192CAF" w:rsidRPr="00033816" w:rsidRDefault="00A56BB5" w:rsidP="00770430">
            <w:pPr>
              <w:pStyle w:val="Box"/>
            </w:pPr>
            <w:r w:rsidRPr="00033816">
              <w:t xml:space="preserve">To achieve these aims, </w:t>
            </w:r>
            <w:r w:rsidR="00AE213B" w:rsidRPr="00033816">
              <w:t>g</w:t>
            </w:r>
            <w:r w:rsidRPr="00033816">
              <w:t xml:space="preserve">overnments seek to provide child protection services that: </w:t>
            </w:r>
          </w:p>
          <w:p w14:paraId="33FA0AC3" w14:textId="77777777" w:rsidR="00A56BB5" w:rsidRPr="00033816" w:rsidRDefault="00A56BB5" w:rsidP="00770430">
            <w:pPr>
              <w:pStyle w:val="BoxListBullet"/>
            </w:pPr>
            <w:r w:rsidRPr="00033816">
              <w:t>are responsive, ensuring that notifications are responded to, and investigations are completed, in a timely and appropriate manner</w:t>
            </w:r>
          </w:p>
          <w:p w14:paraId="1A7B986F" w14:textId="77777777" w:rsidR="00A56BB5" w:rsidRPr="00033816" w:rsidRDefault="00A56BB5" w:rsidP="00770430">
            <w:pPr>
              <w:pStyle w:val="BoxListBullet"/>
            </w:pPr>
            <w:r w:rsidRPr="00033816">
              <w:t>are targeted to children and young people who are at greatest risk</w:t>
            </w:r>
          </w:p>
          <w:p w14:paraId="129399A4" w14:textId="77777777" w:rsidR="00A56BB5" w:rsidRPr="00033816" w:rsidRDefault="00A56BB5" w:rsidP="00770430">
            <w:pPr>
              <w:pStyle w:val="BoxListBullet"/>
            </w:pPr>
            <w:r w:rsidRPr="00033816">
              <w:t xml:space="preserve">support and strengthen families so that children can live in a safe and stable family environment </w:t>
            </w:r>
          </w:p>
          <w:p w14:paraId="4379EEB6" w14:textId="77777777" w:rsidR="00A56BB5" w:rsidRPr="00033816" w:rsidRDefault="00A56BB5" w:rsidP="00770430">
            <w:pPr>
              <w:pStyle w:val="BoxListBullet"/>
            </w:pPr>
            <w:r w:rsidRPr="00033816">
              <w:t>provide quality care for children and young people aged 0</w:t>
            </w:r>
            <w:r w:rsidR="00192CAF" w:rsidRPr="00033816">
              <w:t>–</w:t>
            </w:r>
            <w:r w:rsidRPr="00033816">
              <w:t>17 years who cannot live with their parents for reasons of safety or family crisis, with an emphasis on safety, stability and permanency in children's living arrangements</w:t>
            </w:r>
          </w:p>
          <w:p w14:paraId="37C7968E" w14:textId="77777777" w:rsidR="00A56BB5" w:rsidRPr="00033816" w:rsidRDefault="00A56BB5" w:rsidP="00770430">
            <w:pPr>
              <w:pStyle w:val="BoxListBullet"/>
            </w:pPr>
            <w:r w:rsidRPr="00033816">
              <w:t xml:space="preserve">meet the needs of individual children and young people in the child protection system. </w:t>
            </w:r>
          </w:p>
          <w:p w14:paraId="7EE7A8A3" w14:textId="77777777" w:rsidR="00023DD4" w:rsidRPr="00033816" w:rsidRDefault="00A56BB5" w:rsidP="00770430">
            <w:pPr>
              <w:pStyle w:val="Box"/>
            </w:pPr>
            <w:r w:rsidRPr="00033816">
              <w:t>Governments aim for child protection services to meet these objectives in an equitable and efficient manner.</w:t>
            </w:r>
          </w:p>
        </w:tc>
      </w:tr>
      <w:tr w:rsidR="00023DD4" w:rsidRPr="00033816" w14:paraId="5DC4E98A" w14:textId="77777777" w:rsidTr="003319E5">
        <w:trPr>
          <w:cantSplit/>
        </w:trPr>
        <w:tc>
          <w:tcPr>
            <w:tcW w:w="8789" w:type="dxa"/>
            <w:tcBorders>
              <w:top w:val="nil"/>
              <w:left w:val="nil"/>
              <w:bottom w:val="single" w:sz="6" w:space="0" w:color="78A22F"/>
              <w:right w:val="nil"/>
            </w:tcBorders>
            <w:shd w:val="clear" w:color="auto" w:fill="F2F2F2" w:themeFill="background1" w:themeFillShade="F2"/>
          </w:tcPr>
          <w:p w14:paraId="098C1316" w14:textId="77777777" w:rsidR="00023DD4" w:rsidRPr="00033816" w:rsidRDefault="00023DD4" w:rsidP="00770430">
            <w:pPr>
              <w:pStyle w:val="Box"/>
              <w:spacing w:before="0" w:line="120" w:lineRule="exact"/>
            </w:pPr>
          </w:p>
        </w:tc>
      </w:tr>
      <w:tr w:rsidR="00023DD4" w:rsidRPr="00033816" w14:paraId="48630E9C" w14:textId="77777777" w:rsidTr="003319E5">
        <w:tc>
          <w:tcPr>
            <w:tcW w:w="8789" w:type="dxa"/>
            <w:tcBorders>
              <w:top w:val="single" w:sz="6" w:space="0" w:color="78A22F"/>
              <w:left w:val="nil"/>
              <w:bottom w:val="nil"/>
              <w:right w:val="nil"/>
            </w:tcBorders>
          </w:tcPr>
          <w:p w14:paraId="664035F6" w14:textId="3C3B2F7E" w:rsidR="00023DD4" w:rsidRPr="00033816" w:rsidRDefault="00023DD4" w:rsidP="00770430">
            <w:pPr>
              <w:pStyle w:val="BoxSpaceBelow"/>
            </w:pPr>
          </w:p>
        </w:tc>
      </w:tr>
    </w:tbl>
    <w:p w14:paraId="1B345443" w14:textId="1F45615B" w:rsidR="009176D2" w:rsidRPr="00033816" w:rsidRDefault="00452A78" w:rsidP="00770430">
      <w:pPr>
        <w:pStyle w:val="BodyText"/>
      </w:pPr>
      <w:r w:rsidRPr="00033816">
        <w:t>The performance indicator framework provides information on equity, efficiency and effectiveness, and distinguishes the outputs and outcomes of child protection services (figure</w:t>
      </w:r>
      <w:r w:rsidR="00BD0D42" w:rsidRPr="00033816">
        <w:t> </w:t>
      </w:r>
      <w:r w:rsidR="009D4A68" w:rsidRPr="00033816">
        <w:t>16.3</w:t>
      </w:r>
      <w:r w:rsidR="00F67B4F" w:rsidRPr="00033816">
        <w:rPr>
          <w:noProof/>
        </w:rPr>
        <w:t>)</w:t>
      </w:r>
      <w:r w:rsidRPr="00033816">
        <w:t xml:space="preserve">. </w:t>
      </w:r>
    </w:p>
    <w:p w14:paraId="41913CCC" w14:textId="72E241C8" w:rsidR="00F01897" w:rsidRPr="00033816" w:rsidRDefault="00F01897" w:rsidP="00770430">
      <w:pPr>
        <w:pStyle w:val="BodyText"/>
      </w:pPr>
      <w:r w:rsidRPr="00033816">
        <w:t>The performance indicator framework shows which data are complete and comparable in the 201</w:t>
      </w:r>
      <w:r w:rsidR="00830C45">
        <w:t>9</w:t>
      </w:r>
      <w:r w:rsidRPr="00033816">
        <w:t xml:space="preserve"> Report. For data that are not directly comparable, text includes relevant caveats and supporting commentary. Chapter</w:t>
      </w:r>
      <w:r w:rsidR="001D6158" w:rsidRPr="00033816">
        <w:t> 1 discusses data comparability,</w:t>
      </w:r>
      <w:r w:rsidRPr="00033816">
        <w:t xml:space="preserve"> data completeness</w:t>
      </w:r>
      <w:r w:rsidR="001D6158" w:rsidRPr="00033816">
        <w:t xml:space="preserve"> and </w:t>
      </w:r>
      <w:r w:rsidR="00852D4B" w:rsidRPr="00033816">
        <w:t xml:space="preserve">information on </w:t>
      </w:r>
      <w:r w:rsidR="001D6158" w:rsidRPr="00033816">
        <w:t>data quality</w:t>
      </w:r>
      <w:r w:rsidRPr="00033816">
        <w:t xml:space="preserve"> from a Report</w:t>
      </w:r>
      <w:r w:rsidR="008817BB" w:rsidRPr="00033816">
        <w:noBreakHyphen/>
      </w:r>
      <w:r w:rsidRPr="00033816">
        <w:t>w</w:t>
      </w:r>
      <w:r w:rsidR="007210C5" w:rsidRPr="00033816">
        <w:t>ide</w:t>
      </w:r>
      <w:r w:rsidR="00517658" w:rsidRPr="00033816">
        <w:t xml:space="preserve"> perspective</w:t>
      </w:r>
      <w:r w:rsidRPr="00033816">
        <w:t xml:space="preserve">. </w:t>
      </w:r>
      <w:r w:rsidRPr="00033816">
        <w:rPr>
          <w:szCs w:val="26"/>
        </w:rPr>
        <w:t>In addition to section 16.1, the Report’s statistical context chapter</w:t>
      </w:r>
      <w:r w:rsidR="00DE7FDD" w:rsidRPr="00033816">
        <w:rPr>
          <w:szCs w:val="26"/>
        </w:rPr>
        <w:t xml:space="preserve"> (chapter 2)</w:t>
      </w:r>
      <w:r w:rsidRPr="00033816">
        <w:rPr>
          <w:szCs w:val="26"/>
        </w:rPr>
        <w:t xml:space="preserve"> contains data that may assist in interpreting the performance indica</w:t>
      </w:r>
      <w:r w:rsidR="00DE7FDD" w:rsidRPr="00033816">
        <w:rPr>
          <w:szCs w:val="26"/>
        </w:rPr>
        <w:t>tors presented in this chapter.</w:t>
      </w:r>
      <w:r w:rsidR="001E4E00" w:rsidRPr="00033816">
        <w:rPr>
          <w:szCs w:val="26"/>
        </w:rPr>
        <w:t xml:space="preserve"> Chapters 1 and 2 are available from the website at </w:t>
      </w:r>
      <w:proofErr w:type="spellStart"/>
      <w:r w:rsidR="004C565D" w:rsidRPr="004C565D">
        <w:t>www.pc.gov.au</w:t>
      </w:r>
      <w:proofErr w:type="spellEnd"/>
      <w:r w:rsidR="004C565D" w:rsidRPr="004C565D">
        <w:t>/research/ongoing/report-on-government-services</w:t>
      </w:r>
      <w:r w:rsidR="001E4E00" w:rsidRPr="00033816">
        <w:rPr>
          <w:szCs w:val="26"/>
        </w:rPr>
        <w:t>.</w:t>
      </w:r>
    </w:p>
    <w:p w14:paraId="61F9D04C" w14:textId="0DC0A897" w:rsidR="00F01897" w:rsidRPr="00033816" w:rsidRDefault="00F01897" w:rsidP="00770430">
      <w:pPr>
        <w:pStyle w:val="BodyText"/>
      </w:pPr>
      <w:r w:rsidRPr="00033816">
        <w:t xml:space="preserve">Improvements to performance reporting for child protection services are ongoing and include identifying </w:t>
      </w:r>
      <w:r w:rsidR="005625FD" w:rsidRPr="00033816">
        <w:t xml:space="preserve">data sources </w:t>
      </w:r>
      <w:r w:rsidRPr="00033816">
        <w:t>to fill gaps in r</w:t>
      </w:r>
      <w:r w:rsidR="00DE7FDD" w:rsidRPr="00033816">
        <w:t xml:space="preserve">eporting </w:t>
      </w:r>
      <w:r w:rsidR="005625FD" w:rsidRPr="00033816">
        <w:t>for performance indicators and measures</w:t>
      </w:r>
      <w:r w:rsidR="00656180" w:rsidRPr="00033816">
        <w:t>,</w:t>
      </w:r>
      <w:r w:rsidR="005625FD" w:rsidRPr="00033816">
        <w:t xml:space="preserve"> </w:t>
      </w:r>
      <w:r w:rsidR="00DE7FDD" w:rsidRPr="00033816">
        <w:t>and</w:t>
      </w:r>
      <w:r w:rsidRPr="00033816">
        <w:t xml:space="preserve"> improving the comparability and completeness of data.</w:t>
      </w:r>
    </w:p>
    <w:p w14:paraId="47B8CF3F" w14:textId="77777777" w:rsidR="00192CAF" w:rsidRPr="00033816" w:rsidRDefault="00192CAF" w:rsidP="00770430">
      <w:pPr>
        <w:rPr>
          <w:b/>
          <w:sz w:val="14"/>
          <w:szCs w:val="20"/>
        </w:rPr>
      </w:pPr>
      <w:r w:rsidRPr="00033816">
        <w:rPr>
          <w:b/>
          <w:color w:val="FF00FF"/>
          <w:sz w:val="14"/>
        </w:rPr>
        <w:br w:type="page"/>
      </w:r>
    </w:p>
    <w:p w14:paraId="17F38359" w14:textId="398C83B7" w:rsidR="00023DD4" w:rsidRPr="00033816" w:rsidRDefault="00023DD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23DD4" w:rsidRPr="00033816" w14:paraId="263B9BB7" w14:textId="77777777" w:rsidTr="00D97DB2">
        <w:tc>
          <w:tcPr>
            <w:tcW w:w="8789" w:type="dxa"/>
            <w:tcBorders>
              <w:top w:val="single" w:sz="6" w:space="0" w:color="78A22F"/>
              <w:left w:val="nil"/>
              <w:bottom w:val="nil"/>
              <w:right w:val="nil"/>
            </w:tcBorders>
            <w:shd w:val="clear" w:color="auto" w:fill="auto"/>
          </w:tcPr>
          <w:p w14:paraId="7402B08A" w14:textId="4BCA04AF" w:rsidR="00023DD4" w:rsidRPr="00033816" w:rsidRDefault="00023DD4" w:rsidP="00770430">
            <w:pPr>
              <w:pStyle w:val="FigureTitle"/>
            </w:pPr>
            <w:r w:rsidRPr="00033816">
              <w:rPr>
                <w:b w:val="0"/>
              </w:rPr>
              <w:t>Figure</w:t>
            </w:r>
            <w:r w:rsidR="00E16977" w:rsidRPr="00033816">
              <w:rPr>
                <w:b w:val="0"/>
              </w:rPr>
              <w:t xml:space="preserve"> </w:t>
            </w:r>
            <w:r w:rsidR="009D4A68" w:rsidRPr="00033816">
              <w:rPr>
                <w:b w:val="0"/>
              </w:rPr>
              <w:t>16.3</w:t>
            </w:r>
            <w:r w:rsidRPr="00033816">
              <w:tab/>
              <w:t>Child protection services performance indicator framework</w:t>
            </w:r>
          </w:p>
        </w:tc>
      </w:tr>
      <w:tr w:rsidR="00023DD4" w:rsidRPr="00033816" w14:paraId="7177BAFE" w14:textId="77777777" w:rsidTr="00D97DB2">
        <w:tc>
          <w:tcPr>
            <w:tcW w:w="8789" w:type="dxa"/>
            <w:tcBorders>
              <w:top w:val="nil"/>
              <w:left w:val="nil"/>
              <w:bottom w:val="nil"/>
              <w:right w:val="nil"/>
            </w:tcBorders>
            <w:shd w:val="clear" w:color="auto" w:fill="auto"/>
            <w:tcMar>
              <w:top w:w="28" w:type="dxa"/>
              <w:bottom w:w="28" w:type="dxa"/>
            </w:tcMar>
          </w:tcPr>
          <w:tbl>
            <w:tblPr>
              <w:tblW w:w="5000" w:type="pct"/>
              <w:tblLayout w:type="fixed"/>
              <w:tblCellMar>
                <w:top w:w="28" w:type="dxa"/>
                <w:left w:w="0" w:type="dxa"/>
                <w:right w:w="0" w:type="dxa"/>
              </w:tblCellMar>
              <w:tblLook w:val="0000" w:firstRow="0" w:lastRow="0" w:firstColumn="0" w:lastColumn="0" w:noHBand="0" w:noVBand="0"/>
            </w:tblPr>
            <w:tblGrid>
              <w:gridCol w:w="8505"/>
            </w:tblGrid>
            <w:tr w:rsidR="00023DD4" w:rsidRPr="00033816" w14:paraId="1B12E23A" w14:textId="77777777" w:rsidTr="003319E5">
              <w:trPr>
                <w:trHeight w:val="8772"/>
              </w:trPr>
              <w:tc>
                <w:tcPr>
                  <w:tcW w:w="5000" w:type="pct"/>
                </w:tcPr>
                <w:p w14:paraId="57D17F70" w14:textId="0358E204" w:rsidR="00023DD4" w:rsidRPr="00033816" w:rsidRDefault="00731720" w:rsidP="00770430">
                  <w:pPr>
                    <w:pStyle w:val="Figure"/>
                  </w:pPr>
                  <w:r w:rsidRPr="005F3C4B">
                    <w:rPr>
                      <w:noProof/>
                    </w:rPr>
                    <w:drawing>
                      <wp:inline distT="0" distB="0" distL="0" distR="0" wp14:anchorId="03E358B2" wp14:editId="0202B60D">
                        <wp:extent cx="5448300" cy="5836285"/>
                        <wp:effectExtent l="0" t="0" r="0" b="0"/>
                        <wp:docPr id="5" name="Picture 5" descr="Figure 16.3 Child protection services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468" cy="5836465"/>
                                </a:xfrm>
                                <a:prstGeom prst="rect">
                                  <a:avLst/>
                                </a:prstGeom>
                                <a:noFill/>
                                <a:ln>
                                  <a:noFill/>
                                </a:ln>
                              </pic:spPr>
                            </pic:pic>
                          </a:graphicData>
                        </a:graphic>
                      </wp:inline>
                    </w:drawing>
                  </w:r>
                </w:p>
              </w:tc>
            </w:tr>
          </w:tbl>
          <w:p w14:paraId="3E7D8C2F" w14:textId="77777777" w:rsidR="00023DD4" w:rsidRPr="00033816" w:rsidRDefault="00023DD4" w:rsidP="00770430">
            <w:pPr>
              <w:pStyle w:val="Figure"/>
            </w:pPr>
          </w:p>
        </w:tc>
      </w:tr>
      <w:tr w:rsidR="00023DD4" w:rsidRPr="00033816" w14:paraId="4F231950" w14:textId="77777777" w:rsidTr="00D97DB2">
        <w:trPr>
          <w:trHeight w:val="68"/>
        </w:trPr>
        <w:tc>
          <w:tcPr>
            <w:tcW w:w="8789" w:type="dxa"/>
            <w:tcBorders>
              <w:top w:val="nil"/>
              <w:left w:val="nil"/>
              <w:bottom w:val="single" w:sz="6" w:space="0" w:color="78A22F"/>
              <w:right w:val="nil"/>
            </w:tcBorders>
            <w:shd w:val="clear" w:color="auto" w:fill="auto"/>
          </w:tcPr>
          <w:p w14:paraId="194D8CE6" w14:textId="77777777" w:rsidR="00023DD4" w:rsidRPr="00033816" w:rsidRDefault="00023DD4" w:rsidP="00770430">
            <w:pPr>
              <w:pStyle w:val="Figurespace"/>
            </w:pPr>
          </w:p>
        </w:tc>
      </w:tr>
      <w:tr w:rsidR="00023DD4" w:rsidRPr="00033816" w14:paraId="569AE77A" w14:textId="77777777" w:rsidTr="00D97DB2">
        <w:tc>
          <w:tcPr>
            <w:tcW w:w="8789" w:type="dxa"/>
            <w:tcBorders>
              <w:top w:val="single" w:sz="6" w:space="0" w:color="78A22F"/>
              <w:left w:val="nil"/>
              <w:bottom w:val="nil"/>
              <w:right w:val="nil"/>
            </w:tcBorders>
          </w:tcPr>
          <w:p w14:paraId="108EF007" w14:textId="5EA5D7D9" w:rsidR="00023DD4" w:rsidRPr="00033816" w:rsidRDefault="00023DD4" w:rsidP="00770430">
            <w:pPr>
              <w:pStyle w:val="BoxSpaceBelow"/>
            </w:pPr>
          </w:p>
        </w:tc>
      </w:tr>
    </w:tbl>
    <w:p w14:paraId="0FAF103C" w14:textId="3EB8D40C" w:rsidR="00323C50" w:rsidRPr="00033816" w:rsidRDefault="00DC383D" w:rsidP="00770430">
      <w:pPr>
        <w:pStyle w:val="Heading2"/>
      </w:pPr>
      <w:bookmarkStart w:id="26" w:name="_Toc369851912"/>
      <w:bookmarkStart w:id="27" w:name="_Toc464459208"/>
      <w:bookmarkStart w:id="28" w:name="_Toc494980931"/>
      <w:bookmarkStart w:id="29" w:name="_Toc524611007"/>
      <w:r>
        <w:t>16.</w:t>
      </w:r>
      <w:r>
        <w:rPr>
          <w:noProof/>
        </w:rPr>
        <w:t>3</w:t>
      </w:r>
      <w:r w:rsidR="00B144C3" w:rsidRPr="00033816">
        <w:tab/>
      </w:r>
      <w:r w:rsidR="00323C50" w:rsidRPr="00033816">
        <w:t>Key performance indicator results</w:t>
      </w:r>
      <w:bookmarkEnd w:id="26"/>
      <w:bookmarkEnd w:id="27"/>
      <w:bookmarkEnd w:id="28"/>
      <w:bookmarkEnd w:id="29"/>
    </w:p>
    <w:p w14:paraId="4A0E8A44" w14:textId="164EEDA7" w:rsidR="00BD7094" w:rsidRPr="00033816" w:rsidRDefault="00323C50" w:rsidP="00770430">
      <w:pPr>
        <w:pStyle w:val="BodyText"/>
        <w:rPr>
          <w:szCs w:val="26"/>
        </w:rPr>
      </w:pPr>
      <w:r w:rsidRPr="00033816">
        <w:t>Different delivery contexts, locations an</w:t>
      </w:r>
      <w:r w:rsidR="004362DA" w:rsidRPr="00033816">
        <w:t>d clients can affect the equity</w:t>
      </w:r>
      <w:r w:rsidRPr="00033816">
        <w:t>, effectiveness and efficiency of child protection services.</w:t>
      </w:r>
      <w:r w:rsidR="00DE7FDD" w:rsidRPr="00033816">
        <w:t xml:space="preserve"> </w:t>
      </w:r>
      <w:r w:rsidR="00BD7094" w:rsidRPr="00033816">
        <w:rPr>
          <w:szCs w:val="26"/>
        </w:rPr>
        <w:t>Performance indicator results may differ from similar data included in jurisdictions’ annual reports due to different counting rules applied for jurisdictional reports.</w:t>
      </w:r>
    </w:p>
    <w:p w14:paraId="33714C12" w14:textId="77777777" w:rsidR="00260117" w:rsidRPr="00087CFE" w:rsidRDefault="00260117" w:rsidP="00770430">
      <w:pPr>
        <w:spacing w:before="240" w:after="240" w:line="300" w:lineRule="atLeast"/>
        <w:jc w:val="both"/>
        <w:rPr>
          <w:szCs w:val="20"/>
        </w:rPr>
      </w:pPr>
      <w:r w:rsidRPr="00087CFE">
        <w:rPr>
          <w:szCs w:val="20"/>
        </w:rPr>
        <w:lastRenderedPageBreak/>
        <w:t>The comparability of performance indicator results are shaded in indicator interpretation boxes, figures and chapter and attachment tables as follows:</w:t>
      </w: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087CFE" w14:paraId="0FADBDE1" w14:textId="77777777" w:rsidTr="00D97DB2">
        <w:tc>
          <w:tcPr>
            <w:tcW w:w="156" w:type="pct"/>
            <w:shd w:val="clear" w:color="auto" w:fill="auto"/>
          </w:tcPr>
          <w:p w14:paraId="1C800AC9" w14:textId="77777777" w:rsidR="00260117" w:rsidRPr="00087CFE"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772A75FE"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FD7B39"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416D0D8D" w14:textId="77777777" w:rsidR="00260117" w:rsidRPr="00087CFE" w:rsidRDefault="00260117" w:rsidP="00770430">
            <w:pPr>
              <w:pStyle w:val="TableBodyText"/>
              <w:jc w:val="left"/>
            </w:pPr>
            <w:r w:rsidRPr="00087CFE">
              <w:t>Data are comparable (subject to caveats) across jurisdictions and over time.</w:t>
            </w:r>
          </w:p>
        </w:tc>
      </w:tr>
      <w:tr w:rsidR="00260117" w:rsidRPr="00087CFE" w14:paraId="709E846E" w14:textId="77777777" w:rsidTr="00D97DB2">
        <w:tc>
          <w:tcPr>
            <w:tcW w:w="156" w:type="pct"/>
            <w:shd w:val="clear" w:color="auto" w:fill="auto"/>
          </w:tcPr>
          <w:p w14:paraId="175A2A8C" w14:textId="77777777" w:rsidR="00260117" w:rsidRPr="00087CFE"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91EED1C"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327B4A7A"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EE4F52D" w14:textId="77777777" w:rsidR="00260117" w:rsidRPr="00087CFE" w:rsidRDefault="00260117" w:rsidP="00770430">
            <w:pPr>
              <w:pStyle w:val="TableBodyText"/>
              <w:jc w:val="left"/>
            </w:pPr>
            <w:r w:rsidRPr="00087CFE">
              <w:t>Data are either not comparable (subject to caveats) within jurisdictions over time or are not comparable across jurisdictions or both.</w:t>
            </w:r>
          </w:p>
        </w:tc>
      </w:tr>
    </w:tbl>
    <w:p w14:paraId="0C4B5BF0" w14:textId="77777777" w:rsidR="00260117" w:rsidRPr="00087CFE" w:rsidRDefault="00260117" w:rsidP="00770430">
      <w:pPr>
        <w:spacing w:before="240" w:line="300" w:lineRule="atLeast"/>
        <w:jc w:val="both"/>
        <w:rPr>
          <w:szCs w:val="20"/>
        </w:rPr>
      </w:pPr>
      <w:r w:rsidRPr="00087CFE">
        <w:rPr>
          <w:szCs w:val="20"/>
        </w:rPr>
        <w:t>The completeness of performance indicator results are shaded in indicator interpretation boxes, figures and chapter and attachment tables as follows:</w:t>
      </w:r>
    </w:p>
    <w:p w14:paraId="4212AFEC" w14:textId="77777777" w:rsidR="00260117" w:rsidRPr="00087CFE" w:rsidRDefault="00260117" w:rsidP="00770430"/>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260117" w:rsidRPr="00087CFE" w14:paraId="60A8B58C" w14:textId="77777777" w:rsidTr="00D97DB2">
        <w:tc>
          <w:tcPr>
            <w:tcW w:w="156" w:type="pct"/>
            <w:shd w:val="clear" w:color="auto" w:fill="auto"/>
          </w:tcPr>
          <w:p w14:paraId="61F3D13E" w14:textId="77777777" w:rsidR="00260117" w:rsidRPr="00087CFE" w:rsidRDefault="00260117" w:rsidP="00770430">
            <w:pPr>
              <w:keepNext/>
              <w:keepLines/>
              <w:spacing w:before="40" w:line="200" w:lineRule="atLeast"/>
              <w:ind w:left="6" w:right="113"/>
              <w:rPr>
                <w:rFonts w:ascii="Arial" w:hAnsi="Arial"/>
                <w:sz w:val="18"/>
                <w:szCs w:val="20"/>
              </w:rPr>
            </w:pPr>
          </w:p>
        </w:tc>
        <w:tc>
          <w:tcPr>
            <w:tcW w:w="315" w:type="pct"/>
            <w:shd w:val="clear" w:color="auto" w:fill="F15A25"/>
          </w:tcPr>
          <w:p w14:paraId="61AF0F90"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13F4F190"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36E3EA85" w14:textId="064BDA40" w:rsidR="00260117" w:rsidRPr="00087CFE" w:rsidRDefault="00260117" w:rsidP="00770430">
            <w:pPr>
              <w:pStyle w:val="TableBodyText"/>
              <w:jc w:val="left"/>
            </w:pPr>
            <w:r w:rsidRPr="00087CFE">
              <w:t>Data are complete (subject to caveats) for the current reporting period. All required data are available for all jurisdictions</w:t>
            </w:r>
            <w:r w:rsidR="00D97DB2">
              <w:t>.</w:t>
            </w:r>
          </w:p>
        </w:tc>
      </w:tr>
      <w:tr w:rsidR="00260117" w:rsidRPr="000D77DB" w14:paraId="176D7CA3" w14:textId="77777777" w:rsidTr="00D97DB2">
        <w:tc>
          <w:tcPr>
            <w:tcW w:w="156" w:type="pct"/>
            <w:shd w:val="clear" w:color="auto" w:fill="auto"/>
          </w:tcPr>
          <w:p w14:paraId="4349B5C5" w14:textId="77777777" w:rsidR="00260117" w:rsidRPr="00087CFE" w:rsidRDefault="00260117" w:rsidP="00770430">
            <w:pPr>
              <w:keepNext/>
              <w:keepLines/>
              <w:spacing w:before="40" w:line="200" w:lineRule="atLeast"/>
              <w:ind w:left="6" w:right="113"/>
              <w:rPr>
                <w:rFonts w:ascii="Arial" w:hAnsi="Arial"/>
                <w:sz w:val="18"/>
                <w:szCs w:val="20"/>
              </w:rPr>
            </w:pPr>
          </w:p>
        </w:tc>
        <w:tc>
          <w:tcPr>
            <w:tcW w:w="315" w:type="pct"/>
            <w:shd w:val="clear" w:color="auto" w:fill="FCDED3"/>
          </w:tcPr>
          <w:p w14:paraId="7DCF0E58"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157" w:type="pct"/>
            <w:shd w:val="clear" w:color="auto" w:fill="auto"/>
          </w:tcPr>
          <w:p w14:paraId="0B6646A0" w14:textId="77777777" w:rsidR="00260117" w:rsidRPr="00087CFE" w:rsidRDefault="00260117" w:rsidP="00770430">
            <w:pPr>
              <w:keepNext/>
              <w:keepLines/>
              <w:spacing w:before="40" w:line="200" w:lineRule="atLeast"/>
              <w:ind w:left="6" w:right="113"/>
              <w:jc w:val="right"/>
              <w:rPr>
                <w:rFonts w:ascii="Arial" w:hAnsi="Arial"/>
                <w:sz w:val="18"/>
                <w:szCs w:val="18"/>
              </w:rPr>
            </w:pPr>
          </w:p>
        </w:tc>
        <w:tc>
          <w:tcPr>
            <w:tcW w:w="4372" w:type="pct"/>
            <w:shd w:val="clear" w:color="auto" w:fill="auto"/>
          </w:tcPr>
          <w:p w14:paraId="6DB016F4" w14:textId="77777777" w:rsidR="00260117" w:rsidRPr="00E012A1" w:rsidRDefault="00260117" w:rsidP="00770430">
            <w:pPr>
              <w:pStyle w:val="TableBodyText"/>
              <w:jc w:val="left"/>
            </w:pPr>
            <w:r w:rsidRPr="00087CFE">
              <w:t>Data are incomplete for the current reporting period. At least some data were not available.</w:t>
            </w:r>
          </w:p>
        </w:tc>
      </w:tr>
    </w:tbl>
    <w:p w14:paraId="2ADB1C96" w14:textId="77777777" w:rsidR="006842D6" w:rsidRPr="00033816" w:rsidRDefault="006842D6" w:rsidP="00770430">
      <w:pPr>
        <w:pStyle w:val="Heading3"/>
      </w:pPr>
      <w:r w:rsidRPr="00033816">
        <w:t>Outputs</w:t>
      </w:r>
    </w:p>
    <w:p w14:paraId="32E45DB7" w14:textId="77777777" w:rsidR="002F36E4" w:rsidRPr="00033816" w:rsidRDefault="00D54678" w:rsidP="00770430">
      <w:pPr>
        <w:pStyle w:val="BodyText"/>
      </w:pPr>
      <w:r w:rsidRPr="00033816">
        <w:t>Outputs are the services delivered (while outcomes are the impact of these services on the status of an individual or group) (see chapter 1</w:t>
      </w:r>
      <w:r w:rsidR="00DE7FDD" w:rsidRPr="00033816">
        <w:t>).</w:t>
      </w:r>
      <w:r w:rsidR="0082311B" w:rsidRPr="00033816">
        <w:t xml:space="preserve"> </w:t>
      </w:r>
      <w:r w:rsidRPr="00033816">
        <w:t>Output information is also critical for equitable, efficient and effective management of government services.</w:t>
      </w:r>
    </w:p>
    <w:p w14:paraId="7DEC0A4C" w14:textId="77777777" w:rsidR="006842D6" w:rsidRPr="00033816" w:rsidRDefault="00D54678" w:rsidP="00770430">
      <w:pPr>
        <w:pStyle w:val="Heading3"/>
      </w:pPr>
      <w:r w:rsidRPr="00033816">
        <w:t>Equity</w:t>
      </w:r>
    </w:p>
    <w:p w14:paraId="5CD9A695" w14:textId="5B06D2F3" w:rsidR="009E1BD1" w:rsidRDefault="009E1BD1" w:rsidP="00770430">
      <w:pPr>
        <w:pStyle w:val="Heading4"/>
      </w:pPr>
      <w:r w:rsidRPr="00033816">
        <w:t>Disp</w:t>
      </w:r>
      <w:r>
        <w:t>roportionality</w:t>
      </w:r>
    </w:p>
    <w:p w14:paraId="6353F720" w14:textId="24D89466" w:rsidR="003B6668" w:rsidRDefault="003B6668" w:rsidP="00770430">
      <w:pPr>
        <w:pStyle w:val="BodyText"/>
      </w:pPr>
      <w:r w:rsidRPr="00033816">
        <w:t>‘Disp</w:t>
      </w:r>
      <w:r w:rsidR="003642CF" w:rsidRPr="00033816">
        <w:t xml:space="preserve">roportionality’ is an indicator of governments’ objective </w:t>
      </w:r>
      <w:r w:rsidR="007210C5" w:rsidRPr="00033816">
        <w:t>to provide</w:t>
      </w:r>
      <w:r w:rsidRPr="00033816">
        <w:t xml:space="preserve"> child protection services in an equitable manner (box</w:t>
      </w:r>
      <w:r w:rsidR="00E16977" w:rsidRPr="00033816">
        <w:t xml:space="preserve"> </w:t>
      </w:r>
      <w:r w:rsidR="00404601" w:rsidRPr="00033816">
        <w:t>16.2</w:t>
      </w:r>
      <w:r w:rsidRPr="00033816">
        <w:t>)</w:t>
      </w:r>
      <w:r w:rsidR="00D54678" w:rsidRPr="00033816">
        <w:t>.</w:t>
      </w:r>
    </w:p>
    <w:p w14:paraId="3A601C72" w14:textId="628EAA3D" w:rsidR="00EA2352" w:rsidRDefault="00EA235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2352" w14:paraId="13FCE503" w14:textId="77777777" w:rsidTr="00EA2352">
        <w:trPr>
          <w:tblHeader/>
        </w:trPr>
        <w:tc>
          <w:tcPr>
            <w:tcW w:w="5000" w:type="pct"/>
            <w:tcBorders>
              <w:top w:val="single" w:sz="6" w:space="0" w:color="78A22F"/>
              <w:left w:val="nil"/>
              <w:bottom w:val="nil"/>
              <w:right w:val="nil"/>
            </w:tcBorders>
            <w:shd w:val="clear" w:color="auto" w:fill="F2F2F2"/>
          </w:tcPr>
          <w:p w14:paraId="1430175C" w14:textId="1CBF5451" w:rsidR="00EA2352" w:rsidRDefault="00EA2352" w:rsidP="00EA2352">
            <w:pPr>
              <w:pStyle w:val="BoxTitle"/>
            </w:pPr>
            <w:r>
              <w:rPr>
                <w:b w:val="0"/>
              </w:rPr>
              <w:t>Box 16.2</w:t>
            </w:r>
            <w:r>
              <w:tab/>
            </w:r>
            <w:r w:rsidRPr="00033816">
              <w:t>Disproportionality</w:t>
            </w:r>
          </w:p>
        </w:tc>
      </w:tr>
      <w:tr w:rsidR="00EA2352" w14:paraId="277B4154" w14:textId="77777777" w:rsidTr="00EA2352">
        <w:tc>
          <w:tcPr>
            <w:tcW w:w="5000" w:type="pct"/>
            <w:tcBorders>
              <w:top w:val="nil"/>
              <w:left w:val="nil"/>
              <w:bottom w:val="nil"/>
              <w:right w:val="nil"/>
            </w:tcBorders>
            <w:shd w:val="clear" w:color="auto" w:fill="F2F2F2"/>
          </w:tcPr>
          <w:p w14:paraId="0D6969B4" w14:textId="77777777" w:rsidR="00EA2352" w:rsidRPr="00033816" w:rsidRDefault="00EA2352" w:rsidP="00EA2352">
            <w:pPr>
              <w:pStyle w:val="Box"/>
            </w:pPr>
            <w:r w:rsidRPr="00033816">
              <w:t>‘Disproportionality’ is defined as the extent to which a group’s representation in the child protection services system is proportionate to their representation in the child protection services target population (0–17 years). Disproportionality for Aboriginal and Torres Strait Islander children is calculated by dividing the proportion of children in the child protection system who are Aboriginal and Torres Strait Islander children by the proportion of children in the target population who are Aboriginal and Torres Strait Islander children.</w:t>
            </w:r>
          </w:p>
          <w:p w14:paraId="2008DD08" w14:textId="77777777" w:rsidR="00EA2352" w:rsidRPr="00033816" w:rsidRDefault="00EA2352" w:rsidP="00EA2352">
            <w:pPr>
              <w:pStyle w:val="Box"/>
            </w:pPr>
            <w:r w:rsidRPr="00033816">
              <w:t xml:space="preserve">The disproportionality ratio is calculated as follows: </w:t>
            </w:r>
          </w:p>
          <w:p w14:paraId="0F14500E" w14:textId="77777777" w:rsidR="00EA2352" w:rsidRPr="00033816" w:rsidRDefault="00403696" w:rsidP="00EA2352">
            <w:pPr>
              <w:rPr>
                <w:sz w:val="20"/>
                <w:szCs w:val="20"/>
              </w:rPr>
            </w:pPr>
            <m:oMathPara>
              <m:oMath>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r>
                          <w:rPr>
                            <w:rFonts w:ascii="Cambria Math" w:hAnsi="Cambria Math"/>
                            <w:sz w:val="18"/>
                            <w:szCs w:val="18"/>
                          </w:rPr>
                          <m:t>Ratio=</m:t>
                        </m:r>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m:t>
                                </m:r>
                              </m:e>
                              <m:e>
                                <m:r>
                                  <w:rPr>
                                    <w:rFonts w:ascii="Cambria Math" w:eastAsia="Cambria Math" w:hAnsi="Cambria Math"/>
                                    <w:sz w:val="18"/>
                                    <w:szCs w:val="18"/>
                                  </w:rPr>
                                  <m:t>Torres Strait Islander children</m:t>
                                </m:r>
                              </m:e>
                              <m:e>
                                <m:r>
                                  <w:rPr>
                                    <w:rFonts w:ascii="Cambria Math" w:eastAsia="Cambria Math" w:hAnsi="Cambria Math"/>
                                    <w:sz w:val="18"/>
                                    <w:szCs w:val="18"/>
                                  </w:rPr>
                                  <m:t>in the child protection system</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 xml:space="preserve">All children in the child </m:t>
                                </m:r>
                              </m:e>
                              <m:e>
                                <m:r>
                                  <w:rPr>
                                    <w:rFonts w:ascii="Cambria Math" w:eastAsia="Cambria Math" w:hAnsi="Cambria Math"/>
                                    <w:sz w:val="18"/>
                                    <w:szCs w:val="18"/>
                                  </w:rPr>
                                  <m:t>protection system</m:t>
                                </m:r>
                              </m:e>
                            </m:eqArr>
                          </m:den>
                        </m:f>
                      </m:e>
                    </m:eqArr>
                  </m:e>
                </m:d>
                <m:r>
                  <w:rPr>
                    <w:rFonts w:ascii="Cambria Math" w:hAnsi="Cambria Math"/>
                    <w:sz w:val="18"/>
                    <w:szCs w:val="18"/>
                  </w:rPr>
                  <m:t>/</m:t>
                </m:r>
                <m:d>
                  <m:dPr>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eastAsia="Cambria Math" w:hAnsi="Cambria Math"/>
                                <w:i/>
                                <w:sz w:val="18"/>
                                <w:szCs w:val="18"/>
                              </w:rPr>
                            </m:ctrlPr>
                          </m:fPr>
                          <m:num>
                            <m:eqArr>
                              <m:eqArrPr>
                                <m:ctrlPr>
                                  <w:rPr>
                                    <w:rFonts w:ascii="Cambria Math" w:eastAsia="Cambria Math" w:hAnsi="Cambria Math"/>
                                    <w:i/>
                                    <w:sz w:val="18"/>
                                    <w:szCs w:val="18"/>
                                  </w:rPr>
                                </m:ctrlPr>
                              </m:eqArrPr>
                              <m:e>
                                <m:r>
                                  <w:rPr>
                                    <w:rFonts w:ascii="Cambria Math" w:eastAsia="Cambria Math" w:hAnsi="Cambria Math"/>
                                    <w:sz w:val="18"/>
                                    <w:szCs w:val="18"/>
                                  </w:rPr>
                                  <m:t>Aboriginal and Torres Strait</m:t>
                                </m:r>
                              </m:e>
                              <m:e>
                                <m:r>
                                  <w:rPr>
                                    <w:rFonts w:ascii="Cambria Math" w:eastAsia="Cambria Math" w:hAnsi="Cambria Math"/>
                                    <w:sz w:val="18"/>
                                    <w:szCs w:val="18"/>
                                  </w:rPr>
                                  <m:t>Islander children in the target</m:t>
                                </m:r>
                              </m:e>
                              <m:e>
                                <m:r>
                                  <w:rPr>
                                    <w:rFonts w:ascii="Cambria Math" w:eastAsia="Cambria Math" w:hAnsi="Cambria Math"/>
                                    <w:sz w:val="18"/>
                                    <w:szCs w:val="18"/>
                                  </w:rPr>
                                  <m:t>population (0–17 years)</m:t>
                                </m:r>
                              </m:e>
                            </m:eqArr>
                          </m:num>
                          <m:den>
                            <m:eqArr>
                              <m:eqArrPr>
                                <m:ctrlPr>
                                  <w:rPr>
                                    <w:rFonts w:ascii="Cambria Math" w:eastAsia="Cambria Math" w:hAnsi="Cambria Math"/>
                                    <w:i/>
                                    <w:sz w:val="18"/>
                                    <w:szCs w:val="18"/>
                                  </w:rPr>
                                </m:ctrlPr>
                              </m:eqArrPr>
                              <m:e>
                                <m:r>
                                  <w:rPr>
                                    <w:rFonts w:ascii="Cambria Math" w:eastAsia="Cambria Math" w:hAnsi="Cambria Math"/>
                                    <w:sz w:val="18"/>
                                    <w:szCs w:val="18"/>
                                  </w:rPr>
                                  <m:t>All children in the</m:t>
                                </m:r>
                              </m:e>
                              <m:e>
                                <m:r>
                                  <w:rPr>
                                    <w:rFonts w:ascii="Cambria Math" w:eastAsia="Cambria Math" w:hAnsi="Cambria Math"/>
                                    <w:sz w:val="18"/>
                                    <w:szCs w:val="18"/>
                                  </w:rPr>
                                  <m:t xml:space="preserve">target population (0–17 years) </m:t>
                                </m:r>
                              </m:e>
                            </m:eqArr>
                          </m:den>
                        </m:f>
                      </m:e>
                    </m:eqArr>
                  </m:e>
                </m:d>
                <m:d>
                  <m:dPr>
                    <m:begChr m:val=""/>
                    <m:endChr m:val="]"/>
                    <m:ctrlPr>
                      <w:rPr>
                        <w:rFonts w:ascii="Cambria Math" w:hAnsi="Cambria Math"/>
                        <w:i/>
                        <w:sz w:val="18"/>
                        <w:szCs w:val="18"/>
                      </w:rPr>
                    </m:ctrlPr>
                  </m:dPr>
                  <m:e>
                    <m:eqArr>
                      <m:eqArrPr>
                        <m:ctrlPr>
                          <w:rPr>
                            <w:rFonts w:ascii="Cambria Math" w:hAnsi="Cambria Math"/>
                            <w:i/>
                            <w:sz w:val="18"/>
                            <w:szCs w:val="18"/>
                          </w:rPr>
                        </m:ctrlPr>
                      </m:eqArr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ctrlPr>
                          <w:rPr>
                            <w:rFonts w:ascii="Cambria Math" w:eastAsia="Cambria Math" w:hAnsi="Cambria Math"/>
                            <w:i/>
                            <w:sz w:val="18"/>
                            <w:szCs w:val="18"/>
                          </w:rPr>
                        </m:ctrlPr>
                      </m:e>
                      <m:e/>
                    </m:eqArr>
                  </m:e>
                </m:d>
              </m:oMath>
            </m:oMathPara>
          </w:p>
          <w:p w14:paraId="67EA6D98" w14:textId="77777777" w:rsidR="00EA2352" w:rsidRDefault="00EA2352" w:rsidP="00EA2352">
            <w:pPr>
              <w:pStyle w:val="Box"/>
            </w:pPr>
          </w:p>
        </w:tc>
      </w:tr>
      <w:tr w:rsidR="00EA2352" w14:paraId="3451550C" w14:textId="77777777" w:rsidTr="00EA2352">
        <w:tc>
          <w:tcPr>
            <w:tcW w:w="5000" w:type="pct"/>
            <w:tcBorders>
              <w:top w:val="nil"/>
              <w:left w:val="nil"/>
              <w:bottom w:val="nil"/>
              <w:right w:val="nil"/>
            </w:tcBorders>
            <w:shd w:val="clear" w:color="auto" w:fill="F2F2F2"/>
          </w:tcPr>
          <w:p w14:paraId="3E85F694" w14:textId="767B1CC7" w:rsidR="00EA2352" w:rsidRDefault="00EA2352" w:rsidP="00EA2352">
            <w:pPr>
              <w:pStyle w:val="Continued"/>
            </w:pPr>
            <w:r>
              <w:t>(continued next page)</w:t>
            </w:r>
          </w:p>
        </w:tc>
      </w:tr>
      <w:tr w:rsidR="00EA2352" w14:paraId="249C58BD" w14:textId="77777777" w:rsidTr="00EA2352">
        <w:tc>
          <w:tcPr>
            <w:tcW w:w="5000" w:type="pct"/>
            <w:tcBorders>
              <w:top w:val="nil"/>
              <w:left w:val="nil"/>
              <w:bottom w:val="single" w:sz="6" w:space="0" w:color="78A22F"/>
              <w:right w:val="nil"/>
            </w:tcBorders>
            <w:shd w:val="clear" w:color="auto" w:fill="F2F2F2"/>
          </w:tcPr>
          <w:p w14:paraId="2F387990" w14:textId="77777777" w:rsidR="00EA2352" w:rsidRDefault="00EA2352">
            <w:pPr>
              <w:pStyle w:val="Box"/>
              <w:spacing w:before="0" w:line="120" w:lineRule="exact"/>
            </w:pPr>
          </w:p>
        </w:tc>
      </w:tr>
      <w:tr w:rsidR="00EA2352" w:rsidRPr="000863A5" w14:paraId="66AFB2B1" w14:textId="77777777" w:rsidTr="00EA2352">
        <w:tc>
          <w:tcPr>
            <w:tcW w:w="5000" w:type="pct"/>
            <w:tcBorders>
              <w:top w:val="single" w:sz="6" w:space="0" w:color="78A22F"/>
              <w:left w:val="nil"/>
              <w:bottom w:val="nil"/>
              <w:right w:val="nil"/>
            </w:tcBorders>
          </w:tcPr>
          <w:p w14:paraId="1D0512D2" w14:textId="1625BF67" w:rsidR="00EA2352" w:rsidRPr="00626D32" w:rsidRDefault="00EA2352" w:rsidP="00EA2352">
            <w:pPr>
              <w:pStyle w:val="BoxSpaceBelow"/>
            </w:pPr>
          </w:p>
        </w:tc>
      </w:tr>
    </w:tbl>
    <w:p w14:paraId="273C67A9" w14:textId="6604FDBF" w:rsidR="00C32F38" w:rsidRPr="00033816" w:rsidRDefault="00C32F38"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32F38" w:rsidRPr="00033816" w14:paraId="5DA4DACF" w14:textId="77777777" w:rsidTr="003319E5">
        <w:tc>
          <w:tcPr>
            <w:tcW w:w="8789" w:type="dxa"/>
            <w:tcBorders>
              <w:top w:val="single" w:sz="6" w:space="0" w:color="78A22F"/>
              <w:left w:val="nil"/>
              <w:bottom w:val="nil"/>
              <w:right w:val="nil"/>
            </w:tcBorders>
            <w:shd w:val="clear" w:color="auto" w:fill="F2F2F2"/>
          </w:tcPr>
          <w:p w14:paraId="53617A7C" w14:textId="573D5423" w:rsidR="00C32F38" w:rsidRPr="00033816" w:rsidRDefault="00C32F38" w:rsidP="00EA2352">
            <w:pPr>
              <w:pStyle w:val="BoxTitle"/>
            </w:pPr>
            <w:r w:rsidRPr="00033816">
              <w:rPr>
                <w:b w:val="0"/>
              </w:rPr>
              <w:t xml:space="preserve">Box </w:t>
            </w:r>
            <w:r w:rsidR="00404601" w:rsidRPr="00033816">
              <w:rPr>
                <w:b w:val="0"/>
              </w:rPr>
              <w:t>16.2</w:t>
            </w:r>
            <w:r w:rsidRPr="00033816">
              <w:tab/>
            </w:r>
            <w:r w:rsidR="00EA2352" w:rsidRPr="00EA2352">
              <w:rPr>
                <w:rStyle w:val="Continuedintitle"/>
              </w:rPr>
              <w:t>(continued)</w:t>
            </w:r>
          </w:p>
        </w:tc>
      </w:tr>
      <w:tr w:rsidR="00C32F38" w:rsidRPr="00033816" w14:paraId="2409A8DD" w14:textId="77777777" w:rsidTr="003319E5">
        <w:tc>
          <w:tcPr>
            <w:tcW w:w="8789" w:type="dxa"/>
            <w:tcBorders>
              <w:top w:val="nil"/>
              <w:left w:val="nil"/>
              <w:bottom w:val="nil"/>
              <w:right w:val="nil"/>
            </w:tcBorders>
            <w:shd w:val="clear" w:color="auto" w:fill="F2F2F2"/>
          </w:tcPr>
          <w:p w14:paraId="125CA2DA" w14:textId="6CFFD16B" w:rsidR="007E768F" w:rsidRPr="00033816" w:rsidRDefault="00C26E89" w:rsidP="00770430">
            <w:pPr>
              <w:pStyle w:val="Box"/>
            </w:pPr>
            <w:r w:rsidRPr="00033816">
              <w:t xml:space="preserve">If the group’s representation is proportionate to their representation in the </w:t>
            </w:r>
            <w:r w:rsidR="00DA4B72" w:rsidRPr="00033816">
              <w:t xml:space="preserve">target </w:t>
            </w:r>
            <w:r w:rsidRPr="00033816">
              <w:t xml:space="preserve">population, the disproportionality ratio will </w:t>
            </w:r>
            <w:r w:rsidR="00DA4B72" w:rsidRPr="00033816">
              <w:t>equal 1.0</w:t>
            </w:r>
            <w:r w:rsidR="00EC2723" w:rsidRPr="00033816">
              <w:t>.</w:t>
            </w:r>
            <w:r w:rsidR="00914840" w:rsidRPr="00033816">
              <w:t xml:space="preserve"> For example, if five per cent of all children in the child protection system are Aboriginal and Torres Strait Islander children and five per cent of all children in the target population (0–17</w:t>
            </w:r>
            <w:r w:rsidR="003D3D0E" w:rsidRPr="00033816">
              <w:t xml:space="preserve"> years</w:t>
            </w:r>
            <w:r w:rsidR="00914840" w:rsidRPr="00033816">
              <w:t>) are Aboriginal and Torres Strait Islander children</w:t>
            </w:r>
            <w:r w:rsidR="00BF5F13" w:rsidRPr="00033816">
              <w:t>,</w:t>
            </w:r>
            <w:r w:rsidR="00914840" w:rsidRPr="00033816">
              <w:t xml:space="preserve"> then the disprop</w:t>
            </w:r>
            <w:r w:rsidR="00BC2986" w:rsidRPr="00033816">
              <w:t>ortionality ratio will be 1.0.</w:t>
            </w:r>
          </w:p>
          <w:p w14:paraId="69C4543D" w14:textId="3084731C" w:rsidR="00BF3E77" w:rsidRPr="00033816" w:rsidRDefault="00BF3E77" w:rsidP="00770430">
            <w:pPr>
              <w:pStyle w:val="Box"/>
            </w:pPr>
            <w:r w:rsidRPr="00033816">
              <w:t>This measure comprises six ratios for components of the child protection services system (see figure</w:t>
            </w:r>
            <w:r w:rsidR="00830C45">
              <w:t xml:space="preserve"> 16.1</w:t>
            </w:r>
            <w:r w:rsidRPr="00033816">
              <w:t xml:space="preserve"> for a simplified representation of the components):</w:t>
            </w:r>
          </w:p>
          <w:p w14:paraId="2BE0951C" w14:textId="77777777" w:rsidR="00BF3E77" w:rsidRPr="00033816" w:rsidRDefault="00BF3E77" w:rsidP="00770430">
            <w:pPr>
              <w:pStyle w:val="BoxListBullet"/>
            </w:pPr>
            <w:r w:rsidRPr="00033816">
              <w:t>notifications</w:t>
            </w:r>
          </w:p>
          <w:p w14:paraId="61C50AB1" w14:textId="4AF2537F" w:rsidR="00BF3E77" w:rsidRPr="00033816" w:rsidRDefault="00E37E68" w:rsidP="00770430">
            <w:pPr>
              <w:pStyle w:val="BoxListBullet"/>
            </w:pPr>
            <w:r w:rsidRPr="00770430">
              <w:t>commencing</w:t>
            </w:r>
            <w:r w:rsidRPr="00033816">
              <w:t xml:space="preserve"> </w:t>
            </w:r>
            <w:r w:rsidR="00BF3E77" w:rsidRPr="00033816">
              <w:t>intensive family support services</w:t>
            </w:r>
          </w:p>
          <w:p w14:paraId="1FF23401" w14:textId="77777777" w:rsidR="00BF5F13" w:rsidRPr="00033816" w:rsidRDefault="00BF3E77" w:rsidP="00770430">
            <w:pPr>
              <w:pStyle w:val="BoxListBullet"/>
            </w:pPr>
            <w:r w:rsidRPr="00033816">
              <w:t>investigations</w:t>
            </w:r>
          </w:p>
          <w:p w14:paraId="5F3818FE" w14:textId="22DB2284" w:rsidR="00BF3E77" w:rsidRPr="00033816" w:rsidRDefault="00BF3E77" w:rsidP="00770430">
            <w:pPr>
              <w:pStyle w:val="BoxListBullet"/>
            </w:pPr>
            <w:r w:rsidRPr="00033816">
              <w:t>substantiations</w:t>
            </w:r>
          </w:p>
          <w:p w14:paraId="0623A94F" w14:textId="77777777" w:rsidR="00BF3E77" w:rsidRPr="00033816" w:rsidRDefault="00BF3E77" w:rsidP="00770430">
            <w:pPr>
              <w:pStyle w:val="BoxListBullet"/>
            </w:pPr>
            <w:r w:rsidRPr="00033816">
              <w:t xml:space="preserve">care and protection orders </w:t>
            </w:r>
          </w:p>
          <w:p w14:paraId="08DC85C0" w14:textId="77777777" w:rsidR="00BF3E77" w:rsidRDefault="00BF3E77" w:rsidP="00770430">
            <w:pPr>
              <w:pStyle w:val="BoxListBullet"/>
            </w:pPr>
            <w:r w:rsidRPr="00033816">
              <w:t>out</w:t>
            </w:r>
            <w:r w:rsidR="004F6E3D" w:rsidRPr="00033816">
              <w:noBreakHyphen/>
            </w:r>
            <w:r w:rsidRPr="00033816">
              <w:t>of</w:t>
            </w:r>
            <w:r w:rsidR="004F6E3D" w:rsidRPr="00033816">
              <w:noBreakHyphen/>
            </w:r>
            <w:r w:rsidRPr="00033816">
              <w:t xml:space="preserve">home care. </w:t>
            </w:r>
          </w:p>
          <w:p w14:paraId="16151D15" w14:textId="77777777" w:rsidR="00EA2352" w:rsidRPr="00033816" w:rsidRDefault="00EA2352" w:rsidP="00EA2352">
            <w:pPr>
              <w:pStyle w:val="Box"/>
            </w:pPr>
            <w:r w:rsidRPr="00033816">
              <w:t>Disproportionality provides an indication of the extent to which government’s child protection policies and practices result in differences in the supports and services delivered based on a group’s characteristics. A group’s representation should be proportional to their need for supports and services. Higher need may result in necessary disproportionality (that is, a ratio greater than 1.0). If risk factors and need are the same across groups, then neither overrepresentation or underrepresentation is desirable (that is, the disproportionality ratio should be 1.0). Both overrepresentation and underrepresentation can have undesirable consequences.</w:t>
            </w:r>
          </w:p>
          <w:p w14:paraId="430979C8" w14:textId="77777777" w:rsidR="00EA2352" w:rsidRPr="00033816" w:rsidRDefault="00EA2352" w:rsidP="00EA2352">
            <w:pPr>
              <w:pStyle w:val="Box"/>
            </w:pPr>
            <w:r w:rsidRPr="00033816">
              <w:t>Disproportionality can reflect the uneven distribution of structural and relative disadvantage throughout the population, in addition to risk factors including economic and social factors, and can indicate a greater need for appropriate supports and services. At the same time, disproportionality can reflect biases in the system that should be avoided.</w:t>
            </w:r>
          </w:p>
          <w:p w14:paraId="0DACAA18" w14:textId="77777777" w:rsidR="00EA2352" w:rsidRDefault="00EA2352" w:rsidP="00EA2352">
            <w:pPr>
              <w:pStyle w:val="Box"/>
            </w:pPr>
            <w:r w:rsidRPr="00033816">
              <w:t>The six disproportionality ratios might fluctuate because of policy, funding and/or practice changes, such as increased investment in intensive family support and services to divert children from care, better targeting of investigative resources and the introduction of mandatory reporting. Increased community awareness and willingness to notify suspected instances of child abuse, neglect or harm can also influence these ratios.</w:t>
            </w:r>
          </w:p>
          <w:p w14:paraId="7C796202" w14:textId="77777777" w:rsidR="00EA2352" w:rsidRDefault="00EA2352" w:rsidP="00EA2352">
            <w:pPr>
              <w:pStyle w:val="Box"/>
            </w:pPr>
            <w:r w:rsidRPr="00033816">
              <w:t xml:space="preserve">Identification of Indigenous status may lead to data quality issues for this indicator, in particular </w:t>
            </w:r>
            <w:proofErr w:type="spellStart"/>
            <w:r w:rsidRPr="00033816">
              <w:t>underidentification</w:t>
            </w:r>
            <w:proofErr w:type="spellEnd"/>
            <w:r w:rsidRPr="00033816">
              <w:t xml:space="preserve"> of Indigenous status is likely to result in disproportionality ratios understating Aboriginal and Torres Strait Islander children’s representation in the child protection system. The disproportionality ratios should be considered in conjunction with data on the proportion of children for whom Indigenous status is not stated, which varies across states and territories (refer to tables </w:t>
            </w:r>
            <w:proofErr w:type="spellStart"/>
            <w:r w:rsidRPr="00033816">
              <w:t>16A.1</w:t>
            </w:r>
            <w:proofErr w:type="spellEnd"/>
            <w:r w:rsidRPr="00033816">
              <w:t>–</w:t>
            </w:r>
            <w:r>
              <w:t>3</w:t>
            </w:r>
            <w:r w:rsidRPr="00033816">
              <w:t xml:space="preserve">; </w:t>
            </w:r>
            <w:proofErr w:type="spellStart"/>
            <w:r w:rsidRPr="00033816">
              <w:t>16A.3</w:t>
            </w:r>
            <w:r>
              <w:t>2</w:t>
            </w:r>
            <w:proofErr w:type="spellEnd"/>
            <w:r w:rsidRPr="00033816">
              <w:t xml:space="preserve"> and </w:t>
            </w:r>
            <w:proofErr w:type="spellStart"/>
            <w:r w:rsidRPr="00033816">
              <w:t>16A.38</w:t>
            </w:r>
            <w:proofErr w:type="spellEnd"/>
            <w:r w:rsidRPr="00033816">
              <w:t>).</w:t>
            </w:r>
          </w:p>
          <w:p w14:paraId="144D4759" w14:textId="77777777" w:rsidR="00EA2352" w:rsidRPr="00033816" w:rsidRDefault="00EA2352" w:rsidP="00EA2352">
            <w:pPr>
              <w:pStyle w:val="Box"/>
            </w:pPr>
            <w:r w:rsidRPr="00033816">
              <w:t>Data reported for this indicator are:</w:t>
            </w:r>
          </w:p>
          <w:p w14:paraId="73B6D315" w14:textId="77777777" w:rsidR="00EA2352" w:rsidRPr="00033816" w:rsidRDefault="00EA2352" w:rsidP="00EA2352">
            <w:pPr>
              <w:pStyle w:val="Box"/>
              <w:ind w:left="284"/>
            </w:pPr>
            <w:r w:rsidRPr="00344676">
              <w:rPr>
                <w:shd w:val="clear" w:color="auto" w:fill="FCDED3"/>
              </w:rPr>
              <w:t xml:space="preserve">    </w:t>
            </w:r>
            <w:r>
              <w:t xml:space="preserve"> </w:t>
            </w:r>
            <w:r w:rsidRPr="00614C33">
              <w:t>not</w:t>
            </w:r>
            <w:r w:rsidRPr="00033816">
              <w:t xml:space="preserve"> comparable across jurisdictions </w:t>
            </w:r>
            <w:r w:rsidRPr="00614C33">
              <w:t xml:space="preserve">but are </w:t>
            </w:r>
            <w:r w:rsidRPr="00033816">
              <w:t xml:space="preserve">comparable (subject to caveats) within </w:t>
            </w:r>
            <w:r w:rsidRPr="00614C33">
              <w:t xml:space="preserve">jurisdictions over time </w:t>
            </w:r>
            <w:r w:rsidRPr="00033816">
              <w:t>(see caveats in attachment tables)</w:t>
            </w:r>
          </w:p>
          <w:p w14:paraId="28B432B2" w14:textId="47CCBDD8" w:rsidR="00EA2352" w:rsidRPr="00033816" w:rsidRDefault="00EA2352" w:rsidP="00EA2352">
            <w:pPr>
              <w:pStyle w:val="Box"/>
              <w:ind w:left="284"/>
            </w:pPr>
            <w:r w:rsidRPr="00344676">
              <w:rPr>
                <w:shd w:val="clear" w:color="auto" w:fill="FCDED3"/>
              </w:rPr>
              <w:t xml:space="preserve">    </w:t>
            </w:r>
            <w:r>
              <w:t xml:space="preserve"> </w:t>
            </w:r>
            <w:r w:rsidRPr="00033816">
              <w:rPr>
                <w:rStyle w:val="BoxListBulletChar"/>
              </w:rPr>
              <w:t>incomplete for the current reporting period</w:t>
            </w:r>
            <w:r w:rsidRPr="00033816">
              <w:t xml:space="preserve">. </w:t>
            </w:r>
            <w:r>
              <w:t>All required data for i</w:t>
            </w:r>
            <w:r w:rsidRPr="00372FA9">
              <w:t>nvestigation</w:t>
            </w:r>
            <w:r>
              <w:t>s</w:t>
            </w:r>
            <w:r w:rsidRPr="00372FA9">
              <w:t xml:space="preserve"> and substantiations are not available for NSW.</w:t>
            </w:r>
            <w:r>
              <w:t xml:space="preserve"> All required data for i</w:t>
            </w:r>
            <w:r w:rsidRPr="00033816">
              <w:t>ntensive family support service</w:t>
            </w:r>
            <w:r>
              <w:t>s</w:t>
            </w:r>
            <w:r w:rsidRPr="00033816">
              <w:t xml:space="preserve"> </w:t>
            </w:r>
            <w:r w:rsidRPr="00BF355F">
              <w:t>are not</w:t>
            </w:r>
            <w:r w:rsidRPr="00033816">
              <w:t xml:space="preserve"> available</w:t>
            </w:r>
            <w:r w:rsidRPr="00BF355F">
              <w:t xml:space="preserve"> for Tasmania</w:t>
            </w:r>
            <w:r w:rsidRPr="00033816">
              <w:t>.</w:t>
            </w:r>
          </w:p>
        </w:tc>
      </w:tr>
      <w:tr w:rsidR="00C32F38" w:rsidRPr="00033816" w14:paraId="36CB7F61" w14:textId="77777777" w:rsidTr="003319E5">
        <w:tc>
          <w:tcPr>
            <w:tcW w:w="8789" w:type="dxa"/>
            <w:tcBorders>
              <w:top w:val="nil"/>
              <w:left w:val="nil"/>
              <w:bottom w:val="single" w:sz="6" w:space="0" w:color="78A22F"/>
              <w:right w:val="nil"/>
            </w:tcBorders>
            <w:shd w:val="clear" w:color="auto" w:fill="F2F2F2"/>
          </w:tcPr>
          <w:p w14:paraId="522D8170" w14:textId="77777777" w:rsidR="00C32F38" w:rsidRPr="00033816" w:rsidRDefault="00C32F38" w:rsidP="00770430">
            <w:pPr>
              <w:pStyle w:val="Box"/>
              <w:spacing w:before="0" w:line="120" w:lineRule="exact"/>
            </w:pPr>
          </w:p>
        </w:tc>
      </w:tr>
      <w:tr w:rsidR="00C32F38" w:rsidRPr="00033816" w14:paraId="04EE8518" w14:textId="77777777" w:rsidTr="003319E5">
        <w:tc>
          <w:tcPr>
            <w:tcW w:w="8789" w:type="dxa"/>
            <w:tcBorders>
              <w:top w:val="single" w:sz="6" w:space="0" w:color="78A22F"/>
              <w:left w:val="nil"/>
              <w:bottom w:val="nil"/>
              <w:right w:val="nil"/>
            </w:tcBorders>
          </w:tcPr>
          <w:p w14:paraId="37E26FF9" w14:textId="688779FA" w:rsidR="00C32F38" w:rsidRPr="00033816" w:rsidRDefault="00C32F38" w:rsidP="00770430">
            <w:pPr>
              <w:pStyle w:val="BoxSpaceBelow"/>
            </w:pPr>
          </w:p>
        </w:tc>
      </w:tr>
    </w:tbl>
    <w:p w14:paraId="5DD3B97B" w14:textId="371F606C" w:rsidR="000D5B72" w:rsidRPr="00033816" w:rsidRDefault="00E55579" w:rsidP="00770430">
      <w:pPr>
        <w:pStyle w:val="BodyText"/>
      </w:pPr>
      <w:r w:rsidRPr="00033816">
        <w:lastRenderedPageBreak/>
        <w:t>The 201</w:t>
      </w:r>
      <w:r w:rsidR="00070407">
        <w:t>7</w:t>
      </w:r>
      <w:r w:rsidR="008817BB" w:rsidRPr="00033816">
        <w:noBreakHyphen/>
      </w:r>
      <w:r w:rsidRPr="00033816">
        <w:t>1</w:t>
      </w:r>
      <w:r w:rsidR="00070407">
        <w:t>8</w:t>
      </w:r>
      <w:r w:rsidRPr="00033816">
        <w:t xml:space="preserve"> disproportionality ratios for Aboriginal and Torres Strait Islander children vary within jurisdictions across each of the six</w:t>
      </w:r>
      <w:r w:rsidR="001C6679" w:rsidRPr="00033816">
        <w:t xml:space="preserve"> service </w:t>
      </w:r>
      <w:r w:rsidR="00EC16C2" w:rsidRPr="00033816">
        <w:t>types</w:t>
      </w:r>
      <w:r w:rsidR="001C6679" w:rsidRPr="00033816">
        <w:t xml:space="preserve"> (</w:t>
      </w:r>
      <w:r w:rsidR="0056325B" w:rsidRPr="00033816">
        <w:t>figure</w:t>
      </w:r>
      <w:r w:rsidR="00D06ADE" w:rsidRPr="00033816">
        <w:t xml:space="preserve"> </w:t>
      </w:r>
      <w:r w:rsidR="00404601" w:rsidRPr="00033816">
        <w:t xml:space="preserve">16.4 </w:t>
      </w:r>
      <w:r w:rsidR="005E3022" w:rsidRPr="00033816">
        <w:t xml:space="preserve">and </w:t>
      </w:r>
      <w:r w:rsidR="002B4F50" w:rsidRPr="00033816">
        <w:t xml:space="preserve">table </w:t>
      </w:r>
      <w:proofErr w:type="spellStart"/>
      <w:r w:rsidR="005E3022" w:rsidRPr="00033816">
        <w:t>16A.</w:t>
      </w:r>
      <w:r w:rsidR="009312EF">
        <w:t>9</w:t>
      </w:r>
      <w:proofErr w:type="spellEnd"/>
      <w:r w:rsidR="00D7632A" w:rsidRPr="00033816">
        <w:t>).</w:t>
      </w:r>
    </w:p>
    <w:p w14:paraId="1E1BB70A" w14:textId="541C9DC1" w:rsidR="0056325B" w:rsidRPr="00033816" w:rsidRDefault="0056325B" w:rsidP="00EA2352">
      <w:pPr>
        <w:pStyle w:val="BoxSpaceAbove"/>
        <w:spacing w:before="3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6325B" w:rsidRPr="00033816" w14:paraId="32384557" w14:textId="77777777" w:rsidTr="00AF66C4">
        <w:trPr>
          <w:tblHeader/>
        </w:trPr>
        <w:tc>
          <w:tcPr>
            <w:tcW w:w="8789" w:type="dxa"/>
            <w:tcBorders>
              <w:top w:val="single" w:sz="6" w:space="0" w:color="78A22F"/>
              <w:left w:val="nil"/>
              <w:bottom w:val="nil"/>
              <w:right w:val="nil"/>
            </w:tcBorders>
            <w:shd w:val="clear" w:color="auto" w:fill="auto"/>
          </w:tcPr>
          <w:p w14:paraId="2849CC88" w14:textId="09F9B6F4" w:rsidR="0056325B" w:rsidRPr="00033816" w:rsidRDefault="0056325B" w:rsidP="00EA2352">
            <w:pPr>
              <w:pStyle w:val="FigureTitle"/>
              <w:spacing w:before="100"/>
            </w:pPr>
            <w:r w:rsidRPr="00033816">
              <w:rPr>
                <w:b w:val="0"/>
              </w:rPr>
              <w:t>Figure</w:t>
            </w:r>
            <w:r w:rsidR="009D4A68" w:rsidRPr="00033816">
              <w:rPr>
                <w:b w:val="0"/>
              </w:rPr>
              <w:t xml:space="preserve"> 16.4</w:t>
            </w:r>
            <w:r w:rsidRPr="00033816">
              <w:tab/>
              <w:t xml:space="preserve">Disproportionality ratios for Aboriginal and Torres Strait Islander children </w:t>
            </w:r>
            <w:r w:rsidR="00BD06AD" w:rsidRPr="00033816">
              <w:t>receiving child protection services</w:t>
            </w:r>
            <w:r w:rsidRPr="00033816">
              <w:t>, by service type, 201</w:t>
            </w:r>
            <w:r w:rsidR="00070407">
              <w:t>7</w:t>
            </w:r>
            <w:r w:rsidR="008817BB" w:rsidRPr="00033816">
              <w:noBreakHyphen/>
            </w:r>
            <w:proofErr w:type="spellStart"/>
            <w:r w:rsidRPr="00033816">
              <w:t>1</w:t>
            </w:r>
            <w:r w:rsidR="00070407">
              <w:t>8</w:t>
            </w:r>
            <w:r w:rsidR="00852D4B" w:rsidRPr="00033816">
              <w:rPr>
                <w:vertAlign w:val="superscript"/>
              </w:rPr>
              <w:t>a</w:t>
            </w:r>
            <w:proofErr w:type="spellEnd"/>
            <w:r w:rsidR="00852D4B" w:rsidRPr="00033816">
              <w:rPr>
                <w:vertAlign w:val="superscript"/>
              </w:rPr>
              <w:t>, b</w:t>
            </w:r>
            <w:r w:rsidR="00B317E4">
              <w:rPr>
                <w:vertAlign w:val="superscript"/>
              </w:rPr>
              <w:t>, c</w:t>
            </w:r>
          </w:p>
        </w:tc>
      </w:tr>
      <w:tr w:rsidR="00AF66C4" w:rsidRPr="00033816" w14:paraId="49D3B860" w14:textId="77777777" w:rsidTr="00AF66C4">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1D409A" w14:paraId="2621B738" w14:textId="77777777" w:rsidTr="00AF66C4">
              <w:tc>
                <w:tcPr>
                  <w:tcW w:w="304" w:type="dxa"/>
                  <w:tcBorders>
                    <w:top w:val="nil"/>
                    <w:left w:val="nil"/>
                    <w:bottom w:val="nil"/>
                    <w:right w:val="nil"/>
                  </w:tcBorders>
                  <w:shd w:val="clear" w:color="auto" w:fill="auto"/>
                  <w:tcMar>
                    <w:top w:w="28" w:type="dxa"/>
                    <w:bottom w:w="28" w:type="dxa"/>
                  </w:tcMar>
                </w:tcPr>
                <w:p w14:paraId="2E890195" w14:textId="77777777" w:rsidR="00AF66C4" w:rsidRPr="001D409A"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90E6D12" w14:textId="77777777" w:rsidR="00AF66C4" w:rsidRPr="001D409A"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197B315F" w14:textId="13F1ED9E" w:rsidR="00AF66C4" w:rsidRPr="001D409A" w:rsidRDefault="00AF66C4" w:rsidP="00770430">
                  <w:pPr>
                    <w:pStyle w:val="TableBodyText"/>
                    <w:jc w:val="left"/>
                  </w:pPr>
                  <w:r w:rsidRPr="001D409A">
                    <w:t>Data are not comparable across jurisdictions.</w:t>
                  </w:r>
                </w:p>
              </w:tc>
            </w:tr>
            <w:tr w:rsidR="00AF66C4" w:rsidRPr="001D409A" w14:paraId="2CA89CEA" w14:textId="77777777" w:rsidTr="00AF66C4">
              <w:tc>
                <w:tcPr>
                  <w:tcW w:w="304" w:type="dxa"/>
                  <w:tcBorders>
                    <w:top w:val="nil"/>
                    <w:left w:val="nil"/>
                    <w:bottom w:val="nil"/>
                    <w:right w:val="nil"/>
                  </w:tcBorders>
                  <w:shd w:val="clear" w:color="auto" w:fill="auto"/>
                  <w:tcMar>
                    <w:top w:w="28" w:type="dxa"/>
                    <w:bottom w:w="28" w:type="dxa"/>
                  </w:tcMar>
                </w:tcPr>
                <w:p w14:paraId="767EB189" w14:textId="77777777" w:rsidR="00AF66C4" w:rsidRPr="001D409A"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56DDEEF" w14:textId="77777777" w:rsidR="00AF66C4" w:rsidRPr="001D409A" w:rsidRDefault="00AF66C4" w:rsidP="00770430">
                  <w:pPr>
                    <w:keepNext/>
                    <w:keepLines/>
                    <w:spacing w:before="60" w:after="60" w:line="240" w:lineRule="atLeast"/>
                    <w:rPr>
                      <w:rFonts w:ascii="Arial" w:hAnsi="Arial" w:cs="Arial"/>
                      <w:sz w:val="18"/>
                      <w:szCs w:val="18"/>
                    </w:rPr>
                  </w:pPr>
                </w:p>
              </w:tc>
              <w:tc>
                <w:tcPr>
                  <w:tcW w:w="7938" w:type="dxa"/>
                  <w:tcBorders>
                    <w:top w:val="nil"/>
                    <w:left w:val="nil"/>
                    <w:bottom w:val="nil"/>
                    <w:right w:val="nil"/>
                  </w:tcBorders>
                  <w:shd w:val="clear" w:color="auto" w:fill="auto"/>
                </w:tcPr>
                <w:p w14:paraId="130E74EE" w14:textId="1892805E" w:rsidR="00AF66C4" w:rsidRPr="001D409A" w:rsidRDefault="00AF66C4" w:rsidP="00770430">
                  <w:pPr>
                    <w:pStyle w:val="TableBodyText"/>
                    <w:jc w:val="left"/>
                  </w:pPr>
                  <w:r w:rsidRPr="001D409A">
                    <w:t xml:space="preserve">Data are </w:t>
                  </w:r>
                  <w:r w:rsidRPr="00AF66C4">
                    <w:t>incomplete for the current reporting period.</w:t>
                  </w:r>
                </w:p>
              </w:tc>
            </w:tr>
          </w:tbl>
          <w:p w14:paraId="53930280" w14:textId="77777777" w:rsidR="00AF66C4" w:rsidRPr="00033816" w:rsidRDefault="00AF66C4" w:rsidP="00770430">
            <w:pPr>
              <w:pStyle w:val="FigureTitle"/>
              <w:rPr>
                <w:b w:val="0"/>
              </w:rPr>
            </w:pPr>
          </w:p>
        </w:tc>
      </w:tr>
      <w:tr w:rsidR="0056325B" w:rsidRPr="00033816" w14:paraId="1D45BA88" w14:textId="77777777" w:rsidTr="00012746">
        <w:tblPrEx>
          <w:tblCellMar>
            <w:left w:w="108" w:type="dxa"/>
            <w:right w:w="108" w:type="dxa"/>
          </w:tblCellMar>
        </w:tblPrEx>
        <w:tc>
          <w:tcPr>
            <w:tcW w:w="8789" w:type="dxa"/>
            <w:tcBorders>
              <w:top w:val="nil"/>
              <w:left w:val="nil"/>
              <w:bottom w:val="nil"/>
              <w:right w:val="nil"/>
            </w:tcBorders>
            <w:shd w:val="clear" w:color="auto" w:fill="auto"/>
          </w:tcPr>
          <w:tbl>
            <w:tblPr>
              <w:tblpPr w:leftFromText="180" w:rightFromText="180" w:vertAnchor="text" w:horzAnchor="margin" w:tblpY="-208"/>
              <w:tblOverlap w:val="never"/>
              <w:tblW w:w="8505" w:type="dxa"/>
              <w:tblLayout w:type="fixed"/>
              <w:tblCellMar>
                <w:top w:w="28" w:type="dxa"/>
                <w:left w:w="0" w:type="dxa"/>
                <w:right w:w="0" w:type="dxa"/>
              </w:tblCellMar>
              <w:tblLook w:val="0000" w:firstRow="0" w:lastRow="0" w:firstColumn="0" w:lastColumn="0" w:noHBand="0" w:noVBand="0"/>
              <w:tblDescription w:val="Nested table used for design layout."/>
            </w:tblPr>
            <w:tblGrid>
              <w:gridCol w:w="8505"/>
            </w:tblGrid>
            <w:tr w:rsidR="0056325B" w:rsidRPr="00033816" w14:paraId="5A3440CE" w14:textId="77777777" w:rsidTr="00770430">
              <w:trPr>
                <w:trHeight w:val="1673"/>
                <w:tblHeader/>
              </w:trPr>
              <w:tc>
                <w:tcPr>
                  <w:tcW w:w="5000" w:type="pct"/>
                </w:tcPr>
                <w:p w14:paraId="3F772E33" w14:textId="247F0BFA" w:rsidR="007974B9" w:rsidRPr="00033816" w:rsidRDefault="00ED6BE7" w:rsidP="00770430">
                  <w:pPr>
                    <w:pStyle w:val="Figure"/>
                    <w:spacing w:before="60" w:after="60"/>
                    <w:rPr>
                      <w:rFonts w:ascii="Arial" w:hAnsi="Arial" w:cs="Arial"/>
                      <w:sz w:val="18"/>
                      <w:szCs w:val="18"/>
                    </w:rPr>
                  </w:pPr>
                  <w:r>
                    <w:rPr>
                      <w:noProof/>
                    </w:rPr>
                    <w:drawing>
                      <wp:inline distT="0" distB="0" distL="0" distR="0" wp14:anchorId="38FB3822" wp14:editId="0346277B">
                        <wp:extent cx="5365750" cy="5575988"/>
                        <wp:effectExtent l="0" t="0" r="6350" b="5715"/>
                        <wp:docPr id="13" name="Picture 13" descr="Figure 16.4 Disproportionality ratios for Aboriginal and Torres Strait Islander children receiving child protection services, by service type, 2017-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5778" cy="5607192"/>
                                </a:xfrm>
                                <a:prstGeom prst="rect">
                                  <a:avLst/>
                                </a:prstGeom>
                              </pic:spPr>
                            </pic:pic>
                          </a:graphicData>
                        </a:graphic>
                      </wp:inline>
                    </w:drawing>
                  </w:r>
                </w:p>
              </w:tc>
            </w:tr>
          </w:tbl>
          <w:p w14:paraId="21A6F65B" w14:textId="77777777" w:rsidR="0056325B" w:rsidRPr="00033816" w:rsidRDefault="0056325B" w:rsidP="00770430">
            <w:pPr>
              <w:pStyle w:val="Figure"/>
            </w:pPr>
          </w:p>
        </w:tc>
      </w:tr>
      <w:tr w:rsidR="0056325B" w:rsidRPr="00033816" w14:paraId="1D1088B2" w14:textId="77777777" w:rsidTr="00012746">
        <w:tc>
          <w:tcPr>
            <w:tcW w:w="8789" w:type="dxa"/>
            <w:tcBorders>
              <w:top w:val="nil"/>
              <w:left w:val="nil"/>
              <w:bottom w:val="nil"/>
              <w:right w:val="nil"/>
            </w:tcBorders>
            <w:shd w:val="clear" w:color="auto" w:fill="auto"/>
          </w:tcPr>
          <w:p w14:paraId="1711B319" w14:textId="5C2F0C48" w:rsidR="0056325B" w:rsidRPr="00033816" w:rsidRDefault="00710DBA" w:rsidP="008A3504">
            <w:pPr>
              <w:pStyle w:val="Note"/>
            </w:pPr>
            <w:proofErr w:type="spellStart"/>
            <w:r w:rsidRPr="00033816">
              <w:rPr>
                <w:b/>
              </w:rPr>
              <w:t>Nfns</w:t>
            </w:r>
            <w:proofErr w:type="spellEnd"/>
            <w:r w:rsidRPr="00033816">
              <w:rPr>
                <w:b/>
              </w:rPr>
              <w:t>:</w:t>
            </w:r>
            <w:r w:rsidRPr="00033816">
              <w:t xml:space="preserve"> Notifications; </w:t>
            </w:r>
            <w:proofErr w:type="spellStart"/>
            <w:r w:rsidR="001D6158" w:rsidRPr="00033816">
              <w:rPr>
                <w:b/>
              </w:rPr>
              <w:t>IFSS</w:t>
            </w:r>
            <w:proofErr w:type="spellEnd"/>
            <w:r w:rsidR="001D6158" w:rsidRPr="00033816">
              <w:rPr>
                <w:b/>
              </w:rPr>
              <w:t>:</w:t>
            </w:r>
            <w:r w:rsidR="001D6158" w:rsidRPr="00033816">
              <w:t xml:space="preserve"> Intensive Family Support </w:t>
            </w:r>
            <w:r w:rsidR="001D6158" w:rsidRPr="00770430">
              <w:t>Services</w:t>
            </w:r>
            <w:r w:rsidR="00E37E68" w:rsidRPr="00770430">
              <w:t xml:space="preserve"> (children commencing)</w:t>
            </w:r>
            <w:r w:rsidR="001D6158" w:rsidRPr="00770430">
              <w:t>;</w:t>
            </w:r>
            <w:r w:rsidR="001D6158" w:rsidRPr="00033816">
              <w:rPr>
                <w:b/>
              </w:rPr>
              <w:t xml:space="preserve"> </w:t>
            </w:r>
            <w:proofErr w:type="spellStart"/>
            <w:r w:rsidRPr="00033816">
              <w:rPr>
                <w:b/>
              </w:rPr>
              <w:t>Invns</w:t>
            </w:r>
            <w:proofErr w:type="spellEnd"/>
            <w:r w:rsidRPr="00033816">
              <w:rPr>
                <w:b/>
              </w:rPr>
              <w:t>:</w:t>
            </w:r>
            <w:r w:rsidRPr="00033816">
              <w:t xml:space="preserve"> Investigations</w:t>
            </w:r>
            <w:r w:rsidR="008E5433">
              <w:t xml:space="preserve"> (finalised)</w:t>
            </w:r>
            <w:r w:rsidRPr="00033816">
              <w:t xml:space="preserve">; </w:t>
            </w:r>
            <w:proofErr w:type="spellStart"/>
            <w:r w:rsidRPr="00033816">
              <w:rPr>
                <w:b/>
              </w:rPr>
              <w:t>Subns</w:t>
            </w:r>
            <w:proofErr w:type="spellEnd"/>
            <w:r w:rsidRPr="00033816">
              <w:rPr>
                <w:b/>
              </w:rPr>
              <w:t>:</w:t>
            </w:r>
            <w:r w:rsidRPr="00033816">
              <w:t xml:space="preserve"> Substantiations; </w:t>
            </w:r>
            <w:proofErr w:type="spellStart"/>
            <w:r w:rsidRPr="00033816">
              <w:rPr>
                <w:b/>
              </w:rPr>
              <w:t>C&amp;P</w:t>
            </w:r>
            <w:proofErr w:type="spellEnd"/>
            <w:r w:rsidRPr="00033816">
              <w:rPr>
                <w:b/>
              </w:rPr>
              <w:t>:</w:t>
            </w:r>
            <w:r w:rsidRPr="00033816">
              <w:t xml:space="preserve"> Care and Protection Orders; </w:t>
            </w:r>
            <w:proofErr w:type="spellStart"/>
            <w:r w:rsidRPr="00033816">
              <w:rPr>
                <w:b/>
              </w:rPr>
              <w:t>OOHC</w:t>
            </w:r>
            <w:proofErr w:type="spellEnd"/>
            <w:r w:rsidRPr="00033816">
              <w:rPr>
                <w:b/>
              </w:rPr>
              <w:t>:</w:t>
            </w:r>
            <w:r w:rsidR="00852D4B" w:rsidRPr="00033816">
              <w:t xml:space="preserve"> Out</w:t>
            </w:r>
            <w:r w:rsidR="008817BB" w:rsidRPr="00033816">
              <w:noBreakHyphen/>
            </w:r>
            <w:r w:rsidR="00852D4B" w:rsidRPr="00033816">
              <w:t>of</w:t>
            </w:r>
            <w:r w:rsidR="008817BB" w:rsidRPr="00033816">
              <w:noBreakHyphen/>
            </w:r>
            <w:r w:rsidR="00852D4B" w:rsidRPr="00033816">
              <w:t>home care</w:t>
            </w:r>
            <w:r w:rsidR="0056325B" w:rsidRPr="00033816">
              <w:t xml:space="preserve">. </w:t>
            </w:r>
            <w:proofErr w:type="spellStart"/>
            <w:r w:rsidR="00347F12">
              <w:rPr>
                <w:rStyle w:val="NoteLabel"/>
              </w:rPr>
              <w:t>a</w:t>
            </w:r>
            <w:proofErr w:type="spellEnd"/>
            <w:r w:rsidR="006F4759">
              <w:rPr>
                <w:rStyle w:val="NoteLabel"/>
              </w:rPr>
              <w:t> </w:t>
            </w:r>
            <w:r w:rsidR="00320AD0">
              <w:t xml:space="preserve">Investigations and substantiations data </w:t>
            </w:r>
            <w:r w:rsidR="008A3504">
              <w:t xml:space="preserve">are </w:t>
            </w:r>
            <w:r w:rsidR="00320AD0">
              <w:t xml:space="preserve">not available for NSW. </w:t>
            </w:r>
            <w:proofErr w:type="spellStart"/>
            <w:r w:rsidR="00320AD0">
              <w:t>IFSS</w:t>
            </w:r>
            <w:proofErr w:type="spellEnd"/>
            <w:r w:rsidR="001D5223" w:rsidRPr="00033816">
              <w:t xml:space="preserve"> data </w:t>
            </w:r>
            <w:r w:rsidR="00516707" w:rsidRPr="00033816">
              <w:t xml:space="preserve">by Indigenous status </w:t>
            </w:r>
            <w:r w:rsidR="008A3504">
              <w:t>are</w:t>
            </w:r>
            <w:r w:rsidR="001D5223" w:rsidRPr="00033816">
              <w:t xml:space="preserve"> not available for </w:t>
            </w:r>
            <w:r w:rsidR="001D5223" w:rsidRPr="009F53C6">
              <w:t xml:space="preserve">Tasmania. </w:t>
            </w:r>
            <w:r w:rsidR="00516707" w:rsidRPr="009F53C6">
              <w:rPr>
                <w:rStyle w:val="NoteLabel"/>
              </w:rPr>
              <w:t xml:space="preserve"> </w:t>
            </w:r>
            <w:r w:rsidR="00B317E4" w:rsidRPr="009F53C6">
              <w:rPr>
                <w:rStyle w:val="NoteLabel"/>
              </w:rPr>
              <w:t>b</w:t>
            </w:r>
            <w:r w:rsidR="0022196D" w:rsidRPr="009F53C6">
              <w:rPr>
                <w:rStyle w:val="NoteLabel"/>
              </w:rPr>
              <w:t xml:space="preserve"> </w:t>
            </w:r>
            <w:r w:rsidRPr="009F53C6">
              <w:t xml:space="preserve">See </w:t>
            </w:r>
            <w:r w:rsidRPr="00033816">
              <w:t xml:space="preserve">box </w:t>
            </w:r>
            <w:r w:rsidR="00DC383D">
              <w:t>16.2</w:t>
            </w:r>
            <w:r w:rsidRPr="00033816">
              <w:t xml:space="preserve"> and table</w:t>
            </w:r>
            <w:r w:rsidR="00DB0C6A" w:rsidRPr="00033816">
              <w:t xml:space="preserve"> </w:t>
            </w:r>
            <w:proofErr w:type="spellStart"/>
            <w:r w:rsidR="00DB0C6A" w:rsidRPr="00033816">
              <w:t>16A.</w:t>
            </w:r>
            <w:r w:rsidR="002259AC">
              <w:t>9</w:t>
            </w:r>
            <w:proofErr w:type="spellEnd"/>
            <w:r w:rsidRPr="00033816">
              <w:t xml:space="preserve"> for detailed definitions, footnotes and caveats.</w:t>
            </w:r>
          </w:p>
        </w:tc>
      </w:tr>
      <w:tr w:rsidR="0056325B" w:rsidRPr="00033816" w14:paraId="51C31F10" w14:textId="77777777" w:rsidTr="00012746">
        <w:tc>
          <w:tcPr>
            <w:tcW w:w="8789" w:type="dxa"/>
            <w:tcBorders>
              <w:top w:val="nil"/>
              <w:left w:val="nil"/>
              <w:bottom w:val="nil"/>
              <w:right w:val="nil"/>
            </w:tcBorders>
            <w:shd w:val="clear" w:color="auto" w:fill="auto"/>
          </w:tcPr>
          <w:p w14:paraId="1E58DA80" w14:textId="017D8118" w:rsidR="0056325B" w:rsidRPr="00033816" w:rsidRDefault="00852D4B" w:rsidP="00770430">
            <w:pPr>
              <w:pStyle w:val="Source"/>
            </w:pPr>
            <w:r w:rsidRPr="00033816">
              <w:rPr>
                <w:i/>
              </w:rPr>
              <w:t>S</w:t>
            </w:r>
            <w:r w:rsidR="0056325B" w:rsidRPr="00033816">
              <w:rPr>
                <w:i/>
              </w:rPr>
              <w:t>ource</w:t>
            </w:r>
            <w:r w:rsidR="0056325B" w:rsidRPr="00033816">
              <w:t xml:space="preserve">: </w:t>
            </w:r>
            <w:proofErr w:type="spellStart"/>
            <w:r w:rsidR="0060352B" w:rsidRPr="00033816">
              <w:t>AIHW</w:t>
            </w:r>
            <w:proofErr w:type="spellEnd"/>
            <w:r w:rsidR="0060352B" w:rsidRPr="00033816">
              <w:t xml:space="preserve"> data collection (unpublished); tables</w:t>
            </w:r>
            <w:r w:rsidR="00D04D95" w:rsidRPr="00033816">
              <w:t xml:space="preserve"> </w:t>
            </w:r>
            <w:proofErr w:type="spellStart"/>
            <w:r w:rsidR="00834305" w:rsidRPr="00033816">
              <w:t>16A.</w:t>
            </w:r>
            <w:r w:rsidR="009312EF">
              <w:t>9</w:t>
            </w:r>
            <w:proofErr w:type="spellEnd"/>
            <w:r w:rsidR="0060352B" w:rsidRPr="00033816">
              <w:t>.</w:t>
            </w:r>
          </w:p>
        </w:tc>
      </w:tr>
      <w:tr w:rsidR="0056325B" w:rsidRPr="00033816" w14:paraId="17FA05FC" w14:textId="77777777" w:rsidTr="00012746">
        <w:tc>
          <w:tcPr>
            <w:tcW w:w="8789" w:type="dxa"/>
            <w:tcBorders>
              <w:top w:val="nil"/>
              <w:left w:val="nil"/>
              <w:bottom w:val="single" w:sz="6" w:space="0" w:color="78A22F"/>
              <w:right w:val="nil"/>
            </w:tcBorders>
            <w:shd w:val="clear" w:color="auto" w:fill="auto"/>
          </w:tcPr>
          <w:p w14:paraId="458B9C5A" w14:textId="77777777" w:rsidR="0056325B" w:rsidRPr="00033816" w:rsidRDefault="0056325B" w:rsidP="00770430">
            <w:pPr>
              <w:pStyle w:val="Figurespace"/>
            </w:pPr>
          </w:p>
        </w:tc>
      </w:tr>
      <w:tr w:rsidR="0056325B" w:rsidRPr="00033816" w14:paraId="1EDDB66A" w14:textId="77777777" w:rsidTr="00012746">
        <w:tc>
          <w:tcPr>
            <w:tcW w:w="8789" w:type="dxa"/>
            <w:tcBorders>
              <w:top w:val="single" w:sz="6" w:space="0" w:color="78A22F"/>
              <w:left w:val="nil"/>
              <w:bottom w:val="nil"/>
              <w:right w:val="nil"/>
            </w:tcBorders>
          </w:tcPr>
          <w:p w14:paraId="6DC44D7D" w14:textId="68DCC702" w:rsidR="0056325B" w:rsidRPr="00033816" w:rsidRDefault="0056325B" w:rsidP="00EA2352">
            <w:pPr>
              <w:pStyle w:val="BoxSpaceBelow"/>
              <w:spacing w:before="0" w:after="0" w:line="40" w:lineRule="exact"/>
            </w:pPr>
          </w:p>
        </w:tc>
      </w:tr>
    </w:tbl>
    <w:p w14:paraId="3AABB9AE" w14:textId="77777777" w:rsidR="006842D6" w:rsidRPr="00033816" w:rsidRDefault="006842D6" w:rsidP="00770430">
      <w:pPr>
        <w:pStyle w:val="Heading3"/>
      </w:pPr>
      <w:r w:rsidRPr="00033816">
        <w:lastRenderedPageBreak/>
        <w:t>Effectiveness</w:t>
      </w:r>
    </w:p>
    <w:p w14:paraId="46FF2A7A" w14:textId="25481451" w:rsidR="009D124F" w:rsidRPr="00033816" w:rsidRDefault="009D124F" w:rsidP="00770430">
      <w:pPr>
        <w:pStyle w:val="Heading4"/>
      </w:pPr>
      <w:r w:rsidRPr="00033816">
        <w:t>Support to families</w:t>
      </w:r>
    </w:p>
    <w:p w14:paraId="15B3DCE8" w14:textId="09FA5A6E" w:rsidR="009D124F" w:rsidRPr="00033816" w:rsidRDefault="006D3A4B" w:rsidP="00770430">
      <w:pPr>
        <w:pStyle w:val="BodyText"/>
      </w:pPr>
      <w:r w:rsidRPr="00033816">
        <w:t>‘Support to families’ is an indicator of governments’ objective to support and strengthen families so that children can live in a safe and stable family environment (box</w:t>
      </w:r>
      <w:r w:rsidR="00070407">
        <w:t xml:space="preserve"> 16.3</w:t>
      </w:r>
      <w:r w:rsidRPr="00033816">
        <w:t>).</w:t>
      </w:r>
    </w:p>
    <w:p w14:paraId="7B6B44EE" w14:textId="78CB8605" w:rsidR="006D3A4B" w:rsidRPr="00033816" w:rsidRDefault="006D3A4B"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D3A4B" w:rsidRPr="00033816" w14:paraId="062F5788" w14:textId="77777777" w:rsidTr="00E26F62">
        <w:tc>
          <w:tcPr>
            <w:tcW w:w="8789" w:type="dxa"/>
            <w:tcBorders>
              <w:top w:val="single" w:sz="6" w:space="0" w:color="78A22F"/>
              <w:left w:val="nil"/>
              <w:bottom w:val="nil"/>
              <w:right w:val="nil"/>
            </w:tcBorders>
            <w:shd w:val="clear" w:color="auto" w:fill="F2F2F2"/>
          </w:tcPr>
          <w:p w14:paraId="5D4048A2" w14:textId="69CCB7C1" w:rsidR="006D3A4B" w:rsidRPr="00033816" w:rsidRDefault="006D3A4B" w:rsidP="00770430">
            <w:pPr>
              <w:pStyle w:val="BoxTitle"/>
            </w:pPr>
            <w:r w:rsidRPr="00033816">
              <w:rPr>
                <w:b w:val="0"/>
              </w:rPr>
              <w:t xml:space="preserve">Box </w:t>
            </w:r>
            <w:bookmarkStart w:id="30" w:name="OLE_LINK10"/>
            <w:r w:rsidR="00312F82" w:rsidRPr="00033816">
              <w:rPr>
                <w:b w:val="0"/>
              </w:rPr>
              <w:t>16.3</w:t>
            </w:r>
            <w:bookmarkEnd w:id="30"/>
            <w:r w:rsidRPr="00033816">
              <w:tab/>
              <w:t>Support to families</w:t>
            </w:r>
          </w:p>
        </w:tc>
      </w:tr>
      <w:tr w:rsidR="006D3A4B" w:rsidRPr="00033816" w14:paraId="15243333" w14:textId="77777777" w:rsidTr="00E26F62">
        <w:tc>
          <w:tcPr>
            <w:tcW w:w="8789" w:type="dxa"/>
            <w:tcBorders>
              <w:top w:val="nil"/>
              <w:left w:val="nil"/>
              <w:bottom w:val="nil"/>
              <w:right w:val="nil"/>
            </w:tcBorders>
            <w:shd w:val="clear" w:color="auto" w:fill="F2F2F2"/>
          </w:tcPr>
          <w:p w14:paraId="6EEB27A2" w14:textId="4E5C6EC2" w:rsidR="006D3A4B" w:rsidRPr="00033816" w:rsidRDefault="006D3A4B" w:rsidP="00770430">
            <w:pPr>
              <w:pStyle w:val="Box"/>
            </w:pPr>
            <w:r w:rsidRPr="00033816">
              <w:t>‘Support to families’ is defined as the proportion of families identified as requiring support who receive support.</w:t>
            </w:r>
          </w:p>
          <w:p w14:paraId="613DA65D" w14:textId="6DB24F30" w:rsidR="006D3A4B" w:rsidRPr="00033816" w:rsidRDefault="006D3A4B" w:rsidP="00770430">
            <w:pPr>
              <w:pStyle w:val="Box"/>
            </w:pPr>
            <w:r w:rsidRPr="00033816">
              <w:t xml:space="preserve">A high or increasing </w:t>
            </w:r>
            <w:r w:rsidR="00312F82" w:rsidRPr="00033816">
              <w:t xml:space="preserve">proportion </w:t>
            </w:r>
            <w:r w:rsidRPr="00033816">
              <w:t>of families who have been identified as requiring support and who receive support is desirable.</w:t>
            </w:r>
          </w:p>
          <w:p w14:paraId="1D895A49" w14:textId="77777777" w:rsidR="006D3A4B" w:rsidRPr="00033816" w:rsidRDefault="006D3A4B" w:rsidP="00770430">
            <w:pPr>
              <w:pStyle w:val="Box"/>
            </w:pPr>
            <w:r w:rsidRPr="00033816">
              <w:t>Data are not yet available for reporting against this indicator.</w:t>
            </w:r>
          </w:p>
        </w:tc>
      </w:tr>
      <w:tr w:rsidR="006D3A4B" w:rsidRPr="00033816" w14:paraId="3382901D" w14:textId="77777777" w:rsidTr="00E26F62">
        <w:tc>
          <w:tcPr>
            <w:tcW w:w="8789" w:type="dxa"/>
            <w:tcBorders>
              <w:top w:val="nil"/>
              <w:left w:val="nil"/>
              <w:bottom w:val="single" w:sz="6" w:space="0" w:color="78A22F"/>
              <w:right w:val="nil"/>
            </w:tcBorders>
            <w:shd w:val="clear" w:color="auto" w:fill="F2F2F2"/>
          </w:tcPr>
          <w:p w14:paraId="28E9FC58" w14:textId="77777777" w:rsidR="006D3A4B" w:rsidRPr="00033816" w:rsidRDefault="006D3A4B" w:rsidP="00770430">
            <w:pPr>
              <w:pStyle w:val="Box"/>
              <w:spacing w:before="0" w:line="120" w:lineRule="exact"/>
            </w:pPr>
          </w:p>
        </w:tc>
      </w:tr>
      <w:tr w:rsidR="006D3A4B" w:rsidRPr="00033816" w14:paraId="437F8FB6" w14:textId="77777777" w:rsidTr="00E26F62">
        <w:tc>
          <w:tcPr>
            <w:tcW w:w="8789" w:type="dxa"/>
            <w:tcBorders>
              <w:top w:val="single" w:sz="6" w:space="0" w:color="78A22F"/>
              <w:left w:val="nil"/>
              <w:bottom w:val="nil"/>
              <w:right w:val="nil"/>
            </w:tcBorders>
          </w:tcPr>
          <w:p w14:paraId="32DF81B3" w14:textId="32E1560B" w:rsidR="006D3A4B" w:rsidRPr="00033816" w:rsidRDefault="006D3A4B" w:rsidP="00770430">
            <w:pPr>
              <w:pStyle w:val="BoxSpaceBelow"/>
            </w:pPr>
          </w:p>
        </w:tc>
      </w:tr>
    </w:tbl>
    <w:p w14:paraId="68FF1263" w14:textId="2AFD7445" w:rsidR="006842D6" w:rsidRPr="00033816" w:rsidRDefault="009D124F" w:rsidP="00770430">
      <w:pPr>
        <w:pStyle w:val="Heading4"/>
      </w:pPr>
      <w:r w:rsidRPr="00033816">
        <w:t>R</w:t>
      </w:r>
      <w:r w:rsidR="006842D6" w:rsidRPr="00033816">
        <w:t>esponse time</w:t>
      </w:r>
      <w:r w:rsidR="00B80162" w:rsidRPr="00033816">
        <w:t>s</w:t>
      </w:r>
    </w:p>
    <w:p w14:paraId="751C431D" w14:textId="34F33E06" w:rsidR="00A9694E" w:rsidRPr="00033816" w:rsidRDefault="006842D6" w:rsidP="00770430">
      <w:pPr>
        <w:pStyle w:val="BodyText"/>
        <w:widowControl w:val="0"/>
      </w:pPr>
      <w:r w:rsidRPr="00033816">
        <w:t>‘Response time</w:t>
      </w:r>
      <w:r w:rsidR="00B80162" w:rsidRPr="00033816">
        <w:t>s</w:t>
      </w:r>
      <w:r w:rsidRPr="00033816">
        <w:t xml:space="preserve">’ </w:t>
      </w:r>
      <w:r w:rsidR="0055216E" w:rsidRPr="00033816">
        <w:t xml:space="preserve">is an indicator of governments’ objective to </w:t>
      </w:r>
      <w:r w:rsidR="00BB745C" w:rsidRPr="00033816">
        <w:t xml:space="preserve">provide child protection services that are responsive, ensuring that notifications are responded to, and investigations are completed, in a timely and appropriate manner </w:t>
      </w:r>
      <w:r w:rsidRPr="00033816">
        <w:t>(box</w:t>
      </w:r>
      <w:r w:rsidR="002E0FA0" w:rsidRPr="00033816">
        <w:t xml:space="preserve"> </w:t>
      </w:r>
      <w:r w:rsidR="005B24F5" w:rsidRPr="00033816">
        <w:t>16.</w:t>
      </w:r>
      <w:r w:rsidR="00312F82" w:rsidRPr="00033816">
        <w:t>4</w:t>
      </w:r>
      <w:r w:rsidR="00AD1810" w:rsidRPr="00033816">
        <w:t>).</w:t>
      </w:r>
      <w:r w:rsidR="00F26E78" w:rsidRPr="00033816">
        <w:t xml:space="preserve"> </w:t>
      </w:r>
    </w:p>
    <w:p w14:paraId="4DB22E4A" w14:textId="09AEB0F3" w:rsidR="005E4B7E" w:rsidRPr="00033816" w:rsidRDefault="005E4B7E"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5E4B7E" w:rsidRPr="00033816" w14:paraId="5F511923" w14:textId="77777777" w:rsidTr="00E26F62">
        <w:tc>
          <w:tcPr>
            <w:tcW w:w="8789" w:type="dxa"/>
            <w:tcBorders>
              <w:top w:val="single" w:sz="6" w:space="0" w:color="78A22F"/>
              <w:left w:val="nil"/>
              <w:bottom w:val="nil"/>
              <w:right w:val="nil"/>
            </w:tcBorders>
            <w:shd w:val="clear" w:color="auto" w:fill="F2F2F2"/>
          </w:tcPr>
          <w:p w14:paraId="47A6A692" w14:textId="77777777" w:rsidR="005E4B7E" w:rsidRPr="00033816" w:rsidRDefault="005E4B7E" w:rsidP="00770430">
            <w:pPr>
              <w:pStyle w:val="BoxTitle"/>
            </w:pPr>
            <w:r w:rsidRPr="00033816">
              <w:rPr>
                <w:b w:val="0"/>
              </w:rPr>
              <w:t>Box 16.4</w:t>
            </w:r>
            <w:r w:rsidRPr="00033816">
              <w:tab/>
              <w:t>Response times</w:t>
            </w:r>
          </w:p>
        </w:tc>
      </w:tr>
      <w:tr w:rsidR="005E4B7E" w:rsidRPr="00033816" w14:paraId="271C985A" w14:textId="77777777" w:rsidTr="00E26F62">
        <w:tc>
          <w:tcPr>
            <w:tcW w:w="8789" w:type="dxa"/>
            <w:tcBorders>
              <w:top w:val="nil"/>
              <w:left w:val="nil"/>
              <w:bottom w:val="nil"/>
              <w:right w:val="nil"/>
            </w:tcBorders>
            <w:shd w:val="clear" w:color="auto" w:fill="F2F2F2"/>
          </w:tcPr>
          <w:p w14:paraId="453E3559" w14:textId="77777777" w:rsidR="005E4B7E" w:rsidRPr="00033816" w:rsidRDefault="005E4B7E" w:rsidP="00770430">
            <w:pPr>
              <w:pStyle w:val="Box"/>
            </w:pPr>
            <w:r w:rsidRPr="00033816">
              <w:t xml:space="preserve">‘Response times’ is defined by two measures: </w:t>
            </w:r>
          </w:p>
          <w:p w14:paraId="7E9164CE" w14:textId="77777777" w:rsidR="005E4B7E" w:rsidRPr="00033816" w:rsidRDefault="005E4B7E" w:rsidP="00770430">
            <w:pPr>
              <w:pStyle w:val="BoxListBullet"/>
            </w:pPr>
            <w:r w:rsidRPr="00033816">
              <w:t xml:space="preserve">response time to </w:t>
            </w:r>
            <w:r w:rsidRPr="00033816">
              <w:rPr>
                <w:i/>
              </w:rPr>
              <w:t>commence</w:t>
            </w:r>
            <w:r w:rsidRPr="00033816">
              <w:t xml:space="preserve"> investigations, defined as the proportion of investigations commenced within specified time periods, where the length of time (measured in days) between the date a child protection department records a notification and the date an investigation is subsequently commenced</w:t>
            </w:r>
          </w:p>
          <w:p w14:paraId="57E72DF4" w14:textId="77777777" w:rsidR="005E4B7E" w:rsidRPr="00033816" w:rsidRDefault="005E4B7E" w:rsidP="00770430">
            <w:pPr>
              <w:pStyle w:val="BoxListBullet"/>
            </w:pPr>
            <w:r w:rsidRPr="00033816">
              <w:t xml:space="preserve">response time to </w:t>
            </w:r>
            <w:r w:rsidRPr="00033816">
              <w:rPr>
                <w:i/>
              </w:rPr>
              <w:t>complete</w:t>
            </w:r>
            <w:r w:rsidRPr="00033816">
              <w:t xml:space="preserve"> investigations, defined as the proportion of investigations completed within specified time periods, where the length of time (measured in days) between the date a child protection department records a notification and the date an investigation is completed (that is, the date an investigation outcome is determined).</w:t>
            </w:r>
          </w:p>
          <w:p w14:paraId="4EA80005" w14:textId="77777777" w:rsidR="00E26F62" w:rsidRPr="00033816" w:rsidRDefault="00E26F62" w:rsidP="00770430">
            <w:pPr>
              <w:pStyle w:val="Box"/>
            </w:pPr>
            <w:r w:rsidRPr="00033816">
              <w:t xml:space="preserve">A higher and increasing proportion of investigations commenced and completed in shorter periods is desirable. </w:t>
            </w:r>
          </w:p>
          <w:p w14:paraId="7BB15FB2" w14:textId="77777777" w:rsidR="00C61D13" w:rsidRDefault="00E26F62" w:rsidP="00770430">
            <w:pPr>
              <w:pStyle w:val="Box"/>
            </w:pPr>
            <w:r w:rsidRPr="00033816">
              <w:t>The length of time between recording a notification and commencing an investigation indicates the promptness in responding to child protection concerns. The length of time between recording a notification and completing an investigation indicates the effectiveness of responding to and conducting investigations in a timely manner.</w:t>
            </w:r>
            <w:r w:rsidR="00C61D13" w:rsidRPr="00BF355F">
              <w:t xml:space="preserve"> </w:t>
            </w:r>
          </w:p>
          <w:p w14:paraId="4C6B4835" w14:textId="5EB1254D" w:rsidR="00C61D13" w:rsidRPr="00BF355F" w:rsidRDefault="00C61D13" w:rsidP="00770430">
            <w:pPr>
              <w:pStyle w:val="Box"/>
            </w:pPr>
            <w:r w:rsidRPr="00BF355F">
              <w:t>Data reported for these measures are:</w:t>
            </w:r>
          </w:p>
          <w:p w14:paraId="4ABDFAA9" w14:textId="16E38E87" w:rsidR="00C61D13" w:rsidRPr="00BF355F" w:rsidRDefault="00C61D13" w:rsidP="00770430">
            <w:pPr>
              <w:pStyle w:val="Box"/>
              <w:ind w:left="284"/>
            </w:pPr>
            <w:r w:rsidRPr="00EA5D67">
              <w:rPr>
                <w:shd w:val="clear" w:color="auto" w:fill="FCDED3"/>
              </w:rPr>
              <w:t xml:space="preserve">    </w:t>
            </w:r>
            <w:r>
              <w:t xml:space="preserve"> </w:t>
            </w:r>
            <w:r w:rsidR="007930D9" w:rsidRPr="00BF355F">
              <w:t xml:space="preserve">not comparable across jurisdictions but are </w:t>
            </w:r>
            <w:r w:rsidRPr="00BF355F">
              <w:t>comparable (subject to caveats) with</w:t>
            </w:r>
            <w:r w:rsidR="007930D9">
              <w:t>in some jurisdictions over time</w:t>
            </w:r>
          </w:p>
          <w:p w14:paraId="4217D393" w14:textId="6CA02325" w:rsidR="005E4B7E" w:rsidRPr="00C61D13" w:rsidRDefault="00C61D13" w:rsidP="00770430">
            <w:pPr>
              <w:pStyle w:val="Box"/>
              <w:ind w:left="284"/>
            </w:pPr>
            <w:r w:rsidRPr="00EA5D67">
              <w:rPr>
                <w:shd w:val="clear" w:color="auto" w:fill="FCDED3"/>
              </w:rPr>
              <w:t xml:space="preserve">    </w:t>
            </w:r>
            <w:r>
              <w:t xml:space="preserve"> in</w:t>
            </w:r>
            <w:r w:rsidRPr="00EA5D67">
              <w:t>complete for the current repo</w:t>
            </w:r>
            <w:r w:rsidR="000A3AF3">
              <w:t>rting period. All required 2017-</w:t>
            </w:r>
            <w:r w:rsidRPr="00EA5D67">
              <w:t xml:space="preserve">18 data are </w:t>
            </w:r>
            <w:r>
              <w:t xml:space="preserve">not </w:t>
            </w:r>
            <w:r w:rsidRPr="00EA5D67">
              <w:t>available</w:t>
            </w:r>
            <w:r>
              <w:t xml:space="preserve"> for NSW.</w:t>
            </w:r>
          </w:p>
        </w:tc>
      </w:tr>
      <w:tr w:rsidR="005E4B7E" w:rsidRPr="00033816" w14:paraId="15363A0D" w14:textId="77777777" w:rsidTr="00E26F62">
        <w:tc>
          <w:tcPr>
            <w:tcW w:w="8789" w:type="dxa"/>
            <w:tcBorders>
              <w:top w:val="nil"/>
              <w:left w:val="nil"/>
              <w:bottom w:val="single" w:sz="6" w:space="0" w:color="78A22F"/>
              <w:right w:val="nil"/>
            </w:tcBorders>
            <w:shd w:val="clear" w:color="auto" w:fill="F2F2F2"/>
          </w:tcPr>
          <w:p w14:paraId="0F0D8865" w14:textId="77777777" w:rsidR="005E4B7E" w:rsidRPr="00033816" w:rsidRDefault="005E4B7E" w:rsidP="00770430">
            <w:pPr>
              <w:pStyle w:val="Box"/>
              <w:spacing w:before="0" w:line="120" w:lineRule="exact"/>
            </w:pPr>
          </w:p>
        </w:tc>
      </w:tr>
      <w:tr w:rsidR="005E4B7E" w:rsidRPr="00033816" w14:paraId="11455BA7" w14:textId="77777777" w:rsidTr="00E26F62">
        <w:tc>
          <w:tcPr>
            <w:tcW w:w="8789" w:type="dxa"/>
            <w:tcBorders>
              <w:top w:val="single" w:sz="6" w:space="0" w:color="78A22F"/>
              <w:left w:val="nil"/>
              <w:bottom w:val="nil"/>
              <w:right w:val="nil"/>
            </w:tcBorders>
          </w:tcPr>
          <w:p w14:paraId="5C5DB068" w14:textId="0DC722A9" w:rsidR="005E4B7E" w:rsidRPr="00033816" w:rsidRDefault="005E4B7E" w:rsidP="00770430">
            <w:pPr>
              <w:pStyle w:val="BoxSpaceBelow"/>
            </w:pPr>
          </w:p>
        </w:tc>
      </w:tr>
    </w:tbl>
    <w:p w14:paraId="1DB973A6" w14:textId="2B8972B4" w:rsidR="00F26E78" w:rsidRPr="00033816" w:rsidRDefault="00517658" w:rsidP="00770430">
      <w:pPr>
        <w:pStyle w:val="BodyText"/>
      </w:pPr>
      <w:r w:rsidRPr="00B4588F">
        <w:t xml:space="preserve">Response times to commence and complete investigations varied across jurisdictions in </w:t>
      </w:r>
      <w:r w:rsidR="006D3A4B" w:rsidRPr="00B4588F">
        <w:t>201</w:t>
      </w:r>
      <w:r w:rsidR="00070407" w:rsidRPr="00B4588F">
        <w:t>7</w:t>
      </w:r>
      <w:r w:rsidR="000A3AF3">
        <w:t>-</w:t>
      </w:r>
      <w:r w:rsidR="006D3A4B" w:rsidRPr="00B4588F">
        <w:t>1</w:t>
      </w:r>
      <w:r w:rsidR="00070407" w:rsidRPr="00B4588F">
        <w:t>8</w:t>
      </w:r>
      <w:r w:rsidRPr="00B4588F">
        <w:t>. N</w:t>
      </w:r>
      <w:r w:rsidR="00E24ACF" w:rsidRPr="00B4588F">
        <w:t>ationally</w:t>
      </w:r>
      <w:r w:rsidR="008E5433" w:rsidRPr="00B4588F">
        <w:t xml:space="preserve"> (excluding NSW)</w:t>
      </w:r>
      <w:r w:rsidR="00EF22EF" w:rsidRPr="00B4588F">
        <w:t xml:space="preserve">, </w:t>
      </w:r>
      <w:r w:rsidR="00B4588F" w:rsidRPr="00B4588F">
        <w:t xml:space="preserve">61.9 </w:t>
      </w:r>
      <w:r w:rsidR="00EF22EF" w:rsidRPr="00B4588F">
        <w:t>per cent</w:t>
      </w:r>
      <w:r w:rsidR="00BC3C44" w:rsidRPr="00B4588F">
        <w:t xml:space="preserve"> of investigations </w:t>
      </w:r>
      <w:r w:rsidR="00C807D0" w:rsidRPr="00B4588F">
        <w:t xml:space="preserve">were </w:t>
      </w:r>
      <w:r w:rsidR="00BC3C44" w:rsidRPr="00B4588F">
        <w:t>commenced within seven days of n</w:t>
      </w:r>
      <w:r w:rsidR="00A42679" w:rsidRPr="00B4588F">
        <w:t>otification</w:t>
      </w:r>
      <w:r w:rsidR="0074322E" w:rsidRPr="00B4588F">
        <w:t xml:space="preserve"> (figure</w:t>
      </w:r>
      <w:r w:rsidR="002822C8" w:rsidRPr="00B4588F">
        <w:t xml:space="preserve"> </w:t>
      </w:r>
      <w:r w:rsidR="009D4A68" w:rsidRPr="00B4588F">
        <w:t>16.5(</w:t>
      </w:r>
      <w:r w:rsidR="002822C8" w:rsidRPr="00B4588F">
        <w:t>a)</w:t>
      </w:r>
      <w:r w:rsidR="0074322E" w:rsidRPr="00B4588F">
        <w:t>)</w:t>
      </w:r>
      <w:r w:rsidR="001656FB" w:rsidRPr="00B4588F">
        <w:t xml:space="preserve"> and </w:t>
      </w:r>
      <w:r w:rsidR="00B4588F" w:rsidRPr="00B4588F">
        <w:t>26.</w:t>
      </w:r>
      <w:r w:rsidR="00B4588F" w:rsidRPr="000A3AF3">
        <w:t xml:space="preserve">4 </w:t>
      </w:r>
      <w:r w:rsidR="00F26E78" w:rsidRPr="000A3AF3">
        <w:t xml:space="preserve">per </w:t>
      </w:r>
      <w:r w:rsidR="00F26E78" w:rsidRPr="00B4588F">
        <w:t xml:space="preserve">cent of investigations were completed in 28 days or </w:t>
      </w:r>
      <w:r w:rsidR="001D5223" w:rsidRPr="00B4588F">
        <w:t>fewer</w:t>
      </w:r>
      <w:r w:rsidR="00C807D0" w:rsidRPr="00B4588F">
        <w:t xml:space="preserve"> — </w:t>
      </w:r>
      <w:r w:rsidR="00ED7999">
        <w:t xml:space="preserve">more </w:t>
      </w:r>
      <w:r w:rsidR="00ED7999" w:rsidRPr="00ED7999">
        <w:t>than</w:t>
      </w:r>
      <w:r w:rsidR="001656FB" w:rsidRPr="00ED7999">
        <w:t xml:space="preserve"> one in </w:t>
      </w:r>
      <w:r w:rsidR="00ED7999" w:rsidRPr="00ED7999">
        <w:t xml:space="preserve">four </w:t>
      </w:r>
      <w:r w:rsidR="00C807D0" w:rsidRPr="00B4588F">
        <w:t>investigations</w:t>
      </w:r>
      <w:r w:rsidR="001656FB" w:rsidRPr="00B4588F">
        <w:t xml:space="preserve"> (</w:t>
      </w:r>
      <w:proofErr w:type="spellStart"/>
      <w:r w:rsidR="00ED7999">
        <w:t>27.6</w:t>
      </w:r>
      <w:r w:rsidR="00ED7999" w:rsidRPr="00424F47">
        <w:t>p</w:t>
      </w:r>
      <w:r w:rsidR="001656FB" w:rsidRPr="00ED7999">
        <w:t>er</w:t>
      </w:r>
      <w:proofErr w:type="spellEnd"/>
      <w:r w:rsidR="001656FB" w:rsidRPr="00B4588F">
        <w:t xml:space="preserve"> cent) took longer than </w:t>
      </w:r>
      <w:r w:rsidR="00334709" w:rsidRPr="00B4588F">
        <w:t>90 </w:t>
      </w:r>
      <w:r w:rsidR="001656FB" w:rsidRPr="00B4588F">
        <w:t xml:space="preserve">days to complete </w:t>
      </w:r>
      <w:r w:rsidR="00F26E78" w:rsidRPr="00B4588F">
        <w:t>(</w:t>
      </w:r>
      <w:r w:rsidR="009D4A68" w:rsidRPr="00B4588F">
        <w:t>figure 16.5</w:t>
      </w:r>
      <w:r w:rsidR="002822C8" w:rsidRPr="00B4588F">
        <w:t>(b)</w:t>
      </w:r>
      <w:r w:rsidR="00ED7999">
        <w:t xml:space="preserve">, </w:t>
      </w:r>
      <w:r w:rsidR="00855970" w:rsidRPr="00B4588F">
        <w:t xml:space="preserve">tables </w:t>
      </w:r>
      <w:proofErr w:type="spellStart"/>
      <w:r w:rsidR="00855970" w:rsidRPr="00B4588F">
        <w:t>1</w:t>
      </w:r>
      <w:r w:rsidR="00BB745C" w:rsidRPr="00B4588F">
        <w:t>6</w:t>
      </w:r>
      <w:r w:rsidR="00855970" w:rsidRPr="00B4588F">
        <w:t>A.</w:t>
      </w:r>
      <w:r w:rsidR="009312EF" w:rsidRPr="00B4588F">
        <w:t>10</w:t>
      </w:r>
      <w:proofErr w:type="spellEnd"/>
      <w:r w:rsidR="00443EA5" w:rsidRPr="00B4588F">
        <w:t>–</w:t>
      </w:r>
      <w:r w:rsidR="00947151" w:rsidRPr="00B4588F">
        <w:t>1</w:t>
      </w:r>
      <w:r w:rsidR="009312EF" w:rsidRPr="00B4588F">
        <w:t>1</w:t>
      </w:r>
      <w:r w:rsidR="00855970" w:rsidRPr="00B4588F">
        <w:t>).</w:t>
      </w:r>
    </w:p>
    <w:p w14:paraId="6E965861" w14:textId="53023DE7" w:rsidR="000D73CC" w:rsidRPr="00033816" w:rsidRDefault="000D73CC"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D73CC" w:rsidRPr="00033816" w14:paraId="05523F8F" w14:textId="77777777" w:rsidTr="00AF66C4">
        <w:tc>
          <w:tcPr>
            <w:tcW w:w="8789" w:type="dxa"/>
            <w:tcBorders>
              <w:top w:val="single" w:sz="6" w:space="0" w:color="78A22F"/>
              <w:left w:val="nil"/>
              <w:bottom w:val="nil"/>
              <w:right w:val="nil"/>
            </w:tcBorders>
            <w:shd w:val="clear" w:color="auto" w:fill="auto"/>
          </w:tcPr>
          <w:p w14:paraId="18C98078" w14:textId="441421AC" w:rsidR="000D73CC" w:rsidRPr="00033816" w:rsidRDefault="000D73CC" w:rsidP="000A3AF3">
            <w:pPr>
              <w:pStyle w:val="FigureTitle"/>
            </w:pPr>
            <w:r w:rsidRPr="00033816">
              <w:rPr>
                <w:b w:val="0"/>
              </w:rPr>
              <w:t>Figure</w:t>
            </w:r>
            <w:r w:rsidR="009D4A68" w:rsidRPr="00033816">
              <w:rPr>
                <w:b w:val="0"/>
              </w:rPr>
              <w:t xml:space="preserve"> 16.5</w:t>
            </w:r>
            <w:r w:rsidRPr="00033816">
              <w:tab/>
              <w:t>Proportion of investigations commenced an</w:t>
            </w:r>
            <w:r w:rsidR="001A0561" w:rsidRPr="00033816">
              <w:t xml:space="preserve">d completed, by time taken, </w:t>
            </w:r>
            <w:r w:rsidR="006D3A4B" w:rsidRPr="00033816">
              <w:t>201</w:t>
            </w:r>
            <w:r w:rsidR="00070407">
              <w:t>7</w:t>
            </w:r>
            <w:r w:rsidR="000A3AF3">
              <w:t>-</w:t>
            </w:r>
            <w:r w:rsidR="006D3A4B" w:rsidRPr="00033816">
              <w:t>1</w:t>
            </w:r>
            <w:r w:rsidR="00070407">
              <w:t>8</w:t>
            </w:r>
            <w:r w:rsidRPr="00033816">
              <w:rPr>
                <w:rStyle w:val="NoteLabel"/>
                <w:b/>
              </w:rPr>
              <w:t>a</w:t>
            </w:r>
            <w:r w:rsidR="00487B3C">
              <w:rPr>
                <w:rStyle w:val="NoteLabel"/>
                <w:b/>
              </w:rPr>
              <w:t>, b</w:t>
            </w:r>
          </w:p>
        </w:tc>
      </w:tr>
      <w:tr w:rsidR="00AF66C4" w:rsidRPr="00033816" w14:paraId="5CFCFE69"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C96187" w14:paraId="0D3A03B5" w14:textId="77777777" w:rsidTr="008E5433">
              <w:tc>
                <w:tcPr>
                  <w:tcW w:w="304" w:type="dxa"/>
                  <w:tcBorders>
                    <w:top w:val="nil"/>
                    <w:left w:val="nil"/>
                    <w:bottom w:val="nil"/>
                    <w:right w:val="nil"/>
                  </w:tcBorders>
                  <w:shd w:val="clear" w:color="auto" w:fill="auto"/>
                  <w:tcMar>
                    <w:top w:w="28" w:type="dxa"/>
                    <w:bottom w:w="28" w:type="dxa"/>
                  </w:tcMar>
                </w:tcPr>
                <w:p w14:paraId="09D951D7" w14:textId="77777777" w:rsidR="00AF66C4" w:rsidRPr="00C96187"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71256312" w14:textId="77777777" w:rsidR="00AF66C4" w:rsidRPr="00C96187"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2568BB2" w14:textId="17F09E96" w:rsidR="00AF66C4" w:rsidRPr="00C96187" w:rsidRDefault="00AF66C4" w:rsidP="00770430">
                  <w:pPr>
                    <w:pStyle w:val="TableBodyText"/>
                    <w:jc w:val="left"/>
                  </w:pPr>
                  <w:r>
                    <w:t xml:space="preserve">Data are </w:t>
                  </w:r>
                  <w:r w:rsidR="007930D9" w:rsidRPr="00C96187">
                    <w:t>not comparable across jurisdictions</w:t>
                  </w:r>
                  <w:r w:rsidR="007930D9">
                    <w:t xml:space="preserve"> </w:t>
                  </w:r>
                  <w:r w:rsidR="007930D9" w:rsidRPr="00C96187">
                    <w:t>but are</w:t>
                  </w:r>
                  <w:r w:rsidR="007930D9">
                    <w:t xml:space="preserve"> </w:t>
                  </w:r>
                  <w:r>
                    <w:t>c</w:t>
                  </w:r>
                  <w:r w:rsidRPr="00C96187">
                    <w:t>omparable (subject to caveats) within jurisdictions over time.</w:t>
                  </w:r>
                </w:p>
              </w:tc>
            </w:tr>
            <w:tr w:rsidR="00AF66C4" w:rsidRPr="00C96187" w14:paraId="2E758329" w14:textId="77777777" w:rsidTr="008E5433">
              <w:tc>
                <w:tcPr>
                  <w:tcW w:w="304" w:type="dxa"/>
                  <w:tcBorders>
                    <w:top w:val="nil"/>
                    <w:left w:val="nil"/>
                    <w:bottom w:val="nil"/>
                    <w:right w:val="nil"/>
                  </w:tcBorders>
                  <w:shd w:val="clear" w:color="auto" w:fill="auto"/>
                  <w:tcMar>
                    <w:top w:w="28" w:type="dxa"/>
                    <w:bottom w:w="28" w:type="dxa"/>
                  </w:tcMar>
                </w:tcPr>
                <w:p w14:paraId="05ACFAA5" w14:textId="77777777" w:rsidR="00AF66C4" w:rsidRPr="00C96187"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8182EC8" w14:textId="77777777" w:rsidR="00AF66C4" w:rsidRPr="008E5433"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32C79A41" w14:textId="6F2F8FB5" w:rsidR="00AF66C4" w:rsidRPr="00DB1931" w:rsidRDefault="00AF66C4" w:rsidP="00770430">
                  <w:pPr>
                    <w:pStyle w:val="TableBodyText"/>
                    <w:jc w:val="left"/>
                    <w:rPr>
                      <w:highlight w:val="yellow"/>
                    </w:rPr>
                  </w:pPr>
                  <w:r w:rsidRPr="00B4588F">
                    <w:t xml:space="preserve">Data are </w:t>
                  </w:r>
                  <w:r w:rsidR="00B4588F" w:rsidRPr="00B4588F">
                    <w:t>in</w:t>
                  </w:r>
                  <w:r w:rsidRPr="00B4588F">
                    <w:t xml:space="preserve">complete for the current reporting period. </w:t>
                  </w:r>
                </w:p>
              </w:tc>
            </w:tr>
          </w:tbl>
          <w:p w14:paraId="0A96F9E2" w14:textId="77777777" w:rsidR="00AF66C4" w:rsidRPr="00033816" w:rsidRDefault="00AF66C4" w:rsidP="00770430">
            <w:pPr>
              <w:pStyle w:val="FigureTitle"/>
              <w:rPr>
                <w:b w:val="0"/>
              </w:rPr>
            </w:pPr>
          </w:p>
        </w:tc>
      </w:tr>
      <w:tr w:rsidR="000D73CC" w:rsidRPr="00033816" w14:paraId="12237CC7" w14:textId="77777777" w:rsidTr="00E26F62">
        <w:tc>
          <w:tcPr>
            <w:tcW w:w="8789" w:type="dxa"/>
            <w:tcBorders>
              <w:top w:val="nil"/>
              <w:left w:val="nil"/>
              <w:bottom w:val="nil"/>
              <w:right w:val="nil"/>
            </w:tcBorders>
            <w:shd w:val="clear" w:color="auto" w:fill="auto"/>
            <w:tcMar>
              <w:top w:w="28" w:type="dxa"/>
              <w:bottom w:w="28" w:type="dxa"/>
            </w:tcMar>
          </w:tcPr>
          <w:tbl>
            <w:tblPr>
              <w:tblW w:w="8504" w:type="dxa"/>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gridCol w:w="17"/>
            </w:tblGrid>
            <w:tr w:rsidR="009F2B08" w:rsidRPr="00033816" w14:paraId="6D0CCBF3" w14:textId="77777777" w:rsidTr="00F21DDC">
              <w:trPr>
                <w:gridAfter w:val="1"/>
                <w:wAfter w:w="17" w:type="dxa"/>
              </w:trPr>
              <w:tc>
                <w:tcPr>
                  <w:tcW w:w="8487" w:type="dxa"/>
                  <w:tcBorders>
                    <w:top w:val="nil"/>
                    <w:bottom w:val="nil"/>
                  </w:tcBorders>
                </w:tcPr>
                <w:p w14:paraId="3F5CFAC2" w14:textId="004A390E" w:rsidR="009F2B08" w:rsidRPr="00033816" w:rsidRDefault="009F2B08" w:rsidP="00770430">
                  <w:pPr>
                    <w:pStyle w:val="BoxListNumber2"/>
                    <w:numPr>
                      <w:ilvl w:val="0"/>
                      <w:numId w:val="0"/>
                    </w:numPr>
                    <w:spacing w:before="0"/>
                    <w:ind w:left="284"/>
                    <w:jc w:val="center"/>
                    <w:rPr>
                      <w:b/>
                      <w:sz w:val="18"/>
                      <w:szCs w:val="18"/>
                    </w:rPr>
                  </w:pPr>
                  <w:bookmarkStart w:id="31" w:name="OLE_LINK70"/>
                  <w:r w:rsidRPr="00033816">
                    <w:rPr>
                      <w:b/>
                      <w:sz w:val="18"/>
                      <w:szCs w:val="18"/>
                    </w:rPr>
                    <w:t>(a)</w:t>
                  </w:r>
                  <w:bookmarkEnd w:id="31"/>
                  <w:r w:rsidRPr="00033816">
                    <w:rPr>
                      <w:b/>
                      <w:sz w:val="18"/>
                      <w:szCs w:val="18"/>
                    </w:rPr>
                    <w:t xml:space="preserve"> Response time to commence investigations</w:t>
                  </w:r>
                </w:p>
              </w:tc>
            </w:tr>
            <w:tr w:rsidR="000D73CC" w:rsidRPr="00033816" w14:paraId="56D60F92" w14:textId="77777777" w:rsidTr="00BA358F">
              <w:trPr>
                <w:trHeight w:val="4252"/>
              </w:trPr>
              <w:tc>
                <w:tcPr>
                  <w:tcW w:w="8504" w:type="dxa"/>
                  <w:gridSpan w:val="2"/>
                  <w:tcBorders>
                    <w:top w:val="nil"/>
                    <w:left w:val="nil"/>
                    <w:bottom w:val="nil"/>
                  </w:tcBorders>
                  <w:shd w:val="clear" w:color="auto" w:fill="auto"/>
                </w:tcPr>
                <w:p w14:paraId="1EF92390" w14:textId="4870F942" w:rsidR="000D73CC" w:rsidRPr="00033816" w:rsidRDefault="00BA358F" w:rsidP="00770430">
                  <w:pPr>
                    <w:pStyle w:val="Figure"/>
                    <w:spacing w:before="0" w:after="0"/>
                  </w:pPr>
                  <w:r>
                    <w:rPr>
                      <w:noProof/>
                    </w:rPr>
                    <w:drawing>
                      <wp:inline distT="0" distB="0" distL="0" distR="0" wp14:anchorId="31173823" wp14:editId="6DFED57F">
                        <wp:extent cx="5262880" cy="2648585"/>
                        <wp:effectExtent l="0" t="0" r="0" b="0"/>
                        <wp:docPr id="9" name="Chart 9" descr="Figure 16.5 Proportion of investigations commenced and completed, by time taken, 2017-18&#10;&#10;(a) Response time to commence investigation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444C7" w:rsidRPr="00033816" w14:paraId="094762FD" w14:textId="77777777" w:rsidTr="00F21DDC">
              <w:trPr>
                <w:gridAfter w:val="1"/>
                <w:wAfter w:w="17" w:type="dxa"/>
              </w:trPr>
              <w:tc>
                <w:tcPr>
                  <w:tcW w:w="8487" w:type="dxa"/>
                  <w:tcBorders>
                    <w:top w:val="nil"/>
                    <w:bottom w:val="nil"/>
                  </w:tcBorders>
                </w:tcPr>
                <w:p w14:paraId="6D204015" w14:textId="77777777" w:rsidR="00A444C7" w:rsidRPr="00033816" w:rsidRDefault="009F2B08" w:rsidP="00770430">
                  <w:pPr>
                    <w:pStyle w:val="BoxListNumber2"/>
                    <w:numPr>
                      <w:ilvl w:val="0"/>
                      <w:numId w:val="0"/>
                    </w:numPr>
                    <w:spacing w:before="0"/>
                    <w:jc w:val="center"/>
                    <w:rPr>
                      <w:b/>
                      <w:sz w:val="18"/>
                      <w:szCs w:val="18"/>
                    </w:rPr>
                  </w:pPr>
                  <w:bookmarkStart w:id="32" w:name="OLE_LINK69"/>
                  <w:r w:rsidRPr="00033816">
                    <w:rPr>
                      <w:b/>
                      <w:sz w:val="18"/>
                      <w:szCs w:val="18"/>
                    </w:rPr>
                    <w:t>(b)</w:t>
                  </w:r>
                  <w:bookmarkEnd w:id="32"/>
                  <w:r w:rsidRPr="00033816">
                    <w:rPr>
                      <w:b/>
                      <w:sz w:val="18"/>
                      <w:szCs w:val="18"/>
                    </w:rPr>
                    <w:t xml:space="preserve"> Response time to complete investigations</w:t>
                  </w:r>
                </w:p>
              </w:tc>
            </w:tr>
            <w:tr w:rsidR="00A444C7" w:rsidRPr="00033816" w14:paraId="198BEA24" w14:textId="77777777" w:rsidTr="00375893">
              <w:trPr>
                <w:gridAfter w:val="1"/>
                <w:wAfter w:w="17" w:type="dxa"/>
              </w:trPr>
              <w:tc>
                <w:tcPr>
                  <w:tcW w:w="8487" w:type="dxa"/>
                  <w:tcBorders>
                    <w:top w:val="nil"/>
                    <w:left w:val="nil"/>
                    <w:bottom w:val="nil"/>
                  </w:tcBorders>
                  <w:shd w:val="clear" w:color="auto" w:fill="auto"/>
                </w:tcPr>
                <w:p w14:paraId="12AD330B" w14:textId="69007F57" w:rsidR="00A444C7" w:rsidRPr="00033816" w:rsidRDefault="00375893" w:rsidP="00770430">
                  <w:pPr>
                    <w:pStyle w:val="Figure"/>
                  </w:pPr>
                  <w:r>
                    <w:rPr>
                      <w:noProof/>
                    </w:rPr>
                    <w:drawing>
                      <wp:inline distT="0" distB="0" distL="0" distR="0" wp14:anchorId="532227DD" wp14:editId="17BA6B05">
                        <wp:extent cx="5252085" cy="2800985"/>
                        <wp:effectExtent l="0" t="0" r="5715" b="0"/>
                        <wp:docPr id="7" name="Chart 7" descr="Figure 16.5 Proportion of investigations commenced and completed, by time taken, 2017-18&#10;&#10;(b) Response time to complete investigation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A222F3" w14:textId="77777777" w:rsidR="000D73CC" w:rsidRPr="00033816" w:rsidRDefault="000D73CC" w:rsidP="00770430">
            <w:pPr>
              <w:pStyle w:val="Figure"/>
            </w:pPr>
          </w:p>
        </w:tc>
      </w:tr>
      <w:tr w:rsidR="000D73CC" w:rsidRPr="00033816" w14:paraId="3D83C715" w14:textId="77777777" w:rsidTr="00E26F62">
        <w:tc>
          <w:tcPr>
            <w:tcW w:w="8789" w:type="dxa"/>
            <w:tcBorders>
              <w:top w:val="nil"/>
              <w:left w:val="nil"/>
              <w:bottom w:val="nil"/>
              <w:right w:val="nil"/>
            </w:tcBorders>
            <w:shd w:val="clear" w:color="auto" w:fill="auto"/>
          </w:tcPr>
          <w:p w14:paraId="7676901E" w14:textId="22C0636C" w:rsidR="000D73CC" w:rsidRPr="00033816" w:rsidRDefault="00EE53E0" w:rsidP="00770430">
            <w:pPr>
              <w:pStyle w:val="Note"/>
            </w:pPr>
            <w:r w:rsidRPr="00033816">
              <w:rPr>
                <w:rStyle w:val="NoteLabel"/>
              </w:rPr>
              <w:t>a</w:t>
            </w:r>
            <w:r w:rsidR="00796D7D" w:rsidRPr="00033816">
              <w:rPr>
                <w:rStyle w:val="NoteLabel"/>
              </w:rPr>
              <w:t xml:space="preserve"> </w:t>
            </w:r>
            <w:r w:rsidR="00796D7D" w:rsidRPr="00033816">
              <w:t xml:space="preserve">See box </w:t>
            </w:r>
            <w:r w:rsidR="00205D49" w:rsidRPr="00033816">
              <w:t xml:space="preserve">16.4 </w:t>
            </w:r>
            <w:r w:rsidR="00796D7D" w:rsidRPr="00033816">
              <w:t xml:space="preserve">and </w:t>
            </w:r>
            <w:r w:rsidR="00796D7D" w:rsidRPr="00770430">
              <w:t xml:space="preserve">tables </w:t>
            </w:r>
            <w:proofErr w:type="spellStart"/>
            <w:r w:rsidR="00796D7D" w:rsidRPr="00770430">
              <w:t>1</w:t>
            </w:r>
            <w:r w:rsidR="001C36BD" w:rsidRPr="00770430">
              <w:t>6</w:t>
            </w:r>
            <w:r w:rsidR="00796D7D" w:rsidRPr="00770430">
              <w:t>A.</w:t>
            </w:r>
            <w:r w:rsidR="009312EF" w:rsidRPr="00770430">
              <w:t>10</w:t>
            </w:r>
            <w:proofErr w:type="spellEnd"/>
            <w:r w:rsidR="00DB48F7" w:rsidRPr="00770430">
              <w:t>–</w:t>
            </w:r>
            <w:r w:rsidR="00D63DB8" w:rsidRPr="00770430">
              <w:t>1</w:t>
            </w:r>
            <w:r w:rsidR="009312EF" w:rsidRPr="00770430">
              <w:t>1</w:t>
            </w:r>
            <w:r w:rsidR="00796D7D" w:rsidRPr="00770430">
              <w:t xml:space="preserve"> for detailed definitions, footnotes and caveats</w:t>
            </w:r>
            <w:r w:rsidR="00B87C50" w:rsidRPr="00770430">
              <w:t>.</w:t>
            </w:r>
            <w:r w:rsidR="0048693B" w:rsidRPr="00770430">
              <w:t xml:space="preserve"> </w:t>
            </w:r>
            <w:r w:rsidR="00487B3C" w:rsidRPr="00770430">
              <w:rPr>
                <w:rStyle w:val="NoteLabel"/>
              </w:rPr>
              <w:t>b</w:t>
            </w:r>
            <w:r w:rsidR="00487B3C" w:rsidRPr="00770430">
              <w:t xml:space="preserve"> Data </w:t>
            </w:r>
            <w:r w:rsidR="00320AD0">
              <w:t>we</w:t>
            </w:r>
            <w:r w:rsidR="00487B3C" w:rsidRPr="00770430">
              <w:t>re not available for NSW for 2017-18.</w:t>
            </w:r>
          </w:p>
        </w:tc>
      </w:tr>
      <w:tr w:rsidR="000D73CC" w:rsidRPr="00033816" w14:paraId="613017FC" w14:textId="77777777" w:rsidTr="00E26F62">
        <w:tc>
          <w:tcPr>
            <w:tcW w:w="8789" w:type="dxa"/>
            <w:tcBorders>
              <w:top w:val="nil"/>
              <w:left w:val="nil"/>
              <w:bottom w:val="nil"/>
              <w:right w:val="nil"/>
            </w:tcBorders>
            <w:shd w:val="clear" w:color="auto" w:fill="auto"/>
          </w:tcPr>
          <w:p w14:paraId="037957F6" w14:textId="0E4B1F5B" w:rsidR="000D73CC" w:rsidRPr="00033816" w:rsidRDefault="000D73CC" w:rsidP="00770430">
            <w:pPr>
              <w:pStyle w:val="Source"/>
            </w:pPr>
            <w:r w:rsidRPr="00033816">
              <w:rPr>
                <w:i/>
              </w:rPr>
              <w:t>Source</w:t>
            </w:r>
            <w:r w:rsidRPr="00033816">
              <w:t xml:space="preserve">: </w:t>
            </w:r>
            <w:proofErr w:type="spellStart"/>
            <w:r w:rsidRPr="00033816">
              <w:t>AIHW</w:t>
            </w:r>
            <w:proofErr w:type="spellEnd"/>
            <w:r w:rsidRPr="00033816">
              <w:t xml:space="preserve"> data collection (unpublished); tables</w:t>
            </w:r>
            <w:r w:rsidR="005926D8" w:rsidRPr="00033816">
              <w:t xml:space="preserve"> </w:t>
            </w:r>
            <w:proofErr w:type="spellStart"/>
            <w:r w:rsidR="005926D8" w:rsidRPr="00033816">
              <w:t>16A.</w:t>
            </w:r>
            <w:r w:rsidR="009312EF">
              <w:t>10</w:t>
            </w:r>
            <w:proofErr w:type="spellEnd"/>
            <w:r w:rsidR="00DB48F7" w:rsidRPr="00033816">
              <w:t>–</w:t>
            </w:r>
            <w:r w:rsidR="00947151" w:rsidRPr="00033816">
              <w:t>1</w:t>
            </w:r>
            <w:r w:rsidR="009312EF">
              <w:t>1</w:t>
            </w:r>
            <w:r w:rsidR="00D26A4C" w:rsidRPr="00033816">
              <w:t>.</w:t>
            </w:r>
          </w:p>
        </w:tc>
      </w:tr>
      <w:tr w:rsidR="000D73CC" w:rsidRPr="00033816" w14:paraId="7C49D470" w14:textId="77777777" w:rsidTr="00E26F62">
        <w:tc>
          <w:tcPr>
            <w:tcW w:w="8789" w:type="dxa"/>
            <w:tcBorders>
              <w:top w:val="nil"/>
              <w:left w:val="nil"/>
              <w:bottom w:val="single" w:sz="6" w:space="0" w:color="78A22F"/>
              <w:right w:val="nil"/>
            </w:tcBorders>
            <w:shd w:val="clear" w:color="auto" w:fill="auto"/>
          </w:tcPr>
          <w:p w14:paraId="0D15116A" w14:textId="77777777" w:rsidR="000D73CC" w:rsidRPr="00033816" w:rsidRDefault="000D73CC" w:rsidP="00770430">
            <w:pPr>
              <w:pStyle w:val="Figurespace"/>
            </w:pPr>
          </w:p>
        </w:tc>
      </w:tr>
      <w:tr w:rsidR="000D73CC" w:rsidRPr="00033816" w14:paraId="24CD1156" w14:textId="77777777" w:rsidTr="00E26F62">
        <w:tc>
          <w:tcPr>
            <w:tcW w:w="8789" w:type="dxa"/>
            <w:tcBorders>
              <w:top w:val="single" w:sz="6" w:space="0" w:color="78A22F"/>
              <w:left w:val="nil"/>
              <w:bottom w:val="nil"/>
              <w:right w:val="nil"/>
            </w:tcBorders>
          </w:tcPr>
          <w:p w14:paraId="3767D116" w14:textId="180DB0F2" w:rsidR="000D73CC" w:rsidRPr="00033816" w:rsidRDefault="000D73CC" w:rsidP="00770430">
            <w:pPr>
              <w:pStyle w:val="BoxSpaceBelow"/>
            </w:pPr>
          </w:p>
        </w:tc>
      </w:tr>
    </w:tbl>
    <w:p w14:paraId="6942F2FA" w14:textId="77777777" w:rsidR="005E4B7E" w:rsidRPr="00143B1A" w:rsidRDefault="005E4B7E" w:rsidP="00770430"/>
    <w:p w14:paraId="194CE01B" w14:textId="77777777" w:rsidR="005E4B7E" w:rsidRPr="00033816" w:rsidRDefault="005E4B7E" w:rsidP="00770430">
      <w:pPr>
        <w:rPr>
          <w:rFonts w:ascii="Arial" w:hAnsi="Arial"/>
          <w:szCs w:val="20"/>
        </w:rPr>
      </w:pPr>
      <w:r w:rsidRPr="00033816">
        <w:br w:type="page"/>
      </w:r>
    </w:p>
    <w:p w14:paraId="6A1EC9A3" w14:textId="48705A81" w:rsidR="006842D6" w:rsidRPr="00033816" w:rsidRDefault="002E0FA0" w:rsidP="00770430">
      <w:pPr>
        <w:pStyle w:val="Heading4"/>
      </w:pPr>
      <w:r w:rsidRPr="00033816">
        <w:lastRenderedPageBreak/>
        <w:t>S</w:t>
      </w:r>
      <w:r w:rsidR="006842D6" w:rsidRPr="00033816">
        <w:t>ubstantiation rate</w:t>
      </w:r>
    </w:p>
    <w:p w14:paraId="3A2A514D" w14:textId="27BB6F4D" w:rsidR="006842D6" w:rsidRPr="00033816" w:rsidRDefault="006842D6" w:rsidP="00770430">
      <w:pPr>
        <w:pStyle w:val="BodyText"/>
        <w:widowControl w:val="0"/>
      </w:pPr>
      <w:r w:rsidRPr="00033816">
        <w:t xml:space="preserve">‘Substantiation rate’ </w:t>
      </w:r>
      <w:r w:rsidR="0054188A" w:rsidRPr="00033816">
        <w:t xml:space="preserve">is an indicator of governments’ objective </w:t>
      </w:r>
      <w:r w:rsidR="002A2344" w:rsidRPr="00033816">
        <w:t>that child protection services are targeted to children and young people who are at greatest risk</w:t>
      </w:r>
      <w:r w:rsidR="00622630" w:rsidRPr="00033816">
        <w:t xml:space="preserve"> </w:t>
      </w:r>
      <w:r w:rsidRPr="00033816">
        <w:t>(box</w:t>
      </w:r>
      <w:r w:rsidR="00ED3A17" w:rsidRPr="00033816">
        <w:t xml:space="preserve"> </w:t>
      </w:r>
      <w:r w:rsidR="001234F1" w:rsidRPr="00033816">
        <w:t>16.5</w:t>
      </w:r>
      <w:r w:rsidRPr="00033816">
        <w:t>).</w:t>
      </w:r>
    </w:p>
    <w:p w14:paraId="30C55A23" w14:textId="0E5E5795" w:rsidR="002E0FA0" w:rsidRPr="00033816" w:rsidRDefault="002E0FA0"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2E0FA0" w:rsidRPr="00033816" w14:paraId="40C50822" w14:textId="77777777" w:rsidTr="00E26F62">
        <w:tc>
          <w:tcPr>
            <w:tcW w:w="8789" w:type="dxa"/>
            <w:tcBorders>
              <w:top w:val="single" w:sz="6" w:space="0" w:color="78A22F"/>
              <w:left w:val="nil"/>
              <w:bottom w:val="nil"/>
              <w:right w:val="nil"/>
            </w:tcBorders>
            <w:shd w:val="clear" w:color="auto" w:fill="F2F2F2"/>
          </w:tcPr>
          <w:p w14:paraId="1E1FB08E" w14:textId="74616C0B" w:rsidR="002E0FA0" w:rsidRPr="00033816" w:rsidRDefault="002E0FA0" w:rsidP="00770430">
            <w:pPr>
              <w:pStyle w:val="BoxTitle"/>
            </w:pPr>
            <w:r w:rsidRPr="00033816">
              <w:rPr>
                <w:b w:val="0"/>
              </w:rPr>
              <w:t xml:space="preserve">Box </w:t>
            </w:r>
            <w:r w:rsidR="001234F1" w:rsidRPr="00033816">
              <w:rPr>
                <w:b w:val="0"/>
              </w:rPr>
              <w:t>16.5</w:t>
            </w:r>
            <w:r w:rsidRPr="00033816">
              <w:tab/>
              <w:t>Substantiation rate</w:t>
            </w:r>
          </w:p>
        </w:tc>
      </w:tr>
      <w:tr w:rsidR="002E0FA0" w:rsidRPr="00033816" w14:paraId="65A46A03" w14:textId="77777777" w:rsidTr="00E26F62">
        <w:tc>
          <w:tcPr>
            <w:tcW w:w="8789" w:type="dxa"/>
            <w:tcBorders>
              <w:top w:val="nil"/>
              <w:left w:val="nil"/>
              <w:bottom w:val="nil"/>
              <w:right w:val="nil"/>
            </w:tcBorders>
            <w:shd w:val="clear" w:color="auto" w:fill="F2F2F2"/>
          </w:tcPr>
          <w:p w14:paraId="14AB6375" w14:textId="77777777" w:rsidR="002E0FA0" w:rsidRPr="00033816" w:rsidRDefault="002E0FA0" w:rsidP="00770430">
            <w:pPr>
              <w:pStyle w:val="Box"/>
            </w:pPr>
            <w:r w:rsidRPr="00033816">
              <w:t>‘Substantiation rate’ is defined as the proportion of finalised investigations where abuse or neglect, or risk of abuse or neglect, was confirmed.</w:t>
            </w:r>
          </w:p>
          <w:p w14:paraId="0E133814" w14:textId="6F56C24E" w:rsidR="002E0FA0" w:rsidRPr="00033816" w:rsidRDefault="002E0FA0" w:rsidP="00770430">
            <w:pPr>
              <w:pStyle w:val="Box"/>
            </w:pPr>
            <w:r w:rsidRPr="00033816">
              <w:t xml:space="preserve">The substantiation rate provides an indication of the extent to which services </w:t>
            </w:r>
            <w:r w:rsidR="009D4D0D" w:rsidRPr="00033816">
              <w:t>are</w:t>
            </w:r>
            <w:r w:rsidRPr="00033816">
              <w:t xml:space="preserve"> targeted to those at greatest risk, thereby avoiding the human and financial costs of an investigation where no abuse or neglect had occurr</w:t>
            </w:r>
            <w:r w:rsidR="00794141" w:rsidRPr="00033816">
              <w:t>ed or was at risk of occurring.</w:t>
            </w:r>
          </w:p>
          <w:p w14:paraId="125B1010" w14:textId="3807A9F7" w:rsidR="002E0FA0" w:rsidRPr="00033816" w:rsidRDefault="002E0FA0" w:rsidP="00770430">
            <w:pPr>
              <w:pStyle w:val="Box"/>
            </w:pPr>
            <w:r w:rsidRPr="00033816">
              <w:t>Neither a very high nor very low substantiation rate is desirable. A very low substantiation rate might indicate that investigations are not targeted to appropriate cases. A very high substantiation rate might indicate that the criteria for substantiation are unnecessarily bringing ‘lower risk’ families into the statutory system.</w:t>
            </w:r>
          </w:p>
          <w:p w14:paraId="4A840383" w14:textId="4B11D87B" w:rsidR="002E0FA0" w:rsidRPr="00033816" w:rsidRDefault="002E0FA0" w:rsidP="00770430">
            <w:pPr>
              <w:pStyle w:val="Box"/>
            </w:pPr>
            <w:r w:rsidRPr="00033816">
              <w:t>The substantiation rate might fluctuate because of policy, funding and practice changes</w:t>
            </w:r>
            <w:r w:rsidR="00AA12FC">
              <w:t xml:space="preserve">. For example, </w:t>
            </w:r>
            <w:r w:rsidRPr="00033816">
              <w:t>targeting investigative resources</w:t>
            </w:r>
            <w:r w:rsidR="00487B3C">
              <w:t xml:space="preserve"> to more serious cases</w:t>
            </w:r>
            <w:r w:rsidR="008729BB" w:rsidRPr="00033816">
              <w:t xml:space="preserve"> </w:t>
            </w:r>
            <w:r w:rsidR="00AA12FC">
              <w:t>may mean investigation</w:t>
            </w:r>
            <w:r w:rsidR="00487B3C">
              <w:t>s are</w:t>
            </w:r>
            <w:r w:rsidR="00AA12FC">
              <w:t xml:space="preserve"> more likely to result in substantiation</w:t>
            </w:r>
            <w:r w:rsidR="00487B3C">
              <w:t xml:space="preserve">, and </w:t>
            </w:r>
            <w:r w:rsidR="0005187A">
              <w:t xml:space="preserve">there are </w:t>
            </w:r>
            <w:r w:rsidR="00487B3C">
              <w:t>varying thresholds for recording a substantiation</w:t>
            </w:r>
            <w:r w:rsidR="00AA12FC">
              <w:t xml:space="preserve">. </w:t>
            </w:r>
            <w:r w:rsidR="00487B3C">
              <w:t>M</w:t>
            </w:r>
            <w:r w:rsidRPr="00033816">
              <w:t>andatory reporting</w:t>
            </w:r>
            <w:r w:rsidR="00AA12FC">
              <w:t>, i</w:t>
            </w:r>
            <w:r w:rsidRPr="00033816">
              <w:t>ncreased community awareness and willingness to notify suspected instances of child abuse, neglect or harm</w:t>
            </w:r>
            <w:r w:rsidR="008729BB" w:rsidRPr="00033816">
              <w:t xml:space="preserve"> may also affect the substantiation rate</w:t>
            </w:r>
            <w:r w:rsidRPr="00033816">
              <w:t>.</w:t>
            </w:r>
          </w:p>
          <w:p w14:paraId="7F1D1FB4" w14:textId="77777777" w:rsidR="002E0FA0" w:rsidRPr="00033816" w:rsidRDefault="002E0FA0" w:rsidP="00770430">
            <w:pPr>
              <w:pStyle w:val="Box"/>
            </w:pPr>
            <w:r w:rsidRPr="00033816">
              <w:t>Data reported for this indicator are:</w:t>
            </w:r>
          </w:p>
          <w:p w14:paraId="1B564104" w14:textId="0B3CE0E3" w:rsidR="002E0FA0" w:rsidRPr="00033816" w:rsidRDefault="00A557AF" w:rsidP="00770430">
            <w:pPr>
              <w:pStyle w:val="Box"/>
              <w:ind w:left="284"/>
            </w:pPr>
            <w:r w:rsidRPr="00344676">
              <w:rPr>
                <w:shd w:val="clear" w:color="auto" w:fill="FCDED3"/>
              </w:rPr>
              <w:t xml:space="preserve">    </w:t>
            </w:r>
            <w:r>
              <w:t xml:space="preserve"> </w:t>
            </w:r>
            <w:r w:rsidR="007930D9" w:rsidRPr="00033816">
              <w:t xml:space="preserve">not comparable across jurisdictions but are </w:t>
            </w:r>
            <w:r w:rsidR="002E0FA0" w:rsidRPr="00033816">
              <w:t xml:space="preserve">comparable (subject to caveats) within some jurisdictions over time </w:t>
            </w:r>
          </w:p>
          <w:p w14:paraId="61D5E44E" w14:textId="5B896747" w:rsidR="002E0FA0" w:rsidRPr="00033816" w:rsidRDefault="00DB479D" w:rsidP="000A3AF3">
            <w:pPr>
              <w:pStyle w:val="Box"/>
              <w:ind w:left="284"/>
            </w:pPr>
            <w:r w:rsidRPr="003B2706">
              <w:rPr>
                <w:shd w:val="clear" w:color="auto" w:fill="FCDED3"/>
              </w:rPr>
              <w:t xml:space="preserve">    </w:t>
            </w:r>
            <w:r>
              <w:t xml:space="preserve"> </w:t>
            </w:r>
            <w:r w:rsidR="003B2706" w:rsidRPr="00526008">
              <w:t>in</w:t>
            </w:r>
            <w:r w:rsidR="002E0FA0" w:rsidRPr="00526008">
              <w:t>complete for the current reporting period. All required 201</w:t>
            </w:r>
            <w:r w:rsidR="008D62FD" w:rsidRPr="00526008">
              <w:t>7</w:t>
            </w:r>
            <w:r w:rsidR="000A3AF3">
              <w:t>-</w:t>
            </w:r>
            <w:r w:rsidR="002E0FA0" w:rsidRPr="00526008">
              <w:t>1</w:t>
            </w:r>
            <w:r w:rsidR="008D62FD" w:rsidRPr="00526008">
              <w:t>8</w:t>
            </w:r>
            <w:r w:rsidR="002E0FA0" w:rsidRPr="00526008">
              <w:t xml:space="preserve"> data </w:t>
            </w:r>
            <w:r w:rsidR="00347F12" w:rsidRPr="00526008">
              <w:t>are</w:t>
            </w:r>
            <w:r w:rsidR="002E0FA0" w:rsidRPr="00526008">
              <w:t xml:space="preserve"> </w:t>
            </w:r>
            <w:r w:rsidR="003B2706" w:rsidRPr="00526008">
              <w:t xml:space="preserve">not </w:t>
            </w:r>
            <w:r w:rsidR="002E0FA0" w:rsidRPr="00526008">
              <w:t>available</w:t>
            </w:r>
            <w:r w:rsidR="003B2706" w:rsidRPr="00526008">
              <w:t xml:space="preserve"> for NSW</w:t>
            </w:r>
            <w:r w:rsidR="002E0FA0" w:rsidRPr="00526008">
              <w:t>.</w:t>
            </w:r>
          </w:p>
        </w:tc>
      </w:tr>
      <w:tr w:rsidR="002E0FA0" w:rsidRPr="00033816" w14:paraId="68D1189B" w14:textId="77777777" w:rsidTr="00E26F62">
        <w:tc>
          <w:tcPr>
            <w:tcW w:w="8789" w:type="dxa"/>
            <w:tcBorders>
              <w:top w:val="nil"/>
              <w:left w:val="nil"/>
              <w:bottom w:val="single" w:sz="6" w:space="0" w:color="78A22F"/>
              <w:right w:val="nil"/>
            </w:tcBorders>
            <w:shd w:val="clear" w:color="auto" w:fill="F2F2F2"/>
          </w:tcPr>
          <w:p w14:paraId="0026BA98" w14:textId="77777777" w:rsidR="002E0FA0" w:rsidRPr="00033816" w:rsidRDefault="002E0FA0" w:rsidP="00770430">
            <w:pPr>
              <w:pStyle w:val="Box"/>
              <w:spacing w:before="0" w:line="120" w:lineRule="exact"/>
            </w:pPr>
          </w:p>
        </w:tc>
      </w:tr>
      <w:tr w:rsidR="002E0FA0" w:rsidRPr="00033816" w14:paraId="68E0C1A2" w14:textId="77777777" w:rsidTr="00E26F62">
        <w:tc>
          <w:tcPr>
            <w:tcW w:w="8789" w:type="dxa"/>
            <w:tcBorders>
              <w:top w:val="single" w:sz="6" w:space="0" w:color="78A22F"/>
              <w:left w:val="nil"/>
              <w:bottom w:val="nil"/>
              <w:right w:val="nil"/>
            </w:tcBorders>
          </w:tcPr>
          <w:p w14:paraId="38A9E5C6" w14:textId="54529B30" w:rsidR="002E0FA0" w:rsidRPr="00033816" w:rsidRDefault="002E0FA0" w:rsidP="00770430">
            <w:pPr>
              <w:pStyle w:val="BoxSpaceBelow"/>
            </w:pPr>
          </w:p>
        </w:tc>
      </w:tr>
    </w:tbl>
    <w:p w14:paraId="0DA15477" w14:textId="07979367" w:rsidR="00C6327E" w:rsidRPr="00033816" w:rsidRDefault="00DF5ACA" w:rsidP="00770430">
      <w:pPr>
        <w:pStyle w:val="BodyText"/>
      </w:pPr>
      <w:r w:rsidRPr="00033816">
        <w:t xml:space="preserve">The proportion of finalised investigations </w:t>
      </w:r>
      <w:r w:rsidR="001234F1" w:rsidRPr="00033816">
        <w:t>where abuse or neglect, or risk of abuse or neglect was</w:t>
      </w:r>
      <w:r w:rsidRPr="00033816">
        <w:t xml:space="preserve"> substantiated varied across jurisdictions</w:t>
      </w:r>
      <w:r w:rsidR="00C807D0" w:rsidRPr="00033816">
        <w:t xml:space="preserve"> and over time</w:t>
      </w:r>
      <w:r w:rsidRPr="00033816">
        <w:t xml:space="preserve"> (</w:t>
      </w:r>
      <w:r w:rsidR="006842D6" w:rsidRPr="00033816">
        <w:t>figure</w:t>
      </w:r>
      <w:r w:rsidR="00ED3A17" w:rsidRPr="00033816">
        <w:t xml:space="preserve"> </w:t>
      </w:r>
      <w:r w:rsidR="009D4A68" w:rsidRPr="00033816">
        <w:t>16.6</w:t>
      </w:r>
      <w:r w:rsidR="001378E8" w:rsidRPr="00033816">
        <w:t xml:space="preserve"> and table </w:t>
      </w:r>
      <w:proofErr w:type="spellStart"/>
      <w:r w:rsidR="001378E8" w:rsidRPr="00033816">
        <w:t>16A.</w:t>
      </w:r>
      <w:r w:rsidR="00947151" w:rsidRPr="00033816">
        <w:t>1</w:t>
      </w:r>
      <w:r w:rsidR="009312EF">
        <w:t>2</w:t>
      </w:r>
      <w:proofErr w:type="spellEnd"/>
      <w:r w:rsidR="00324B56" w:rsidRPr="00033816">
        <w:t>)</w:t>
      </w:r>
      <w:r w:rsidR="00375445" w:rsidRPr="00033816">
        <w:t>.</w:t>
      </w:r>
      <w:r w:rsidR="00C6327E" w:rsidRPr="00033816">
        <w:t xml:space="preserve"> </w:t>
      </w:r>
    </w:p>
    <w:p w14:paraId="01320392" w14:textId="001852CA" w:rsidR="0078756F" w:rsidRPr="00033816" w:rsidRDefault="0078756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8756F" w:rsidRPr="00033816" w14:paraId="2FFEB154" w14:textId="77777777" w:rsidTr="00AF66C4">
        <w:tc>
          <w:tcPr>
            <w:tcW w:w="8789" w:type="dxa"/>
            <w:tcBorders>
              <w:top w:val="single" w:sz="6" w:space="0" w:color="78A22F"/>
              <w:left w:val="nil"/>
              <w:bottom w:val="nil"/>
              <w:right w:val="nil"/>
            </w:tcBorders>
            <w:shd w:val="clear" w:color="auto" w:fill="auto"/>
          </w:tcPr>
          <w:p w14:paraId="76BF9D33" w14:textId="6A94FE3A" w:rsidR="0078756F" w:rsidRPr="00033816" w:rsidRDefault="0078756F" w:rsidP="00770430">
            <w:pPr>
              <w:pStyle w:val="FigureTitle"/>
            </w:pPr>
            <w:r w:rsidRPr="00033816">
              <w:rPr>
                <w:b w:val="0"/>
              </w:rPr>
              <w:t>Figure</w:t>
            </w:r>
            <w:r w:rsidR="009D4A68" w:rsidRPr="00033816">
              <w:rPr>
                <w:b w:val="0"/>
              </w:rPr>
              <w:t xml:space="preserve"> 16.6</w:t>
            </w:r>
            <w:r w:rsidRPr="00033816">
              <w:tab/>
              <w:t xml:space="preserve">Proportion of finalised investigations that were </w:t>
            </w:r>
            <w:r w:rsidR="00A73245" w:rsidRPr="00033816">
              <w:t>substantiated</w:t>
            </w:r>
            <w:r w:rsidR="009461BA" w:rsidRPr="00033816">
              <w:rPr>
                <w:rStyle w:val="NoteLabel"/>
                <w:b/>
              </w:rPr>
              <w:t>a</w:t>
            </w:r>
            <w:r w:rsidR="0005187A">
              <w:rPr>
                <w:rStyle w:val="NoteLabel"/>
                <w:b/>
              </w:rPr>
              <w:t>, b</w:t>
            </w:r>
          </w:p>
        </w:tc>
      </w:tr>
      <w:tr w:rsidR="00AF66C4" w:rsidRPr="00033816" w14:paraId="376D39E9" w14:textId="77777777" w:rsidTr="00AF66C4">
        <w:tc>
          <w:tcPr>
            <w:tcW w:w="8789" w:type="dxa"/>
            <w:tcBorders>
              <w:top w:val="nil"/>
              <w:left w:val="nil"/>
              <w:bottom w:val="nil"/>
              <w:right w:val="nil"/>
            </w:tcBorders>
            <w:shd w:val="clear" w:color="auto" w:fill="auto"/>
          </w:tcPr>
          <w:tbl>
            <w:tblPr>
              <w:tblW w:w="8789" w:type="dxa"/>
              <w:tblLayout w:type="fixed"/>
              <w:tblCellMar>
                <w:left w:w="142" w:type="dxa"/>
                <w:right w:w="142" w:type="dxa"/>
              </w:tblCellMar>
              <w:tblLook w:val="0000" w:firstRow="0" w:lastRow="0" w:firstColumn="0" w:lastColumn="0" w:noHBand="0" w:noVBand="0"/>
            </w:tblPr>
            <w:tblGrid>
              <w:gridCol w:w="304"/>
              <w:gridCol w:w="547"/>
              <w:gridCol w:w="7938"/>
            </w:tblGrid>
            <w:tr w:rsidR="00AF66C4" w:rsidRPr="00BC227D" w14:paraId="1F01CA07" w14:textId="77777777" w:rsidTr="001660E9">
              <w:tc>
                <w:tcPr>
                  <w:tcW w:w="304" w:type="dxa"/>
                  <w:shd w:val="clear" w:color="auto" w:fill="auto"/>
                  <w:tcMar>
                    <w:top w:w="28" w:type="dxa"/>
                    <w:bottom w:w="28" w:type="dxa"/>
                  </w:tcMar>
                </w:tcPr>
                <w:p w14:paraId="74198D76" w14:textId="77777777" w:rsidR="00AF66C4" w:rsidRPr="00BC227D" w:rsidRDefault="00AF66C4" w:rsidP="00770430">
                  <w:pPr>
                    <w:keepNext/>
                    <w:keepLines/>
                    <w:spacing w:before="60" w:after="60" w:line="240" w:lineRule="atLeast"/>
                    <w:jc w:val="center"/>
                    <w:rPr>
                      <w:szCs w:val="20"/>
                    </w:rPr>
                  </w:pPr>
                </w:p>
              </w:tc>
              <w:tc>
                <w:tcPr>
                  <w:tcW w:w="547" w:type="dxa"/>
                  <w:shd w:val="clear" w:color="auto" w:fill="FCDED3"/>
                </w:tcPr>
                <w:p w14:paraId="1354D6D7" w14:textId="77777777" w:rsidR="00AF66C4" w:rsidRPr="00BC227D" w:rsidRDefault="00AF66C4" w:rsidP="00770430">
                  <w:pPr>
                    <w:keepNext/>
                    <w:keepLines/>
                    <w:spacing w:before="60" w:after="60" w:line="240" w:lineRule="atLeast"/>
                    <w:jc w:val="center"/>
                    <w:rPr>
                      <w:szCs w:val="20"/>
                    </w:rPr>
                  </w:pPr>
                </w:p>
              </w:tc>
              <w:tc>
                <w:tcPr>
                  <w:tcW w:w="7938" w:type="dxa"/>
                  <w:shd w:val="clear" w:color="auto" w:fill="auto"/>
                </w:tcPr>
                <w:p w14:paraId="38C2AA08" w14:textId="1847B2B2" w:rsidR="00AF66C4" w:rsidRPr="00BC227D" w:rsidRDefault="00AF66C4" w:rsidP="00770430">
                  <w:pPr>
                    <w:pStyle w:val="TableBodyText"/>
                    <w:jc w:val="left"/>
                  </w:pPr>
                  <w:r w:rsidRPr="00BC227D">
                    <w:t xml:space="preserve">Data are </w:t>
                  </w:r>
                  <w:r w:rsidR="007930D9" w:rsidRPr="00BC227D">
                    <w:t xml:space="preserve">not comparable across jurisdictions but are </w:t>
                  </w:r>
                  <w:r w:rsidRPr="00BC227D">
                    <w:t>comparable (subject to caveats) within jurisdictions over time.</w:t>
                  </w:r>
                </w:p>
              </w:tc>
            </w:tr>
            <w:tr w:rsidR="00AF66C4" w:rsidRPr="00BC227D" w14:paraId="28C7F163" w14:textId="77777777" w:rsidTr="001660E9">
              <w:tc>
                <w:tcPr>
                  <w:tcW w:w="304" w:type="dxa"/>
                  <w:shd w:val="clear" w:color="auto" w:fill="auto"/>
                  <w:tcMar>
                    <w:top w:w="28" w:type="dxa"/>
                    <w:bottom w:w="28" w:type="dxa"/>
                  </w:tcMar>
                </w:tcPr>
                <w:p w14:paraId="22B02F35" w14:textId="77777777" w:rsidR="00AF66C4" w:rsidRPr="00BC227D" w:rsidRDefault="00AF66C4" w:rsidP="00770430">
                  <w:pPr>
                    <w:keepNext/>
                    <w:keepLines/>
                    <w:spacing w:before="60" w:after="60" w:line="240" w:lineRule="atLeast"/>
                    <w:jc w:val="center"/>
                    <w:rPr>
                      <w:szCs w:val="20"/>
                    </w:rPr>
                  </w:pPr>
                </w:p>
              </w:tc>
              <w:tc>
                <w:tcPr>
                  <w:tcW w:w="547" w:type="dxa"/>
                  <w:shd w:val="clear" w:color="auto" w:fill="FCDED3"/>
                </w:tcPr>
                <w:p w14:paraId="5C0FD4BA" w14:textId="77777777" w:rsidR="00AF66C4" w:rsidRPr="00BC227D" w:rsidRDefault="00AF66C4" w:rsidP="00770430">
                  <w:pPr>
                    <w:keepNext/>
                    <w:keepLines/>
                    <w:spacing w:before="60" w:after="60" w:line="240" w:lineRule="atLeast"/>
                    <w:rPr>
                      <w:rFonts w:ascii="Arial" w:hAnsi="Arial" w:cs="Arial"/>
                      <w:sz w:val="18"/>
                      <w:szCs w:val="18"/>
                    </w:rPr>
                  </w:pPr>
                </w:p>
              </w:tc>
              <w:tc>
                <w:tcPr>
                  <w:tcW w:w="7938" w:type="dxa"/>
                  <w:shd w:val="clear" w:color="auto" w:fill="auto"/>
                </w:tcPr>
                <w:p w14:paraId="6660C08E" w14:textId="06F3C5EC" w:rsidR="00AF66C4" w:rsidRPr="001660E9" w:rsidRDefault="00AF66C4" w:rsidP="00770430">
                  <w:pPr>
                    <w:pStyle w:val="TableBodyText"/>
                    <w:jc w:val="left"/>
                  </w:pPr>
                  <w:r w:rsidRPr="001660E9">
                    <w:t xml:space="preserve">Data are </w:t>
                  </w:r>
                  <w:r w:rsidR="001660E9" w:rsidRPr="001660E9">
                    <w:t>in</w:t>
                  </w:r>
                  <w:r w:rsidRPr="001660E9">
                    <w:t xml:space="preserve">complete for the current reporting period. </w:t>
                  </w:r>
                </w:p>
              </w:tc>
            </w:tr>
          </w:tbl>
          <w:p w14:paraId="39095E23" w14:textId="77777777" w:rsidR="00AF66C4" w:rsidRPr="00033816" w:rsidRDefault="00AF66C4" w:rsidP="00770430">
            <w:pPr>
              <w:pStyle w:val="FigureTitle"/>
              <w:rPr>
                <w:b w:val="0"/>
              </w:rPr>
            </w:pPr>
          </w:p>
        </w:tc>
      </w:tr>
      <w:tr w:rsidR="00BC0C40" w:rsidRPr="00033816" w14:paraId="37B0B3A2" w14:textId="77777777" w:rsidTr="00614C33">
        <w:tblPrEx>
          <w:tblCellMar>
            <w:left w:w="108" w:type="dxa"/>
            <w:right w:w="108" w:type="dxa"/>
          </w:tblCellMar>
        </w:tblPrEx>
        <w:tc>
          <w:tcPr>
            <w:tcW w:w="8789" w:type="dxa"/>
            <w:tcBorders>
              <w:top w:val="nil"/>
              <w:left w:val="nil"/>
              <w:bottom w:val="nil"/>
              <w:right w:val="nil"/>
            </w:tcBorders>
            <w:shd w:val="clear" w:color="auto" w:fill="auto"/>
          </w:tcPr>
          <w:p w14:paraId="3B7FFA43" w14:textId="1380EEB6" w:rsidR="00BC0C40" w:rsidRPr="00033816" w:rsidRDefault="001660E9" w:rsidP="00770430">
            <w:pPr>
              <w:pStyle w:val="Figure"/>
            </w:pPr>
            <w:r>
              <w:rPr>
                <w:noProof/>
              </w:rPr>
              <w:drawing>
                <wp:inline distT="0" distB="0" distL="0" distR="0" wp14:anchorId="54528000" wp14:editId="2C823B3C">
                  <wp:extent cx="5443855" cy="5280660"/>
                  <wp:effectExtent l="0" t="0" r="4445" b="0"/>
                  <wp:docPr id="14" name="Picture 14" descr="Figure 16.6 Proportion of finalised investigations that were substantiate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3855" cy="5280660"/>
                          </a:xfrm>
                          <a:prstGeom prst="rect">
                            <a:avLst/>
                          </a:prstGeom>
                        </pic:spPr>
                      </pic:pic>
                    </a:graphicData>
                  </a:graphic>
                </wp:inline>
              </w:drawing>
            </w:r>
          </w:p>
        </w:tc>
      </w:tr>
      <w:tr w:rsidR="0078756F" w:rsidRPr="00033816" w14:paraId="330B7CB6" w14:textId="77777777" w:rsidTr="00012746">
        <w:tc>
          <w:tcPr>
            <w:tcW w:w="8789" w:type="dxa"/>
            <w:tcBorders>
              <w:top w:val="nil"/>
              <w:left w:val="nil"/>
              <w:bottom w:val="nil"/>
              <w:right w:val="nil"/>
            </w:tcBorders>
            <w:shd w:val="clear" w:color="auto" w:fill="auto"/>
          </w:tcPr>
          <w:p w14:paraId="10E818C8" w14:textId="4BDB9310" w:rsidR="0078756F" w:rsidRPr="00033816" w:rsidRDefault="0078756F" w:rsidP="00320AD0">
            <w:pPr>
              <w:pStyle w:val="Note"/>
            </w:pPr>
            <w:r w:rsidRPr="00033816">
              <w:rPr>
                <w:rStyle w:val="NoteLabel"/>
              </w:rPr>
              <w:t>a</w:t>
            </w:r>
            <w:r w:rsidRPr="00033816">
              <w:t xml:space="preserve"> </w:t>
            </w:r>
            <w:r w:rsidR="00A73245" w:rsidRPr="00033816">
              <w:t xml:space="preserve">See </w:t>
            </w:r>
            <w:r w:rsidR="00324B56" w:rsidRPr="00033816">
              <w:t xml:space="preserve">box </w:t>
            </w:r>
            <w:r w:rsidR="00205D49" w:rsidRPr="00033816">
              <w:t>16.5</w:t>
            </w:r>
            <w:r w:rsidR="00ED3A17" w:rsidRPr="00033816">
              <w:t xml:space="preserve"> </w:t>
            </w:r>
            <w:r w:rsidR="00324B56" w:rsidRPr="00033816">
              <w:t xml:space="preserve">and table </w:t>
            </w:r>
            <w:proofErr w:type="spellStart"/>
            <w:r w:rsidR="00324B56" w:rsidRPr="00033816">
              <w:t>16</w:t>
            </w:r>
            <w:r w:rsidR="00601546" w:rsidRPr="00033816">
              <w:t>A.</w:t>
            </w:r>
            <w:r w:rsidR="00947151" w:rsidRPr="00033816">
              <w:t>1</w:t>
            </w:r>
            <w:r w:rsidR="009312EF">
              <w:t>2</w:t>
            </w:r>
            <w:proofErr w:type="spellEnd"/>
            <w:r w:rsidR="005A7124" w:rsidRPr="00033816">
              <w:t xml:space="preserve"> </w:t>
            </w:r>
            <w:r w:rsidR="00601546" w:rsidRPr="00033816">
              <w:t xml:space="preserve">for detailed definitions, </w:t>
            </w:r>
            <w:r w:rsidR="00A73245" w:rsidRPr="00033816">
              <w:t>footnotes</w:t>
            </w:r>
            <w:r w:rsidR="00601546" w:rsidRPr="00033816">
              <w:t xml:space="preserve"> and </w:t>
            </w:r>
            <w:r w:rsidR="00601546" w:rsidRPr="00770430">
              <w:t>caveats</w:t>
            </w:r>
            <w:r w:rsidR="00A73245" w:rsidRPr="00770430">
              <w:t>.</w:t>
            </w:r>
            <w:r w:rsidR="0005187A" w:rsidRPr="00770430">
              <w:t xml:space="preserve"> </w:t>
            </w:r>
            <w:r w:rsidR="0005187A" w:rsidRPr="00770430">
              <w:rPr>
                <w:rStyle w:val="NoteLabel"/>
              </w:rPr>
              <w:t>b</w:t>
            </w:r>
            <w:r w:rsidR="0005187A" w:rsidRPr="00770430">
              <w:t xml:space="preserve"> Data for NSW </w:t>
            </w:r>
            <w:r w:rsidR="00320AD0">
              <w:t>we</w:t>
            </w:r>
            <w:r w:rsidR="0005187A" w:rsidRPr="00770430">
              <w:t>re not available for 2017-18.</w:t>
            </w:r>
          </w:p>
        </w:tc>
      </w:tr>
      <w:tr w:rsidR="0078756F" w:rsidRPr="00033816" w14:paraId="7C48F1B4" w14:textId="77777777" w:rsidTr="00012746">
        <w:tc>
          <w:tcPr>
            <w:tcW w:w="8789" w:type="dxa"/>
            <w:tcBorders>
              <w:top w:val="nil"/>
              <w:left w:val="nil"/>
              <w:bottom w:val="nil"/>
              <w:right w:val="nil"/>
            </w:tcBorders>
            <w:shd w:val="clear" w:color="auto" w:fill="auto"/>
          </w:tcPr>
          <w:p w14:paraId="5ABC139A" w14:textId="29734518" w:rsidR="0078756F" w:rsidRPr="00033816" w:rsidRDefault="00A73245" w:rsidP="00770430">
            <w:pPr>
              <w:pStyle w:val="Source"/>
            </w:pPr>
            <w:r w:rsidRPr="00033816">
              <w:rPr>
                <w:i/>
              </w:rPr>
              <w:t>S</w:t>
            </w:r>
            <w:r w:rsidR="0078756F" w:rsidRPr="00033816">
              <w:rPr>
                <w:i/>
              </w:rPr>
              <w:t>ource</w:t>
            </w:r>
            <w:r w:rsidR="0078756F" w:rsidRPr="00033816">
              <w:t xml:space="preserve">: </w:t>
            </w:r>
            <w:proofErr w:type="spellStart"/>
            <w:r w:rsidRPr="00033816">
              <w:t>AIHW</w:t>
            </w:r>
            <w:proofErr w:type="spellEnd"/>
            <w:r w:rsidRPr="00033816">
              <w:t xml:space="preserve"> data collection (unpublished); table</w:t>
            </w:r>
            <w:r w:rsidR="009B6271" w:rsidRPr="00033816">
              <w:t xml:space="preserve"> </w:t>
            </w:r>
            <w:proofErr w:type="spellStart"/>
            <w:r w:rsidR="009B6271" w:rsidRPr="00033816">
              <w:t>16A.</w:t>
            </w:r>
            <w:r w:rsidR="00947151" w:rsidRPr="00033816">
              <w:t>1</w:t>
            </w:r>
            <w:r w:rsidR="009312EF">
              <w:t>2</w:t>
            </w:r>
            <w:proofErr w:type="spellEnd"/>
            <w:r w:rsidR="009B6271" w:rsidRPr="00033816">
              <w:t>.</w:t>
            </w:r>
          </w:p>
        </w:tc>
      </w:tr>
      <w:tr w:rsidR="0078756F" w:rsidRPr="00033816" w14:paraId="253EAD7D" w14:textId="77777777" w:rsidTr="00012746">
        <w:tc>
          <w:tcPr>
            <w:tcW w:w="8789" w:type="dxa"/>
            <w:tcBorders>
              <w:top w:val="nil"/>
              <w:left w:val="nil"/>
              <w:bottom w:val="single" w:sz="6" w:space="0" w:color="78A22F"/>
              <w:right w:val="nil"/>
            </w:tcBorders>
            <w:shd w:val="clear" w:color="auto" w:fill="auto"/>
          </w:tcPr>
          <w:p w14:paraId="156D82C6" w14:textId="77777777" w:rsidR="0078756F" w:rsidRPr="00033816" w:rsidRDefault="0078756F" w:rsidP="00770430">
            <w:pPr>
              <w:pStyle w:val="Figurespace"/>
            </w:pPr>
          </w:p>
        </w:tc>
      </w:tr>
      <w:tr w:rsidR="0078756F" w:rsidRPr="00033816" w14:paraId="398BA23B" w14:textId="77777777" w:rsidTr="00012746">
        <w:tc>
          <w:tcPr>
            <w:tcW w:w="8789" w:type="dxa"/>
            <w:tcBorders>
              <w:top w:val="single" w:sz="6" w:space="0" w:color="78A22F"/>
              <w:left w:val="nil"/>
              <w:bottom w:val="nil"/>
              <w:right w:val="nil"/>
            </w:tcBorders>
          </w:tcPr>
          <w:p w14:paraId="709259CB" w14:textId="402CB466" w:rsidR="0078756F" w:rsidRPr="00033816" w:rsidRDefault="0078756F" w:rsidP="00770430">
            <w:pPr>
              <w:pStyle w:val="BoxSpaceBelow"/>
            </w:pPr>
          </w:p>
        </w:tc>
      </w:tr>
    </w:tbl>
    <w:p w14:paraId="3CDB710C" w14:textId="78A81616" w:rsidR="006842D6" w:rsidRPr="00033816" w:rsidRDefault="002E0FA0" w:rsidP="00770430">
      <w:pPr>
        <w:pStyle w:val="Heading4"/>
      </w:pPr>
      <w:r w:rsidRPr="00033816">
        <w:t>S</w:t>
      </w:r>
      <w:r w:rsidR="006842D6" w:rsidRPr="00033816">
        <w:t>afety in out</w:t>
      </w:r>
      <w:r w:rsidR="008817BB" w:rsidRPr="00033816">
        <w:noBreakHyphen/>
      </w:r>
      <w:r w:rsidR="006842D6" w:rsidRPr="00033816">
        <w:t>of</w:t>
      </w:r>
      <w:r w:rsidR="008817BB" w:rsidRPr="00033816">
        <w:noBreakHyphen/>
      </w:r>
      <w:r w:rsidR="006842D6" w:rsidRPr="00033816">
        <w:t>home care</w:t>
      </w:r>
    </w:p>
    <w:p w14:paraId="498CBB5E" w14:textId="1AC4AB9C" w:rsidR="006842D6" w:rsidRPr="00033816" w:rsidRDefault="006842D6" w:rsidP="00770430">
      <w:pPr>
        <w:pStyle w:val="BodyText"/>
      </w:pPr>
      <w:r w:rsidRPr="00033816">
        <w:t>‘Safety in out</w:t>
      </w:r>
      <w:r w:rsidR="008817BB" w:rsidRPr="00033816">
        <w:noBreakHyphen/>
      </w:r>
      <w:r w:rsidRPr="00033816">
        <w:t>of</w:t>
      </w:r>
      <w:r w:rsidR="008817BB" w:rsidRPr="00033816">
        <w:noBreakHyphen/>
      </w:r>
      <w:r w:rsidRPr="00033816">
        <w:t xml:space="preserve">home care’ </w:t>
      </w:r>
      <w:r w:rsidR="0054188A" w:rsidRPr="00033816">
        <w:t xml:space="preserve">is an indicator of governments’ objective to </w:t>
      </w:r>
      <w:r w:rsidR="002A2344" w:rsidRPr="00033816">
        <w:t>provide quality care for children and young people aged 0</w:t>
      </w:r>
      <w:r w:rsidR="00E55579" w:rsidRPr="00033816">
        <w:t>–</w:t>
      </w:r>
      <w:r w:rsidR="002A2344" w:rsidRPr="00033816">
        <w:t xml:space="preserve">17 years who cannot live with their parents for </w:t>
      </w:r>
      <w:r w:rsidR="002A2344" w:rsidRPr="00033816">
        <w:lastRenderedPageBreak/>
        <w:t>reasons of safety or family crisis, with an emphasis on safety, stability and permanency in children’s living arrangements</w:t>
      </w:r>
      <w:r w:rsidR="00310F75" w:rsidRPr="00033816">
        <w:t xml:space="preserve"> </w:t>
      </w:r>
      <w:r w:rsidRPr="00033816">
        <w:t>(box</w:t>
      </w:r>
      <w:r w:rsidR="007A53F4" w:rsidRPr="00033816">
        <w:t> </w:t>
      </w:r>
      <w:r w:rsidR="001234F1" w:rsidRPr="00033816">
        <w:t>16.6)</w:t>
      </w:r>
      <w:r w:rsidR="00376EC9" w:rsidRPr="00033816">
        <w:t>.</w:t>
      </w:r>
    </w:p>
    <w:p w14:paraId="36FCCF1B" w14:textId="0E117C8F" w:rsidR="00A73245" w:rsidRPr="00033816" w:rsidRDefault="00A73245" w:rsidP="00770430">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3245" w:rsidRPr="00033816" w14:paraId="3073B9B3" w14:textId="77777777" w:rsidTr="0028418B">
        <w:tc>
          <w:tcPr>
            <w:tcW w:w="8789" w:type="dxa"/>
            <w:tcBorders>
              <w:top w:val="single" w:sz="6" w:space="0" w:color="78A22F"/>
              <w:left w:val="nil"/>
              <w:bottom w:val="nil"/>
              <w:right w:val="nil"/>
            </w:tcBorders>
            <w:shd w:val="clear" w:color="auto" w:fill="F2F2F2" w:themeFill="background1" w:themeFillShade="F2"/>
          </w:tcPr>
          <w:p w14:paraId="1BA1FD00" w14:textId="2207D9DA" w:rsidR="00A73245" w:rsidRPr="00033816" w:rsidRDefault="00A73245" w:rsidP="00770430">
            <w:pPr>
              <w:pStyle w:val="BoxTitle"/>
            </w:pPr>
            <w:r w:rsidRPr="00033816">
              <w:rPr>
                <w:b w:val="0"/>
              </w:rPr>
              <w:t>Box</w:t>
            </w:r>
            <w:r w:rsidR="00BB42EE" w:rsidRPr="00033816">
              <w:rPr>
                <w:b w:val="0"/>
              </w:rPr>
              <w:t xml:space="preserve"> </w:t>
            </w:r>
            <w:r w:rsidR="001234F1" w:rsidRPr="00033816">
              <w:rPr>
                <w:b w:val="0"/>
              </w:rPr>
              <w:t>16.6</w:t>
            </w:r>
            <w:r w:rsidRPr="00033816">
              <w:tab/>
              <w:t>Safety in out</w:t>
            </w:r>
            <w:r w:rsidR="008817BB" w:rsidRPr="00033816">
              <w:noBreakHyphen/>
            </w:r>
            <w:r w:rsidRPr="00033816">
              <w:t>of</w:t>
            </w:r>
            <w:r w:rsidR="008817BB" w:rsidRPr="00033816">
              <w:noBreakHyphen/>
            </w:r>
            <w:r w:rsidRPr="00033816">
              <w:t>home care</w:t>
            </w:r>
          </w:p>
        </w:tc>
      </w:tr>
      <w:tr w:rsidR="00A73245" w:rsidRPr="00033816" w14:paraId="5B11ADA8" w14:textId="77777777" w:rsidTr="0028418B">
        <w:trPr>
          <w:cantSplit/>
        </w:trPr>
        <w:tc>
          <w:tcPr>
            <w:tcW w:w="8789" w:type="dxa"/>
            <w:tcBorders>
              <w:top w:val="nil"/>
              <w:left w:val="nil"/>
              <w:bottom w:val="nil"/>
              <w:right w:val="nil"/>
            </w:tcBorders>
            <w:shd w:val="clear" w:color="auto" w:fill="F2F2F2" w:themeFill="background1" w:themeFillShade="F2"/>
          </w:tcPr>
          <w:p w14:paraId="62A7D38E" w14:textId="0B24BE32" w:rsidR="003E4FCA" w:rsidRPr="00033816" w:rsidRDefault="003E4FCA" w:rsidP="00770430">
            <w:pPr>
              <w:pStyle w:val="Box"/>
            </w:pPr>
            <w:r w:rsidRPr="00033816">
              <w:t>‘Safety in out</w:t>
            </w:r>
            <w:r w:rsidR="008817BB" w:rsidRPr="00033816">
              <w:noBreakHyphen/>
            </w:r>
            <w:r w:rsidRPr="00033816">
              <w:t>of</w:t>
            </w:r>
            <w:r w:rsidR="008817BB" w:rsidRPr="00033816">
              <w:noBreakHyphen/>
            </w:r>
            <w:r w:rsidRPr="00033816">
              <w:t xml:space="preserve">home care’ is defined by two measures: </w:t>
            </w:r>
          </w:p>
          <w:p w14:paraId="5B6BCC05" w14:textId="1170ECBF" w:rsidR="003E4FCA" w:rsidRPr="003B2706" w:rsidRDefault="003E4FCA" w:rsidP="00770430">
            <w:pPr>
              <w:pStyle w:val="BoxListBullet"/>
            </w:pPr>
            <w:r w:rsidRPr="00033816">
              <w:t>the proportion of children in out</w:t>
            </w:r>
            <w:r w:rsidR="008817BB" w:rsidRPr="00033816">
              <w:noBreakHyphen/>
            </w:r>
            <w:r w:rsidRPr="00033816">
              <w:t>of</w:t>
            </w:r>
            <w:r w:rsidR="008817BB" w:rsidRPr="00033816">
              <w:noBreakHyphen/>
            </w:r>
            <w:r w:rsidRPr="00033816">
              <w:t>home care who were the subject of a substantiation of sexual abuse, physical abuse, emotional abuse or neglect</w:t>
            </w:r>
            <w:r w:rsidR="005A163E" w:rsidRPr="00033816">
              <w:t xml:space="preserve"> </w:t>
            </w:r>
            <w:r w:rsidR="005A163E" w:rsidRPr="003B2706">
              <w:t>(data for this measure are experimental)</w:t>
            </w:r>
          </w:p>
          <w:p w14:paraId="517EC910" w14:textId="223D4A9A" w:rsidR="003E4FCA" w:rsidRPr="00033816" w:rsidRDefault="003E4FCA" w:rsidP="00770430">
            <w:pPr>
              <w:pStyle w:val="BoxListBullet"/>
            </w:pPr>
            <w:r w:rsidRPr="00033816">
              <w:t>the proportion of children in out</w:t>
            </w:r>
            <w:r w:rsidR="008817BB" w:rsidRPr="00033816">
              <w:noBreakHyphen/>
            </w:r>
            <w:r w:rsidRPr="00033816">
              <w:t>of</w:t>
            </w:r>
            <w:r w:rsidR="008817BB" w:rsidRPr="00033816">
              <w:noBreakHyphen/>
            </w:r>
            <w:r w:rsidRPr="00033816">
              <w:t xml:space="preserve">home care who were the subject of a substantiation </w:t>
            </w:r>
            <w:r w:rsidR="005C1498" w:rsidRPr="00033816">
              <w:t>of sexual abuse, physical abuse, emotional abuse or neglect w</w:t>
            </w:r>
            <w:r w:rsidRPr="00033816">
              <w:t>here the person responsible was living in the household providing out</w:t>
            </w:r>
            <w:r w:rsidR="008817BB" w:rsidRPr="00033816">
              <w:noBreakHyphen/>
            </w:r>
            <w:r w:rsidRPr="00033816">
              <w:t>of</w:t>
            </w:r>
            <w:r w:rsidR="008817BB" w:rsidRPr="00033816">
              <w:noBreakHyphen/>
            </w:r>
            <w:r w:rsidRPr="00033816">
              <w:t>home care.</w:t>
            </w:r>
          </w:p>
          <w:p w14:paraId="07F43E36" w14:textId="3E180221" w:rsidR="003E4FCA" w:rsidRPr="00033816" w:rsidRDefault="003E4FCA" w:rsidP="00770430">
            <w:pPr>
              <w:pStyle w:val="Box"/>
            </w:pPr>
            <w:r w:rsidRPr="00033816">
              <w:t xml:space="preserve">For the first measure, the person responsible can be anyone who </w:t>
            </w:r>
            <w:r w:rsidR="005C1498" w:rsidRPr="00033816">
              <w:t>encounters</w:t>
            </w:r>
            <w:r w:rsidRPr="00033816">
              <w:t xml:space="preserve"> the child while the child is in out</w:t>
            </w:r>
            <w:r w:rsidR="008817BB" w:rsidRPr="00033816">
              <w:noBreakHyphen/>
            </w:r>
            <w:r w:rsidRPr="00033816">
              <w:t>of</w:t>
            </w:r>
            <w:r w:rsidR="008817BB" w:rsidRPr="00033816">
              <w:noBreakHyphen/>
            </w:r>
            <w:r w:rsidRPr="00033816">
              <w:t>home care</w:t>
            </w:r>
            <w:r w:rsidR="00C807D0" w:rsidRPr="00033816">
              <w:t xml:space="preserve"> (</w:t>
            </w:r>
            <w:r w:rsidR="009D4D0D" w:rsidRPr="00033816">
              <w:t>that is,</w:t>
            </w:r>
            <w:r w:rsidR="00C807D0" w:rsidRPr="00033816">
              <w:t xml:space="preserve"> not limited to a person </w:t>
            </w:r>
            <w:r w:rsidR="00014105" w:rsidRPr="00033816">
              <w:t xml:space="preserve">living </w:t>
            </w:r>
            <w:r w:rsidR="00794141" w:rsidRPr="00033816">
              <w:t>in the household)</w:t>
            </w:r>
            <w:r w:rsidRPr="00033816">
              <w:t>. For the second measure, the person responsible is limited to someone in the household providing out</w:t>
            </w:r>
            <w:r w:rsidR="008817BB" w:rsidRPr="00033816">
              <w:noBreakHyphen/>
            </w:r>
            <w:r w:rsidRPr="00033816">
              <w:t>of</w:t>
            </w:r>
            <w:r w:rsidR="008817BB" w:rsidRPr="00033816">
              <w:noBreakHyphen/>
            </w:r>
            <w:r w:rsidRPr="00033816">
              <w:t>home care.</w:t>
            </w:r>
          </w:p>
          <w:p w14:paraId="40035776" w14:textId="4D968844" w:rsidR="003E4FCA" w:rsidRPr="00033816" w:rsidRDefault="003E4FCA" w:rsidP="00770430">
            <w:pPr>
              <w:pStyle w:val="Box"/>
            </w:pPr>
            <w:r w:rsidRPr="00033816">
              <w:t>A low or decreasing proportion of substantiations for both measures is desirable.</w:t>
            </w:r>
            <w:r w:rsidR="00014105" w:rsidRPr="00033816">
              <w:t xml:space="preserve"> </w:t>
            </w:r>
            <w:r w:rsidRPr="00033816">
              <w:t xml:space="preserve">Care should be taken when interpreting </w:t>
            </w:r>
            <w:r w:rsidR="009D4D0D" w:rsidRPr="00033816">
              <w:t>these data</w:t>
            </w:r>
            <w:r w:rsidRPr="00033816">
              <w:t xml:space="preserve"> as the threshold for substantiating </w:t>
            </w:r>
            <w:r w:rsidR="001B6D13" w:rsidRPr="00033816">
              <w:t>abuse or neglect</w:t>
            </w:r>
            <w:r w:rsidRPr="00033816">
              <w:t xml:space="preserve"> or risk involving </w:t>
            </w:r>
            <w:r w:rsidR="005A163E" w:rsidRPr="00033816">
              <w:t>a child in care</w:t>
            </w:r>
            <w:r w:rsidRPr="00033816">
              <w:t xml:space="preserve"> is generally lower than that for a child in the care of his or her own parents. This is because governments assume a </w:t>
            </w:r>
            <w:r w:rsidR="005714F2" w:rsidRPr="00033816">
              <w:t xml:space="preserve">greater </w:t>
            </w:r>
            <w:r w:rsidRPr="00033816">
              <w:t xml:space="preserve">duty of care for children removed from the care of their </w:t>
            </w:r>
            <w:r w:rsidR="00794141" w:rsidRPr="00033816">
              <w:t>parents for protective reasons.</w:t>
            </w:r>
          </w:p>
          <w:p w14:paraId="3F7BDAE5" w14:textId="72B6F6CD" w:rsidR="006A165D" w:rsidRPr="00033816" w:rsidRDefault="006A165D" w:rsidP="00770430">
            <w:pPr>
              <w:pStyle w:val="Box"/>
            </w:pPr>
            <w:r w:rsidRPr="00033816">
              <w:t>Data reported for this indicator should be interpreted with caution. Jurisdictions employ different data systems and record keeping methods, which vary in scope (for example, whether data are collected on all, or only particular, out</w:t>
            </w:r>
            <w:r w:rsidR="004F6E3D" w:rsidRPr="00033816">
              <w:noBreakHyphen/>
            </w:r>
            <w:r w:rsidRPr="00033816">
              <w:t>of</w:t>
            </w:r>
            <w:r w:rsidR="004F6E3D" w:rsidRPr="00033816">
              <w:noBreakHyphen/>
            </w:r>
            <w:r w:rsidRPr="00033816">
              <w:t xml:space="preserve">home care settings) and detail collected (for example, whether the perpetrator is recorded and whether an incident resulted in a substantiation or equivalent). These differences affect the comparability of these data across jurisdictions. </w:t>
            </w:r>
          </w:p>
          <w:p w14:paraId="5B3F2C66" w14:textId="0D896B32" w:rsidR="003E4FCA" w:rsidRPr="00033816" w:rsidRDefault="003E4FCA" w:rsidP="00770430">
            <w:pPr>
              <w:pStyle w:val="Box"/>
            </w:pPr>
            <w:r w:rsidRPr="00033816">
              <w:t>Data reported for these measures are:</w:t>
            </w:r>
          </w:p>
          <w:p w14:paraId="2197196D" w14:textId="479BAB5C" w:rsidR="00E55EA8" w:rsidRPr="00EA5D67" w:rsidRDefault="00A557AF" w:rsidP="00770430">
            <w:pPr>
              <w:pStyle w:val="Box"/>
              <w:ind w:left="284"/>
            </w:pPr>
            <w:r w:rsidRPr="00344676">
              <w:rPr>
                <w:shd w:val="clear" w:color="auto" w:fill="FCDED3"/>
              </w:rPr>
              <w:t xml:space="preserve">    </w:t>
            </w:r>
            <w:r>
              <w:t xml:space="preserve"> </w:t>
            </w:r>
            <w:r w:rsidR="007930D9" w:rsidRPr="00033816">
              <w:t xml:space="preserve">not comparable across jurisdictions but are </w:t>
            </w:r>
            <w:r w:rsidR="003E4FCA" w:rsidRPr="00033816">
              <w:t xml:space="preserve">comparable (subject to caveats) within some jurisdictions over time </w:t>
            </w:r>
          </w:p>
          <w:p w14:paraId="3CB7324E" w14:textId="34A8302F" w:rsidR="00A73245" w:rsidRPr="00033816" w:rsidRDefault="00DB479D" w:rsidP="00214061">
            <w:pPr>
              <w:pStyle w:val="Box"/>
              <w:ind w:left="284"/>
              <w:rPr>
                <w:b/>
                <w:u w:val="dotted"/>
              </w:rPr>
            </w:pPr>
            <w:r w:rsidRPr="009273A9">
              <w:rPr>
                <w:shd w:val="clear" w:color="auto" w:fill="FCDED3"/>
              </w:rPr>
              <w:t xml:space="preserve">    </w:t>
            </w:r>
            <w:r>
              <w:t xml:space="preserve"> </w:t>
            </w:r>
            <w:r w:rsidR="003E4FCA" w:rsidRPr="00BF355F">
              <w:t xml:space="preserve">incomplete for the current reporting period. All required </w:t>
            </w:r>
            <w:r w:rsidR="006D3A4B" w:rsidRPr="00BF355F">
              <w:t>201</w:t>
            </w:r>
            <w:r w:rsidR="00070407" w:rsidRPr="00BF355F">
              <w:t>7</w:t>
            </w:r>
            <w:r w:rsidR="00214061">
              <w:t>-</w:t>
            </w:r>
            <w:r w:rsidR="006D3A4B" w:rsidRPr="00BF355F">
              <w:t>1</w:t>
            </w:r>
            <w:r w:rsidR="00070407" w:rsidRPr="00BF355F">
              <w:t>8</w:t>
            </w:r>
            <w:r w:rsidR="00CD125C" w:rsidRPr="00BF355F">
              <w:t xml:space="preserve"> data </w:t>
            </w:r>
            <w:r w:rsidR="00347F12" w:rsidRPr="003B2706">
              <w:t>are</w:t>
            </w:r>
            <w:r w:rsidR="00CD125C" w:rsidRPr="003B2706">
              <w:t xml:space="preserve"> not available for </w:t>
            </w:r>
            <w:r w:rsidR="00F94851" w:rsidRPr="003B2706">
              <w:t>Victoria</w:t>
            </w:r>
            <w:r w:rsidR="00224015" w:rsidRPr="003B2706">
              <w:t xml:space="preserve"> (</w:t>
            </w:r>
            <w:r w:rsidR="00CD125C" w:rsidRPr="003B2706">
              <w:t>who</w:t>
            </w:r>
            <w:r w:rsidR="003E4FCA" w:rsidRPr="003B2706">
              <w:t xml:space="preserve"> did not provide data for </w:t>
            </w:r>
            <w:r w:rsidR="005A163E" w:rsidRPr="003B2706">
              <w:t>the first measure</w:t>
            </w:r>
            <w:r w:rsidR="00224015" w:rsidRPr="003B2706">
              <w:t>),</w:t>
            </w:r>
            <w:r w:rsidR="003E4FCA" w:rsidRPr="003B2706">
              <w:t xml:space="preserve"> and </w:t>
            </w:r>
            <w:r w:rsidR="007F388E" w:rsidRPr="003B2706">
              <w:t xml:space="preserve">Queensland, Tasmania and </w:t>
            </w:r>
            <w:r w:rsidR="003E4FCA" w:rsidRPr="003B2706">
              <w:t>the NT</w:t>
            </w:r>
            <w:r w:rsidR="00224015" w:rsidRPr="003B2706">
              <w:t xml:space="preserve"> (</w:t>
            </w:r>
            <w:r w:rsidR="003E4FCA" w:rsidRPr="003B2706">
              <w:t>wh</w:t>
            </w:r>
            <w:r w:rsidR="00B569DE" w:rsidRPr="003B2706">
              <w:t xml:space="preserve">o </w:t>
            </w:r>
            <w:r w:rsidR="003E4FCA" w:rsidRPr="003B2706">
              <w:t xml:space="preserve">did not provide data for the </w:t>
            </w:r>
            <w:r w:rsidR="005A163E" w:rsidRPr="003B2706">
              <w:t>second measure</w:t>
            </w:r>
            <w:r w:rsidR="00224015" w:rsidRPr="003B2706">
              <w:t>)</w:t>
            </w:r>
            <w:r w:rsidR="003E4FCA" w:rsidRPr="003B2706">
              <w:t>.</w:t>
            </w:r>
          </w:p>
        </w:tc>
      </w:tr>
      <w:tr w:rsidR="00A73245" w:rsidRPr="00033816" w14:paraId="3D6540B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03FDF45" w14:textId="77777777" w:rsidR="00A73245" w:rsidRPr="00033816" w:rsidRDefault="00A73245" w:rsidP="00770430">
            <w:pPr>
              <w:pStyle w:val="Box"/>
              <w:spacing w:before="0" w:line="120" w:lineRule="exact"/>
            </w:pPr>
          </w:p>
        </w:tc>
      </w:tr>
      <w:tr w:rsidR="00A73245" w:rsidRPr="00033816" w14:paraId="2CBD5156" w14:textId="77777777" w:rsidTr="0028418B">
        <w:tc>
          <w:tcPr>
            <w:tcW w:w="8789" w:type="dxa"/>
            <w:tcBorders>
              <w:top w:val="single" w:sz="6" w:space="0" w:color="78A22F"/>
              <w:left w:val="nil"/>
              <w:bottom w:val="nil"/>
              <w:right w:val="nil"/>
            </w:tcBorders>
          </w:tcPr>
          <w:p w14:paraId="7070A6D6" w14:textId="4FE43059" w:rsidR="00A73245" w:rsidRPr="00033816" w:rsidRDefault="00A73245" w:rsidP="00770430">
            <w:pPr>
              <w:pStyle w:val="BoxSpaceBelow"/>
            </w:pPr>
          </w:p>
        </w:tc>
      </w:tr>
    </w:tbl>
    <w:p w14:paraId="75E611CD" w14:textId="73B4A9E6" w:rsidR="005C5A20" w:rsidRPr="00033816" w:rsidRDefault="00E52B09" w:rsidP="00770430">
      <w:pPr>
        <w:pStyle w:val="BodyText"/>
      </w:pPr>
      <w:r w:rsidRPr="00033816">
        <w:t>The proportion of children in out</w:t>
      </w:r>
      <w:r w:rsidR="004F6E3D" w:rsidRPr="00033816">
        <w:noBreakHyphen/>
      </w:r>
      <w:r w:rsidRPr="00033816">
        <w:t>of</w:t>
      </w:r>
      <w:r w:rsidR="004F6E3D" w:rsidRPr="00033816">
        <w:noBreakHyphen/>
      </w:r>
      <w:r w:rsidRPr="00033816">
        <w:t xml:space="preserve">home care who were the subject of a substantiation of abuse or neglect was less than </w:t>
      </w:r>
      <w:r w:rsidR="003B2706">
        <w:t>6</w:t>
      </w:r>
      <w:r w:rsidRPr="00033816">
        <w:t xml:space="preserve"> per cent across all jurisdictions</w:t>
      </w:r>
      <w:r w:rsidR="00CF3623">
        <w:t xml:space="preserve"> for whom data were available</w:t>
      </w:r>
      <w:r w:rsidRPr="00033816">
        <w:t xml:space="preserve"> (table </w:t>
      </w:r>
      <w:proofErr w:type="spellStart"/>
      <w:r w:rsidRPr="00033816">
        <w:t>16A.1</w:t>
      </w:r>
      <w:r w:rsidR="009312EF">
        <w:t>3</w:t>
      </w:r>
      <w:proofErr w:type="spellEnd"/>
      <w:r w:rsidRPr="00033816">
        <w:t xml:space="preserve">). The proportion where the person responsible was living in the </w:t>
      </w:r>
      <w:r w:rsidRPr="00BF355F">
        <w:t xml:space="preserve">household was less than </w:t>
      </w:r>
      <w:r w:rsidR="003B2706">
        <w:t>4</w:t>
      </w:r>
      <w:r w:rsidR="00347F12">
        <w:t> per </w:t>
      </w:r>
      <w:r w:rsidRPr="00033816">
        <w:t>cent across all jurisdictions</w:t>
      </w:r>
      <w:r w:rsidR="00CF3623">
        <w:t xml:space="preserve"> for whom data were available</w:t>
      </w:r>
      <w:r w:rsidR="003B2706">
        <w:t xml:space="preserve"> (table </w:t>
      </w:r>
      <w:proofErr w:type="spellStart"/>
      <w:r w:rsidRPr="00033816">
        <w:t>16A.1</w:t>
      </w:r>
      <w:r w:rsidR="009312EF">
        <w:t>4</w:t>
      </w:r>
      <w:proofErr w:type="spellEnd"/>
      <w:r w:rsidRPr="00033816">
        <w:t>).</w:t>
      </w:r>
    </w:p>
    <w:p w14:paraId="0DEE051E" w14:textId="0FD249B0" w:rsidR="006842D6" w:rsidRPr="00033816" w:rsidRDefault="002E0FA0" w:rsidP="00770430">
      <w:pPr>
        <w:pStyle w:val="Heading4"/>
      </w:pPr>
      <w:r w:rsidRPr="00033816">
        <w:t>S</w:t>
      </w:r>
      <w:r w:rsidR="006842D6" w:rsidRPr="00033816">
        <w:t xml:space="preserve">tability </w:t>
      </w:r>
      <w:r w:rsidRPr="00033816">
        <w:t xml:space="preserve">and permanency </w:t>
      </w:r>
      <w:r w:rsidR="006842D6" w:rsidRPr="00033816">
        <w:t>of placement</w:t>
      </w:r>
    </w:p>
    <w:p w14:paraId="7F47107C" w14:textId="1C6C7E42" w:rsidR="006842D6" w:rsidRPr="00033816" w:rsidRDefault="006842D6" w:rsidP="00770430">
      <w:pPr>
        <w:pStyle w:val="BodyText"/>
      </w:pPr>
      <w:r w:rsidRPr="00033816">
        <w:t xml:space="preserve">‘Stability </w:t>
      </w:r>
      <w:r w:rsidR="002E0FA0" w:rsidRPr="00033816">
        <w:t xml:space="preserve">and permanency </w:t>
      </w:r>
      <w:r w:rsidRPr="00033816">
        <w:t xml:space="preserve">of placement’ </w:t>
      </w:r>
      <w:r w:rsidR="00F47259" w:rsidRPr="00033816">
        <w:t>is a</w:t>
      </w:r>
      <w:r w:rsidR="003E3DE8" w:rsidRPr="00033816">
        <w:t xml:space="preserve"> partial</w:t>
      </w:r>
      <w:r w:rsidR="00F47259" w:rsidRPr="00033816">
        <w:t xml:space="preserve"> indicator of governments’ objective to </w:t>
      </w:r>
      <w:r w:rsidR="0054111D" w:rsidRPr="00033816">
        <w:t>provide quality care for children and young people aged 0</w:t>
      </w:r>
      <w:r w:rsidR="00E55579" w:rsidRPr="00033816">
        <w:t>–</w:t>
      </w:r>
      <w:r w:rsidR="0054111D" w:rsidRPr="00033816">
        <w:t xml:space="preserve">17 years who cannot live with </w:t>
      </w:r>
      <w:r w:rsidR="0054111D" w:rsidRPr="00033816">
        <w:lastRenderedPageBreak/>
        <w:t>their parents for reasons of safety or family crisis, with an emphasis on safety, stability and permanency in children’s living arrangements</w:t>
      </w:r>
      <w:r w:rsidR="00C86E49" w:rsidRPr="00033816">
        <w:t xml:space="preserve"> </w:t>
      </w:r>
      <w:r w:rsidRPr="00033816">
        <w:t>(box</w:t>
      </w:r>
      <w:r w:rsidR="00C10B65" w:rsidRPr="00033816">
        <w:t xml:space="preserve"> </w:t>
      </w:r>
      <w:r w:rsidR="005714F2" w:rsidRPr="00033816">
        <w:t>16.7</w:t>
      </w:r>
      <w:r w:rsidR="001D6205" w:rsidRPr="00033816">
        <w:t>).</w:t>
      </w:r>
    </w:p>
    <w:p w14:paraId="645054EA" w14:textId="001F9B3B" w:rsidR="00B54F4D" w:rsidRPr="00033816" w:rsidRDefault="00B54F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54F4D" w:rsidRPr="00033816" w14:paraId="5680FFD4" w14:textId="77777777" w:rsidTr="0028418B">
        <w:tc>
          <w:tcPr>
            <w:tcW w:w="8789" w:type="dxa"/>
            <w:tcBorders>
              <w:top w:val="single" w:sz="6" w:space="0" w:color="78A22F"/>
              <w:left w:val="nil"/>
              <w:bottom w:val="nil"/>
              <w:right w:val="nil"/>
            </w:tcBorders>
            <w:shd w:val="clear" w:color="auto" w:fill="F2F2F2" w:themeFill="background1" w:themeFillShade="F2"/>
          </w:tcPr>
          <w:p w14:paraId="78D67630" w14:textId="571B149C" w:rsidR="00B54F4D" w:rsidRPr="00033816" w:rsidRDefault="00B54F4D" w:rsidP="00770430">
            <w:pPr>
              <w:pStyle w:val="BoxTitle"/>
            </w:pPr>
            <w:r w:rsidRPr="00033816">
              <w:rPr>
                <w:b w:val="0"/>
              </w:rPr>
              <w:t xml:space="preserve">Box </w:t>
            </w:r>
            <w:r w:rsidR="005714F2" w:rsidRPr="00033816">
              <w:rPr>
                <w:b w:val="0"/>
              </w:rPr>
              <w:t>16.7</w:t>
            </w:r>
            <w:r w:rsidRPr="00033816">
              <w:tab/>
              <w:t xml:space="preserve">Stability </w:t>
            </w:r>
            <w:r w:rsidR="00154984" w:rsidRPr="00033816">
              <w:t xml:space="preserve">and permanency </w:t>
            </w:r>
            <w:r w:rsidRPr="00033816">
              <w:t>of placement</w:t>
            </w:r>
          </w:p>
        </w:tc>
      </w:tr>
      <w:tr w:rsidR="00B54F4D" w:rsidRPr="00033816" w14:paraId="71DA9338" w14:textId="77777777" w:rsidTr="0028418B">
        <w:trPr>
          <w:cantSplit/>
        </w:trPr>
        <w:tc>
          <w:tcPr>
            <w:tcW w:w="8789" w:type="dxa"/>
            <w:tcBorders>
              <w:top w:val="nil"/>
              <w:left w:val="nil"/>
              <w:bottom w:val="nil"/>
              <w:right w:val="nil"/>
            </w:tcBorders>
            <w:shd w:val="clear" w:color="auto" w:fill="F2F2F2" w:themeFill="background1" w:themeFillShade="F2"/>
          </w:tcPr>
          <w:p w14:paraId="2DE3538A" w14:textId="4820B1D4" w:rsidR="00B54F4D" w:rsidRPr="00033816" w:rsidRDefault="00B54F4D" w:rsidP="00770430">
            <w:pPr>
              <w:pStyle w:val="Box"/>
            </w:pPr>
            <w:r w:rsidRPr="00033816">
              <w:t>‘Stability</w:t>
            </w:r>
            <w:r w:rsidR="002E0FA0" w:rsidRPr="00033816">
              <w:t xml:space="preserve"> and permanency</w:t>
            </w:r>
            <w:r w:rsidRPr="00033816">
              <w:t xml:space="preserve"> of placement’ is defined as the proportion of children who had one or two placements during a period of continuous out</w:t>
            </w:r>
            <w:r w:rsidR="008817BB" w:rsidRPr="00033816">
              <w:noBreakHyphen/>
            </w:r>
            <w:r w:rsidRPr="00033816">
              <w:t>of</w:t>
            </w:r>
            <w:r w:rsidR="008817BB" w:rsidRPr="00033816">
              <w:noBreakHyphen/>
            </w:r>
            <w:r w:rsidRPr="00033816">
              <w:t>home care</w:t>
            </w:r>
            <w:r w:rsidR="008913DF" w:rsidRPr="00033816">
              <w:t>, by length of care (less than 12</w:t>
            </w:r>
            <w:r w:rsidR="005217F0" w:rsidRPr="00033816">
              <w:t> </w:t>
            </w:r>
            <w:r w:rsidR="008913DF" w:rsidRPr="00033816">
              <w:t>months, and 12 months or more)</w:t>
            </w:r>
            <w:r w:rsidRPr="00033816">
              <w:t>.</w:t>
            </w:r>
          </w:p>
          <w:p w14:paraId="0508A1B7" w14:textId="2A0BCEB9" w:rsidR="00B54F4D" w:rsidRPr="00033816" w:rsidRDefault="00B54F4D" w:rsidP="00770430">
            <w:pPr>
              <w:pStyle w:val="Box"/>
            </w:pPr>
            <w:r w:rsidRPr="00033816">
              <w:t xml:space="preserve">A </w:t>
            </w:r>
            <w:r w:rsidR="005714F2" w:rsidRPr="00033816">
              <w:t xml:space="preserve">high proportion </w:t>
            </w:r>
            <w:r w:rsidRPr="00033816">
              <w:t xml:space="preserve">of </w:t>
            </w:r>
            <w:r w:rsidR="005714F2" w:rsidRPr="00033816">
              <w:t>children who had one or two placements</w:t>
            </w:r>
            <w:r w:rsidRPr="00033816">
              <w:t xml:space="preserve"> per period of care is desirable, but must be</w:t>
            </w:r>
            <w:r w:rsidR="005714F2" w:rsidRPr="00033816">
              <w:t xml:space="preserve"> considered in conjunction with </w:t>
            </w:r>
            <w:r w:rsidRPr="00033816">
              <w:t>other placement i</w:t>
            </w:r>
            <w:r w:rsidR="00CF52BB" w:rsidRPr="00033816">
              <w:t>ndicators</w:t>
            </w:r>
            <w:r w:rsidRPr="00033816">
              <w:t>.</w:t>
            </w:r>
          </w:p>
          <w:p w14:paraId="37308F05" w14:textId="09345D28" w:rsidR="00B54F4D" w:rsidRPr="00033816" w:rsidRDefault="00B54F4D" w:rsidP="00770430">
            <w:pPr>
              <w:pStyle w:val="Box"/>
            </w:pPr>
            <w:r w:rsidRPr="00033816">
              <w:t>Children can have multiple placements for appropriate reasons (for example, an initial placement followed by a longer</w:t>
            </w:r>
            <w:r w:rsidR="008817BB" w:rsidRPr="00033816">
              <w:noBreakHyphen/>
            </w:r>
            <w:r w:rsidRPr="00033816">
              <w:t>term placement) or it may be desirable to change placements to achieve better compatibility between a child and family</w:t>
            </w:r>
            <w:r w:rsidR="003E3DE8" w:rsidRPr="00033816">
              <w:t>, or to achieve a permanent care arrangement for the child</w:t>
            </w:r>
            <w:r w:rsidRPr="00033816">
              <w:t xml:space="preserve">. It is not desirable for a child to stay in an unsatisfactory or unsupportive placement. </w:t>
            </w:r>
            <w:r w:rsidR="005714F2" w:rsidRPr="00033816">
              <w:t>In addition</w:t>
            </w:r>
            <w:r w:rsidRPr="00033816">
              <w:t>, older children are more likely to have multiple placements as they move towards independence and voluntarily seek alternate placements.</w:t>
            </w:r>
          </w:p>
          <w:p w14:paraId="5CEB8CBB" w14:textId="0F05AECD" w:rsidR="00B54F4D" w:rsidRDefault="00B54F4D" w:rsidP="00770430">
            <w:pPr>
              <w:pStyle w:val="Box"/>
            </w:pPr>
            <w:r w:rsidRPr="00033816">
              <w:t xml:space="preserve">Data are only for children who </w:t>
            </w:r>
            <w:r w:rsidR="008913DF" w:rsidRPr="00033816">
              <w:t>we</w:t>
            </w:r>
            <w:r w:rsidRPr="00033816">
              <w:t>re on orders and who exit</w:t>
            </w:r>
            <w:r w:rsidR="008913DF" w:rsidRPr="00033816">
              <w:t>ed</w:t>
            </w:r>
            <w:r w:rsidRPr="00033816">
              <w:t xml:space="preserve"> care during the reporting period. There are limitations to counting placement stability</w:t>
            </w:r>
            <w:r w:rsidR="00154984" w:rsidRPr="00033816">
              <w:t xml:space="preserve"> and permanency</w:t>
            </w:r>
            <w:r w:rsidRPr="00033816">
              <w:t xml:space="preserve"> using a cohort of children on exit from care rather than longitudinally tracking a cohort of children on their entry into care</w:t>
            </w:r>
            <w:r w:rsidR="005217F0" w:rsidRPr="00033816">
              <w:t>. A</w:t>
            </w:r>
            <w:r w:rsidRPr="00033816">
              <w:t xml:space="preserve">n exit cohort is biased to children who stay a relatively short time in care and thus </w:t>
            </w:r>
            <w:r w:rsidR="008913DF" w:rsidRPr="00033816">
              <w:t>a</w:t>
            </w:r>
            <w:r w:rsidRPr="00033816">
              <w:t>re more likely to have experienced fewer placements.</w:t>
            </w:r>
            <w:r w:rsidR="00F94851" w:rsidRPr="00033816">
              <w:t xml:space="preserve"> </w:t>
            </w:r>
            <w:r w:rsidR="008913DF" w:rsidRPr="00033816">
              <w:t>From</w:t>
            </w:r>
            <w:r w:rsidR="00F94851" w:rsidRPr="00033816">
              <w:t xml:space="preserve"> the 2014</w:t>
            </w:r>
            <w:r w:rsidR="008817BB" w:rsidRPr="00033816">
              <w:noBreakHyphen/>
            </w:r>
            <w:r w:rsidR="00F94851" w:rsidRPr="00033816">
              <w:t xml:space="preserve">15 period onwards, the counting rules for this indicator were modified to </w:t>
            </w:r>
            <w:r w:rsidR="00F82313" w:rsidRPr="00033816">
              <w:t>exclude</w:t>
            </w:r>
            <w:r w:rsidR="00F94851" w:rsidRPr="00033816">
              <w:t xml:space="preserve"> placements lasting less than seven days.</w:t>
            </w:r>
            <w:r w:rsidR="003E3DE8" w:rsidRPr="00033816">
              <w:t xml:space="preserve"> In </w:t>
            </w:r>
            <w:r w:rsidR="00B836E8" w:rsidRPr="00033816">
              <w:t>addition, the data do not distinguish between long and short</w:t>
            </w:r>
            <w:r w:rsidR="004F6E3D" w:rsidRPr="00033816">
              <w:noBreakHyphen/>
            </w:r>
            <w:r w:rsidR="00B836E8" w:rsidRPr="00033816">
              <w:t>term orders. Long</w:t>
            </w:r>
            <w:r w:rsidR="004F6E3D" w:rsidRPr="00033816">
              <w:noBreakHyphen/>
            </w:r>
            <w:r w:rsidR="00B836E8" w:rsidRPr="00033816">
              <w:t>term orders can indicate legal permanency of placement, though a child may still experience multiple placements while subject to a long</w:t>
            </w:r>
            <w:r w:rsidR="004F6E3D" w:rsidRPr="00033816">
              <w:noBreakHyphen/>
            </w:r>
            <w:r w:rsidR="00B836E8" w:rsidRPr="00033816">
              <w:t>term order.</w:t>
            </w:r>
          </w:p>
          <w:p w14:paraId="5382BA93" w14:textId="77777777" w:rsidR="00B54F4D" w:rsidRPr="00033816" w:rsidRDefault="00B54F4D" w:rsidP="00770430">
            <w:pPr>
              <w:pStyle w:val="Box"/>
            </w:pPr>
            <w:r w:rsidRPr="00033816">
              <w:t>Data reported for this indicator are:</w:t>
            </w:r>
          </w:p>
          <w:p w14:paraId="593C6EAB" w14:textId="5179AFAC" w:rsidR="00B54F4D" w:rsidRPr="00614C33" w:rsidRDefault="00A557AF" w:rsidP="00770430">
            <w:pPr>
              <w:pStyle w:val="Box"/>
              <w:ind w:left="284"/>
            </w:pPr>
            <w:r w:rsidRPr="00344676">
              <w:rPr>
                <w:shd w:val="clear" w:color="auto" w:fill="FCDED3"/>
              </w:rPr>
              <w:t xml:space="preserve">    </w:t>
            </w:r>
            <w:r>
              <w:t xml:space="preserve"> </w:t>
            </w:r>
            <w:r w:rsidR="007930D9" w:rsidRPr="00614C33">
              <w:t xml:space="preserve">not comparable across jurisdictions but are </w:t>
            </w:r>
            <w:r w:rsidR="00B54F4D" w:rsidRPr="00614C33">
              <w:t xml:space="preserve">comparable (subject to caveats) </w:t>
            </w:r>
            <w:r w:rsidR="00F94851" w:rsidRPr="00614C33">
              <w:t xml:space="preserve">within some </w:t>
            </w:r>
            <w:r w:rsidR="00B54F4D" w:rsidRPr="00614C33">
              <w:t xml:space="preserve">jurisdictions </w:t>
            </w:r>
            <w:r w:rsidR="00F94851" w:rsidRPr="00614C33">
              <w:t xml:space="preserve">over time </w:t>
            </w:r>
          </w:p>
          <w:p w14:paraId="7E6E8B15" w14:textId="3638A3C7" w:rsidR="00B54F4D" w:rsidRPr="00033816" w:rsidRDefault="00DB479D" w:rsidP="00214061">
            <w:pPr>
              <w:pStyle w:val="Box"/>
              <w:ind w:left="284"/>
            </w:pPr>
            <w:r w:rsidRPr="009273A9">
              <w:rPr>
                <w:shd w:val="clear" w:color="auto" w:fill="F15A25"/>
              </w:rPr>
              <w:t xml:space="preserve">    </w:t>
            </w:r>
            <w:r>
              <w:t xml:space="preserve"> </w:t>
            </w:r>
            <w:r w:rsidR="00B54F4D" w:rsidRPr="00033816">
              <w:t xml:space="preserve">complete </w:t>
            </w:r>
            <w:r w:rsidR="00A11663">
              <w:t xml:space="preserve">(subject to caveats) </w:t>
            </w:r>
            <w:r w:rsidR="00B54F4D" w:rsidRPr="00033816">
              <w:t xml:space="preserve">for the current reporting </w:t>
            </w:r>
            <w:r w:rsidR="00B54F4D" w:rsidRPr="00BF355F">
              <w:t xml:space="preserve">period. </w:t>
            </w:r>
            <w:r w:rsidR="00225795" w:rsidRPr="00BF355F">
              <w:t>All required</w:t>
            </w:r>
            <w:r w:rsidR="00225795" w:rsidRPr="00033816">
              <w:t xml:space="preserve"> </w:t>
            </w:r>
            <w:r w:rsidR="006D3A4B" w:rsidRPr="00033816">
              <w:t>201</w:t>
            </w:r>
            <w:r w:rsidR="00070407">
              <w:t>7</w:t>
            </w:r>
            <w:r w:rsidR="00214061">
              <w:t>-</w:t>
            </w:r>
            <w:r w:rsidR="006D3A4B" w:rsidRPr="00033816">
              <w:t>1</w:t>
            </w:r>
            <w:r w:rsidR="00070407">
              <w:t>8</w:t>
            </w:r>
            <w:r w:rsidR="00225795" w:rsidRPr="00033816">
              <w:t xml:space="preserve"> data </w:t>
            </w:r>
            <w:r w:rsidR="00347F12">
              <w:t>are</w:t>
            </w:r>
            <w:r w:rsidR="00225795" w:rsidRPr="00033816">
              <w:t xml:space="preserve"> available</w:t>
            </w:r>
            <w:r w:rsidR="003B2706">
              <w:t xml:space="preserve"> for all jurisdictions</w:t>
            </w:r>
            <w:r w:rsidR="00225795" w:rsidRPr="00033816">
              <w:t>.</w:t>
            </w:r>
          </w:p>
        </w:tc>
      </w:tr>
      <w:tr w:rsidR="00B54F4D" w:rsidRPr="00033816" w14:paraId="0F7904E2"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94ECF71" w14:textId="77777777" w:rsidR="00B54F4D" w:rsidRPr="00033816" w:rsidRDefault="00B54F4D" w:rsidP="00770430">
            <w:pPr>
              <w:pStyle w:val="Box"/>
              <w:spacing w:before="0" w:line="120" w:lineRule="exact"/>
            </w:pPr>
          </w:p>
        </w:tc>
      </w:tr>
      <w:tr w:rsidR="00B54F4D" w:rsidRPr="00033816" w14:paraId="61E749C4" w14:textId="77777777" w:rsidTr="0028418B">
        <w:tc>
          <w:tcPr>
            <w:tcW w:w="8789" w:type="dxa"/>
            <w:tcBorders>
              <w:top w:val="single" w:sz="6" w:space="0" w:color="78A22F"/>
              <w:left w:val="nil"/>
              <w:bottom w:val="nil"/>
              <w:right w:val="nil"/>
            </w:tcBorders>
          </w:tcPr>
          <w:p w14:paraId="30BD1BFB" w14:textId="5792D231" w:rsidR="00B54F4D" w:rsidRPr="00033816" w:rsidRDefault="00B54F4D" w:rsidP="00770430">
            <w:pPr>
              <w:pStyle w:val="BoxSpaceBelow"/>
            </w:pPr>
          </w:p>
        </w:tc>
      </w:tr>
    </w:tbl>
    <w:p w14:paraId="0105DF64" w14:textId="4FD2368C" w:rsidR="009B6271" w:rsidRDefault="006842D6" w:rsidP="00770430">
      <w:pPr>
        <w:pStyle w:val="BodyText"/>
      </w:pPr>
      <w:r w:rsidRPr="00033816">
        <w:t>Nationally</w:t>
      </w:r>
      <w:r w:rsidR="001730BC" w:rsidRPr="00033816">
        <w:t xml:space="preserve"> in </w:t>
      </w:r>
      <w:r w:rsidR="006D3A4B" w:rsidRPr="00033816">
        <w:t>201</w:t>
      </w:r>
      <w:r w:rsidR="00070407">
        <w:t>7</w:t>
      </w:r>
      <w:r w:rsidR="00214061">
        <w:t>-</w:t>
      </w:r>
      <w:r w:rsidR="006D3A4B" w:rsidRPr="00033816">
        <w:t>1</w:t>
      </w:r>
      <w:r w:rsidR="00070407">
        <w:t>8</w:t>
      </w:r>
      <w:r w:rsidRPr="00770430">
        <w:t>,</w:t>
      </w:r>
      <w:r w:rsidR="009E1DD8" w:rsidRPr="00770430">
        <w:t xml:space="preserve"> </w:t>
      </w:r>
      <w:r w:rsidR="00B317E4" w:rsidRPr="00770430">
        <w:t>89.</w:t>
      </w:r>
      <w:r w:rsidR="0033469E" w:rsidRPr="00770430">
        <w:t>2</w:t>
      </w:r>
      <w:r w:rsidR="001315CB" w:rsidRPr="00770430">
        <w:rPr>
          <w:color w:val="FF0000"/>
        </w:rPr>
        <w:t xml:space="preserve"> </w:t>
      </w:r>
      <w:r w:rsidR="00533D25" w:rsidRPr="00770430">
        <w:t xml:space="preserve">per cent </w:t>
      </w:r>
      <w:r w:rsidRPr="00770430">
        <w:t xml:space="preserve">of children on a care and protection order who exited care </w:t>
      </w:r>
      <w:r w:rsidR="001730BC" w:rsidRPr="00770430">
        <w:t>within</w:t>
      </w:r>
      <w:r w:rsidRPr="00770430">
        <w:t xml:space="preserve"> 12 months experienced </w:t>
      </w:r>
      <w:r w:rsidR="00C50E00" w:rsidRPr="00770430">
        <w:t>one or two</w:t>
      </w:r>
      <w:r w:rsidR="00EA7C4D" w:rsidRPr="00770430">
        <w:t xml:space="preserve"> </w:t>
      </w:r>
      <w:r w:rsidRPr="00770430">
        <w:t>placements (figure</w:t>
      </w:r>
      <w:r w:rsidR="009B6271" w:rsidRPr="00770430">
        <w:t xml:space="preserve"> </w:t>
      </w:r>
      <w:r w:rsidR="009D4A68" w:rsidRPr="00770430">
        <w:t>16.7</w:t>
      </w:r>
      <w:r w:rsidR="008155B4" w:rsidRPr="00770430">
        <w:t>(a)</w:t>
      </w:r>
      <w:r w:rsidRPr="00770430">
        <w:t>)</w:t>
      </w:r>
      <w:r w:rsidR="005217F0" w:rsidRPr="00770430">
        <w:t>, while</w:t>
      </w:r>
      <w:r w:rsidR="001730BC" w:rsidRPr="00770430">
        <w:t xml:space="preserve"> for </w:t>
      </w:r>
      <w:r w:rsidR="00FC2B43" w:rsidRPr="00770430">
        <w:t>children who had been in out</w:t>
      </w:r>
      <w:r w:rsidR="008817BB" w:rsidRPr="00770430">
        <w:noBreakHyphen/>
      </w:r>
      <w:r w:rsidR="00FC2B43" w:rsidRPr="00770430">
        <w:t>of</w:t>
      </w:r>
      <w:r w:rsidR="008817BB" w:rsidRPr="00770430">
        <w:noBreakHyphen/>
      </w:r>
      <w:r w:rsidR="00FC2B43" w:rsidRPr="00770430">
        <w:t xml:space="preserve">home care </w:t>
      </w:r>
      <w:r w:rsidR="001730BC" w:rsidRPr="00770430">
        <w:t xml:space="preserve">12 months or more this proportion was lower at </w:t>
      </w:r>
      <w:r w:rsidR="0033469E" w:rsidRPr="00770430">
        <w:t>53.1</w:t>
      </w:r>
      <w:r w:rsidR="00347F12" w:rsidRPr="00770430">
        <w:t> per </w:t>
      </w:r>
      <w:r w:rsidR="001730BC" w:rsidRPr="00770430">
        <w:t xml:space="preserve">cent (figure </w:t>
      </w:r>
      <w:r w:rsidR="009D4A68" w:rsidRPr="00770430">
        <w:t>16.7</w:t>
      </w:r>
      <w:r w:rsidR="001730BC" w:rsidRPr="00770430">
        <w:t>(b))</w:t>
      </w:r>
      <w:r w:rsidR="001A5430" w:rsidRPr="00770430">
        <w:t xml:space="preserve"> (table</w:t>
      </w:r>
      <w:r w:rsidR="00F94851" w:rsidRPr="00770430">
        <w:t> </w:t>
      </w:r>
      <w:proofErr w:type="spellStart"/>
      <w:r w:rsidR="001378E8" w:rsidRPr="00770430">
        <w:t>16A.1</w:t>
      </w:r>
      <w:r w:rsidR="009312EF" w:rsidRPr="00770430">
        <w:t>5</w:t>
      </w:r>
      <w:proofErr w:type="spellEnd"/>
      <w:r w:rsidR="001A5430" w:rsidRPr="00770430">
        <w:t>)</w:t>
      </w:r>
      <w:r w:rsidR="00FC2B43" w:rsidRPr="00770430">
        <w:t>.</w:t>
      </w:r>
      <w:r w:rsidR="00EE5D2E" w:rsidRPr="00770430">
        <w:t xml:space="preserve"> To assist with the interpre</w:t>
      </w:r>
      <w:r w:rsidR="00D401DC" w:rsidRPr="00770430">
        <w:t>tation of this indicator, table </w:t>
      </w:r>
      <w:proofErr w:type="spellStart"/>
      <w:r w:rsidR="00EE5D2E" w:rsidRPr="00770430">
        <w:t>16A.1</w:t>
      </w:r>
      <w:r w:rsidR="00A11663" w:rsidRPr="00770430">
        <w:t>6</w:t>
      </w:r>
      <w:proofErr w:type="spellEnd"/>
      <w:r w:rsidR="00EE5D2E" w:rsidRPr="00770430">
        <w:t xml:space="preserve"> details</w:t>
      </w:r>
      <w:r w:rsidR="00EE5D2E" w:rsidRPr="00033816">
        <w:t xml:space="preserve"> the length of time children </w:t>
      </w:r>
      <w:r w:rsidR="00F82313" w:rsidRPr="00033816">
        <w:t xml:space="preserve">spent </w:t>
      </w:r>
      <w:r w:rsidR="00EE5D2E" w:rsidRPr="00033816">
        <w:t>in continuous out</w:t>
      </w:r>
      <w:r w:rsidR="004F6E3D" w:rsidRPr="00033816">
        <w:noBreakHyphen/>
      </w:r>
      <w:r w:rsidR="00EE5D2E" w:rsidRPr="00033816">
        <w:t>of</w:t>
      </w:r>
      <w:r w:rsidR="004F6E3D" w:rsidRPr="00033816">
        <w:noBreakHyphen/>
      </w:r>
      <w:r w:rsidR="00EE5D2E" w:rsidRPr="00033816">
        <w:t>home care</w:t>
      </w:r>
      <w:r w:rsidR="00205D49" w:rsidRPr="00033816">
        <w:t xml:space="preserve"> for all children in out</w:t>
      </w:r>
      <w:r w:rsidR="004F6E3D" w:rsidRPr="00033816">
        <w:noBreakHyphen/>
      </w:r>
      <w:r w:rsidR="00205D49" w:rsidRPr="00033816">
        <w:t>of</w:t>
      </w:r>
      <w:r w:rsidR="004F6E3D" w:rsidRPr="00033816">
        <w:noBreakHyphen/>
      </w:r>
      <w:r w:rsidR="00205D49" w:rsidRPr="00033816">
        <w:t>home care</w:t>
      </w:r>
      <w:r w:rsidR="00EE5D2E" w:rsidRPr="00033816">
        <w:t xml:space="preserve">, while table </w:t>
      </w:r>
      <w:proofErr w:type="spellStart"/>
      <w:r w:rsidR="00EE5D2E" w:rsidRPr="00033816">
        <w:t>16A.1</w:t>
      </w:r>
      <w:r w:rsidR="00A11663">
        <w:t>7</w:t>
      </w:r>
      <w:proofErr w:type="spellEnd"/>
      <w:r w:rsidR="00EE5D2E" w:rsidRPr="00033816">
        <w:t xml:space="preserve"> details the length of time in continuous out</w:t>
      </w:r>
      <w:r w:rsidR="004F6E3D" w:rsidRPr="00033816">
        <w:noBreakHyphen/>
      </w:r>
      <w:r w:rsidR="00EE5D2E" w:rsidRPr="00033816">
        <w:t>of</w:t>
      </w:r>
      <w:r w:rsidR="004F6E3D" w:rsidRPr="00033816">
        <w:noBreakHyphen/>
      </w:r>
      <w:r w:rsidR="00EE5D2E" w:rsidRPr="00033816">
        <w:t>home care for childr</w:t>
      </w:r>
      <w:r w:rsidR="005217F0" w:rsidRPr="00033816">
        <w:t>en who exited out</w:t>
      </w:r>
      <w:r w:rsidR="004F6E3D" w:rsidRPr="00033816">
        <w:noBreakHyphen/>
      </w:r>
      <w:r w:rsidR="005217F0" w:rsidRPr="00033816">
        <w:t>of</w:t>
      </w:r>
      <w:r w:rsidR="004F6E3D" w:rsidRPr="00033816">
        <w:noBreakHyphen/>
      </w:r>
      <w:r w:rsidR="005217F0" w:rsidRPr="00033816">
        <w:t>home care.</w:t>
      </w:r>
    </w:p>
    <w:p w14:paraId="5957A41E" w14:textId="36967EA4" w:rsidR="00B54F4D" w:rsidRPr="00033816" w:rsidRDefault="00B54F4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668"/>
        <w:gridCol w:w="121"/>
      </w:tblGrid>
      <w:tr w:rsidR="00B54F4D" w:rsidRPr="00033816" w14:paraId="1BA90E19" w14:textId="77777777" w:rsidTr="00AF66C4">
        <w:tc>
          <w:tcPr>
            <w:tcW w:w="8789" w:type="dxa"/>
            <w:gridSpan w:val="2"/>
            <w:tcBorders>
              <w:top w:val="single" w:sz="6" w:space="0" w:color="78A22F"/>
              <w:left w:val="nil"/>
              <w:bottom w:val="nil"/>
              <w:right w:val="nil"/>
            </w:tcBorders>
            <w:shd w:val="clear" w:color="auto" w:fill="auto"/>
          </w:tcPr>
          <w:p w14:paraId="123FF3DC" w14:textId="5837BC2B" w:rsidR="008155B4" w:rsidRPr="00033816" w:rsidRDefault="00B54F4D" w:rsidP="00770430">
            <w:pPr>
              <w:pStyle w:val="FigureTitle"/>
              <w:rPr>
                <w:position w:val="6"/>
                <w:sz w:val="18"/>
              </w:rPr>
            </w:pPr>
            <w:r w:rsidRPr="00033816">
              <w:rPr>
                <w:b w:val="0"/>
              </w:rPr>
              <w:t>Figure</w:t>
            </w:r>
            <w:r w:rsidR="009B6271" w:rsidRPr="00033816">
              <w:rPr>
                <w:b w:val="0"/>
              </w:rPr>
              <w:t xml:space="preserve"> </w:t>
            </w:r>
            <w:r w:rsidR="009D4A68" w:rsidRPr="00033816">
              <w:rPr>
                <w:b w:val="0"/>
              </w:rPr>
              <w:t>16.7</w:t>
            </w:r>
            <w:r w:rsidRPr="00033816">
              <w:tab/>
              <w:t xml:space="preserve">Proportion of children on an order </w:t>
            </w:r>
            <w:r w:rsidR="008635A5" w:rsidRPr="00033816">
              <w:t xml:space="preserve">exiting care </w:t>
            </w:r>
            <w:r w:rsidRPr="00033816">
              <w:t>who had one or two placements</w:t>
            </w:r>
            <w:r w:rsidR="001315CB" w:rsidRPr="00033816">
              <w:rPr>
                <w:rStyle w:val="NoteLabel"/>
                <w:b/>
              </w:rPr>
              <w:t>a, b</w:t>
            </w:r>
          </w:p>
          <w:p w14:paraId="3A7AFF83" w14:textId="643668CB" w:rsidR="00FC2B43" w:rsidRPr="00033816" w:rsidRDefault="00FC2B43" w:rsidP="00770430">
            <w:pPr>
              <w:pStyle w:val="BoxListNumber2"/>
              <w:numPr>
                <w:ilvl w:val="0"/>
                <w:numId w:val="0"/>
              </w:numPr>
              <w:spacing w:before="0"/>
              <w:ind w:left="284"/>
              <w:jc w:val="center"/>
              <w:rPr>
                <w:b/>
              </w:rPr>
            </w:pPr>
          </w:p>
        </w:tc>
      </w:tr>
      <w:tr w:rsidR="00AF66C4" w:rsidRPr="00033816" w14:paraId="718785EA" w14:textId="77777777" w:rsidTr="00770430">
        <w:tc>
          <w:tcPr>
            <w:tcW w:w="8789" w:type="dxa"/>
            <w:gridSpan w:val="2"/>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C96187" w14:paraId="7206C8EE" w14:textId="77777777" w:rsidTr="00AF66C4">
              <w:tc>
                <w:tcPr>
                  <w:tcW w:w="304" w:type="dxa"/>
                  <w:tcBorders>
                    <w:top w:val="nil"/>
                    <w:left w:val="nil"/>
                    <w:bottom w:val="nil"/>
                    <w:right w:val="nil"/>
                  </w:tcBorders>
                  <w:shd w:val="clear" w:color="auto" w:fill="auto"/>
                  <w:tcMar>
                    <w:top w:w="28" w:type="dxa"/>
                    <w:bottom w:w="28" w:type="dxa"/>
                  </w:tcMar>
                </w:tcPr>
                <w:p w14:paraId="7729655B" w14:textId="77777777" w:rsidR="00AF66C4" w:rsidRPr="00C96187"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0A223DF0" w14:textId="77777777" w:rsidR="00AF66C4" w:rsidRPr="00C96187"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EAEC6A0" w14:textId="2B7B1124" w:rsidR="00AF66C4" w:rsidRPr="00C96187" w:rsidRDefault="00AF66C4" w:rsidP="00770430">
                  <w:pPr>
                    <w:pStyle w:val="TableBodyText"/>
                    <w:jc w:val="left"/>
                  </w:pPr>
                  <w:r>
                    <w:t xml:space="preserve">Data are </w:t>
                  </w:r>
                  <w:r w:rsidR="007930D9" w:rsidRPr="00C96187">
                    <w:t>not comparable across jurisdictions</w:t>
                  </w:r>
                  <w:r w:rsidR="007930D9">
                    <w:t xml:space="preserve"> </w:t>
                  </w:r>
                  <w:r w:rsidR="007930D9" w:rsidRPr="00C96187">
                    <w:t>but are</w:t>
                  </w:r>
                  <w:r w:rsidR="007930D9">
                    <w:t xml:space="preserve"> </w:t>
                  </w:r>
                  <w:r>
                    <w:t>c</w:t>
                  </w:r>
                  <w:r w:rsidRPr="00C96187">
                    <w:t>omparable (subject to caveats) within jurisdictions over time.</w:t>
                  </w:r>
                </w:p>
              </w:tc>
            </w:tr>
            <w:tr w:rsidR="00AF66C4" w:rsidRPr="00C96187" w14:paraId="28F7B1B6" w14:textId="77777777" w:rsidTr="00AF66C4">
              <w:tc>
                <w:tcPr>
                  <w:tcW w:w="304" w:type="dxa"/>
                  <w:tcBorders>
                    <w:top w:val="nil"/>
                    <w:left w:val="nil"/>
                    <w:bottom w:val="nil"/>
                    <w:right w:val="nil"/>
                  </w:tcBorders>
                  <w:shd w:val="clear" w:color="auto" w:fill="auto"/>
                  <w:tcMar>
                    <w:top w:w="28" w:type="dxa"/>
                    <w:bottom w:w="28" w:type="dxa"/>
                  </w:tcMar>
                </w:tcPr>
                <w:p w14:paraId="09574661" w14:textId="77777777" w:rsidR="00AF66C4" w:rsidRPr="00C96187"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433AAB6" w14:textId="77777777" w:rsidR="00AF66C4" w:rsidRPr="00C96187" w:rsidRDefault="00AF66C4"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D290026" w14:textId="3888D193" w:rsidR="00AF66C4" w:rsidRPr="00C96187" w:rsidRDefault="00AF66C4" w:rsidP="00770430">
                  <w:pPr>
                    <w:pStyle w:val="TableBodyText"/>
                    <w:jc w:val="left"/>
                  </w:pPr>
                  <w:r w:rsidRPr="00C96187">
                    <w:t xml:space="preserve">Data are complete (subject to caveats) for the current reporting period. </w:t>
                  </w:r>
                </w:p>
              </w:tc>
            </w:tr>
          </w:tbl>
          <w:p w14:paraId="7E1B1F2A" w14:textId="77777777" w:rsidR="00AF66C4" w:rsidRPr="00033816" w:rsidRDefault="00AF66C4" w:rsidP="00770430">
            <w:pPr>
              <w:pStyle w:val="FigureTitle"/>
              <w:rPr>
                <w:b w:val="0"/>
              </w:rPr>
            </w:pPr>
          </w:p>
        </w:tc>
      </w:tr>
      <w:tr w:rsidR="00B54F4D" w:rsidRPr="00033816" w14:paraId="706D020F" w14:textId="77777777" w:rsidTr="00770430">
        <w:tc>
          <w:tcPr>
            <w:tcW w:w="8789" w:type="dxa"/>
            <w:gridSpan w:val="2"/>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B54F4D" w:rsidRPr="00033816" w14:paraId="5B307B13" w14:textId="77777777" w:rsidTr="00FC0D87">
              <w:trPr>
                <w:trHeight w:val="4252"/>
              </w:trPr>
              <w:tc>
                <w:tcPr>
                  <w:tcW w:w="8504" w:type="dxa"/>
                  <w:shd w:val="clear" w:color="auto" w:fill="auto"/>
                </w:tcPr>
                <w:p w14:paraId="3F8E8FD3" w14:textId="578D85AE" w:rsidR="00B54F4D" w:rsidRPr="00033816" w:rsidRDefault="005F1719" w:rsidP="00770430">
                  <w:pPr>
                    <w:pStyle w:val="Figure"/>
                  </w:pPr>
                  <w:r w:rsidRPr="005F1719">
                    <w:rPr>
                      <w:rFonts w:ascii="Arial" w:hAnsi="Arial"/>
                      <w:b/>
                      <w:sz w:val="18"/>
                      <w:szCs w:val="18"/>
                    </w:rPr>
                    <w:t>(a) Exiting care after less than 12 months</w:t>
                  </w:r>
                  <w:r>
                    <w:rPr>
                      <w:noProof/>
                    </w:rPr>
                    <w:t xml:space="preserve"> </w:t>
                  </w:r>
                  <w:r w:rsidR="00FC0D87">
                    <w:rPr>
                      <w:noProof/>
                    </w:rPr>
                    <w:drawing>
                      <wp:inline distT="0" distB="0" distL="0" distR="0" wp14:anchorId="5817C327" wp14:editId="40F4B199">
                        <wp:extent cx="5262880" cy="2648585"/>
                        <wp:effectExtent l="0" t="0" r="0" b="0"/>
                        <wp:docPr id="16" name="Chart 16" descr="Figure 16.7 Proportion of children on an order exiting care who had one or two placements&#10;&#10;(a) Exiting care after less than 12 month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DEE778B" w14:textId="77777777" w:rsidR="00B54F4D" w:rsidRPr="00033816" w:rsidRDefault="00B54F4D" w:rsidP="00770430">
            <w:pPr>
              <w:pStyle w:val="Figure"/>
            </w:pPr>
          </w:p>
        </w:tc>
      </w:tr>
      <w:tr w:rsidR="00B54F4D" w:rsidRPr="00033816" w14:paraId="1DC8C1C6" w14:textId="77777777" w:rsidTr="00770430">
        <w:tblPrEx>
          <w:tblCellMar>
            <w:left w:w="108" w:type="dxa"/>
            <w:right w:w="108" w:type="dxa"/>
          </w:tblCellMar>
        </w:tblPrEx>
        <w:trPr>
          <w:gridAfter w:val="1"/>
          <w:wAfter w:w="121" w:type="dxa"/>
          <w:trHeight w:val="4252"/>
        </w:trPr>
        <w:tc>
          <w:tcPr>
            <w:tcW w:w="8668" w:type="dxa"/>
            <w:tcBorders>
              <w:top w:val="nil"/>
              <w:left w:val="nil"/>
              <w:bottom w:val="nil"/>
              <w:right w:val="nil"/>
            </w:tcBorders>
            <w:shd w:val="clear" w:color="auto" w:fill="auto"/>
          </w:tcPr>
          <w:p w14:paraId="20F4EF50" w14:textId="77777777" w:rsidR="00FC2B43" w:rsidRPr="00033816" w:rsidRDefault="00FC2B43" w:rsidP="00770430">
            <w:pPr>
              <w:pStyle w:val="BoxListNumber2"/>
              <w:numPr>
                <w:ilvl w:val="0"/>
                <w:numId w:val="0"/>
              </w:numPr>
              <w:spacing w:before="0"/>
              <w:ind w:left="284"/>
              <w:jc w:val="center"/>
              <w:rPr>
                <w:b/>
                <w:sz w:val="18"/>
                <w:szCs w:val="18"/>
              </w:rPr>
            </w:pPr>
            <w:r w:rsidRPr="00033816">
              <w:rPr>
                <w:b/>
                <w:sz w:val="18"/>
                <w:szCs w:val="18"/>
              </w:rPr>
              <w:t>(b) Exiting care after 12 months or more</w:t>
            </w:r>
          </w:p>
          <w:p w14:paraId="1571D750" w14:textId="34B94002" w:rsidR="00086A96" w:rsidRPr="00033816" w:rsidRDefault="00FC0D87" w:rsidP="00770430">
            <w:pPr>
              <w:pStyle w:val="BoxListNumber2"/>
              <w:numPr>
                <w:ilvl w:val="0"/>
                <w:numId w:val="0"/>
              </w:numPr>
              <w:spacing w:before="0"/>
              <w:ind w:left="113"/>
              <w:jc w:val="left"/>
              <w:rPr>
                <w:szCs w:val="18"/>
              </w:rPr>
            </w:pPr>
            <w:r>
              <w:rPr>
                <w:noProof/>
              </w:rPr>
              <w:drawing>
                <wp:inline distT="0" distB="0" distL="0" distR="0" wp14:anchorId="41D95EC6" wp14:editId="4A22F29E">
                  <wp:extent cx="5364000" cy="2700000"/>
                  <wp:effectExtent l="0" t="0" r="8255" b="5715"/>
                  <wp:docPr id="17" name="Chart 17" descr="Figure 16.7 Proportion of children on an order exiting care who had one or two placements&#10;&#10;(b) Exiting care after 12 months or mor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23A6F5" w14:textId="257A9BB1" w:rsidR="00B54F4D" w:rsidRPr="00033816" w:rsidRDefault="00B54F4D" w:rsidP="00214061">
            <w:pPr>
              <w:pStyle w:val="Note"/>
            </w:pPr>
            <w:r w:rsidRPr="00033816">
              <w:rPr>
                <w:rStyle w:val="NoteLabel"/>
              </w:rPr>
              <w:t>a</w:t>
            </w:r>
            <w:r w:rsidRPr="00033816">
              <w:t xml:space="preserve"> </w:t>
            </w:r>
            <w:r w:rsidR="001315CB" w:rsidRPr="00033816">
              <w:t xml:space="preserve">See box </w:t>
            </w:r>
            <w:r w:rsidR="00205D49" w:rsidRPr="00033816">
              <w:t xml:space="preserve">16.7 </w:t>
            </w:r>
            <w:r w:rsidR="001315CB" w:rsidRPr="00033816">
              <w:t xml:space="preserve">and table </w:t>
            </w:r>
            <w:proofErr w:type="spellStart"/>
            <w:r w:rsidR="003D62DA" w:rsidRPr="00033816">
              <w:t>16</w:t>
            </w:r>
            <w:r w:rsidR="00601546" w:rsidRPr="00033816">
              <w:t>A.</w:t>
            </w:r>
            <w:r w:rsidR="001378E8" w:rsidRPr="00033816">
              <w:t>1</w:t>
            </w:r>
            <w:r w:rsidR="009312EF">
              <w:t>5</w:t>
            </w:r>
            <w:proofErr w:type="spellEnd"/>
            <w:r w:rsidR="0067672B" w:rsidRPr="00033816">
              <w:t xml:space="preserve"> </w:t>
            </w:r>
            <w:r w:rsidR="00601546" w:rsidRPr="00033816">
              <w:t xml:space="preserve">for detailed definitions, footnotes and caveats. </w:t>
            </w:r>
            <w:r w:rsidR="001E3B9E" w:rsidRPr="00033816">
              <w:rPr>
                <w:rStyle w:val="NoteLabel"/>
              </w:rPr>
              <w:t>b</w:t>
            </w:r>
            <w:r w:rsidR="001E3B9E" w:rsidRPr="00033816">
              <w:t xml:space="preserve"> </w:t>
            </w:r>
            <w:r w:rsidR="001315CB" w:rsidRPr="00033816">
              <w:t xml:space="preserve">Data were not available for </w:t>
            </w:r>
            <w:r w:rsidR="002C2ABA" w:rsidRPr="00033816">
              <w:t xml:space="preserve">WA </w:t>
            </w:r>
            <w:r w:rsidR="00027B75" w:rsidRPr="00033816">
              <w:t>for</w:t>
            </w:r>
            <w:r w:rsidR="001315CB" w:rsidRPr="00033816">
              <w:t xml:space="preserve"> 2013</w:t>
            </w:r>
            <w:r w:rsidR="00214061">
              <w:t>-</w:t>
            </w:r>
            <w:r w:rsidR="001315CB" w:rsidRPr="00033816">
              <w:t>14.</w:t>
            </w:r>
          </w:p>
        </w:tc>
      </w:tr>
      <w:tr w:rsidR="00B54F4D" w:rsidRPr="00033816" w14:paraId="5D807EE4" w14:textId="77777777" w:rsidTr="0028418B">
        <w:tc>
          <w:tcPr>
            <w:tcW w:w="8789" w:type="dxa"/>
            <w:gridSpan w:val="2"/>
            <w:tcBorders>
              <w:top w:val="nil"/>
              <w:left w:val="nil"/>
              <w:bottom w:val="nil"/>
              <w:right w:val="nil"/>
            </w:tcBorders>
            <w:shd w:val="clear" w:color="auto" w:fill="auto"/>
          </w:tcPr>
          <w:p w14:paraId="39BE8852" w14:textId="724739A4" w:rsidR="00B54F4D" w:rsidRPr="00033816" w:rsidRDefault="002501FF" w:rsidP="00770430">
            <w:pPr>
              <w:pStyle w:val="Source"/>
            </w:pPr>
            <w:r w:rsidRPr="00033816">
              <w:rPr>
                <w:i/>
              </w:rPr>
              <w:t>S</w:t>
            </w:r>
            <w:r w:rsidR="00B54F4D" w:rsidRPr="00033816">
              <w:rPr>
                <w:i/>
              </w:rPr>
              <w:t>ource</w:t>
            </w:r>
            <w:r w:rsidR="00B54F4D" w:rsidRPr="00033816">
              <w:t xml:space="preserve">: </w:t>
            </w:r>
            <w:proofErr w:type="spellStart"/>
            <w:r w:rsidRPr="00033816">
              <w:t>AIHW</w:t>
            </w:r>
            <w:proofErr w:type="spellEnd"/>
            <w:r w:rsidRPr="00033816">
              <w:t xml:space="preserve"> data collection (unpublished); table</w:t>
            </w:r>
            <w:r w:rsidR="00DB3398" w:rsidRPr="00033816">
              <w:t xml:space="preserve"> </w:t>
            </w:r>
            <w:proofErr w:type="spellStart"/>
            <w:r w:rsidR="005926D8" w:rsidRPr="00033816">
              <w:t>16A.</w:t>
            </w:r>
            <w:r w:rsidR="002B4F50" w:rsidRPr="00033816">
              <w:t>1</w:t>
            </w:r>
            <w:r w:rsidR="009312EF">
              <w:t>5</w:t>
            </w:r>
            <w:proofErr w:type="spellEnd"/>
            <w:r w:rsidRPr="00033816">
              <w:t>.</w:t>
            </w:r>
          </w:p>
        </w:tc>
      </w:tr>
      <w:tr w:rsidR="00B54F4D" w:rsidRPr="00033816" w14:paraId="3E34B9DF" w14:textId="77777777" w:rsidTr="0028418B">
        <w:tc>
          <w:tcPr>
            <w:tcW w:w="8789" w:type="dxa"/>
            <w:gridSpan w:val="2"/>
            <w:tcBorders>
              <w:top w:val="nil"/>
              <w:left w:val="nil"/>
              <w:bottom w:val="single" w:sz="6" w:space="0" w:color="78A22F"/>
              <w:right w:val="nil"/>
            </w:tcBorders>
            <w:shd w:val="clear" w:color="auto" w:fill="auto"/>
          </w:tcPr>
          <w:p w14:paraId="2590C726" w14:textId="77777777" w:rsidR="00B54F4D" w:rsidRPr="00033816" w:rsidRDefault="00B54F4D" w:rsidP="00770430">
            <w:pPr>
              <w:pStyle w:val="Figurespace"/>
            </w:pPr>
          </w:p>
        </w:tc>
      </w:tr>
      <w:tr w:rsidR="00B54F4D" w:rsidRPr="00033816" w14:paraId="24450F69" w14:textId="77777777" w:rsidTr="0028418B">
        <w:tc>
          <w:tcPr>
            <w:tcW w:w="8789" w:type="dxa"/>
            <w:gridSpan w:val="2"/>
            <w:tcBorders>
              <w:top w:val="single" w:sz="6" w:space="0" w:color="78A22F"/>
              <w:left w:val="nil"/>
              <w:bottom w:val="nil"/>
              <w:right w:val="nil"/>
            </w:tcBorders>
          </w:tcPr>
          <w:p w14:paraId="07CB7B47" w14:textId="46851D77" w:rsidR="00B54F4D" w:rsidRPr="00033816" w:rsidRDefault="00B54F4D" w:rsidP="00770430">
            <w:pPr>
              <w:pStyle w:val="BoxSpaceBelow"/>
            </w:pPr>
          </w:p>
        </w:tc>
      </w:tr>
    </w:tbl>
    <w:p w14:paraId="7E857971" w14:textId="007749A8" w:rsidR="00CA749E" w:rsidRDefault="00CA749E" w:rsidP="00770430">
      <w:pPr>
        <w:pStyle w:val="BodyText"/>
      </w:pPr>
      <w:r>
        <w:rPr>
          <w:noProof/>
        </w:rPr>
        <mc:AlternateContent>
          <mc:Choice Requires="wps">
            <w:drawing>
              <wp:anchor distT="0" distB="0" distL="114300" distR="114300" simplePos="0" relativeHeight="251695104" behindDoc="0" locked="0" layoutInCell="1" allowOverlap="1" wp14:anchorId="30803DB7" wp14:editId="39C28060">
                <wp:simplePos x="0" y="0"/>
                <wp:positionH relativeFrom="margin">
                  <wp:posOffset>1168400</wp:posOffset>
                </wp:positionH>
                <wp:positionV relativeFrom="paragraph">
                  <wp:posOffset>2513965</wp:posOffset>
                </wp:positionV>
                <wp:extent cx="68580" cy="60960"/>
                <wp:effectExtent l="0" t="0" r="7620" b="0"/>
                <wp:wrapNone/>
                <wp:docPr id="12" name="TextBox 2" descr="More details can be found within the text surrounding this image."/>
                <wp:cNvGraphicFramePr/>
                <a:graphic xmlns:a="http://schemas.openxmlformats.org/drawingml/2006/main">
                  <a:graphicData uri="http://schemas.microsoft.com/office/word/2010/wordprocessingShape">
                    <wps:wsp>
                      <wps:cNvSpPr txBox="1"/>
                      <wps:spPr>
                        <a:xfrm>
                          <a:off x="0" y="0"/>
                          <a:ext cx="68580" cy="60960"/>
                        </a:xfrm>
                        <a:prstGeom prst="rect">
                          <a:avLst/>
                        </a:prstGeom>
                        <a:solidFill>
                          <a:srgbClr val="66BCDB"/>
                        </a:solidFill>
                        <a:ln w="9525" cmpd="sng">
                          <a:no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776864E3" id="_x0000_t202" coordsize="21600,21600" o:spt="202" path="m,l,21600r21600,l21600,xe">
                <v:stroke joinstyle="miter"/>
                <v:path gradientshapeok="t" o:connecttype="rect"/>
              </v:shapetype>
              <v:shape id="TextBox 2" o:spid="_x0000_s1026" type="#_x0000_t202" alt="More details can be found within the text surrounding this image." style="position:absolute;margin-left:92pt;margin-top:197.95pt;width:5.4pt;height:4.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" fillcolor="#66bcdb" stroked="f">
                <w10:wrap anchorx="margin"/>
              </v:shape>
            </w:pict>
          </mc:Fallback>
        </mc:AlternateContent>
      </w:r>
    </w:p>
    <w:p w14:paraId="086D06F7" w14:textId="0993E315" w:rsidR="00D17E3E" w:rsidRPr="00033816" w:rsidRDefault="002E0FA0" w:rsidP="00770430">
      <w:pPr>
        <w:pStyle w:val="Heading4"/>
      </w:pPr>
      <w:r w:rsidRPr="00033816">
        <w:lastRenderedPageBreak/>
        <w:t>C</w:t>
      </w:r>
      <w:r w:rsidR="00D17E3E" w:rsidRPr="00033816">
        <w:t>hildren in home</w:t>
      </w:r>
      <w:r w:rsidR="003F757B">
        <w:t>-</w:t>
      </w:r>
      <w:r w:rsidR="00D17E3E" w:rsidRPr="00033816">
        <w:t>based care</w:t>
      </w:r>
    </w:p>
    <w:p w14:paraId="59B0E0B6" w14:textId="338D7334" w:rsidR="00D17E3E" w:rsidRPr="00033816" w:rsidRDefault="00D17E3E" w:rsidP="00770430">
      <w:pPr>
        <w:pStyle w:val="BodyText"/>
      </w:pPr>
      <w:r w:rsidRPr="00033816">
        <w:t>‘Children in home</w:t>
      </w:r>
      <w:r w:rsidR="003F757B">
        <w:t>-</w:t>
      </w:r>
      <w:r w:rsidRPr="00033816">
        <w:t>based</w:t>
      </w:r>
      <w:r w:rsidR="00A40B1E" w:rsidRPr="00033816">
        <w:t xml:space="preserve"> </w:t>
      </w:r>
      <w:r w:rsidRPr="00033816">
        <w:t xml:space="preserve">care’ is an indicator of governments’ objective to provide services </w:t>
      </w:r>
      <w:r w:rsidR="00A40B1E" w:rsidRPr="00033816">
        <w:t>that</w:t>
      </w:r>
      <w:r w:rsidRPr="00033816">
        <w:t xml:space="preserve"> meet the needs of </w:t>
      </w:r>
      <w:r w:rsidR="0054111D" w:rsidRPr="00033816">
        <w:t>individual children and young people in the child protection system</w:t>
      </w:r>
      <w:r w:rsidRPr="00033816">
        <w:t xml:space="preserve"> (box</w:t>
      </w:r>
      <w:r w:rsidR="001F0D78" w:rsidRPr="00033816">
        <w:t xml:space="preserve"> </w:t>
      </w:r>
      <w:r w:rsidR="00205D49" w:rsidRPr="00033816">
        <w:t>16.8</w:t>
      </w:r>
      <w:r w:rsidRPr="00033816">
        <w:t>).</w:t>
      </w:r>
    </w:p>
    <w:p w14:paraId="71A97BAF" w14:textId="7BC8276F" w:rsidR="007121B8" w:rsidRPr="00033816" w:rsidRDefault="007121B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121B8" w:rsidRPr="00033816" w14:paraId="6A7F518B" w14:textId="77777777" w:rsidTr="0028418B">
        <w:tc>
          <w:tcPr>
            <w:tcW w:w="8789" w:type="dxa"/>
            <w:tcBorders>
              <w:top w:val="single" w:sz="6" w:space="0" w:color="78A22F"/>
              <w:left w:val="nil"/>
              <w:bottom w:val="nil"/>
              <w:right w:val="nil"/>
            </w:tcBorders>
            <w:shd w:val="clear" w:color="auto" w:fill="F2F2F2" w:themeFill="background1" w:themeFillShade="F2"/>
          </w:tcPr>
          <w:p w14:paraId="0DFAD30D" w14:textId="32E9054B" w:rsidR="007121B8" w:rsidRPr="00033816" w:rsidRDefault="007121B8" w:rsidP="00770430">
            <w:pPr>
              <w:pStyle w:val="BoxTitle"/>
            </w:pPr>
            <w:r w:rsidRPr="00033816">
              <w:rPr>
                <w:b w:val="0"/>
              </w:rPr>
              <w:t>Box</w:t>
            </w:r>
            <w:r w:rsidR="00BB42EE" w:rsidRPr="00033816">
              <w:rPr>
                <w:b w:val="0"/>
              </w:rPr>
              <w:t xml:space="preserve"> </w:t>
            </w:r>
            <w:r w:rsidR="00205D49" w:rsidRPr="00033816">
              <w:rPr>
                <w:b w:val="0"/>
              </w:rPr>
              <w:t>16.8</w:t>
            </w:r>
            <w:r w:rsidRPr="00033816">
              <w:tab/>
              <w:t>Children in home</w:t>
            </w:r>
            <w:r w:rsidR="003F757B">
              <w:t>-</w:t>
            </w:r>
            <w:r w:rsidRPr="00033816">
              <w:t>based care</w:t>
            </w:r>
          </w:p>
        </w:tc>
      </w:tr>
      <w:tr w:rsidR="007121B8" w:rsidRPr="00033816" w14:paraId="25416D22" w14:textId="77777777" w:rsidTr="0028418B">
        <w:trPr>
          <w:cantSplit/>
        </w:trPr>
        <w:tc>
          <w:tcPr>
            <w:tcW w:w="8789" w:type="dxa"/>
            <w:tcBorders>
              <w:top w:val="nil"/>
              <w:left w:val="nil"/>
              <w:bottom w:val="nil"/>
              <w:right w:val="nil"/>
            </w:tcBorders>
            <w:shd w:val="clear" w:color="auto" w:fill="F2F2F2" w:themeFill="background1" w:themeFillShade="F2"/>
          </w:tcPr>
          <w:p w14:paraId="316827B3" w14:textId="4ADF5860" w:rsidR="007121B8" w:rsidRPr="00033816" w:rsidRDefault="007121B8" w:rsidP="00770430">
            <w:pPr>
              <w:pStyle w:val="Box"/>
            </w:pPr>
            <w:r w:rsidRPr="00033816">
              <w:t>‘Children in home</w:t>
            </w:r>
            <w:r w:rsidR="003F757B">
              <w:t>-</w:t>
            </w:r>
            <w:r w:rsidRPr="00033816">
              <w:t xml:space="preserve">based care’ is defined as the </w:t>
            </w:r>
            <w:r w:rsidR="00205D49" w:rsidRPr="00033816">
              <w:t xml:space="preserve">proportion </w:t>
            </w:r>
            <w:r w:rsidRPr="00033816">
              <w:t xml:space="preserve">of </w:t>
            </w:r>
            <w:r w:rsidR="00205D49" w:rsidRPr="00033816">
              <w:t>children in out</w:t>
            </w:r>
            <w:r w:rsidR="00205D49" w:rsidRPr="00033816">
              <w:noBreakHyphen/>
              <w:t>of</w:t>
            </w:r>
            <w:r w:rsidR="00205D49" w:rsidRPr="00033816">
              <w:noBreakHyphen/>
              <w:t>home care who are in</w:t>
            </w:r>
            <w:r w:rsidRPr="00033816">
              <w:t xml:space="preserve"> home</w:t>
            </w:r>
            <w:r w:rsidR="003F757B">
              <w:t>-</w:t>
            </w:r>
            <w:r w:rsidRPr="00033816">
              <w:t>based care.</w:t>
            </w:r>
          </w:p>
          <w:p w14:paraId="03C7CE94" w14:textId="079E57FF" w:rsidR="007121B8" w:rsidRPr="00033816" w:rsidRDefault="007121B8" w:rsidP="00770430">
            <w:pPr>
              <w:pStyle w:val="Box"/>
            </w:pPr>
            <w:r w:rsidRPr="00033816">
              <w:t xml:space="preserve">A high or increasing </w:t>
            </w:r>
            <w:r w:rsidR="00205D49" w:rsidRPr="00033816">
              <w:t xml:space="preserve">proportion </w:t>
            </w:r>
            <w:r w:rsidR="003E234A" w:rsidRPr="00033816">
              <w:t xml:space="preserve">of children </w:t>
            </w:r>
            <w:r w:rsidR="00CB6F8E" w:rsidRPr="00033816">
              <w:t>in out</w:t>
            </w:r>
            <w:r w:rsidR="008817BB" w:rsidRPr="00033816">
              <w:noBreakHyphen/>
            </w:r>
            <w:r w:rsidR="00CB6F8E" w:rsidRPr="00033816">
              <w:t>of</w:t>
            </w:r>
            <w:r w:rsidR="008817BB" w:rsidRPr="00033816">
              <w:noBreakHyphen/>
            </w:r>
            <w:r w:rsidR="00CB6F8E" w:rsidRPr="00033816">
              <w:t xml:space="preserve">home care </w:t>
            </w:r>
            <w:r w:rsidR="00205D49" w:rsidRPr="00033816">
              <w:t xml:space="preserve">who </w:t>
            </w:r>
            <w:r w:rsidR="00CB6F8E" w:rsidRPr="00033816">
              <w:t>are placed</w:t>
            </w:r>
            <w:r w:rsidR="003E234A" w:rsidRPr="00033816">
              <w:t xml:space="preserve"> in home</w:t>
            </w:r>
            <w:r w:rsidR="008817BB" w:rsidRPr="00033816">
              <w:noBreakHyphen/>
            </w:r>
            <w:r w:rsidR="003E234A" w:rsidRPr="00033816">
              <w:t xml:space="preserve">based care </w:t>
            </w:r>
            <w:r w:rsidRPr="00033816">
              <w:t xml:space="preserve">is desirable. </w:t>
            </w:r>
          </w:p>
          <w:p w14:paraId="234CC15C" w14:textId="28DCBF61" w:rsidR="007121B8" w:rsidRDefault="007121B8" w:rsidP="00770430">
            <w:pPr>
              <w:pStyle w:val="Box"/>
            </w:pPr>
            <w:r w:rsidRPr="00033816">
              <w:t>Placing children in home</w:t>
            </w:r>
            <w:r w:rsidR="003F757B">
              <w:t>-</w:t>
            </w:r>
            <w:r w:rsidRPr="00033816">
              <w:t xml:space="preserve">based care is generally considered to be in their best interests, particularly for younger children. Children will generally make better developmental progress in family settings than in residential or institutional care environments. </w:t>
            </w:r>
          </w:p>
          <w:p w14:paraId="52A2A5BC" w14:textId="77777777" w:rsidR="007121B8" w:rsidRPr="00033816" w:rsidRDefault="007121B8" w:rsidP="00770430">
            <w:pPr>
              <w:pStyle w:val="Box"/>
            </w:pPr>
            <w:r w:rsidRPr="00033816">
              <w:t>Data reported for this indicator are:</w:t>
            </w:r>
          </w:p>
          <w:p w14:paraId="44BD09CB" w14:textId="3D96ED9F" w:rsidR="007121B8" w:rsidRPr="00614C33" w:rsidRDefault="00DB479D" w:rsidP="00770430">
            <w:pPr>
              <w:pStyle w:val="Box"/>
              <w:ind w:left="284"/>
            </w:pPr>
            <w:r w:rsidRPr="009273A9">
              <w:rPr>
                <w:shd w:val="clear" w:color="auto" w:fill="F15A25"/>
              </w:rPr>
              <w:t xml:space="preserve">    </w:t>
            </w:r>
            <w:r>
              <w:t xml:space="preserve"> </w:t>
            </w:r>
            <w:r w:rsidR="007121B8" w:rsidRPr="00614C33">
              <w:t>comparable (subject to caveats) across jurisdictions and over time</w:t>
            </w:r>
          </w:p>
          <w:p w14:paraId="232D8B30" w14:textId="53718BDA" w:rsidR="007121B8" w:rsidRPr="00033816" w:rsidRDefault="00DB479D" w:rsidP="00770430">
            <w:pPr>
              <w:pStyle w:val="Box"/>
              <w:ind w:left="284"/>
            </w:pPr>
            <w:r w:rsidRPr="009273A9">
              <w:rPr>
                <w:shd w:val="clear" w:color="auto" w:fill="F15A25"/>
              </w:rPr>
              <w:t xml:space="preserve">    </w:t>
            </w:r>
            <w:r>
              <w:t xml:space="preserve"> </w:t>
            </w:r>
            <w:r w:rsidR="007121B8" w:rsidRPr="00033816">
              <w:t xml:space="preserve">complete </w:t>
            </w:r>
            <w:r w:rsidR="00A11663">
              <w:t xml:space="preserve">(subject to caveats) </w:t>
            </w:r>
            <w:r w:rsidR="007121B8" w:rsidRPr="00033816">
              <w:t>for the current rep</w:t>
            </w:r>
            <w:r w:rsidR="00642563" w:rsidRPr="00033816">
              <w:t>orting period</w:t>
            </w:r>
            <w:r w:rsidR="000C2475" w:rsidRPr="002741A1">
              <w:t xml:space="preserve">. </w:t>
            </w:r>
            <w:r w:rsidR="00FA4063" w:rsidRPr="002741A1">
              <w:t>All required</w:t>
            </w:r>
            <w:r w:rsidR="00FA4063" w:rsidRPr="00033816">
              <w:t xml:space="preserve"> data for 30</w:t>
            </w:r>
            <w:r w:rsidR="008817BB" w:rsidRPr="00033816">
              <w:t> </w:t>
            </w:r>
            <w:r w:rsidR="00FA4063" w:rsidRPr="00033816">
              <w:t xml:space="preserve">June </w:t>
            </w:r>
            <w:r w:rsidR="00205D49" w:rsidRPr="00033816">
              <w:t>201</w:t>
            </w:r>
            <w:r w:rsidR="00070407">
              <w:t>8</w:t>
            </w:r>
            <w:r w:rsidR="00205D49" w:rsidRPr="00033816">
              <w:t xml:space="preserve"> </w:t>
            </w:r>
            <w:r w:rsidR="001F06A8">
              <w:t>are</w:t>
            </w:r>
            <w:r w:rsidR="00FA4063" w:rsidRPr="00033816">
              <w:t xml:space="preserve"> available.</w:t>
            </w:r>
          </w:p>
        </w:tc>
      </w:tr>
      <w:tr w:rsidR="007121B8" w:rsidRPr="00033816" w14:paraId="765AA22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5A0469C5" w14:textId="77777777" w:rsidR="007121B8" w:rsidRPr="00033816" w:rsidRDefault="007121B8" w:rsidP="00770430">
            <w:pPr>
              <w:pStyle w:val="Box"/>
              <w:spacing w:before="0" w:line="120" w:lineRule="exact"/>
            </w:pPr>
          </w:p>
        </w:tc>
      </w:tr>
      <w:tr w:rsidR="007121B8" w:rsidRPr="00033816" w14:paraId="6B718132" w14:textId="77777777" w:rsidTr="0028418B">
        <w:tc>
          <w:tcPr>
            <w:tcW w:w="8789" w:type="dxa"/>
            <w:tcBorders>
              <w:top w:val="single" w:sz="6" w:space="0" w:color="78A22F"/>
              <w:left w:val="nil"/>
              <w:bottom w:val="nil"/>
              <w:right w:val="nil"/>
            </w:tcBorders>
          </w:tcPr>
          <w:p w14:paraId="0E0B881D" w14:textId="489DB8EC" w:rsidR="007121B8" w:rsidRPr="00033816" w:rsidRDefault="007121B8" w:rsidP="00770430">
            <w:pPr>
              <w:pStyle w:val="BoxSpaceBelow"/>
            </w:pPr>
          </w:p>
        </w:tc>
      </w:tr>
    </w:tbl>
    <w:p w14:paraId="7C7651FF" w14:textId="7E2E9D13" w:rsidR="00D17E3E" w:rsidRPr="00033816" w:rsidRDefault="00644CF1" w:rsidP="00770430">
      <w:pPr>
        <w:pStyle w:val="BodyText"/>
      </w:pPr>
      <w:r w:rsidRPr="00770430">
        <w:t>Nationally</w:t>
      </w:r>
      <w:r w:rsidR="00FA4063" w:rsidRPr="00770430">
        <w:t xml:space="preserve"> at 30</w:t>
      </w:r>
      <w:r w:rsidR="008817BB" w:rsidRPr="00770430">
        <w:t> </w:t>
      </w:r>
      <w:r w:rsidR="00FA4063" w:rsidRPr="00770430">
        <w:t>June 201</w:t>
      </w:r>
      <w:r w:rsidR="00070407" w:rsidRPr="00770430">
        <w:t>8</w:t>
      </w:r>
      <w:r w:rsidRPr="00770430">
        <w:t xml:space="preserve">, </w:t>
      </w:r>
      <w:r w:rsidR="00B317E4" w:rsidRPr="00770430">
        <w:t>93.</w:t>
      </w:r>
      <w:r w:rsidR="0033469E" w:rsidRPr="00770430">
        <w:t>1</w:t>
      </w:r>
      <w:r w:rsidR="001F06A8" w:rsidRPr="00770430">
        <w:t> per </w:t>
      </w:r>
      <w:r w:rsidR="00490B8F" w:rsidRPr="00770430">
        <w:t>cent of children in care were in home</w:t>
      </w:r>
      <w:r w:rsidR="004F6E3D" w:rsidRPr="00770430">
        <w:noBreakHyphen/>
      </w:r>
      <w:r w:rsidR="00490B8F" w:rsidRPr="00770430">
        <w:t xml:space="preserve">based care — </w:t>
      </w:r>
      <w:r w:rsidR="00CD0CF8" w:rsidRPr="00770430">
        <w:t>97.</w:t>
      </w:r>
      <w:r w:rsidR="0033469E" w:rsidRPr="00770430">
        <w:t>4</w:t>
      </w:r>
      <w:r w:rsidR="004B2F81" w:rsidRPr="00770430">
        <w:t> </w:t>
      </w:r>
      <w:r w:rsidR="001F06A8" w:rsidRPr="00770430">
        <w:t>per </w:t>
      </w:r>
      <w:r w:rsidR="00490B8F" w:rsidRPr="00770430">
        <w:t xml:space="preserve">cent for </w:t>
      </w:r>
      <w:r w:rsidR="00F97629" w:rsidRPr="00770430">
        <w:t>children</w:t>
      </w:r>
      <w:r w:rsidR="00490B8F" w:rsidRPr="00770430">
        <w:t xml:space="preserve"> aged less than 12 years, and </w:t>
      </w:r>
      <w:r w:rsidR="0033469E" w:rsidRPr="00770430">
        <w:t>84.7</w:t>
      </w:r>
      <w:r w:rsidR="00490B8F" w:rsidRPr="00770430">
        <w:t xml:space="preserve"> per cent for </w:t>
      </w:r>
      <w:r w:rsidR="00F97629" w:rsidRPr="00770430">
        <w:t xml:space="preserve">children </w:t>
      </w:r>
      <w:r w:rsidR="00490B8F" w:rsidRPr="00770430">
        <w:t xml:space="preserve">aged </w:t>
      </w:r>
      <w:r w:rsidR="00214061">
        <w:br/>
        <w:t>12–</w:t>
      </w:r>
      <w:r w:rsidR="004159F1" w:rsidRPr="00770430">
        <w:t>17 </w:t>
      </w:r>
      <w:r w:rsidR="00490B8F" w:rsidRPr="00770430">
        <w:t xml:space="preserve">years </w:t>
      </w:r>
      <w:r w:rsidR="002741A1" w:rsidRPr="00770430">
        <w:t>(table </w:t>
      </w:r>
      <w:proofErr w:type="spellStart"/>
      <w:r w:rsidR="00D63DB8" w:rsidRPr="00770430">
        <w:t>16</w:t>
      </w:r>
      <w:r w:rsidR="00947151" w:rsidRPr="00770430">
        <w:t>A.1</w:t>
      </w:r>
      <w:r w:rsidR="009312EF" w:rsidRPr="00770430">
        <w:t>8</w:t>
      </w:r>
      <w:proofErr w:type="spellEnd"/>
      <w:r w:rsidR="00906F76" w:rsidRPr="00770430">
        <w:t>)</w:t>
      </w:r>
      <w:r w:rsidR="00D17E3E" w:rsidRPr="00770430">
        <w:t xml:space="preserve">. </w:t>
      </w:r>
      <w:r w:rsidR="00166C84" w:rsidRPr="00770430">
        <w:t>P</w:t>
      </w:r>
      <w:r w:rsidR="00D17E3E" w:rsidRPr="00770430">
        <w:t>roportion</w:t>
      </w:r>
      <w:r w:rsidR="003015D5" w:rsidRPr="00770430">
        <w:t>s</w:t>
      </w:r>
      <w:r w:rsidR="00D17E3E" w:rsidRPr="00033816">
        <w:t xml:space="preserve"> </w:t>
      </w:r>
      <w:r w:rsidR="00166C84" w:rsidRPr="00033816">
        <w:t xml:space="preserve">were similar for </w:t>
      </w:r>
      <w:r w:rsidR="007C75CE" w:rsidRPr="00033816">
        <w:t>Aboriginal and Torres Strait Islander</w:t>
      </w:r>
      <w:r w:rsidR="00D17E3E" w:rsidRPr="00033816">
        <w:t xml:space="preserve"> </w:t>
      </w:r>
      <w:r w:rsidR="003015D5" w:rsidRPr="00033816">
        <w:t>and non</w:t>
      </w:r>
      <w:r w:rsidR="008817BB" w:rsidRPr="00033816">
        <w:noBreakHyphen/>
      </w:r>
      <w:r w:rsidR="003015D5" w:rsidRPr="00033816">
        <w:t xml:space="preserve">Indigenous </w:t>
      </w:r>
      <w:r w:rsidR="00D17E3E" w:rsidRPr="00033816">
        <w:t>children</w:t>
      </w:r>
      <w:r w:rsidR="00411348" w:rsidRPr="00033816">
        <w:t>, and have been consistent across available time series data</w:t>
      </w:r>
      <w:r w:rsidR="00386DDA" w:rsidRPr="00033816">
        <w:t xml:space="preserve">. To assist with the interpretation of this indicator, table </w:t>
      </w:r>
      <w:proofErr w:type="spellStart"/>
      <w:r w:rsidR="00386DDA" w:rsidRPr="00033816">
        <w:t>16A.1</w:t>
      </w:r>
      <w:r w:rsidR="009312EF">
        <w:t>9</w:t>
      </w:r>
      <w:proofErr w:type="spellEnd"/>
      <w:r w:rsidR="00386DDA" w:rsidRPr="00033816">
        <w:t xml:space="preserve"> details the type of out</w:t>
      </w:r>
      <w:r w:rsidR="004F6E3D" w:rsidRPr="00033816">
        <w:noBreakHyphen/>
      </w:r>
      <w:r w:rsidR="00386DDA" w:rsidRPr="00033816">
        <w:t>of</w:t>
      </w:r>
      <w:r w:rsidR="004F6E3D" w:rsidRPr="00033816">
        <w:noBreakHyphen/>
      </w:r>
      <w:r w:rsidR="00386DDA" w:rsidRPr="00033816">
        <w:t>home care placement for children, by Indigenous status</w:t>
      </w:r>
      <w:r w:rsidR="00D83AC6" w:rsidRPr="00033816">
        <w:t>.</w:t>
      </w:r>
    </w:p>
    <w:p w14:paraId="6234A722" w14:textId="674DC388" w:rsidR="006842D6" w:rsidRPr="00033816" w:rsidRDefault="008C4C43" w:rsidP="00770430">
      <w:pPr>
        <w:pStyle w:val="Heading4"/>
      </w:pPr>
      <w:r w:rsidRPr="00033816">
        <w:t>P</w:t>
      </w:r>
      <w:r w:rsidR="006842D6" w:rsidRPr="00033816">
        <w:t xml:space="preserve">lacement </w:t>
      </w:r>
      <w:r w:rsidR="00A40B1E" w:rsidRPr="00033816">
        <w:t>maintains connections</w:t>
      </w:r>
    </w:p>
    <w:p w14:paraId="18FCBB2A" w14:textId="582100F4" w:rsidR="00994C3A" w:rsidRPr="00033816" w:rsidRDefault="006842D6" w:rsidP="00770430">
      <w:pPr>
        <w:pStyle w:val="BodyText"/>
      </w:pPr>
      <w:r w:rsidRPr="00033816">
        <w:t xml:space="preserve">‘Placement </w:t>
      </w:r>
      <w:r w:rsidR="00A40B1E" w:rsidRPr="00033816">
        <w:t>maintains connections’</w:t>
      </w:r>
      <w:r w:rsidRPr="00033816">
        <w:t xml:space="preserve"> </w:t>
      </w:r>
      <w:r w:rsidR="00F47259" w:rsidRPr="00033816">
        <w:t xml:space="preserve">is an indicator of governments’ objective to provide services that meet the needs of </w:t>
      </w:r>
      <w:r w:rsidR="0054111D" w:rsidRPr="00033816">
        <w:t>individual children and young people in the child protection system</w:t>
      </w:r>
      <w:r w:rsidR="00F47259" w:rsidRPr="00033816">
        <w:t xml:space="preserve"> </w:t>
      </w:r>
      <w:r w:rsidRPr="00033816">
        <w:t>(box</w:t>
      </w:r>
      <w:r w:rsidR="00240C5E" w:rsidRPr="00033816">
        <w:t xml:space="preserve"> </w:t>
      </w:r>
      <w:r w:rsidR="00205D49" w:rsidRPr="00033816">
        <w:t>16.9</w:t>
      </w:r>
      <w:r w:rsidR="00163FF6" w:rsidRPr="00033816">
        <w:t>).</w:t>
      </w:r>
    </w:p>
    <w:p w14:paraId="7503C842" w14:textId="5F8CD6F0" w:rsidR="0028418B" w:rsidRPr="00033816" w:rsidRDefault="0028418B"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033816" w14:paraId="3AFC311C" w14:textId="77777777" w:rsidTr="00033816">
        <w:trPr>
          <w:tblHeader/>
        </w:trPr>
        <w:tc>
          <w:tcPr>
            <w:tcW w:w="5000" w:type="pct"/>
            <w:tcBorders>
              <w:top w:val="single" w:sz="6" w:space="0" w:color="78A22F"/>
              <w:left w:val="nil"/>
              <w:bottom w:val="nil"/>
              <w:right w:val="nil"/>
            </w:tcBorders>
            <w:shd w:val="clear" w:color="auto" w:fill="F2F2F2"/>
          </w:tcPr>
          <w:p w14:paraId="2D268D01" w14:textId="62F697EE" w:rsidR="0028418B" w:rsidRPr="00033816" w:rsidRDefault="0028418B" w:rsidP="00770430">
            <w:pPr>
              <w:pStyle w:val="BoxTitle"/>
            </w:pPr>
            <w:r w:rsidRPr="00033816">
              <w:rPr>
                <w:b w:val="0"/>
              </w:rPr>
              <w:t>Box 16.9</w:t>
            </w:r>
            <w:r w:rsidRPr="00033816">
              <w:tab/>
              <w:t>Placement maintains connections</w:t>
            </w:r>
          </w:p>
        </w:tc>
      </w:tr>
      <w:tr w:rsidR="0028418B" w:rsidRPr="00033816" w14:paraId="08302E84" w14:textId="77777777" w:rsidTr="00033816">
        <w:tc>
          <w:tcPr>
            <w:tcW w:w="5000" w:type="pct"/>
            <w:tcBorders>
              <w:top w:val="nil"/>
              <w:left w:val="nil"/>
              <w:bottom w:val="nil"/>
              <w:right w:val="nil"/>
            </w:tcBorders>
            <w:shd w:val="clear" w:color="auto" w:fill="F2F2F2"/>
          </w:tcPr>
          <w:p w14:paraId="1E1278C0" w14:textId="77777777" w:rsidR="0028418B" w:rsidRPr="00033816" w:rsidRDefault="0028418B" w:rsidP="00770430">
            <w:pPr>
              <w:pStyle w:val="Box"/>
            </w:pPr>
            <w:r w:rsidRPr="00033816">
              <w:t>‘Placement maintains connections’ is defined by four measures:</w:t>
            </w:r>
          </w:p>
          <w:p w14:paraId="45AF1E90" w14:textId="77777777" w:rsidR="0028418B" w:rsidRPr="00033816" w:rsidRDefault="0028418B" w:rsidP="00770430">
            <w:pPr>
              <w:pStyle w:val="BoxListBullet"/>
            </w:pPr>
            <w:r w:rsidRPr="00033816">
              <w:rPr>
                <w:i/>
              </w:rPr>
              <w:t>placement with relatives or kin</w:t>
            </w:r>
            <w:r w:rsidRPr="00033816">
              <w:t xml:space="preserve"> – the proportion of all children in out</w:t>
            </w:r>
            <w:r w:rsidRPr="00033816">
              <w:noBreakHyphen/>
              <w:t>of</w:t>
            </w:r>
            <w:r w:rsidRPr="00033816">
              <w:noBreakHyphen/>
              <w:t>home care who are placed with relatives or kin who receive government financial assistance to care for that child</w:t>
            </w:r>
          </w:p>
          <w:p w14:paraId="41D76FFE" w14:textId="77777777" w:rsidR="0028418B" w:rsidRPr="00033816" w:rsidRDefault="0028418B" w:rsidP="00770430">
            <w:pPr>
              <w:pStyle w:val="BoxListBullet"/>
            </w:pPr>
            <w:r w:rsidRPr="00033816">
              <w:rPr>
                <w:i/>
              </w:rPr>
              <w:t xml:space="preserve">placement in accordance with the Aboriginal and Torres Strait Islander child placement principle </w:t>
            </w:r>
            <w:r w:rsidRPr="00033816">
              <w:t xml:space="preserve">– the proportion of Aboriginal and Torres Strait Islander children in </w:t>
            </w:r>
            <w:r w:rsidRPr="00033816">
              <w:br/>
              <w:t>out</w:t>
            </w:r>
            <w:r w:rsidRPr="00033816">
              <w:noBreakHyphen/>
              <w:t>of</w:t>
            </w:r>
            <w:r w:rsidRPr="00033816">
              <w:noBreakHyphen/>
              <w:t>home care who are placed with the child’s extended family, Aboriginal and Torres Strait Islander community or other Aboriginal and Torres Strait Islander people</w:t>
            </w:r>
          </w:p>
          <w:p w14:paraId="5ECDF2CE" w14:textId="77777777" w:rsidR="0028418B" w:rsidRPr="00033816" w:rsidRDefault="0028418B" w:rsidP="00770430">
            <w:pPr>
              <w:pStyle w:val="BoxListBullet"/>
            </w:pPr>
            <w:r w:rsidRPr="00033816">
              <w:rPr>
                <w:i/>
              </w:rPr>
              <w:t>local placement</w:t>
            </w:r>
            <w:r w:rsidRPr="00033816">
              <w:t xml:space="preserve"> – the proportion of children in out</w:t>
            </w:r>
            <w:r w:rsidRPr="00033816">
              <w:noBreakHyphen/>
              <w:t>of</w:t>
            </w:r>
            <w:r w:rsidRPr="00033816">
              <w:noBreakHyphen/>
              <w:t>home care attending the same school that they attended before entering out</w:t>
            </w:r>
            <w:r w:rsidRPr="00033816">
              <w:noBreakHyphen/>
              <w:t>of</w:t>
            </w:r>
            <w:r w:rsidRPr="00033816">
              <w:noBreakHyphen/>
              <w:t>home care</w:t>
            </w:r>
          </w:p>
          <w:p w14:paraId="52DBD43D" w14:textId="77777777" w:rsidR="0028418B" w:rsidRDefault="0028418B" w:rsidP="00770430">
            <w:pPr>
              <w:pStyle w:val="BoxListBullet"/>
            </w:pPr>
            <w:r w:rsidRPr="00033816">
              <w:rPr>
                <w:i/>
              </w:rPr>
              <w:t>placement with sibling</w:t>
            </w:r>
            <w:r w:rsidRPr="00033816">
              <w:t xml:space="preserve"> – the proportion of children who are on orders and in out</w:t>
            </w:r>
            <w:r w:rsidRPr="00033816">
              <w:noBreakHyphen/>
              <w:t>of</w:t>
            </w:r>
            <w:r w:rsidRPr="00033816">
              <w:noBreakHyphen/>
              <w:t>home care at 30 June who have siblings also on orders and in out</w:t>
            </w:r>
            <w:r w:rsidRPr="00033816">
              <w:noBreakHyphen/>
              <w:t>of</w:t>
            </w:r>
            <w:r w:rsidRPr="00033816">
              <w:noBreakHyphen/>
              <w:t>home care, who are placed with at least one of their siblings.</w:t>
            </w:r>
          </w:p>
          <w:p w14:paraId="703EFAE7" w14:textId="77777777" w:rsidR="007019C6" w:rsidRPr="00033816" w:rsidRDefault="007019C6" w:rsidP="00770430">
            <w:pPr>
              <w:pStyle w:val="Box"/>
            </w:pPr>
            <w:r w:rsidRPr="00033816">
              <w:t>High or increasing rates for all four measures are desirable, though a placement decision needs to consider all factors regarding the child’s safety and wellbeing and therefore may involve weighing up the measures separately. Placing children so that connections with family, kin and/or community can be maintained or enhanced is generally the preferred out</w:t>
            </w:r>
            <w:r w:rsidRPr="00033816">
              <w:noBreakHyphen/>
              <w:t>of</w:t>
            </w:r>
            <w:r w:rsidRPr="00033816">
              <w:noBreakHyphen/>
              <w:t>home care placement option due to the increased continuity, familiarity and stability for the child, and the association with improved long</w:t>
            </w:r>
            <w:r w:rsidRPr="00033816">
              <w:noBreakHyphen/>
              <w:t>term outcomes. However, placements with family, kin and/or community may not always be the best option.</w:t>
            </w:r>
          </w:p>
          <w:p w14:paraId="3B2C5B4A" w14:textId="77777777" w:rsidR="007019C6" w:rsidRDefault="007019C6" w:rsidP="00770430">
            <w:pPr>
              <w:pStyle w:val="Box"/>
            </w:pPr>
            <w:r w:rsidRPr="00033816">
              <w:t>The measure ‘placement in accordance with the Aboriginal and Torres Strait Islander child placement principle’ should be interpreted with care as it is a proxy, reporting the placement outcomes of Aboriginal and Torres Strait Islander children rather than compliance with the principle.</w:t>
            </w:r>
          </w:p>
          <w:p w14:paraId="2FB70AF6" w14:textId="77777777" w:rsidR="007019C6" w:rsidRPr="00033816" w:rsidRDefault="007019C6" w:rsidP="00770430">
            <w:pPr>
              <w:pStyle w:val="Box"/>
            </w:pPr>
            <w:r w:rsidRPr="00033816">
              <w:t>Identification of Indigenous status may lead to data quality issues for this indicator, in particular high rates of Indigenous status not stated</w:t>
            </w:r>
            <w:r w:rsidRPr="00033816" w:rsidDel="00CC0121">
              <w:t xml:space="preserve"> </w:t>
            </w:r>
            <w:r w:rsidRPr="00033816">
              <w:t>are likely to affect the results.</w:t>
            </w:r>
          </w:p>
          <w:p w14:paraId="1C2C5A7C" w14:textId="77777777" w:rsidR="007019C6" w:rsidRPr="00033816" w:rsidRDefault="007019C6" w:rsidP="00770430">
            <w:pPr>
              <w:pStyle w:val="Box"/>
            </w:pPr>
            <w:r w:rsidRPr="00033816">
              <w:t>Data for the measures ‘local placement’ and ‘placement with sibling’ are under development and are not available for this report.</w:t>
            </w:r>
          </w:p>
          <w:p w14:paraId="6C97F5BA" w14:textId="77777777" w:rsidR="007019C6" w:rsidRPr="00033816" w:rsidRDefault="007019C6" w:rsidP="00770430">
            <w:pPr>
              <w:pStyle w:val="Box"/>
            </w:pPr>
            <w:r w:rsidRPr="00033816">
              <w:t>Data reported for the ‘placement with relatives or kin’ and ‘placement in accordance with the Aboriginal and Torres Strait Islander child placement principle’ measures are:</w:t>
            </w:r>
          </w:p>
          <w:p w14:paraId="1CBAC0A2" w14:textId="04C8F1AE" w:rsidR="007019C6" w:rsidRPr="00614C33" w:rsidRDefault="00DB479D" w:rsidP="00770430">
            <w:pPr>
              <w:pStyle w:val="Box"/>
              <w:ind w:left="284"/>
            </w:pPr>
            <w:r w:rsidRPr="009273A9">
              <w:rPr>
                <w:shd w:val="clear" w:color="auto" w:fill="F15A25"/>
              </w:rPr>
              <w:t xml:space="preserve">    </w:t>
            </w:r>
            <w:r>
              <w:t xml:space="preserve"> </w:t>
            </w:r>
            <w:r w:rsidR="007019C6" w:rsidRPr="00614C33">
              <w:t>comparable (subject to caveats) across jurisdictions and over time</w:t>
            </w:r>
          </w:p>
          <w:p w14:paraId="77F4DF87" w14:textId="5F7DBA08" w:rsidR="007019C6" w:rsidRPr="00033816" w:rsidRDefault="00DB479D" w:rsidP="00770430">
            <w:pPr>
              <w:pStyle w:val="Box"/>
              <w:ind w:left="284"/>
            </w:pPr>
            <w:r w:rsidRPr="009273A9">
              <w:rPr>
                <w:shd w:val="clear" w:color="auto" w:fill="F15A25"/>
              </w:rPr>
              <w:t xml:space="preserve">    </w:t>
            </w:r>
            <w:r>
              <w:t xml:space="preserve"> </w:t>
            </w:r>
            <w:r w:rsidR="007019C6" w:rsidRPr="00033816">
              <w:t xml:space="preserve">complete for the current reporting period. </w:t>
            </w:r>
            <w:r w:rsidR="007019C6" w:rsidRPr="002741A1">
              <w:t>All</w:t>
            </w:r>
            <w:r w:rsidR="007019C6" w:rsidRPr="00033816">
              <w:t xml:space="preserve"> required data for 30 June 201</w:t>
            </w:r>
            <w:r w:rsidR="007019C6">
              <w:t>8</w:t>
            </w:r>
            <w:r w:rsidR="007019C6" w:rsidRPr="00033816">
              <w:t xml:space="preserve"> </w:t>
            </w:r>
            <w:r w:rsidR="00F1315C">
              <w:t>are</w:t>
            </w:r>
            <w:r w:rsidR="00F1315C" w:rsidRPr="00033816">
              <w:t xml:space="preserve"> </w:t>
            </w:r>
            <w:r w:rsidR="007019C6" w:rsidRPr="00033816">
              <w:t>available</w:t>
            </w:r>
            <w:r w:rsidR="00AF66C4">
              <w:t xml:space="preserve"> for all jurisdictions</w:t>
            </w:r>
            <w:r w:rsidR="007019C6" w:rsidRPr="00033816">
              <w:t>.</w:t>
            </w:r>
          </w:p>
        </w:tc>
      </w:tr>
      <w:tr w:rsidR="0028418B" w:rsidRPr="00033816" w14:paraId="1B7E1DD9" w14:textId="77777777" w:rsidTr="00033816">
        <w:tc>
          <w:tcPr>
            <w:tcW w:w="5000" w:type="pct"/>
            <w:tcBorders>
              <w:top w:val="nil"/>
              <w:left w:val="nil"/>
              <w:bottom w:val="single" w:sz="6" w:space="0" w:color="78A22F"/>
              <w:right w:val="nil"/>
            </w:tcBorders>
            <w:shd w:val="clear" w:color="auto" w:fill="F2F2F2"/>
          </w:tcPr>
          <w:p w14:paraId="2B594A24" w14:textId="77777777" w:rsidR="0028418B" w:rsidRPr="00033816" w:rsidRDefault="0028418B" w:rsidP="00770430">
            <w:pPr>
              <w:pStyle w:val="Box"/>
              <w:spacing w:before="0" w:line="120" w:lineRule="exact"/>
            </w:pPr>
          </w:p>
        </w:tc>
      </w:tr>
      <w:tr w:rsidR="0028418B" w:rsidRPr="00033816" w14:paraId="0737EEDF" w14:textId="77777777" w:rsidTr="00033816">
        <w:tc>
          <w:tcPr>
            <w:tcW w:w="5000" w:type="pct"/>
            <w:tcBorders>
              <w:top w:val="single" w:sz="6" w:space="0" w:color="78A22F"/>
              <w:left w:val="nil"/>
              <w:bottom w:val="nil"/>
              <w:right w:val="nil"/>
            </w:tcBorders>
          </w:tcPr>
          <w:p w14:paraId="504BCE58" w14:textId="391E8F7A" w:rsidR="0028418B" w:rsidRPr="00033816" w:rsidRDefault="0028418B" w:rsidP="00770430">
            <w:pPr>
              <w:pStyle w:val="BoxSpaceBelow"/>
            </w:pPr>
          </w:p>
        </w:tc>
      </w:tr>
    </w:tbl>
    <w:p w14:paraId="5DF7951D" w14:textId="3963EE2F" w:rsidR="00FA4063" w:rsidRPr="00033816" w:rsidRDefault="00411348" w:rsidP="00770430">
      <w:pPr>
        <w:pStyle w:val="BodyText"/>
      </w:pPr>
      <w:r w:rsidRPr="00033816">
        <w:t xml:space="preserve">Nationally </w:t>
      </w:r>
      <w:r w:rsidR="00E962F9" w:rsidRPr="00033816">
        <w:t>at 30 June</w:t>
      </w:r>
      <w:r w:rsidR="008817BB" w:rsidRPr="00033816">
        <w:t xml:space="preserve"> </w:t>
      </w:r>
      <w:r w:rsidR="00E962F9" w:rsidRPr="00033816">
        <w:t>201</w:t>
      </w:r>
      <w:r w:rsidR="00070407">
        <w:t>8</w:t>
      </w:r>
      <w:r w:rsidRPr="00033816">
        <w:t>, t</w:t>
      </w:r>
      <w:r w:rsidR="003D7D86" w:rsidRPr="00033816">
        <w:t>he proportion of children placed with</w:t>
      </w:r>
      <w:r w:rsidRPr="00033816">
        <w:t xml:space="preserve"> relatives or kin was</w:t>
      </w:r>
      <w:r w:rsidR="00801141" w:rsidRPr="00033816">
        <w:t xml:space="preserve"> </w:t>
      </w:r>
      <w:r w:rsidR="0033469E" w:rsidRPr="00770430">
        <w:t>51.5</w:t>
      </w:r>
      <w:r w:rsidR="00FA4063" w:rsidRPr="00770430">
        <w:rPr>
          <w:b/>
        </w:rPr>
        <w:t> </w:t>
      </w:r>
      <w:r w:rsidRPr="00770430">
        <w:t>per cent</w:t>
      </w:r>
      <w:r w:rsidR="00FA4063" w:rsidRPr="00770430">
        <w:t>, with</w:t>
      </w:r>
      <w:r w:rsidR="00FA4063" w:rsidRPr="00033816">
        <w:t xml:space="preserve"> th</w:t>
      </w:r>
      <w:r w:rsidRPr="00033816">
        <w:t xml:space="preserve">e proportion </w:t>
      </w:r>
      <w:r w:rsidR="0005187A">
        <w:t>similar</w:t>
      </w:r>
      <w:r w:rsidR="0033469E" w:rsidRPr="00033816">
        <w:t xml:space="preserve"> </w:t>
      </w:r>
      <w:r w:rsidRPr="00033816">
        <w:t xml:space="preserve">for </w:t>
      </w:r>
      <w:r w:rsidR="007E36A8" w:rsidRPr="00033816">
        <w:t xml:space="preserve">Aboriginal and Torres Strait Islander </w:t>
      </w:r>
      <w:r w:rsidR="00456941" w:rsidRPr="00033816">
        <w:t xml:space="preserve">children </w:t>
      </w:r>
      <w:r w:rsidR="001F0D78" w:rsidRPr="00033816">
        <w:t>(</w:t>
      </w:r>
      <w:r w:rsidR="00B340AE">
        <w:t>51.</w:t>
      </w:r>
      <w:r w:rsidR="0033469E">
        <w:t>4</w:t>
      </w:r>
      <w:r w:rsidRPr="00033816">
        <w:t xml:space="preserve"> per cent) </w:t>
      </w:r>
      <w:r w:rsidR="0005187A">
        <w:t>and</w:t>
      </w:r>
      <w:r w:rsidR="00456941" w:rsidRPr="00033816">
        <w:t xml:space="preserve"> </w:t>
      </w:r>
      <w:r w:rsidR="007E36A8" w:rsidRPr="00033816">
        <w:t>non</w:t>
      </w:r>
      <w:r w:rsidR="004F6E3D" w:rsidRPr="00033816">
        <w:noBreakHyphen/>
      </w:r>
      <w:r w:rsidR="007E36A8" w:rsidRPr="00033816">
        <w:t xml:space="preserve">Indigenous </w:t>
      </w:r>
      <w:r w:rsidR="003D7D86" w:rsidRPr="00033816">
        <w:t xml:space="preserve">children </w:t>
      </w:r>
      <w:r w:rsidRPr="00033816">
        <w:t>(</w:t>
      </w:r>
      <w:r w:rsidR="0033469E">
        <w:t>51.8</w:t>
      </w:r>
      <w:r w:rsidRPr="00033816">
        <w:t xml:space="preserve"> per cent) </w:t>
      </w:r>
      <w:r w:rsidR="003D7D86" w:rsidRPr="00033816">
        <w:t>(figure</w:t>
      </w:r>
      <w:r w:rsidR="00995037" w:rsidRPr="00033816">
        <w:t xml:space="preserve"> </w:t>
      </w:r>
      <w:r w:rsidR="009D4A68" w:rsidRPr="00033816">
        <w:t>16.8</w:t>
      </w:r>
      <w:r w:rsidR="003D7D86" w:rsidRPr="00033816">
        <w:t>).</w:t>
      </w:r>
      <w:r w:rsidR="00850EE7" w:rsidRPr="00033816">
        <w:t xml:space="preserve"> </w:t>
      </w:r>
    </w:p>
    <w:p w14:paraId="7E2074DD" w14:textId="4D9B929C" w:rsidR="00411348" w:rsidRDefault="00411348" w:rsidP="00770430">
      <w:pPr>
        <w:pStyle w:val="BodyText"/>
      </w:pPr>
      <w:r w:rsidRPr="00033816">
        <w:t xml:space="preserve">The proportion of </w:t>
      </w:r>
      <w:r w:rsidR="00C061B7">
        <w:t xml:space="preserve">all </w:t>
      </w:r>
      <w:r w:rsidRPr="00033816">
        <w:t xml:space="preserve">children placed with relatives or kin </w:t>
      </w:r>
      <w:r w:rsidRPr="00770430">
        <w:t xml:space="preserve">increased </w:t>
      </w:r>
      <w:r w:rsidR="0033469E" w:rsidRPr="00770430">
        <w:t>6.1</w:t>
      </w:r>
      <w:r w:rsidR="00357D0B" w:rsidRPr="00770430">
        <w:t xml:space="preserve"> percentage points </w:t>
      </w:r>
      <w:r w:rsidR="004D633C" w:rsidRPr="00770430">
        <w:t xml:space="preserve">between </w:t>
      </w:r>
      <w:r w:rsidR="001F0D78" w:rsidRPr="00770430">
        <w:t>30</w:t>
      </w:r>
      <w:r w:rsidR="008817BB" w:rsidRPr="00770430">
        <w:t> </w:t>
      </w:r>
      <w:r w:rsidR="001F0D78" w:rsidRPr="00770430">
        <w:t>June 200</w:t>
      </w:r>
      <w:r w:rsidR="00317A03" w:rsidRPr="00770430">
        <w:t>9</w:t>
      </w:r>
      <w:r w:rsidR="004D633C" w:rsidRPr="00770430">
        <w:t xml:space="preserve"> and 30 June 201</w:t>
      </w:r>
      <w:r w:rsidR="002C367C" w:rsidRPr="00770430">
        <w:t>8</w:t>
      </w:r>
      <w:r w:rsidR="00801141" w:rsidRPr="00770430">
        <w:t xml:space="preserve">, </w:t>
      </w:r>
      <w:r w:rsidR="00565F4D" w:rsidRPr="00770430">
        <w:t xml:space="preserve">but </w:t>
      </w:r>
      <w:r w:rsidR="00801141" w:rsidRPr="00770430">
        <w:t xml:space="preserve">has decreased </w:t>
      </w:r>
      <w:r w:rsidR="000D5E6A" w:rsidRPr="00770430">
        <w:t>2.</w:t>
      </w:r>
      <w:r w:rsidR="0033469E" w:rsidRPr="00770430">
        <w:t>0</w:t>
      </w:r>
      <w:r w:rsidR="00357D0B" w:rsidRPr="00770430">
        <w:t xml:space="preserve"> percentage points</w:t>
      </w:r>
      <w:r w:rsidR="00357D0B" w:rsidRPr="00033816">
        <w:t xml:space="preserve"> </w:t>
      </w:r>
      <w:r w:rsidR="00224015" w:rsidRPr="00033816">
        <w:t xml:space="preserve">over the same period </w:t>
      </w:r>
      <w:r w:rsidR="00801141" w:rsidRPr="00033816">
        <w:t xml:space="preserve">for Aboriginal and Torres Strait Islander children </w:t>
      </w:r>
      <w:r w:rsidR="00B27F8B" w:rsidRPr="00033816">
        <w:t>(</w:t>
      </w:r>
      <w:r w:rsidR="00801141" w:rsidRPr="00033816">
        <w:t xml:space="preserve">table </w:t>
      </w:r>
      <w:proofErr w:type="spellStart"/>
      <w:r w:rsidR="001378E8" w:rsidRPr="00033816">
        <w:t>16A.</w:t>
      </w:r>
      <w:r w:rsidR="009312EF">
        <w:t>20</w:t>
      </w:r>
      <w:proofErr w:type="spellEnd"/>
      <w:r w:rsidR="00B27F8B" w:rsidRPr="00033816">
        <w:t>)</w:t>
      </w:r>
      <w:r w:rsidR="00801141" w:rsidRPr="00033816">
        <w:t>.</w:t>
      </w:r>
      <w:r w:rsidRPr="00033816">
        <w:t xml:space="preserve"> </w:t>
      </w:r>
    </w:p>
    <w:p w14:paraId="3E3041BD" w14:textId="64731070" w:rsidR="00B83ED5" w:rsidRPr="00033816" w:rsidRDefault="00B83ED5"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83ED5" w:rsidRPr="00033816" w14:paraId="0854C6FC" w14:textId="77777777" w:rsidTr="00AF66C4">
        <w:tc>
          <w:tcPr>
            <w:tcW w:w="8789" w:type="dxa"/>
            <w:tcBorders>
              <w:top w:val="single" w:sz="6" w:space="0" w:color="78A22F"/>
              <w:left w:val="nil"/>
              <w:bottom w:val="nil"/>
              <w:right w:val="nil"/>
            </w:tcBorders>
            <w:shd w:val="clear" w:color="auto" w:fill="auto"/>
          </w:tcPr>
          <w:p w14:paraId="5C56C873" w14:textId="6E1D453A" w:rsidR="00B83ED5" w:rsidRPr="00033816" w:rsidRDefault="00B83ED5" w:rsidP="00770430">
            <w:pPr>
              <w:pStyle w:val="FigureTitle"/>
            </w:pPr>
            <w:r w:rsidRPr="00033816">
              <w:rPr>
                <w:b w:val="0"/>
              </w:rPr>
              <w:t>Figure</w:t>
            </w:r>
            <w:r w:rsidR="009B6271" w:rsidRPr="00033816">
              <w:rPr>
                <w:b w:val="0"/>
              </w:rPr>
              <w:t xml:space="preserve"> </w:t>
            </w:r>
            <w:r w:rsidR="009D4A68" w:rsidRPr="00033816">
              <w:rPr>
                <w:b w:val="0"/>
              </w:rPr>
              <w:t>16.8</w:t>
            </w:r>
            <w:r w:rsidRPr="00033816">
              <w:tab/>
            </w:r>
            <w:r w:rsidR="00240A3E" w:rsidRPr="00033816">
              <w:t>Proportion of children in out</w:t>
            </w:r>
            <w:r w:rsidR="008817BB" w:rsidRPr="00033816">
              <w:noBreakHyphen/>
            </w:r>
            <w:r w:rsidR="00240A3E" w:rsidRPr="00033816">
              <w:t>of</w:t>
            </w:r>
            <w:r w:rsidR="008817BB" w:rsidRPr="00033816">
              <w:noBreakHyphen/>
            </w:r>
            <w:r w:rsidR="00240A3E" w:rsidRPr="00033816">
              <w:t xml:space="preserve">home care placed with relatives/kin, by </w:t>
            </w:r>
            <w:r w:rsidR="007F0D6A" w:rsidRPr="00033816">
              <w:t>Indigenous</w:t>
            </w:r>
            <w:r w:rsidR="00240A3E" w:rsidRPr="00033816">
              <w:t xml:space="preserve"> status, </w:t>
            </w:r>
            <w:r w:rsidR="00B9186B" w:rsidRPr="00033816">
              <w:t xml:space="preserve">at </w:t>
            </w:r>
            <w:r w:rsidR="00240A3E" w:rsidRPr="00033816">
              <w:t>30</w:t>
            </w:r>
            <w:r w:rsidR="008817BB" w:rsidRPr="00033816">
              <w:t> </w:t>
            </w:r>
            <w:r w:rsidR="00240A3E" w:rsidRPr="00033816">
              <w:t>June 20</w:t>
            </w:r>
            <w:r w:rsidR="003D62DA" w:rsidRPr="00033816">
              <w:t>1</w:t>
            </w:r>
            <w:r w:rsidR="00070407">
              <w:t>8</w:t>
            </w:r>
            <w:r w:rsidR="00240A3E" w:rsidRPr="00033816">
              <w:rPr>
                <w:rStyle w:val="NoteLabel"/>
                <w:b/>
              </w:rPr>
              <w:t>a</w:t>
            </w:r>
          </w:p>
        </w:tc>
      </w:tr>
      <w:tr w:rsidR="00AF66C4" w:rsidRPr="00033816" w14:paraId="56D06EB8" w14:textId="77777777" w:rsidTr="00AF66C4">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F66C4" w:rsidRPr="00F12BAB" w14:paraId="5997C08C" w14:textId="77777777" w:rsidTr="00AF66C4">
              <w:tc>
                <w:tcPr>
                  <w:tcW w:w="304" w:type="dxa"/>
                  <w:tcBorders>
                    <w:top w:val="nil"/>
                    <w:left w:val="nil"/>
                    <w:bottom w:val="nil"/>
                    <w:right w:val="nil"/>
                  </w:tcBorders>
                  <w:shd w:val="clear" w:color="auto" w:fill="auto"/>
                  <w:tcMar>
                    <w:top w:w="28" w:type="dxa"/>
                    <w:bottom w:w="28" w:type="dxa"/>
                  </w:tcMar>
                </w:tcPr>
                <w:p w14:paraId="1EDDC391" w14:textId="77777777" w:rsidR="00AF66C4" w:rsidRPr="00F12BAB"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CA450C4" w14:textId="77777777" w:rsidR="00AF66C4" w:rsidRPr="00F12BAB" w:rsidRDefault="00AF66C4"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06BB46CC" w14:textId="4335777A" w:rsidR="00AF66C4" w:rsidRPr="00F12BAB" w:rsidRDefault="00AF66C4" w:rsidP="00770430">
                  <w:pPr>
                    <w:pStyle w:val="TableBodyText"/>
                    <w:jc w:val="left"/>
                  </w:pPr>
                  <w:r w:rsidRPr="00F12BAB">
                    <w:t xml:space="preserve">Data are </w:t>
                  </w:r>
                  <w:r w:rsidRPr="00AF66C4">
                    <w:t>comparable (subject to caveats) across jurisdictions</w:t>
                  </w:r>
                  <w:r w:rsidRPr="00F12BAB">
                    <w:t>.</w:t>
                  </w:r>
                </w:p>
              </w:tc>
            </w:tr>
            <w:tr w:rsidR="00AF66C4" w:rsidRPr="00F12BAB" w14:paraId="16E0D0FF" w14:textId="77777777" w:rsidTr="00AF66C4">
              <w:tc>
                <w:tcPr>
                  <w:tcW w:w="304" w:type="dxa"/>
                  <w:tcBorders>
                    <w:top w:val="nil"/>
                    <w:left w:val="nil"/>
                    <w:bottom w:val="nil"/>
                    <w:right w:val="nil"/>
                  </w:tcBorders>
                  <w:shd w:val="clear" w:color="auto" w:fill="auto"/>
                  <w:tcMar>
                    <w:top w:w="28" w:type="dxa"/>
                    <w:bottom w:w="28" w:type="dxa"/>
                  </w:tcMar>
                </w:tcPr>
                <w:p w14:paraId="2DC29CCB" w14:textId="77777777" w:rsidR="00AF66C4" w:rsidRPr="00F12BAB" w:rsidRDefault="00AF66C4"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E05DABC" w14:textId="77777777" w:rsidR="00AF66C4" w:rsidRPr="00F12BAB" w:rsidRDefault="00AF66C4"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1A5209B" w14:textId="05F1C7AE" w:rsidR="00AF66C4" w:rsidRPr="00F12BAB" w:rsidRDefault="00AF66C4" w:rsidP="00770430">
                  <w:pPr>
                    <w:pStyle w:val="TableBodyText"/>
                    <w:jc w:val="left"/>
                  </w:pPr>
                  <w:r w:rsidRPr="00F12BAB">
                    <w:t xml:space="preserve">Data are complete (subject to caveats) for the current reporting period. </w:t>
                  </w:r>
                </w:p>
              </w:tc>
            </w:tr>
          </w:tbl>
          <w:p w14:paraId="7F2202C0" w14:textId="77777777" w:rsidR="00AF66C4" w:rsidRPr="00033816" w:rsidRDefault="00AF66C4" w:rsidP="00770430">
            <w:pPr>
              <w:pStyle w:val="FigureTitle"/>
              <w:rPr>
                <w:b w:val="0"/>
              </w:rPr>
            </w:pPr>
          </w:p>
        </w:tc>
      </w:tr>
      <w:tr w:rsidR="00B83ED5" w:rsidRPr="00033816" w14:paraId="1516D7D1"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B83ED5" w:rsidRPr="00033816" w14:paraId="579EC843" w14:textId="77777777" w:rsidTr="00770430">
              <w:trPr>
                <w:trHeight w:val="4252"/>
              </w:trPr>
              <w:tc>
                <w:tcPr>
                  <w:tcW w:w="8504" w:type="dxa"/>
                  <w:shd w:val="clear" w:color="auto" w:fill="auto"/>
                </w:tcPr>
                <w:p w14:paraId="376277E8" w14:textId="5EED3E6A" w:rsidR="00B83ED5" w:rsidRPr="00033816" w:rsidRDefault="00FC0D87" w:rsidP="00770430">
                  <w:pPr>
                    <w:pStyle w:val="Figure"/>
                  </w:pPr>
                  <w:r>
                    <w:rPr>
                      <w:noProof/>
                    </w:rPr>
                    <w:drawing>
                      <wp:inline distT="0" distB="0" distL="0" distR="0" wp14:anchorId="4E8057ED" wp14:editId="1A68E13A">
                        <wp:extent cx="5262880" cy="2648585"/>
                        <wp:effectExtent l="0" t="0" r="0" b="0"/>
                        <wp:docPr id="15" name="Chart 15" descr="Figure 16.8 Proportion of children in out of home care placed with relatives/kin, by Indigenous status, at 30 June 20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1758909" w14:textId="77777777" w:rsidR="00B83ED5" w:rsidRPr="00033816" w:rsidRDefault="00B83ED5" w:rsidP="00770430">
            <w:pPr>
              <w:pStyle w:val="Figure"/>
            </w:pPr>
          </w:p>
        </w:tc>
      </w:tr>
      <w:tr w:rsidR="00B83ED5" w:rsidRPr="00033816" w14:paraId="5A61CB7C" w14:textId="77777777" w:rsidTr="0028418B">
        <w:tc>
          <w:tcPr>
            <w:tcW w:w="8789" w:type="dxa"/>
            <w:tcBorders>
              <w:top w:val="nil"/>
              <w:left w:val="nil"/>
              <w:bottom w:val="nil"/>
              <w:right w:val="nil"/>
            </w:tcBorders>
            <w:shd w:val="clear" w:color="auto" w:fill="auto"/>
          </w:tcPr>
          <w:p w14:paraId="28623396" w14:textId="341CDE59" w:rsidR="00B83ED5" w:rsidRPr="00033816" w:rsidRDefault="00B83ED5" w:rsidP="00770430">
            <w:pPr>
              <w:pStyle w:val="Note"/>
            </w:pPr>
            <w:r w:rsidRPr="00033816">
              <w:rPr>
                <w:rStyle w:val="NoteLabel"/>
              </w:rPr>
              <w:t>a</w:t>
            </w:r>
            <w:r w:rsidRPr="00033816">
              <w:t xml:space="preserve"> </w:t>
            </w:r>
            <w:r w:rsidR="00240A3E" w:rsidRPr="00033816">
              <w:t xml:space="preserve">See </w:t>
            </w:r>
            <w:r w:rsidR="009B0BDA" w:rsidRPr="00033816">
              <w:t xml:space="preserve">box </w:t>
            </w:r>
            <w:r w:rsidR="00DC383D">
              <w:t>16.</w:t>
            </w:r>
            <w:r w:rsidR="008E70CD" w:rsidRPr="00033816">
              <w:t>9</w:t>
            </w:r>
            <w:r w:rsidR="001F0D78" w:rsidRPr="00033816">
              <w:t xml:space="preserve"> </w:t>
            </w:r>
            <w:r w:rsidR="00601546" w:rsidRPr="00033816">
              <w:t xml:space="preserve">and table </w:t>
            </w:r>
            <w:proofErr w:type="spellStart"/>
            <w:r w:rsidR="003D62DA" w:rsidRPr="00033816">
              <w:t>16</w:t>
            </w:r>
            <w:r w:rsidR="001378E8" w:rsidRPr="00033816">
              <w:t>A.</w:t>
            </w:r>
            <w:r w:rsidR="009312EF">
              <w:t>20</w:t>
            </w:r>
            <w:proofErr w:type="spellEnd"/>
            <w:r w:rsidR="00601546" w:rsidRPr="00033816">
              <w:t xml:space="preserve"> for detailed definitions, </w:t>
            </w:r>
            <w:r w:rsidR="00240A3E" w:rsidRPr="00033816">
              <w:t>footnotes</w:t>
            </w:r>
            <w:r w:rsidR="001315CB" w:rsidRPr="00033816">
              <w:t xml:space="preserve"> </w:t>
            </w:r>
            <w:r w:rsidR="00601546" w:rsidRPr="00033816">
              <w:t>and caveats</w:t>
            </w:r>
            <w:r w:rsidR="00240A3E" w:rsidRPr="00033816">
              <w:t xml:space="preserve">. </w:t>
            </w:r>
          </w:p>
        </w:tc>
      </w:tr>
      <w:tr w:rsidR="00B83ED5" w:rsidRPr="00033816" w14:paraId="3DD607C6" w14:textId="77777777" w:rsidTr="0028418B">
        <w:tc>
          <w:tcPr>
            <w:tcW w:w="8789" w:type="dxa"/>
            <w:tcBorders>
              <w:top w:val="nil"/>
              <w:left w:val="nil"/>
              <w:bottom w:val="nil"/>
              <w:right w:val="nil"/>
            </w:tcBorders>
            <w:shd w:val="clear" w:color="auto" w:fill="auto"/>
          </w:tcPr>
          <w:p w14:paraId="74C828E6" w14:textId="6C0CEFEF" w:rsidR="00B83ED5" w:rsidRPr="00033816" w:rsidRDefault="00240A3E" w:rsidP="00770430">
            <w:pPr>
              <w:pStyle w:val="Source"/>
            </w:pPr>
            <w:r w:rsidRPr="00033816">
              <w:rPr>
                <w:i/>
              </w:rPr>
              <w:t>S</w:t>
            </w:r>
            <w:r w:rsidR="00B83ED5" w:rsidRPr="00033816">
              <w:rPr>
                <w:i/>
              </w:rPr>
              <w:t>ource</w:t>
            </w:r>
            <w:r w:rsidR="00B83ED5" w:rsidRPr="00033816">
              <w:t xml:space="preserve">: </w:t>
            </w:r>
            <w:proofErr w:type="spellStart"/>
            <w:r w:rsidRPr="00033816">
              <w:t>AIHW</w:t>
            </w:r>
            <w:proofErr w:type="spellEnd"/>
            <w:r w:rsidRPr="00033816">
              <w:t xml:space="preserve"> data collection (unpublished); table</w:t>
            </w:r>
            <w:r w:rsidR="009312EF">
              <w:t xml:space="preserve"> </w:t>
            </w:r>
            <w:proofErr w:type="spellStart"/>
            <w:r w:rsidR="009312EF">
              <w:t>16A.20</w:t>
            </w:r>
            <w:proofErr w:type="spellEnd"/>
            <w:r w:rsidRPr="00033816">
              <w:t>.</w:t>
            </w:r>
          </w:p>
        </w:tc>
      </w:tr>
      <w:tr w:rsidR="00B83ED5" w:rsidRPr="00033816" w14:paraId="13DE983D" w14:textId="77777777" w:rsidTr="0028418B">
        <w:tc>
          <w:tcPr>
            <w:tcW w:w="8789" w:type="dxa"/>
            <w:tcBorders>
              <w:top w:val="nil"/>
              <w:left w:val="nil"/>
              <w:bottom w:val="single" w:sz="6" w:space="0" w:color="78A22F"/>
              <w:right w:val="nil"/>
            </w:tcBorders>
            <w:shd w:val="clear" w:color="auto" w:fill="auto"/>
          </w:tcPr>
          <w:p w14:paraId="56F51976" w14:textId="77777777" w:rsidR="00B83ED5" w:rsidRPr="00033816" w:rsidRDefault="00B83ED5" w:rsidP="00770430">
            <w:pPr>
              <w:pStyle w:val="Figurespace"/>
            </w:pPr>
          </w:p>
        </w:tc>
      </w:tr>
      <w:tr w:rsidR="00B83ED5" w:rsidRPr="00033816" w14:paraId="0B03CEF9" w14:textId="77777777" w:rsidTr="0028418B">
        <w:tc>
          <w:tcPr>
            <w:tcW w:w="8789" w:type="dxa"/>
            <w:tcBorders>
              <w:top w:val="single" w:sz="6" w:space="0" w:color="78A22F"/>
              <w:left w:val="nil"/>
              <w:bottom w:val="nil"/>
              <w:right w:val="nil"/>
            </w:tcBorders>
          </w:tcPr>
          <w:p w14:paraId="5D8323DD" w14:textId="2D4A7FB7" w:rsidR="00B83ED5" w:rsidRPr="00033816" w:rsidRDefault="00B83ED5" w:rsidP="00770430">
            <w:pPr>
              <w:pStyle w:val="BoxSpaceBelow"/>
            </w:pPr>
          </w:p>
        </w:tc>
      </w:tr>
    </w:tbl>
    <w:p w14:paraId="2C27D956" w14:textId="2B2D84F6" w:rsidR="009666AC" w:rsidRPr="00033816" w:rsidRDefault="00DB2644" w:rsidP="00770430">
      <w:pPr>
        <w:pStyle w:val="BodyText"/>
      </w:pPr>
      <w:r w:rsidRPr="00033816">
        <w:t xml:space="preserve">The </w:t>
      </w:r>
      <w:r w:rsidR="00603A01" w:rsidRPr="00033816">
        <w:t>Aboriginal and Torres Strait Islander child placement principle</w:t>
      </w:r>
      <w:r w:rsidRPr="00033816">
        <w:t xml:space="preserve"> comprise</w:t>
      </w:r>
      <w:r w:rsidR="00491DAB" w:rsidRPr="00033816">
        <w:t xml:space="preserve">s </w:t>
      </w:r>
      <w:r w:rsidRPr="00033816">
        <w:t>five domains; prevention, partnership, placement, participation and co</w:t>
      </w:r>
      <w:r w:rsidR="00DF6D31" w:rsidRPr="00033816">
        <w:t>nnection (</w:t>
      </w:r>
      <w:proofErr w:type="spellStart"/>
      <w:r w:rsidR="00DF6D31" w:rsidRPr="00033816">
        <w:t>SNAICC</w:t>
      </w:r>
      <w:proofErr w:type="spellEnd"/>
      <w:r w:rsidR="00DF6D31" w:rsidRPr="00033816">
        <w:t xml:space="preserve"> 2013; </w:t>
      </w:r>
      <w:proofErr w:type="spellStart"/>
      <w:r w:rsidR="00DF6D31" w:rsidRPr="00033816">
        <w:t>DSS</w:t>
      </w:r>
      <w:proofErr w:type="spellEnd"/>
      <w:r w:rsidR="00DF6D31" w:rsidRPr="00033816">
        <w:t> </w:t>
      </w:r>
      <w:r w:rsidRPr="00033816">
        <w:t xml:space="preserve">2015). The placement domain specifies </w:t>
      </w:r>
      <w:r w:rsidR="00B37C45" w:rsidRPr="00033816">
        <w:t xml:space="preserve">the following priorities: </w:t>
      </w:r>
    </w:p>
    <w:p w14:paraId="0FC97889" w14:textId="77777777" w:rsidR="009666AC" w:rsidRPr="00033816" w:rsidRDefault="009666AC" w:rsidP="00770430">
      <w:pPr>
        <w:pStyle w:val="ListBullet"/>
      </w:pPr>
      <w:r w:rsidRPr="00033816">
        <w:t xml:space="preserve">placement with </w:t>
      </w:r>
      <w:r w:rsidR="009F31F5" w:rsidRPr="00033816">
        <w:t>Aboriginal or Torres Strait Islander relatives or extended family members, or other relatives or extended family members</w:t>
      </w:r>
    </w:p>
    <w:p w14:paraId="3F21CD67" w14:textId="0C52885E" w:rsidR="009666AC" w:rsidRPr="00033816" w:rsidRDefault="00B37C45" w:rsidP="00770430">
      <w:pPr>
        <w:pStyle w:val="ListBullet"/>
      </w:pPr>
      <w:r w:rsidRPr="00033816">
        <w:t xml:space="preserve">placement </w:t>
      </w:r>
      <w:r w:rsidR="009F31F5" w:rsidRPr="00033816">
        <w:t>with</w:t>
      </w:r>
      <w:r w:rsidR="009666AC" w:rsidRPr="00033816">
        <w:t xml:space="preserve"> </w:t>
      </w:r>
      <w:r w:rsidR="007C75CE" w:rsidRPr="00033816">
        <w:t>Aboriginal and Torres Strait Islander</w:t>
      </w:r>
      <w:r w:rsidR="009666AC" w:rsidRPr="00033816">
        <w:t xml:space="preserve"> </w:t>
      </w:r>
      <w:r w:rsidR="009F31F5" w:rsidRPr="00033816">
        <w:t>family</w:t>
      </w:r>
      <w:r w:rsidR="008817BB" w:rsidRPr="00033816">
        <w:noBreakHyphen/>
      </w:r>
      <w:r w:rsidR="009F31F5" w:rsidRPr="00033816">
        <w:t>based carers.</w:t>
      </w:r>
    </w:p>
    <w:p w14:paraId="0ED1B3A6" w14:textId="73AE7BAA" w:rsidR="009666AC" w:rsidRPr="00033816" w:rsidRDefault="009F31F5" w:rsidP="00770430">
      <w:pPr>
        <w:pStyle w:val="BodyText"/>
      </w:pPr>
      <w:r w:rsidRPr="00033816">
        <w:t>If the preferred options are not available, the child may be placed with a non</w:t>
      </w:r>
      <w:r w:rsidR="008817BB" w:rsidRPr="00033816">
        <w:noBreakHyphen/>
      </w:r>
      <w:r w:rsidRPr="00033816">
        <w:t>Indigenous carer or in a residential setting. If the child is not placed with their extended Aboriginal or Torres Strait Islander family, the placement must be within close geographic proximity to the child’s family. A</w:t>
      </w:r>
      <w:r w:rsidR="009666AC" w:rsidRPr="00033816">
        <w:t xml:space="preserve">ll jurisdictions have adopted </w:t>
      </w:r>
      <w:r w:rsidR="00DB2644" w:rsidRPr="00033816">
        <w:t xml:space="preserve">the </w:t>
      </w:r>
      <w:r w:rsidR="00603A01" w:rsidRPr="00033816">
        <w:t>Aboriginal and Torres Strait Islander child placement principle</w:t>
      </w:r>
      <w:r w:rsidR="009666AC" w:rsidRPr="00033816">
        <w:t xml:space="preserve"> </w:t>
      </w:r>
      <w:r w:rsidR="00794141" w:rsidRPr="00033816">
        <w:t>in both legislation and policy.</w:t>
      </w:r>
    </w:p>
    <w:p w14:paraId="0CC81BD8" w14:textId="4AB50C29" w:rsidR="00BA2A9A" w:rsidRDefault="004138D1" w:rsidP="00770430">
      <w:pPr>
        <w:pStyle w:val="BodyText"/>
        <w:widowControl w:val="0"/>
      </w:pPr>
      <w:r w:rsidRPr="00770430">
        <w:t>Nationally at 30</w:t>
      </w:r>
      <w:r w:rsidR="008817BB" w:rsidRPr="00770430">
        <w:t> </w:t>
      </w:r>
      <w:r w:rsidRPr="00770430">
        <w:t>June 20</w:t>
      </w:r>
      <w:r w:rsidR="003D62DA" w:rsidRPr="00770430">
        <w:t>1</w:t>
      </w:r>
      <w:r w:rsidR="00070407" w:rsidRPr="00770430">
        <w:t>8</w:t>
      </w:r>
      <w:r w:rsidR="001315CB" w:rsidRPr="00770430">
        <w:t xml:space="preserve">, </w:t>
      </w:r>
      <w:r w:rsidR="00D27CD6" w:rsidRPr="00770430">
        <w:t>5</w:t>
      </w:r>
      <w:r w:rsidR="0033469E" w:rsidRPr="00770430">
        <w:t>2.</w:t>
      </w:r>
      <w:r w:rsidR="006F4759" w:rsidRPr="00770430">
        <w:t>9</w:t>
      </w:r>
      <w:r w:rsidR="00D27CD6" w:rsidRPr="00770430">
        <w:t xml:space="preserve"> </w:t>
      </w:r>
      <w:r w:rsidRPr="00770430">
        <w:t xml:space="preserve">per cent of </w:t>
      </w:r>
      <w:r w:rsidR="007C75CE" w:rsidRPr="00770430">
        <w:t>Aboriginal and Torres Strait Islander</w:t>
      </w:r>
      <w:r w:rsidRPr="00770430">
        <w:t xml:space="preserve"> children in out</w:t>
      </w:r>
      <w:r w:rsidR="008817BB" w:rsidRPr="00770430">
        <w:noBreakHyphen/>
      </w:r>
      <w:r w:rsidRPr="00770430">
        <w:t>of</w:t>
      </w:r>
      <w:r w:rsidR="008817BB" w:rsidRPr="00770430">
        <w:noBreakHyphen/>
      </w:r>
      <w:r w:rsidRPr="00770430">
        <w:t>home care were placed with relatives/kin</w:t>
      </w:r>
      <w:r w:rsidR="00E962F9" w:rsidRPr="00770430">
        <w:t xml:space="preserve"> (this proportion differs to the </w:t>
      </w:r>
      <w:r w:rsidR="00801141" w:rsidRPr="00770430">
        <w:t>first measure as</w:t>
      </w:r>
      <w:r w:rsidR="00E962F9" w:rsidRPr="00770430">
        <w:t xml:space="preserve"> it</w:t>
      </w:r>
      <w:r w:rsidR="00801141" w:rsidRPr="00770430">
        <w:t xml:space="preserve"> excludes those in independent living</w:t>
      </w:r>
      <w:r w:rsidR="005F1719" w:rsidRPr="00770430">
        <w:t>,</w:t>
      </w:r>
      <w:r w:rsidR="0005187A" w:rsidRPr="00770430">
        <w:t xml:space="preserve"> which largely affects Victorian figures</w:t>
      </w:r>
      <w:r w:rsidR="00E962F9" w:rsidRPr="00770430">
        <w:t>)</w:t>
      </w:r>
      <w:r w:rsidR="00801141" w:rsidRPr="00770430">
        <w:t>.</w:t>
      </w:r>
      <w:r w:rsidR="00801141" w:rsidRPr="00033816">
        <w:t xml:space="preserve"> </w:t>
      </w:r>
      <w:r w:rsidRPr="00033816">
        <w:t>A further</w:t>
      </w:r>
      <w:r w:rsidR="00801141" w:rsidRPr="00033816">
        <w:t xml:space="preserve"> </w:t>
      </w:r>
      <w:r w:rsidR="00D27CD6">
        <w:t>12.</w:t>
      </w:r>
      <w:r w:rsidR="0033469E">
        <w:t>3</w:t>
      </w:r>
      <w:r w:rsidR="00DC07D6" w:rsidRPr="00033816">
        <w:t xml:space="preserve"> </w:t>
      </w:r>
      <w:r w:rsidRPr="00033816">
        <w:t xml:space="preserve">per cent were placed with other </w:t>
      </w:r>
      <w:r w:rsidR="007C75CE" w:rsidRPr="00033816">
        <w:t>Aboriginal and Torres Strait Islander</w:t>
      </w:r>
      <w:r w:rsidRPr="00033816">
        <w:t xml:space="preserve"> carers or in </w:t>
      </w:r>
      <w:r w:rsidR="007C75CE" w:rsidRPr="00033816">
        <w:t>Aboriginal and Torres Strait Islander</w:t>
      </w:r>
      <w:r w:rsidRPr="00033816">
        <w:t xml:space="preserve"> residential care. </w:t>
      </w:r>
      <w:r w:rsidR="00BE45CB" w:rsidRPr="00033816">
        <w:t xml:space="preserve">Proportions varied across jurisdictions </w:t>
      </w:r>
      <w:r w:rsidR="00F310B0" w:rsidRPr="00033816">
        <w:t>(figure</w:t>
      </w:r>
      <w:r w:rsidR="009D4A68" w:rsidRPr="00033816">
        <w:t xml:space="preserve"> 16.9</w:t>
      </w:r>
      <w:r w:rsidRPr="00033816">
        <w:t>).</w:t>
      </w:r>
      <w:r w:rsidR="00BE45CB" w:rsidRPr="00033816">
        <w:t xml:space="preserve"> </w:t>
      </w:r>
    </w:p>
    <w:p w14:paraId="1DE5A8DF" w14:textId="67D87AA9" w:rsidR="006842D6" w:rsidRPr="00033816" w:rsidRDefault="00BE45CB" w:rsidP="00770430">
      <w:pPr>
        <w:pStyle w:val="BodyText"/>
      </w:pPr>
      <w:r w:rsidRPr="00033816">
        <w:lastRenderedPageBreak/>
        <w:t>Nationally, the proportion of Aboriginal and Torres Strait Islander children in out</w:t>
      </w:r>
      <w:r w:rsidR="008817BB" w:rsidRPr="00033816">
        <w:noBreakHyphen/>
      </w:r>
      <w:r w:rsidRPr="00033816">
        <w:t>of</w:t>
      </w:r>
      <w:r w:rsidR="008817BB" w:rsidRPr="00033816">
        <w:noBreakHyphen/>
      </w:r>
      <w:r w:rsidRPr="00033816">
        <w:t xml:space="preserve">home care </w:t>
      </w:r>
      <w:r w:rsidR="0033728B" w:rsidRPr="00033816">
        <w:t xml:space="preserve">who </w:t>
      </w:r>
      <w:r w:rsidRPr="00033816">
        <w:t xml:space="preserve">were placed with relatives/kin, other Aboriginal and Torres Strait Islander carers, </w:t>
      </w:r>
      <w:r w:rsidRPr="00770430">
        <w:t>or in Aboriginal and Torres Strait Islander residential care</w:t>
      </w:r>
      <w:r w:rsidR="00F03D9E" w:rsidRPr="00770430">
        <w:t xml:space="preserve"> </w:t>
      </w:r>
      <w:r w:rsidRPr="00770430">
        <w:t>decrease</w:t>
      </w:r>
      <w:r w:rsidR="0033728B" w:rsidRPr="00770430">
        <w:t>d</w:t>
      </w:r>
      <w:r w:rsidRPr="004D633C">
        <w:t xml:space="preserve"> </w:t>
      </w:r>
      <w:r w:rsidR="005412C6" w:rsidRPr="004D633C">
        <w:t>from</w:t>
      </w:r>
      <w:r w:rsidR="00801141" w:rsidRPr="004D633C">
        <w:t xml:space="preserve"> 7</w:t>
      </w:r>
      <w:r w:rsidR="00070407" w:rsidRPr="004D633C">
        <w:t>2</w:t>
      </w:r>
      <w:r w:rsidR="00801141" w:rsidRPr="004D633C">
        <w:t>.</w:t>
      </w:r>
      <w:r w:rsidR="00070407" w:rsidRPr="004D633C">
        <w:t>7</w:t>
      </w:r>
      <w:r w:rsidR="00A772E5" w:rsidRPr="004D633C">
        <w:t> per </w:t>
      </w:r>
      <w:r w:rsidR="00801141" w:rsidRPr="004D633C">
        <w:t>cent at 30</w:t>
      </w:r>
      <w:r w:rsidR="008817BB" w:rsidRPr="004D633C">
        <w:t> </w:t>
      </w:r>
      <w:r w:rsidR="00801141" w:rsidRPr="004D633C">
        <w:t>June 200</w:t>
      </w:r>
      <w:r w:rsidR="00BA2A9A">
        <w:t>9</w:t>
      </w:r>
      <w:r w:rsidR="0033728B" w:rsidRPr="004D633C">
        <w:t xml:space="preserve"> to</w:t>
      </w:r>
      <w:r w:rsidR="00801141" w:rsidRPr="004D633C">
        <w:t xml:space="preserve"> </w:t>
      </w:r>
      <w:r w:rsidR="00D27CD6">
        <w:t>6</w:t>
      </w:r>
      <w:r w:rsidR="00C061B7">
        <w:t>5.</w:t>
      </w:r>
      <w:r w:rsidR="0033469E">
        <w:t>2</w:t>
      </w:r>
      <w:r w:rsidR="0033728B" w:rsidRPr="004D633C">
        <w:t xml:space="preserve"> per cent at 30</w:t>
      </w:r>
      <w:r w:rsidR="008817BB" w:rsidRPr="004D633C">
        <w:t> </w:t>
      </w:r>
      <w:r w:rsidR="0033728B" w:rsidRPr="004D633C">
        <w:t>June 20</w:t>
      </w:r>
      <w:r w:rsidR="003511B4" w:rsidRPr="004D633C">
        <w:t>1</w:t>
      </w:r>
      <w:r w:rsidR="002C367C">
        <w:t xml:space="preserve">8 </w:t>
      </w:r>
      <w:r w:rsidRPr="00033816">
        <w:t>(table</w:t>
      </w:r>
      <w:r w:rsidR="008A6BFD" w:rsidRPr="00033816">
        <w:t> </w:t>
      </w:r>
      <w:proofErr w:type="spellStart"/>
      <w:r w:rsidR="003D62DA" w:rsidRPr="00033816">
        <w:t>16</w:t>
      </w:r>
      <w:r w:rsidR="00D63DB8" w:rsidRPr="00033816">
        <w:t>A.2</w:t>
      </w:r>
      <w:r w:rsidR="009312EF">
        <w:t>1</w:t>
      </w:r>
      <w:proofErr w:type="spellEnd"/>
      <w:r w:rsidRPr="00033816">
        <w:t>).</w:t>
      </w:r>
      <w:r w:rsidR="004D633C">
        <w:t xml:space="preserve"> </w:t>
      </w:r>
    </w:p>
    <w:p w14:paraId="0E8C2405" w14:textId="41F7F0A0" w:rsidR="00E20EE2" w:rsidRPr="00033816" w:rsidRDefault="00E20EE2"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0EE2" w:rsidRPr="00033816" w14:paraId="2B7867A1" w14:textId="77777777" w:rsidTr="001D328B">
        <w:tc>
          <w:tcPr>
            <w:tcW w:w="8789" w:type="dxa"/>
            <w:tcBorders>
              <w:top w:val="single" w:sz="6" w:space="0" w:color="78A22F"/>
              <w:left w:val="nil"/>
              <w:bottom w:val="nil"/>
              <w:right w:val="nil"/>
            </w:tcBorders>
            <w:shd w:val="clear" w:color="auto" w:fill="auto"/>
          </w:tcPr>
          <w:p w14:paraId="314E7F5A" w14:textId="59B2705B" w:rsidR="00E20EE2" w:rsidRPr="00033816" w:rsidRDefault="00E20EE2" w:rsidP="00770430">
            <w:pPr>
              <w:pStyle w:val="FigureTitle"/>
            </w:pPr>
            <w:r w:rsidRPr="00033816">
              <w:rPr>
                <w:b w:val="0"/>
              </w:rPr>
              <w:t>Figure</w:t>
            </w:r>
            <w:r w:rsidR="009B6271" w:rsidRPr="00033816">
              <w:rPr>
                <w:b w:val="0"/>
              </w:rPr>
              <w:t xml:space="preserve"> </w:t>
            </w:r>
            <w:r w:rsidR="009D4A68" w:rsidRPr="00033816">
              <w:rPr>
                <w:b w:val="0"/>
              </w:rPr>
              <w:t>16.9</w:t>
            </w:r>
            <w:r w:rsidRPr="00033816">
              <w:tab/>
            </w:r>
            <w:r w:rsidR="00464943" w:rsidRPr="00033816">
              <w:t xml:space="preserve">Placement of </w:t>
            </w:r>
            <w:r w:rsidR="007C75CE" w:rsidRPr="00033816">
              <w:t>Aboriginal and Torres Strait Islander</w:t>
            </w:r>
            <w:r w:rsidR="00464943" w:rsidRPr="00033816">
              <w:t xml:space="preserve"> children i</w:t>
            </w:r>
            <w:r w:rsidR="00B20531" w:rsidRPr="00033816">
              <w:t>n out</w:t>
            </w:r>
            <w:r w:rsidR="008817BB" w:rsidRPr="00033816">
              <w:noBreakHyphen/>
            </w:r>
            <w:r w:rsidR="00B20531" w:rsidRPr="00033816">
              <w:t>of</w:t>
            </w:r>
            <w:r w:rsidR="008817BB" w:rsidRPr="00033816">
              <w:noBreakHyphen/>
            </w:r>
            <w:r w:rsidR="00B20531" w:rsidRPr="00033816">
              <w:t xml:space="preserve">home care, </w:t>
            </w:r>
            <w:r w:rsidR="00B9186B" w:rsidRPr="00033816">
              <w:t xml:space="preserve">at </w:t>
            </w:r>
            <w:r w:rsidR="00B20531" w:rsidRPr="00033816">
              <w:t>30 June 20</w:t>
            </w:r>
            <w:r w:rsidR="003D62DA" w:rsidRPr="00033816">
              <w:t>1</w:t>
            </w:r>
            <w:r w:rsidR="00E74778">
              <w:t>8</w:t>
            </w:r>
            <w:r w:rsidR="007A7F35" w:rsidRPr="00033816">
              <w:rPr>
                <w:rStyle w:val="NoteLabel"/>
                <w:b/>
              </w:rPr>
              <w:t>a</w:t>
            </w:r>
          </w:p>
        </w:tc>
      </w:tr>
      <w:tr w:rsidR="001D328B" w:rsidRPr="00033816" w14:paraId="65A1B21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F12BAB" w14:paraId="6AF6C9B8" w14:textId="77777777" w:rsidTr="00E15CC6">
              <w:tc>
                <w:tcPr>
                  <w:tcW w:w="304" w:type="dxa"/>
                  <w:tcBorders>
                    <w:top w:val="nil"/>
                    <w:left w:val="nil"/>
                    <w:bottom w:val="nil"/>
                    <w:right w:val="nil"/>
                  </w:tcBorders>
                  <w:shd w:val="clear" w:color="auto" w:fill="auto"/>
                  <w:tcMar>
                    <w:top w:w="28" w:type="dxa"/>
                    <w:bottom w:w="28" w:type="dxa"/>
                  </w:tcMar>
                </w:tcPr>
                <w:p w14:paraId="3F246B51" w14:textId="77777777" w:rsidR="001D328B" w:rsidRPr="00F12BAB"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335D1C6" w14:textId="77777777" w:rsidR="001D328B" w:rsidRPr="00F12BAB"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2BD807A" w14:textId="75355C2F" w:rsidR="001D328B" w:rsidRPr="00F12BAB" w:rsidRDefault="001D328B" w:rsidP="00770430">
                  <w:pPr>
                    <w:pStyle w:val="TableBodyText"/>
                    <w:jc w:val="left"/>
                  </w:pPr>
                  <w:r w:rsidRPr="00F12BAB">
                    <w:t xml:space="preserve">Data are </w:t>
                  </w:r>
                  <w:r w:rsidRPr="00AF66C4">
                    <w:t>comparable (subject to caveats) across jurisdictions</w:t>
                  </w:r>
                  <w:r w:rsidRPr="00F12BAB">
                    <w:t>.</w:t>
                  </w:r>
                </w:p>
              </w:tc>
            </w:tr>
            <w:tr w:rsidR="001D328B" w:rsidRPr="00F12BAB" w14:paraId="7DDC1E17" w14:textId="77777777" w:rsidTr="00E15CC6">
              <w:tc>
                <w:tcPr>
                  <w:tcW w:w="304" w:type="dxa"/>
                  <w:tcBorders>
                    <w:top w:val="nil"/>
                    <w:left w:val="nil"/>
                    <w:bottom w:val="nil"/>
                    <w:right w:val="nil"/>
                  </w:tcBorders>
                  <w:shd w:val="clear" w:color="auto" w:fill="auto"/>
                  <w:tcMar>
                    <w:top w:w="28" w:type="dxa"/>
                    <w:bottom w:w="28" w:type="dxa"/>
                  </w:tcMar>
                </w:tcPr>
                <w:p w14:paraId="18A58C5C" w14:textId="77777777" w:rsidR="001D328B" w:rsidRPr="00F12BAB"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2066A48" w14:textId="77777777" w:rsidR="001D328B" w:rsidRPr="00F12BAB"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6B282338" w14:textId="332CA727" w:rsidR="00EA5D67" w:rsidRPr="00F12BAB" w:rsidRDefault="001D328B" w:rsidP="00770430">
                  <w:pPr>
                    <w:pStyle w:val="TableBodyText"/>
                    <w:jc w:val="left"/>
                  </w:pPr>
                  <w:r w:rsidRPr="00F12BAB">
                    <w:t xml:space="preserve">Data are complete (subject to caveats) for the current reporting period. </w:t>
                  </w:r>
                </w:p>
              </w:tc>
            </w:tr>
          </w:tbl>
          <w:p w14:paraId="04AFC192" w14:textId="77777777" w:rsidR="001D328B" w:rsidRPr="00033816" w:rsidRDefault="001D328B" w:rsidP="00770430">
            <w:pPr>
              <w:pStyle w:val="FigureTitle"/>
              <w:rPr>
                <w:b w:val="0"/>
              </w:rPr>
            </w:pPr>
          </w:p>
        </w:tc>
      </w:tr>
      <w:tr w:rsidR="00E20EE2" w:rsidRPr="00033816" w14:paraId="340C955B" w14:textId="77777777" w:rsidTr="0028418B">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E20EE2" w:rsidRPr="00033816" w14:paraId="4FA04292" w14:textId="77777777" w:rsidTr="00960687">
              <w:trPr>
                <w:trHeight w:val="4252"/>
              </w:trPr>
              <w:tc>
                <w:tcPr>
                  <w:tcW w:w="8504" w:type="dxa"/>
                  <w:shd w:val="clear" w:color="auto" w:fill="auto"/>
                </w:tcPr>
                <w:p w14:paraId="452C4D5A" w14:textId="265BE411" w:rsidR="00E20EE2" w:rsidRPr="00033816" w:rsidRDefault="00FC0D87" w:rsidP="00770430">
                  <w:pPr>
                    <w:pStyle w:val="Figure"/>
                  </w:pPr>
                  <w:r>
                    <w:rPr>
                      <w:noProof/>
                    </w:rPr>
                    <w:drawing>
                      <wp:inline distT="0" distB="0" distL="0" distR="0" wp14:anchorId="2E4931A0" wp14:editId="24D0EE09">
                        <wp:extent cx="5262880" cy="2648585"/>
                        <wp:effectExtent l="0" t="0" r="0" b="0"/>
                        <wp:docPr id="22" name="Chart 22" descr="Figure 16.9 Placement of Aboriginal and Torres Strait Islander children in &#10;out-of-home care, at 30 June 20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226C2D0" w14:textId="77777777" w:rsidR="00E20EE2" w:rsidRPr="00033816" w:rsidRDefault="00E20EE2" w:rsidP="00770430">
            <w:pPr>
              <w:pStyle w:val="Figure"/>
            </w:pPr>
          </w:p>
        </w:tc>
      </w:tr>
      <w:tr w:rsidR="00E20EE2" w:rsidRPr="00033816" w14:paraId="3523D1B6" w14:textId="77777777" w:rsidTr="0028418B">
        <w:tc>
          <w:tcPr>
            <w:tcW w:w="8789" w:type="dxa"/>
            <w:tcBorders>
              <w:top w:val="nil"/>
              <w:left w:val="nil"/>
              <w:bottom w:val="nil"/>
              <w:right w:val="nil"/>
            </w:tcBorders>
            <w:shd w:val="clear" w:color="auto" w:fill="auto"/>
          </w:tcPr>
          <w:p w14:paraId="61CA9E32" w14:textId="6D9E2A4B" w:rsidR="00E20EE2" w:rsidRPr="00033816" w:rsidRDefault="001E3B9E" w:rsidP="00770430">
            <w:pPr>
              <w:pStyle w:val="Note"/>
            </w:pPr>
            <w:r w:rsidRPr="00033816">
              <w:rPr>
                <w:rStyle w:val="NoteLabel"/>
              </w:rPr>
              <w:t xml:space="preserve">a </w:t>
            </w:r>
            <w:r w:rsidRPr="00033816">
              <w:t xml:space="preserve">See </w:t>
            </w:r>
            <w:r w:rsidR="00542715" w:rsidRPr="00033816">
              <w:t xml:space="preserve">box </w:t>
            </w:r>
            <w:r w:rsidR="00707432" w:rsidRPr="00033816">
              <w:t>16.9</w:t>
            </w:r>
            <w:r w:rsidR="00601546" w:rsidRPr="00033816">
              <w:t xml:space="preserve"> and table </w:t>
            </w:r>
            <w:proofErr w:type="spellStart"/>
            <w:r w:rsidR="00601546" w:rsidRPr="00033816">
              <w:t>1</w:t>
            </w:r>
            <w:r w:rsidR="009F31F5" w:rsidRPr="00033816">
              <w:t>6</w:t>
            </w:r>
            <w:r w:rsidR="00D63DB8" w:rsidRPr="00033816">
              <w:t>A.2</w:t>
            </w:r>
            <w:r w:rsidR="009312EF">
              <w:t>1</w:t>
            </w:r>
            <w:proofErr w:type="spellEnd"/>
            <w:r w:rsidR="00601546" w:rsidRPr="00033816">
              <w:t xml:space="preserve"> for </w:t>
            </w:r>
            <w:r w:rsidRPr="00033816">
              <w:t xml:space="preserve">detailed </w:t>
            </w:r>
            <w:r w:rsidR="00601546" w:rsidRPr="00033816">
              <w:t xml:space="preserve">definitions, </w:t>
            </w:r>
            <w:r w:rsidRPr="00033816">
              <w:t>footnotes</w:t>
            </w:r>
            <w:r w:rsidR="00601546" w:rsidRPr="00033816">
              <w:t xml:space="preserve"> and caveats</w:t>
            </w:r>
            <w:r w:rsidR="00BD6C58" w:rsidRPr="00033816">
              <w:t>.</w:t>
            </w:r>
          </w:p>
        </w:tc>
      </w:tr>
      <w:tr w:rsidR="00E20EE2" w:rsidRPr="00033816" w14:paraId="044141E8" w14:textId="77777777" w:rsidTr="0028418B">
        <w:tc>
          <w:tcPr>
            <w:tcW w:w="8789" w:type="dxa"/>
            <w:tcBorders>
              <w:top w:val="nil"/>
              <w:left w:val="nil"/>
              <w:bottom w:val="nil"/>
              <w:right w:val="nil"/>
            </w:tcBorders>
            <w:shd w:val="clear" w:color="auto" w:fill="auto"/>
          </w:tcPr>
          <w:p w14:paraId="3A30FC06" w14:textId="75815B82" w:rsidR="00E20EE2" w:rsidRPr="00033816" w:rsidRDefault="00464943" w:rsidP="00770430">
            <w:pPr>
              <w:pStyle w:val="Source"/>
            </w:pPr>
            <w:r w:rsidRPr="00033816">
              <w:rPr>
                <w:i/>
              </w:rPr>
              <w:t>S</w:t>
            </w:r>
            <w:r w:rsidR="00E20EE2" w:rsidRPr="00033816">
              <w:rPr>
                <w:i/>
              </w:rPr>
              <w:t>ource</w:t>
            </w:r>
            <w:r w:rsidR="00E20EE2" w:rsidRPr="00033816">
              <w:t xml:space="preserve">: </w:t>
            </w:r>
            <w:proofErr w:type="spellStart"/>
            <w:r w:rsidRPr="00033816">
              <w:t>AIHW</w:t>
            </w:r>
            <w:proofErr w:type="spellEnd"/>
            <w:r w:rsidRPr="00033816">
              <w:t xml:space="preserve"> data collection (unpublished); table</w:t>
            </w:r>
            <w:r w:rsidR="00D63DB8" w:rsidRPr="00033816">
              <w:t xml:space="preserve"> </w:t>
            </w:r>
            <w:proofErr w:type="spellStart"/>
            <w:r w:rsidR="00D63DB8" w:rsidRPr="00033816">
              <w:t>16A.2</w:t>
            </w:r>
            <w:r w:rsidR="009312EF">
              <w:t>1</w:t>
            </w:r>
            <w:proofErr w:type="spellEnd"/>
            <w:r w:rsidRPr="00033816">
              <w:t>.</w:t>
            </w:r>
          </w:p>
        </w:tc>
      </w:tr>
      <w:tr w:rsidR="00E20EE2" w:rsidRPr="00033816" w14:paraId="0BD21690" w14:textId="77777777" w:rsidTr="0028418B">
        <w:tc>
          <w:tcPr>
            <w:tcW w:w="8789" w:type="dxa"/>
            <w:tcBorders>
              <w:top w:val="nil"/>
              <w:left w:val="nil"/>
              <w:bottom w:val="single" w:sz="6" w:space="0" w:color="78A22F"/>
              <w:right w:val="nil"/>
            </w:tcBorders>
            <w:shd w:val="clear" w:color="auto" w:fill="auto"/>
          </w:tcPr>
          <w:p w14:paraId="568A1EF2" w14:textId="77777777" w:rsidR="00E20EE2" w:rsidRPr="00033816" w:rsidRDefault="00E20EE2" w:rsidP="00770430">
            <w:pPr>
              <w:pStyle w:val="Figurespace"/>
            </w:pPr>
          </w:p>
        </w:tc>
      </w:tr>
      <w:tr w:rsidR="00E20EE2" w:rsidRPr="00033816" w14:paraId="5B87CEF7" w14:textId="77777777" w:rsidTr="0028418B">
        <w:tc>
          <w:tcPr>
            <w:tcW w:w="8789" w:type="dxa"/>
            <w:tcBorders>
              <w:top w:val="single" w:sz="6" w:space="0" w:color="78A22F"/>
              <w:left w:val="nil"/>
              <w:bottom w:val="nil"/>
              <w:right w:val="nil"/>
            </w:tcBorders>
          </w:tcPr>
          <w:p w14:paraId="15B85454" w14:textId="5FD713EC" w:rsidR="00E20EE2" w:rsidRPr="00033816" w:rsidRDefault="00E20EE2" w:rsidP="00770430">
            <w:pPr>
              <w:pStyle w:val="BoxSpaceBelow"/>
            </w:pPr>
          </w:p>
        </w:tc>
      </w:tr>
    </w:tbl>
    <w:p w14:paraId="041BB945" w14:textId="7D4FC293" w:rsidR="00FA6D2A" w:rsidRPr="00033816" w:rsidRDefault="003511B4" w:rsidP="00770430">
      <w:pPr>
        <w:pStyle w:val="Heading4"/>
      </w:pPr>
      <w:r w:rsidRPr="00033816">
        <w:t>C</w:t>
      </w:r>
      <w:r w:rsidR="00FA6D2A" w:rsidRPr="00033816">
        <w:t xml:space="preserve">hildren with </w:t>
      </w:r>
      <w:r w:rsidR="00DA6621" w:rsidRPr="00033816">
        <w:t xml:space="preserve">current </w:t>
      </w:r>
      <w:r w:rsidR="00FA6D2A" w:rsidRPr="00033816">
        <w:t>documented case plan</w:t>
      </w:r>
      <w:r w:rsidR="009E3523" w:rsidRPr="00033816">
        <w:t>s</w:t>
      </w:r>
    </w:p>
    <w:p w14:paraId="369F2FE2" w14:textId="1899177B" w:rsidR="006B6264" w:rsidRDefault="00FA6D2A" w:rsidP="00770430">
      <w:pPr>
        <w:pStyle w:val="BodyText"/>
        <w:widowControl w:val="0"/>
      </w:pPr>
      <w:r w:rsidRPr="00033816">
        <w:t xml:space="preserve">‘Children with </w:t>
      </w:r>
      <w:r w:rsidR="00DA6621" w:rsidRPr="00033816">
        <w:t xml:space="preserve">current </w:t>
      </w:r>
      <w:r w:rsidRPr="00033816">
        <w:t>documented case plan</w:t>
      </w:r>
      <w:r w:rsidR="009E3523" w:rsidRPr="00033816">
        <w:t>s</w:t>
      </w:r>
      <w:r w:rsidRPr="00033816">
        <w:t xml:space="preserve">’ </w:t>
      </w:r>
      <w:r w:rsidR="00C94D85" w:rsidRPr="00033816">
        <w:t>is an indicator of governments’ objective to provide ser</w:t>
      </w:r>
      <w:r w:rsidR="00C24126" w:rsidRPr="00033816">
        <w:t>vices that meet the needs of</w:t>
      </w:r>
      <w:r w:rsidR="00C94D85" w:rsidRPr="00033816">
        <w:t xml:space="preserve"> </w:t>
      </w:r>
      <w:r w:rsidR="00C24126" w:rsidRPr="00033816">
        <w:t>individual children and young people in the child protection system</w:t>
      </w:r>
      <w:r w:rsidR="00C94D85" w:rsidRPr="00033816">
        <w:t xml:space="preserve"> </w:t>
      </w:r>
      <w:r w:rsidR="00A60924" w:rsidRPr="00033816">
        <w:t>(box</w:t>
      </w:r>
      <w:r w:rsidR="006B6264" w:rsidRPr="00033816">
        <w:t xml:space="preserve"> </w:t>
      </w:r>
      <w:r w:rsidR="00707432" w:rsidRPr="00033816">
        <w:t>16.10</w:t>
      </w:r>
      <w:r w:rsidR="00A60924" w:rsidRPr="00033816">
        <w:t>).</w:t>
      </w:r>
    </w:p>
    <w:p w14:paraId="7C02C495" w14:textId="77777777" w:rsidR="00EA2352" w:rsidRPr="00033816" w:rsidRDefault="00EA2352" w:rsidP="00770430">
      <w:pPr>
        <w:pStyle w:val="BodyText"/>
        <w:widowControl w:val="0"/>
      </w:pPr>
    </w:p>
    <w:p w14:paraId="6C55C748" w14:textId="592430DB" w:rsidR="0028418B" w:rsidRPr="00033816" w:rsidRDefault="0028418B" w:rsidP="00CE45D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8418B" w:rsidRPr="00033816" w14:paraId="56612335" w14:textId="77777777" w:rsidTr="00033816">
        <w:trPr>
          <w:tblHeader/>
        </w:trPr>
        <w:tc>
          <w:tcPr>
            <w:tcW w:w="5000" w:type="pct"/>
            <w:tcBorders>
              <w:top w:val="single" w:sz="6" w:space="0" w:color="78A22F"/>
              <w:left w:val="nil"/>
              <w:bottom w:val="nil"/>
              <w:right w:val="nil"/>
            </w:tcBorders>
            <w:shd w:val="clear" w:color="auto" w:fill="F2F2F2"/>
          </w:tcPr>
          <w:p w14:paraId="31CB113D" w14:textId="18378A1E" w:rsidR="0028418B" w:rsidRPr="00033816" w:rsidRDefault="0028418B" w:rsidP="00CE45D2">
            <w:pPr>
              <w:pStyle w:val="BoxTitle"/>
              <w:spacing w:before="100"/>
            </w:pPr>
            <w:r w:rsidRPr="00033816">
              <w:rPr>
                <w:b w:val="0"/>
              </w:rPr>
              <w:t>Box 16.10</w:t>
            </w:r>
            <w:r w:rsidRPr="00033816">
              <w:tab/>
              <w:t>Children with current documented case plans</w:t>
            </w:r>
          </w:p>
        </w:tc>
      </w:tr>
      <w:tr w:rsidR="0028418B" w:rsidRPr="00033816" w14:paraId="2D434B3F" w14:textId="77777777" w:rsidTr="00033816">
        <w:tc>
          <w:tcPr>
            <w:tcW w:w="5000" w:type="pct"/>
            <w:tcBorders>
              <w:top w:val="nil"/>
              <w:left w:val="nil"/>
              <w:bottom w:val="nil"/>
              <w:right w:val="nil"/>
            </w:tcBorders>
            <w:shd w:val="clear" w:color="auto" w:fill="F2F2F2"/>
          </w:tcPr>
          <w:p w14:paraId="7976A412" w14:textId="77777777" w:rsidR="0028418B" w:rsidRPr="00033816" w:rsidRDefault="0028418B" w:rsidP="00770430">
            <w:pPr>
              <w:pStyle w:val="Box"/>
            </w:pPr>
            <w:r w:rsidRPr="00033816">
              <w:t>‘Children with current documented case plans’ is defined as the number of children who have a current documented and approved case plan as a proportion of all children who are required to have a current documented and approved case plan.</w:t>
            </w:r>
          </w:p>
          <w:p w14:paraId="2F0D0E55" w14:textId="77777777" w:rsidR="0028418B" w:rsidRPr="00033816" w:rsidRDefault="0028418B" w:rsidP="00770430">
            <w:pPr>
              <w:pStyle w:val="Box"/>
            </w:pPr>
            <w:r w:rsidRPr="00033816">
              <w:t>A case plan is an individualised, dynamic written plan (or support agreement) developed between a family and an agency based on an assessment process. A current documented case plan is one that has been approved and/or reviewed within the previous 12 months.</w:t>
            </w:r>
          </w:p>
          <w:p w14:paraId="35B8D55C" w14:textId="77777777" w:rsidR="0028418B" w:rsidRPr="00033816" w:rsidRDefault="0028418B" w:rsidP="00770430">
            <w:pPr>
              <w:pStyle w:val="Box"/>
            </w:pPr>
            <w:r w:rsidRPr="00033816">
              <w:t xml:space="preserve">A high or increasing rate of children with current documented case plans is desirable. </w:t>
            </w:r>
          </w:p>
          <w:p w14:paraId="55AA8F82" w14:textId="77777777" w:rsidR="00EA5D67" w:rsidRDefault="0028418B" w:rsidP="00770430">
            <w:pPr>
              <w:pStyle w:val="Box"/>
            </w:pPr>
            <w:r w:rsidRPr="00033816">
              <w:t xml:space="preserve">The indicator does not assess the quality of </w:t>
            </w:r>
            <w:proofErr w:type="spellStart"/>
            <w:r w:rsidRPr="00033816">
              <w:t>case</w:t>
            </w:r>
            <w:proofErr w:type="spellEnd"/>
            <w:r w:rsidRPr="00033816">
              <w:t xml:space="preserve"> plans, nor the extent to which identified needs and actions are put into place. These factors should be taken into account when considering the results reported for this indicator.</w:t>
            </w:r>
            <w:r w:rsidR="00EA5D67" w:rsidRPr="00516C7D">
              <w:t xml:space="preserve"> </w:t>
            </w:r>
          </w:p>
          <w:p w14:paraId="274374F8" w14:textId="0B50466C" w:rsidR="00EA5D67" w:rsidRPr="00516C7D" w:rsidRDefault="00EA5D67" w:rsidP="00770430">
            <w:pPr>
              <w:pStyle w:val="Box"/>
            </w:pPr>
            <w:r w:rsidRPr="00516C7D">
              <w:t>Data reported for this indicator are:</w:t>
            </w:r>
          </w:p>
          <w:p w14:paraId="61EB2396" w14:textId="75AE1C01" w:rsidR="00EA5D67" w:rsidRPr="00516C7D" w:rsidRDefault="00EA5D67" w:rsidP="00770430">
            <w:pPr>
              <w:pStyle w:val="Box"/>
              <w:ind w:left="284"/>
            </w:pPr>
            <w:r w:rsidRPr="00344676">
              <w:rPr>
                <w:shd w:val="clear" w:color="auto" w:fill="FCDED3"/>
              </w:rPr>
              <w:t xml:space="preserve">    </w:t>
            </w:r>
            <w:r>
              <w:t xml:space="preserve"> </w:t>
            </w:r>
            <w:r w:rsidR="003405DD" w:rsidRPr="00516C7D">
              <w:t xml:space="preserve">not comparable across jurisdictions but are </w:t>
            </w:r>
            <w:r w:rsidRPr="00516C7D">
              <w:t xml:space="preserve">comparable (subject to caveats) within jurisdictions over time </w:t>
            </w:r>
          </w:p>
          <w:p w14:paraId="67907E1F" w14:textId="1A1BDEC0" w:rsidR="0028418B" w:rsidRPr="00033816" w:rsidRDefault="00EA5D67" w:rsidP="00770430">
            <w:pPr>
              <w:pStyle w:val="Box"/>
              <w:ind w:left="284"/>
            </w:pPr>
            <w:r w:rsidRPr="00344676">
              <w:rPr>
                <w:shd w:val="clear" w:color="auto" w:fill="FCDED3"/>
              </w:rPr>
              <w:t xml:space="preserve">    </w:t>
            </w:r>
            <w:r>
              <w:t xml:space="preserve"> </w:t>
            </w:r>
            <w:r w:rsidRPr="00516C7D">
              <w:t>incomplete for the current reporting period. All required 2017</w:t>
            </w:r>
            <w:r w:rsidRPr="00516C7D">
              <w:noBreakHyphen/>
              <w:t xml:space="preserve">18 data </w:t>
            </w:r>
            <w:r>
              <w:t>are</w:t>
            </w:r>
            <w:r w:rsidRPr="00516C7D">
              <w:t xml:space="preserve"> not available for </w:t>
            </w:r>
            <w:r w:rsidR="003B40AA">
              <w:t>NSW</w:t>
            </w:r>
            <w:r w:rsidRPr="00516C7D">
              <w:t>.</w:t>
            </w:r>
          </w:p>
        </w:tc>
      </w:tr>
      <w:tr w:rsidR="0028418B" w:rsidRPr="00033816" w14:paraId="64D22B54" w14:textId="77777777" w:rsidTr="00033816">
        <w:tc>
          <w:tcPr>
            <w:tcW w:w="5000" w:type="pct"/>
            <w:tcBorders>
              <w:top w:val="nil"/>
              <w:left w:val="nil"/>
              <w:bottom w:val="single" w:sz="6" w:space="0" w:color="78A22F"/>
              <w:right w:val="nil"/>
            </w:tcBorders>
            <w:shd w:val="clear" w:color="auto" w:fill="F2F2F2"/>
          </w:tcPr>
          <w:p w14:paraId="015995BD" w14:textId="77777777" w:rsidR="0028418B" w:rsidRPr="00033816" w:rsidRDefault="0028418B" w:rsidP="00770430">
            <w:pPr>
              <w:pStyle w:val="Box"/>
              <w:spacing w:before="0" w:line="120" w:lineRule="exact"/>
            </w:pPr>
          </w:p>
        </w:tc>
      </w:tr>
      <w:tr w:rsidR="0028418B" w:rsidRPr="00033816" w14:paraId="273E53B3" w14:textId="77777777" w:rsidTr="00033816">
        <w:tc>
          <w:tcPr>
            <w:tcW w:w="5000" w:type="pct"/>
            <w:tcBorders>
              <w:top w:val="single" w:sz="6" w:space="0" w:color="78A22F"/>
              <w:left w:val="nil"/>
              <w:bottom w:val="nil"/>
              <w:right w:val="nil"/>
            </w:tcBorders>
          </w:tcPr>
          <w:p w14:paraId="6DD53425" w14:textId="5C731F84" w:rsidR="0028418B" w:rsidRPr="00033816" w:rsidRDefault="0028418B" w:rsidP="00CE45D2">
            <w:pPr>
              <w:pStyle w:val="BoxSpaceBelow"/>
              <w:spacing w:before="20" w:after="20"/>
            </w:pPr>
          </w:p>
        </w:tc>
      </w:tr>
    </w:tbl>
    <w:p w14:paraId="417C24DB" w14:textId="3A3D3D33" w:rsidR="00FE7151" w:rsidRPr="00033816" w:rsidRDefault="00542715" w:rsidP="00CE45D2">
      <w:pPr>
        <w:pStyle w:val="BodyText"/>
        <w:widowControl w:val="0"/>
        <w:spacing w:before="160"/>
      </w:pPr>
      <w:r w:rsidRPr="00516C7D">
        <w:t>Nationally</w:t>
      </w:r>
      <w:r w:rsidR="00027B75" w:rsidRPr="00516C7D">
        <w:t xml:space="preserve"> (excluding </w:t>
      </w:r>
      <w:r w:rsidR="00B91F6B">
        <w:t>NSW</w:t>
      </w:r>
      <w:r w:rsidR="00027B75" w:rsidRPr="00516C7D">
        <w:t>)</w:t>
      </w:r>
      <w:r w:rsidRPr="00516C7D">
        <w:t>,</w:t>
      </w:r>
      <w:r w:rsidR="005656B3" w:rsidRPr="00516C7D">
        <w:t xml:space="preserve"> </w:t>
      </w:r>
      <w:r w:rsidR="00B91F6B">
        <w:t>83.8</w:t>
      </w:r>
      <w:r w:rsidR="00DC07D6" w:rsidRPr="00033816">
        <w:t xml:space="preserve"> per cent of children required to have a </w:t>
      </w:r>
      <w:r w:rsidR="00DA6621" w:rsidRPr="00033816">
        <w:t xml:space="preserve">current documented </w:t>
      </w:r>
      <w:r w:rsidR="00E15FFD" w:rsidRPr="00033816">
        <w:t xml:space="preserve">and approved </w:t>
      </w:r>
      <w:r w:rsidR="00DC07D6" w:rsidRPr="00033816">
        <w:t>case plan, had</w:t>
      </w:r>
      <w:r w:rsidR="00DA6621" w:rsidRPr="00033816">
        <w:t xml:space="preserve"> such a</w:t>
      </w:r>
      <w:r w:rsidR="00DC07D6" w:rsidRPr="00033816">
        <w:t xml:space="preserve"> plan at</w:t>
      </w:r>
      <w:r w:rsidR="00B91F6B">
        <w:t xml:space="preserve"> </w:t>
      </w:r>
      <w:r w:rsidR="00DC07D6" w:rsidRPr="00033816">
        <w:t>30 </w:t>
      </w:r>
      <w:r w:rsidR="00852253" w:rsidRPr="00033816">
        <w:t>June 20</w:t>
      </w:r>
      <w:r w:rsidR="003D62DA" w:rsidRPr="00033816">
        <w:t>1</w:t>
      </w:r>
      <w:r w:rsidR="00E74778">
        <w:t>8</w:t>
      </w:r>
      <w:r w:rsidR="00B27F8B" w:rsidRPr="00033816">
        <w:t xml:space="preserve"> </w:t>
      </w:r>
      <w:r w:rsidR="00852253" w:rsidRPr="00033816">
        <w:t>(</w:t>
      </w:r>
      <w:r w:rsidR="00BB42EE" w:rsidRPr="00033816">
        <w:t>figure</w:t>
      </w:r>
      <w:r w:rsidR="00434D29" w:rsidRPr="00033816">
        <w:t xml:space="preserve"> </w:t>
      </w:r>
      <w:r w:rsidR="009D4A68" w:rsidRPr="00033816">
        <w:t>16.10</w:t>
      </w:r>
      <w:r w:rsidR="00852253" w:rsidRPr="00033816">
        <w:t>)</w:t>
      </w:r>
      <w:r w:rsidR="00BE45CB" w:rsidRPr="00033816">
        <w:t xml:space="preserve">. </w:t>
      </w:r>
    </w:p>
    <w:p w14:paraId="529EC22B" w14:textId="07AA1DF3" w:rsidR="00B96892" w:rsidRPr="00033816" w:rsidRDefault="00B96892" w:rsidP="00CE45D2">
      <w:pPr>
        <w:pStyle w:val="BoxSpaceAbove"/>
        <w:spacing w:before="2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96892" w:rsidRPr="00033816" w14:paraId="230E6FEB" w14:textId="77777777" w:rsidTr="001D328B">
        <w:tc>
          <w:tcPr>
            <w:tcW w:w="8789" w:type="dxa"/>
            <w:tcBorders>
              <w:top w:val="single" w:sz="6" w:space="0" w:color="78A22F"/>
              <w:left w:val="nil"/>
              <w:bottom w:val="nil"/>
              <w:right w:val="nil"/>
            </w:tcBorders>
            <w:shd w:val="clear" w:color="auto" w:fill="auto"/>
          </w:tcPr>
          <w:p w14:paraId="2F8BD8F1" w14:textId="678511F9" w:rsidR="00B96892" w:rsidRPr="00033816" w:rsidRDefault="00B96892" w:rsidP="00CE45D2">
            <w:pPr>
              <w:pStyle w:val="FigureTitle"/>
              <w:spacing w:before="80"/>
            </w:pPr>
            <w:r w:rsidRPr="00033816">
              <w:rPr>
                <w:b w:val="0"/>
              </w:rPr>
              <w:t>Figure</w:t>
            </w:r>
            <w:r w:rsidR="00434D29" w:rsidRPr="00033816">
              <w:rPr>
                <w:b w:val="0"/>
              </w:rPr>
              <w:t xml:space="preserve"> </w:t>
            </w:r>
            <w:r w:rsidR="009D4A68" w:rsidRPr="00033816">
              <w:rPr>
                <w:b w:val="0"/>
              </w:rPr>
              <w:t>16.10</w:t>
            </w:r>
            <w:r w:rsidRPr="00033816">
              <w:tab/>
              <w:t xml:space="preserve">Proportion of children with current documented </w:t>
            </w:r>
            <w:r w:rsidR="00E15FFD" w:rsidRPr="00033816">
              <w:t xml:space="preserve">and approved </w:t>
            </w:r>
            <w:r w:rsidRPr="00033816">
              <w:t xml:space="preserve">case plans, </w:t>
            </w:r>
            <w:r w:rsidR="00B9186B" w:rsidRPr="00033816">
              <w:t xml:space="preserve">at </w:t>
            </w:r>
            <w:r w:rsidRPr="00033816">
              <w:t>30</w:t>
            </w:r>
            <w:r w:rsidR="008817BB" w:rsidRPr="00033816">
              <w:t> </w:t>
            </w:r>
            <w:r w:rsidRPr="00033816">
              <w:t>June 20</w:t>
            </w:r>
            <w:r w:rsidR="003D62DA" w:rsidRPr="00033816">
              <w:t>1</w:t>
            </w:r>
            <w:r w:rsidR="00E74778">
              <w:t>8</w:t>
            </w:r>
            <w:r w:rsidR="00DC07D6" w:rsidRPr="00033816">
              <w:rPr>
                <w:rStyle w:val="NoteLabel"/>
                <w:b/>
              </w:rPr>
              <w:t>a, b</w:t>
            </w:r>
          </w:p>
        </w:tc>
      </w:tr>
      <w:tr w:rsidR="001D328B" w:rsidRPr="00033816" w14:paraId="63CF15FD" w14:textId="77777777" w:rsidTr="001D328B">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36"/>
              <w:gridCol w:w="7592"/>
              <w:gridCol w:w="357"/>
            </w:tblGrid>
            <w:tr w:rsidR="001D328B" w:rsidRPr="00C96187" w14:paraId="233B4762" w14:textId="77777777" w:rsidTr="001D328B">
              <w:trPr>
                <w:gridAfter w:val="1"/>
                <w:wAfter w:w="360" w:type="dxa"/>
              </w:trPr>
              <w:tc>
                <w:tcPr>
                  <w:tcW w:w="304" w:type="dxa"/>
                  <w:tcBorders>
                    <w:top w:val="nil"/>
                    <w:left w:val="nil"/>
                    <w:bottom w:val="nil"/>
                    <w:right w:val="nil"/>
                  </w:tcBorders>
                  <w:shd w:val="clear" w:color="auto" w:fill="auto"/>
                  <w:tcMar>
                    <w:top w:w="28" w:type="dxa"/>
                    <w:bottom w:w="28" w:type="dxa"/>
                  </w:tcMar>
                </w:tcPr>
                <w:p w14:paraId="7ABA078D" w14:textId="77777777" w:rsidR="001D328B" w:rsidRPr="00C96187"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DC09BF1" w14:textId="77777777" w:rsidR="001D328B" w:rsidRPr="00C96187"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12B3FCB" w14:textId="1B1E6140" w:rsidR="001D328B" w:rsidRPr="00C96187" w:rsidRDefault="001D328B" w:rsidP="00770430">
                  <w:pPr>
                    <w:pStyle w:val="TableBodyText"/>
                    <w:jc w:val="left"/>
                  </w:pPr>
                  <w:r>
                    <w:t xml:space="preserve">Data are </w:t>
                  </w:r>
                  <w:r w:rsidRPr="00C96187">
                    <w:t>not comparable across jurisdictions.</w:t>
                  </w:r>
                </w:p>
              </w:tc>
            </w:tr>
            <w:tr w:rsidR="001D328B" w:rsidRPr="00C96187" w14:paraId="541128EF" w14:textId="77777777" w:rsidTr="009E6AC7">
              <w:tc>
                <w:tcPr>
                  <w:tcW w:w="304" w:type="dxa"/>
                  <w:tcBorders>
                    <w:top w:val="nil"/>
                    <w:left w:val="nil"/>
                    <w:bottom w:val="nil"/>
                    <w:right w:val="nil"/>
                  </w:tcBorders>
                  <w:shd w:val="clear" w:color="auto" w:fill="auto"/>
                  <w:tcMar>
                    <w:top w:w="28" w:type="dxa"/>
                    <w:bottom w:w="28" w:type="dxa"/>
                  </w:tcMar>
                </w:tcPr>
                <w:p w14:paraId="342E3F29" w14:textId="2EF640A9" w:rsidR="001D328B" w:rsidRPr="00C96187" w:rsidRDefault="001D328B" w:rsidP="00770430">
                  <w:pPr>
                    <w:keepNext/>
                    <w:keepLines/>
                    <w:spacing w:before="60" w:after="60" w:line="240" w:lineRule="atLeast"/>
                    <w:jc w:val="center"/>
                    <w:rPr>
                      <w:szCs w:val="20"/>
                    </w:rPr>
                  </w:pPr>
                  <w:r>
                    <w:rPr>
                      <w:szCs w:val="20"/>
                    </w:rPr>
                    <w:tab/>
                  </w:r>
                </w:p>
              </w:tc>
              <w:tc>
                <w:tcPr>
                  <w:tcW w:w="547" w:type="dxa"/>
                  <w:tcBorders>
                    <w:top w:val="nil"/>
                    <w:left w:val="nil"/>
                    <w:bottom w:val="nil"/>
                    <w:right w:val="nil"/>
                  </w:tcBorders>
                  <w:shd w:val="clear" w:color="auto" w:fill="FCDED3"/>
                </w:tcPr>
                <w:p w14:paraId="785D2CE8" w14:textId="77777777" w:rsidR="001D328B" w:rsidRPr="001D328B" w:rsidRDefault="001D328B" w:rsidP="00770430">
                  <w:pPr>
                    <w:rPr>
                      <w:rFonts w:ascii="Arial" w:hAnsi="Arial" w:cs="Arial"/>
                      <w:sz w:val="18"/>
                      <w:szCs w:val="18"/>
                    </w:rPr>
                  </w:pPr>
                </w:p>
              </w:tc>
              <w:tc>
                <w:tcPr>
                  <w:tcW w:w="7938" w:type="dxa"/>
                  <w:tcBorders>
                    <w:top w:val="nil"/>
                    <w:left w:val="nil"/>
                    <w:bottom w:val="nil"/>
                    <w:right w:val="nil"/>
                  </w:tcBorders>
                  <w:shd w:val="clear" w:color="auto" w:fill="auto"/>
                </w:tcPr>
                <w:p w14:paraId="61BDCDA5" w14:textId="1C0E8228" w:rsidR="001D328B" w:rsidRPr="00C96187" w:rsidRDefault="001D328B" w:rsidP="00770430">
                  <w:pPr>
                    <w:pStyle w:val="TableBodyText"/>
                    <w:jc w:val="left"/>
                  </w:pPr>
                  <w:r w:rsidRPr="00C96187">
                    <w:t xml:space="preserve">Data are </w:t>
                  </w:r>
                  <w:r w:rsidRPr="001D328B">
                    <w:t xml:space="preserve">incomplete for the current reporting period. </w:t>
                  </w:r>
                </w:p>
              </w:tc>
              <w:tc>
                <w:tcPr>
                  <w:tcW w:w="360" w:type="dxa"/>
                  <w:tcBorders>
                    <w:top w:val="nil"/>
                    <w:bottom w:val="nil"/>
                    <w:right w:val="nil"/>
                  </w:tcBorders>
                </w:tcPr>
                <w:p w14:paraId="4987304C" w14:textId="444483EC" w:rsidR="001D328B" w:rsidRPr="00C96187" w:rsidRDefault="001D328B" w:rsidP="00770430">
                  <w:pPr>
                    <w:rPr>
                      <w:rFonts w:ascii="Arial" w:hAnsi="Arial" w:cs="Arial"/>
                      <w:sz w:val="18"/>
                      <w:szCs w:val="18"/>
                    </w:rPr>
                  </w:pPr>
                </w:p>
              </w:tc>
            </w:tr>
          </w:tbl>
          <w:p w14:paraId="16CD7A07" w14:textId="77777777" w:rsidR="001D328B" w:rsidRPr="00033816" w:rsidRDefault="001D328B" w:rsidP="00770430">
            <w:pPr>
              <w:pStyle w:val="FigureTitle"/>
              <w:rPr>
                <w:b w:val="0"/>
              </w:rPr>
            </w:pPr>
          </w:p>
        </w:tc>
      </w:tr>
      <w:tr w:rsidR="00B96892" w:rsidRPr="00033816" w14:paraId="3AD45EEC" w14:textId="77777777" w:rsidTr="00CE45D2">
        <w:trPr>
          <w:trHeight w:val="4443"/>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00B050"/>
              <w:tblLayout w:type="fixed"/>
              <w:tblCellMar>
                <w:top w:w="28" w:type="dxa"/>
              </w:tblCellMar>
              <w:tblLook w:val="0000" w:firstRow="0" w:lastRow="0" w:firstColumn="0" w:lastColumn="0" w:noHBand="0" w:noVBand="0"/>
            </w:tblPr>
            <w:tblGrid>
              <w:gridCol w:w="8504"/>
            </w:tblGrid>
            <w:tr w:rsidR="00B96892" w:rsidRPr="00033816" w14:paraId="17EFBBA0" w14:textId="77777777" w:rsidTr="00B91F6B">
              <w:trPr>
                <w:trHeight w:val="4027"/>
              </w:trPr>
              <w:tc>
                <w:tcPr>
                  <w:tcW w:w="8504" w:type="dxa"/>
                  <w:shd w:val="clear" w:color="auto" w:fill="auto"/>
                </w:tcPr>
                <w:p w14:paraId="7BE84017" w14:textId="7648FC4A" w:rsidR="00B96892" w:rsidRPr="00033816" w:rsidRDefault="00B91F6B" w:rsidP="00770430">
                  <w:pPr>
                    <w:pStyle w:val="Figure"/>
                  </w:pPr>
                  <w:r>
                    <w:rPr>
                      <w:noProof/>
                    </w:rPr>
                    <w:drawing>
                      <wp:inline distT="0" distB="0" distL="0" distR="0" wp14:anchorId="690387E2" wp14:editId="00F69683">
                        <wp:extent cx="5262880" cy="2648585"/>
                        <wp:effectExtent l="0" t="0" r="0" b="0"/>
                        <wp:docPr id="24" name="Chart 24" descr="Figure 16.10 Proportion of children with current documented and approved case plans, at 30 June 20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62FDB9F9" w14:textId="77777777" w:rsidR="00B96892" w:rsidRPr="00033816" w:rsidRDefault="00B96892" w:rsidP="00770430">
            <w:pPr>
              <w:pStyle w:val="Figure"/>
            </w:pPr>
          </w:p>
        </w:tc>
      </w:tr>
      <w:tr w:rsidR="00B96892" w:rsidRPr="00033816" w14:paraId="3F426A18" w14:textId="77777777" w:rsidTr="0028418B">
        <w:tc>
          <w:tcPr>
            <w:tcW w:w="8789" w:type="dxa"/>
            <w:tcBorders>
              <w:top w:val="nil"/>
              <w:left w:val="nil"/>
              <w:bottom w:val="nil"/>
              <w:right w:val="nil"/>
            </w:tcBorders>
            <w:shd w:val="clear" w:color="auto" w:fill="auto"/>
          </w:tcPr>
          <w:p w14:paraId="004A58EF" w14:textId="4747568D" w:rsidR="00B96892" w:rsidRPr="00516C7D" w:rsidRDefault="001E3B9E" w:rsidP="008A3504">
            <w:pPr>
              <w:pStyle w:val="Note"/>
              <w:spacing w:before="60"/>
            </w:pPr>
            <w:r w:rsidRPr="00516C7D">
              <w:rPr>
                <w:rStyle w:val="NoteLabel"/>
              </w:rPr>
              <w:t>a </w:t>
            </w:r>
            <w:r w:rsidRPr="00516C7D">
              <w:t xml:space="preserve">See </w:t>
            </w:r>
            <w:r w:rsidR="00601546" w:rsidRPr="00516C7D">
              <w:t xml:space="preserve">box </w:t>
            </w:r>
            <w:r w:rsidR="008E70CD" w:rsidRPr="00516C7D">
              <w:t>16.10</w:t>
            </w:r>
            <w:r w:rsidR="00601546" w:rsidRPr="00516C7D">
              <w:t xml:space="preserve"> and table </w:t>
            </w:r>
            <w:proofErr w:type="spellStart"/>
            <w:r w:rsidR="003D62DA" w:rsidRPr="00516C7D">
              <w:t>16</w:t>
            </w:r>
            <w:r w:rsidR="00282BD1" w:rsidRPr="00516C7D">
              <w:t>A.</w:t>
            </w:r>
            <w:r w:rsidR="00D63DB8" w:rsidRPr="00516C7D">
              <w:t>2</w:t>
            </w:r>
            <w:r w:rsidR="009312EF">
              <w:t>2</w:t>
            </w:r>
            <w:proofErr w:type="spellEnd"/>
            <w:r w:rsidR="00601546" w:rsidRPr="00516C7D">
              <w:t xml:space="preserve"> for </w:t>
            </w:r>
            <w:r w:rsidRPr="00516C7D">
              <w:t xml:space="preserve">detailed </w:t>
            </w:r>
            <w:r w:rsidR="00601546" w:rsidRPr="00516C7D">
              <w:t xml:space="preserve">definitions, </w:t>
            </w:r>
            <w:r w:rsidRPr="00516C7D">
              <w:t>footnotes</w:t>
            </w:r>
            <w:r w:rsidR="00601546" w:rsidRPr="00516C7D">
              <w:t xml:space="preserve"> and caveats</w:t>
            </w:r>
            <w:r w:rsidRPr="00516C7D">
              <w:t xml:space="preserve">. </w:t>
            </w:r>
            <w:r w:rsidRPr="00516C7D">
              <w:rPr>
                <w:rStyle w:val="NoteLabel"/>
              </w:rPr>
              <w:t>b</w:t>
            </w:r>
            <w:r w:rsidR="00B96892" w:rsidRPr="00516C7D">
              <w:t xml:space="preserve"> Data </w:t>
            </w:r>
            <w:r w:rsidR="008A3504">
              <w:t>are</w:t>
            </w:r>
            <w:r w:rsidR="00B96892" w:rsidRPr="00516C7D">
              <w:t xml:space="preserve"> not available for </w:t>
            </w:r>
            <w:r w:rsidR="00B91F6B">
              <w:t>NSW</w:t>
            </w:r>
            <w:r w:rsidR="00B96892" w:rsidRPr="00516C7D">
              <w:t>.</w:t>
            </w:r>
          </w:p>
        </w:tc>
      </w:tr>
      <w:tr w:rsidR="00B96892" w:rsidRPr="00033816" w14:paraId="2869894A" w14:textId="77777777" w:rsidTr="0028418B">
        <w:tc>
          <w:tcPr>
            <w:tcW w:w="8789" w:type="dxa"/>
            <w:tcBorders>
              <w:top w:val="nil"/>
              <w:left w:val="nil"/>
              <w:bottom w:val="nil"/>
              <w:right w:val="nil"/>
            </w:tcBorders>
            <w:shd w:val="clear" w:color="auto" w:fill="auto"/>
          </w:tcPr>
          <w:p w14:paraId="71ECE712" w14:textId="0759B9DB" w:rsidR="00B96892" w:rsidRPr="00516C7D" w:rsidRDefault="00B96892" w:rsidP="00CE45D2">
            <w:pPr>
              <w:pStyle w:val="Source"/>
              <w:spacing w:before="40"/>
              <w:rPr>
                <w:color w:val="600000" w:themeColor="accent6" w:themeShade="80"/>
              </w:rPr>
            </w:pPr>
            <w:r w:rsidRPr="00516C7D">
              <w:rPr>
                <w:i/>
              </w:rPr>
              <w:t>Source</w:t>
            </w:r>
            <w:r w:rsidRPr="00516C7D">
              <w:t xml:space="preserve">: </w:t>
            </w:r>
            <w:proofErr w:type="spellStart"/>
            <w:r w:rsidRPr="00516C7D">
              <w:t>AIHW</w:t>
            </w:r>
            <w:proofErr w:type="spellEnd"/>
            <w:r w:rsidRPr="00516C7D">
              <w:t xml:space="preserve"> data collection (unpublished); table</w:t>
            </w:r>
            <w:r w:rsidR="00BB42EE" w:rsidRPr="00516C7D">
              <w:t xml:space="preserve"> </w:t>
            </w:r>
            <w:proofErr w:type="spellStart"/>
            <w:r w:rsidR="003D62DA" w:rsidRPr="00516C7D">
              <w:t>16</w:t>
            </w:r>
            <w:r w:rsidR="00282BD1" w:rsidRPr="00516C7D">
              <w:t>A.</w:t>
            </w:r>
            <w:r w:rsidR="00D63DB8" w:rsidRPr="00516C7D">
              <w:t>2</w:t>
            </w:r>
            <w:r w:rsidR="009312EF">
              <w:t>2</w:t>
            </w:r>
            <w:proofErr w:type="spellEnd"/>
            <w:r w:rsidRPr="00516C7D">
              <w:t>.</w:t>
            </w:r>
          </w:p>
        </w:tc>
      </w:tr>
      <w:tr w:rsidR="00B96892" w:rsidRPr="00033816" w14:paraId="57E780A5" w14:textId="77777777" w:rsidTr="0028418B">
        <w:tc>
          <w:tcPr>
            <w:tcW w:w="8789" w:type="dxa"/>
            <w:tcBorders>
              <w:top w:val="nil"/>
              <w:left w:val="nil"/>
              <w:bottom w:val="single" w:sz="6" w:space="0" w:color="78A22F"/>
              <w:right w:val="nil"/>
            </w:tcBorders>
            <w:shd w:val="clear" w:color="auto" w:fill="auto"/>
          </w:tcPr>
          <w:p w14:paraId="73C49726" w14:textId="77777777" w:rsidR="00B96892" w:rsidRPr="00033816" w:rsidRDefault="00B96892" w:rsidP="00CE45D2">
            <w:pPr>
              <w:pStyle w:val="Figurespace"/>
              <w:spacing w:line="60" w:lineRule="exact"/>
              <w:rPr>
                <w:color w:val="600000" w:themeColor="accent6" w:themeShade="80"/>
              </w:rPr>
            </w:pPr>
          </w:p>
        </w:tc>
      </w:tr>
      <w:tr w:rsidR="00B96892" w:rsidRPr="00033816" w14:paraId="78DE3D39" w14:textId="77777777" w:rsidTr="0028418B">
        <w:tc>
          <w:tcPr>
            <w:tcW w:w="8789" w:type="dxa"/>
            <w:tcBorders>
              <w:top w:val="single" w:sz="6" w:space="0" w:color="78A22F"/>
              <w:left w:val="nil"/>
              <w:bottom w:val="nil"/>
              <w:right w:val="nil"/>
            </w:tcBorders>
          </w:tcPr>
          <w:p w14:paraId="673F0CE3" w14:textId="244BAFBF" w:rsidR="00B96892" w:rsidRPr="00033816" w:rsidRDefault="00B96892" w:rsidP="00CE45D2">
            <w:pPr>
              <w:pStyle w:val="BoxSpaceBelow"/>
              <w:spacing w:before="0" w:after="0" w:line="20" w:lineRule="exact"/>
            </w:pPr>
          </w:p>
        </w:tc>
      </w:tr>
    </w:tbl>
    <w:p w14:paraId="1758E7E8" w14:textId="6320A8D8" w:rsidR="00C24126" w:rsidRPr="00033816" w:rsidRDefault="003511B4" w:rsidP="00770430">
      <w:pPr>
        <w:pStyle w:val="Heading4"/>
      </w:pPr>
      <w:r w:rsidRPr="00033816">
        <w:lastRenderedPageBreak/>
        <w:t>C</w:t>
      </w:r>
      <w:r w:rsidR="00C24126" w:rsidRPr="00033816">
        <w:t>ontinuity of case worker</w:t>
      </w:r>
    </w:p>
    <w:p w14:paraId="48C55D96" w14:textId="6E2D5BAA" w:rsidR="00C24126" w:rsidRPr="00033816" w:rsidRDefault="00C24126" w:rsidP="00770430">
      <w:pPr>
        <w:pStyle w:val="BodyText"/>
      </w:pPr>
      <w:r w:rsidRPr="00033816">
        <w:t>‘Continuity of case worker’ is an indicator of governments’ objective to provide quality care for children and young people aged 0</w:t>
      </w:r>
      <w:r w:rsidR="005C49AF" w:rsidRPr="00033816">
        <w:t>−</w:t>
      </w:r>
      <w:r w:rsidRPr="00033816">
        <w:t>17 years who cannot live with their parents for reasons of safety or family crisis, with an emphasis on safety, stability and permanency in children’s living arrangements (box</w:t>
      </w:r>
      <w:r w:rsidR="00F310B0" w:rsidRPr="00033816">
        <w:t xml:space="preserve"> </w:t>
      </w:r>
      <w:r w:rsidR="00DC383D">
        <w:t>16.11</w:t>
      </w:r>
      <w:r w:rsidRPr="00033816">
        <w:t>).</w:t>
      </w:r>
    </w:p>
    <w:p w14:paraId="56A42712" w14:textId="06A1FC45" w:rsidR="00C24126" w:rsidRPr="00033816" w:rsidRDefault="00C24126" w:rsidP="00770430">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24126" w:rsidRPr="00033816" w14:paraId="11841B67" w14:textId="77777777" w:rsidTr="0028418B">
        <w:tc>
          <w:tcPr>
            <w:tcW w:w="8789" w:type="dxa"/>
            <w:tcBorders>
              <w:top w:val="single" w:sz="6" w:space="0" w:color="78A22F"/>
              <w:left w:val="nil"/>
              <w:bottom w:val="nil"/>
              <w:right w:val="nil"/>
            </w:tcBorders>
            <w:shd w:val="clear" w:color="auto" w:fill="F2F2F2" w:themeFill="background1" w:themeFillShade="F2"/>
          </w:tcPr>
          <w:p w14:paraId="727BC6BC" w14:textId="455BE43C" w:rsidR="00C24126" w:rsidRPr="00033816" w:rsidRDefault="00C24126" w:rsidP="00770430">
            <w:pPr>
              <w:pStyle w:val="BoxTitle"/>
            </w:pPr>
            <w:r w:rsidRPr="00033816">
              <w:rPr>
                <w:b w:val="0"/>
              </w:rPr>
              <w:t xml:space="preserve">Box </w:t>
            </w:r>
            <w:r w:rsidR="00707432" w:rsidRPr="00033816">
              <w:rPr>
                <w:b w:val="0"/>
              </w:rPr>
              <w:t>16.11</w:t>
            </w:r>
            <w:r w:rsidRPr="00033816">
              <w:tab/>
              <w:t>Continuity of case worker</w:t>
            </w:r>
          </w:p>
        </w:tc>
      </w:tr>
      <w:tr w:rsidR="00C24126" w:rsidRPr="00033816" w14:paraId="76ADD9D3" w14:textId="77777777" w:rsidTr="0028418B">
        <w:trPr>
          <w:cantSplit/>
        </w:trPr>
        <w:tc>
          <w:tcPr>
            <w:tcW w:w="8789" w:type="dxa"/>
            <w:tcBorders>
              <w:top w:val="nil"/>
              <w:left w:val="nil"/>
              <w:bottom w:val="nil"/>
              <w:right w:val="nil"/>
            </w:tcBorders>
            <w:shd w:val="clear" w:color="auto" w:fill="F2F2F2" w:themeFill="background1" w:themeFillShade="F2"/>
          </w:tcPr>
          <w:p w14:paraId="141BF0B3" w14:textId="3A616CAC" w:rsidR="00C24126" w:rsidRPr="00033816" w:rsidRDefault="00C24126" w:rsidP="00770430">
            <w:pPr>
              <w:pStyle w:val="Box"/>
            </w:pPr>
            <w:r w:rsidRPr="00033816">
              <w:t xml:space="preserve">‘Continuity of case worker’ is </w:t>
            </w:r>
            <w:r w:rsidR="003511B4" w:rsidRPr="00033816">
              <w:t>defined as the proportion of children in out</w:t>
            </w:r>
            <w:r w:rsidR="004F6E3D" w:rsidRPr="00033816">
              <w:noBreakHyphen/>
            </w:r>
            <w:r w:rsidR="003511B4" w:rsidRPr="00033816">
              <w:t>of</w:t>
            </w:r>
            <w:r w:rsidR="004F6E3D" w:rsidRPr="00033816">
              <w:noBreakHyphen/>
            </w:r>
            <w:r w:rsidR="003511B4" w:rsidRPr="00033816">
              <w:t>home care who have one caseworker assigned during the reporting period</w:t>
            </w:r>
            <w:r w:rsidRPr="00033816">
              <w:t>.</w:t>
            </w:r>
          </w:p>
          <w:p w14:paraId="0EEDB1F0" w14:textId="05965B7E" w:rsidR="00C24126" w:rsidRPr="00033816" w:rsidRDefault="003511B4" w:rsidP="00770430">
            <w:pPr>
              <w:pStyle w:val="Box"/>
            </w:pPr>
            <w:r w:rsidRPr="00033816">
              <w:t>A high or increasing percentage of children in out</w:t>
            </w:r>
            <w:r w:rsidR="004F6E3D" w:rsidRPr="00033816">
              <w:noBreakHyphen/>
            </w:r>
            <w:r w:rsidRPr="00033816">
              <w:t>of</w:t>
            </w:r>
            <w:r w:rsidR="004F6E3D" w:rsidRPr="00033816">
              <w:noBreakHyphen/>
            </w:r>
            <w:r w:rsidRPr="00033816">
              <w:t>home care who have one caseworker assigned during the reporting period is desirable</w:t>
            </w:r>
            <w:r w:rsidR="00C24126" w:rsidRPr="00033816">
              <w:t>.</w:t>
            </w:r>
          </w:p>
          <w:p w14:paraId="4FCFEC6C" w14:textId="4548F720" w:rsidR="00C24126" w:rsidRPr="00033816" w:rsidRDefault="003511B4" w:rsidP="00770430">
            <w:pPr>
              <w:pStyle w:val="Box"/>
            </w:pPr>
            <w:r w:rsidRPr="00033816">
              <w:t>Data are not yet available for reporting against this indicator</w:t>
            </w:r>
            <w:r w:rsidR="00C24126" w:rsidRPr="00033816">
              <w:t>.</w:t>
            </w:r>
          </w:p>
        </w:tc>
      </w:tr>
      <w:tr w:rsidR="00C24126" w:rsidRPr="00033816" w14:paraId="0920E396"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068A77C1" w14:textId="77777777" w:rsidR="00C24126" w:rsidRPr="00033816" w:rsidRDefault="00C24126" w:rsidP="00770430">
            <w:pPr>
              <w:pStyle w:val="Box"/>
              <w:spacing w:before="0" w:line="120" w:lineRule="exact"/>
            </w:pPr>
          </w:p>
        </w:tc>
      </w:tr>
      <w:tr w:rsidR="00C24126" w:rsidRPr="00033816" w14:paraId="7CAC4B4F" w14:textId="77777777" w:rsidTr="0028418B">
        <w:tc>
          <w:tcPr>
            <w:tcW w:w="8789" w:type="dxa"/>
            <w:tcBorders>
              <w:top w:val="single" w:sz="6" w:space="0" w:color="78A22F"/>
              <w:left w:val="nil"/>
              <w:bottom w:val="nil"/>
              <w:right w:val="nil"/>
            </w:tcBorders>
          </w:tcPr>
          <w:p w14:paraId="4DC79502" w14:textId="0F579A4B" w:rsidR="00C24126" w:rsidRPr="00033816" w:rsidRDefault="00C24126" w:rsidP="00770430">
            <w:pPr>
              <w:pStyle w:val="BoxSpaceBelow"/>
            </w:pPr>
          </w:p>
        </w:tc>
      </w:tr>
    </w:tbl>
    <w:p w14:paraId="78D210E1" w14:textId="77777777" w:rsidR="006842D6" w:rsidRPr="00033816" w:rsidRDefault="006842D6" w:rsidP="00770430">
      <w:pPr>
        <w:pStyle w:val="Heading3"/>
        <w:spacing w:before="400"/>
      </w:pPr>
      <w:r w:rsidRPr="00033816">
        <w:t>Efficiency</w:t>
      </w:r>
    </w:p>
    <w:p w14:paraId="7E99700C" w14:textId="6EAD9FA3" w:rsidR="00707432" w:rsidRDefault="00C243CA" w:rsidP="00770430">
      <w:pPr>
        <w:pStyle w:val="BodyText"/>
        <w:spacing w:before="200"/>
      </w:pPr>
      <w:r w:rsidRPr="00033816">
        <w:t xml:space="preserve">Efficiency indicators for child protection services are calculated </w:t>
      </w:r>
      <w:r w:rsidR="00F56985" w:rsidRPr="00033816">
        <w:t>using</w:t>
      </w:r>
      <w:r w:rsidRPr="00033816">
        <w:t xml:space="preserve"> the pathways model, </w:t>
      </w:r>
      <w:r w:rsidR="00815BDA" w:rsidRPr="00033816">
        <w:t>a top</w:t>
      </w:r>
      <w:r w:rsidR="008817BB" w:rsidRPr="00033816">
        <w:noBreakHyphen/>
      </w:r>
      <w:r w:rsidR="00815BDA" w:rsidRPr="00033816">
        <w:t>down activity</w:t>
      </w:r>
      <w:r w:rsidR="008817BB" w:rsidRPr="00033816">
        <w:noBreakHyphen/>
      </w:r>
      <w:r w:rsidR="00815BDA" w:rsidRPr="00033816">
        <w:t xml:space="preserve">based costing method. Eight national pathways </w:t>
      </w:r>
      <w:r w:rsidR="00F56985" w:rsidRPr="00033816">
        <w:t>provide</w:t>
      </w:r>
      <w:r w:rsidR="00815BDA" w:rsidRPr="00033816">
        <w:t xml:space="preserve"> a </w:t>
      </w:r>
      <w:r w:rsidR="00707432" w:rsidRPr="00033816">
        <w:t>high</w:t>
      </w:r>
      <w:r w:rsidR="004F6E3D" w:rsidRPr="00033816">
        <w:noBreakHyphen/>
      </w:r>
      <w:r w:rsidR="00707432" w:rsidRPr="00033816">
        <w:t>level</w:t>
      </w:r>
      <w:r w:rsidR="00815BDA" w:rsidRPr="00033816">
        <w:t xml:space="preserve"> representation of the services that </w:t>
      </w:r>
      <w:r w:rsidR="008E70CD" w:rsidRPr="00033816">
        <w:t>children and families</w:t>
      </w:r>
      <w:r w:rsidR="00815BDA" w:rsidRPr="00033816">
        <w:t xml:space="preserve"> could receive in any jurisdiction. Each pathway consists of common activity</w:t>
      </w:r>
      <w:r w:rsidR="00707432" w:rsidRPr="00033816">
        <w:t xml:space="preserve"> groups, which</w:t>
      </w:r>
      <w:r w:rsidR="00815BDA" w:rsidRPr="00033816">
        <w:t xml:space="preserve"> act as the ‘building blocks’ for each of the pathways. The aggregate cost of each activity group within the pathway will allow the unit cost of an individual pathway to be derived.</w:t>
      </w:r>
      <w:r w:rsidR="00F91294" w:rsidRPr="00033816">
        <w:t xml:space="preserve"> Figure </w:t>
      </w:r>
      <w:r w:rsidR="009D4A68" w:rsidRPr="00033816">
        <w:t>16.11</w:t>
      </w:r>
      <w:r w:rsidR="00F91294" w:rsidRPr="00033816">
        <w:rPr>
          <w:b/>
        </w:rPr>
        <w:t xml:space="preserve"> </w:t>
      </w:r>
      <w:r w:rsidR="00F91294" w:rsidRPr="00033816">
        <w:t>shows how unit costs are calculated in accordance with the pathways model.</w:t>
      </w:r>
    </w:p>
    <w:p w14:paraId="2B6BD332" w14:textId="77777777" w:rsidR="00CE45D2" w:rsidRPr="00033816" w:rsidRDefault="00CE45D2" w:rsidP="00CE45D2">
      <w:pPr>
        <w:pStyle w:val="BodyText"/>
      </w:pPr>
      <w:r w:rsidRPr="00033816">
        <w:t>The activity groups and detailed definitions are included in section 16.4. Development of national reporting against these activity groups is ongoing and data are experimental.</w:t>
      </w:r>
    </w:p>
    <w:p w14:paraId="6BA170A8" w14:textId="77777777" w:rsidR="00CE45D2" w:rsidRPr="00033816" w:rsidRDefault="00CE45D2" w:rsidP="00770430">
      <w:pPr>
        <w:pStyle w:val="BodyText"/>
        <w:spacing w:before="200"/>
      </w:pPr>
    </w:p>
    <w:p w14:paraId="66EA8298" w14:textId="2EC6DDB4" w:rsidR="00F91294" w:rsidRPr="00033816" w:rsidRDefault="00F91294" w:rsidP="00770430">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91294" w:rsidRPr="00033816" w14:paraId="66BE1B0E" w14:textId="77777777" w:rsidTr="0028418B">
        <w:trPr>
          <w:tblHeader/>
        </w:trPr>
        <w:tc>
          <w:tcPr>
            <w:tcW w:w="8789" w:type="dxa"/>
            <w:tcBorders>
              <w:top w:val="single" w:sz="6" w:space="0" w:color="78A22F"/>
              <w:left w:val="nil"/>
              <w:bottom w:val="nil"/>
              <w:right w:val="nil"/>
            </w:tcBorders>
            <w:shd w:val="clear" w:color="auto" w:fill="auto"/>
          </w:tcPr>
          <w:p w14:paraId="33AF4A31" w14:textId="177C4809" w:rsidR="00F91294" w:rsidRPr="00033816" w:rsidRDefault="00F91294" w:rsidP="00770430">
            <w:pPr>
              <w:pStyle w:val="FigureTitle"/>
            </w:pPr>
            <w:r w:rsidRPr="00033816">
              <w:rPr>
                <w:b w:val="0"/>
              </w:rPr>
              <w:t xml:space="preserve">Figure </w:t>
            </w:r>
            <w:r w:rsidR="00707432" w:rsidRPr="00033816">
              <w:rPr>
                <w:b w:val="0"/>
              </w:rPr>
              <w:t>16.11</w:t>
            </w:r>
            <w:r w:rsidRPr="00033816">
              <w:tab/>
              <w:t>Calculation of unit costs in accordance with the pathways model</w:t>
            </w:r>
            <w:r w:rsidR="00953194" w:rsidRPr="00033816">
              <w:rPr>
                <w:rStyle w:val="NoteLabel"/>
                <w:b/>
              </w:rPr>
              <w:t>a</w:t>
            </w:r>
          </w:p>
        </w:tc>
      </w:tr>
      <w:tr w:rsidR="00F91294" w:rsidRPr="00033816" w14:paraId="321C9D1F" w14:textId="77777777" w:rsidTr="0028418B">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1294" w:rsidRPr="00033816" w14:paraId="5628FFD0" w14:textId="77777777" w:rsidTr="00956348">
              <w:trPr>
                <w:tblHeader/>
                <w:jc w:val="center"/>
              </w:trPr>
              <w:tc>
                <w:tcPr>
                  <w:tcW w:w="5000" w:type="pct"/>
                  <w:tcBorders>
                    <w:top w:val="nil"/>
                    <w:bottom w:val="nil"/>
                  </w:tcBorders>
                </w:tcPr>
                <w:p w14:paraId="2620DF73" w14:textId="590BA8FF" w:rsidR="00F91294" w:rsidRPr="00033816" w:rsidRDefault="005154C4" w:rsidP="00770430">
                  <w:pPr>
                    <w:pStyle w:val="Figure"/>
                    <w:spacing w:before="60" w:after="60"/>
                    <w:rPr>
                      <w:rFonts w:ascii="Arial" w:hAnsi="Arial" w:cs="Arial"/>
                      <w:sz w:val="18"/>
                      <w:szCs w:val="18"/>
                    </w:rPr>
                  </w:pPr>
                  <w:r w:rsidRPr="00033816">
                    <w:rPr>
                      <w:noProof/>
                    </w:rPr>
                    <w:drawing>
                      <wp:inline distT="0" distB="0" distL="0" distR="0" wp14:anchorId="2F5F1CD3" wp14:editId="2EC42333">
                        <wp:extent cx="5387340" cy="3070225"/>
                        <wp:effectExtent l="0" t="0" r="3810" b="0"/>
                        <wp:docPr id="1" name="Picture 1" descr="Figure 16.11 Calculation of unit costs in accordance with the pathways mode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7896" cy="3070542"/>
                                </a:xfrm>
                                <a:prstGeom prst="rect">
                                  <a:avLst/>
                                </a:prstGeom>
                                <a:noFill/>
                                <a:ln>
                                  <a:noFill/>
                                </a:ln>
                              </pic:spPr>
                            </pic:pic>
                          </a:graphicData>
                        </a:graphic>
                      </wp:inline>
                    </w:drawing>
                  </w:r>
                </w:p>
              </w:tc>
            </w:tr>
          </w:tbl>
          <w:p w14:paraId="7DEAC1E0" w14:textId="77777777" w:rsidR="00F91294" w:rsidRPr="00033816" w:rsidRDefault="00F91294" w:rsidP="00770430">
            <w:pPr>
              <w:pStyle w:val="Figure"/>
            </w:pPr>
          </w:p>
        </w:tc>
      </w:tr>
      <w:tr w:rsidR="00F91294" w:rsidRPr="00033816" w14:paraId="7B7970B5" w14:textId="77777777" w:rsidTr="0028418B">
        <w:tc>
          <w:tcPr>
            <w:tcW w:w="8789" w:type="dxa"/>
            <w:tcBorders>
              <w:top w:val="nil"/>
              <w:left w:val="nil"/>
              <w:bottom w:val="single" w:sz="6" w:space="0" w:color="78A22F"/>
              <w:right w:val="nil"/>
            </w:tcBorders>
            <w:shd w:val="clear" w:color="auto" w:fill="auto"/>
          </w:tcPr>
          <w:p w14:paraId="29A35ED2" w14:textId="70436D5C" w:rsidR="00F91294" w:rsidRPr="00033816" w:rsidRDefault="00953194" w:rsidP="00770430">
            <w:pPr>
              <w:pStyle w:val="Note"/>
            </w:pPr>
            <w:proofErr w:type="spellStart"/>
            <w:r w:rsidRPr="00033816">
              <w:rPr>
                <w:rStyle w:val="NoteLabel"/>
              </w:rPr>
              <w:t>a</w:t>
            </w:r>
            <w:proofErr w:type="spellEnd"/>
            <w:r w:rsidRPr="00033816">
              <w:t xml:space="preserve"> </w:t>
            </w:r>
            <w:r w:rsidRPr="00033816">
              <w:rPr>
                <w:b/>
              </w:rPr>
              <w:t>Activity group 1 (</w:t>
            </w:r>
            <w:proofErr w:type="spellStart"/>
            <w:r w:rsidRPr="00033816">
              <w:rPr>
                <w:b/>
              </w:rPr>
              <w:t>AG1</w:t>
            </w:r>
            <w:proofErr w:type="spellEnd"/>
            <w:r w:rsidRPr="00033816">
              <w:rPr>
                <w:b/>
              </w:rPr>
              <w:t>):</w:t>
            </w:r>
            <w:r w:rsidRPr="00033816">
              <w:t xml:space="preserve"> Receipt and assessment of initial information about a potential protection and support issue. </w:t>
            </w:r>
            <w:r w:rsidRPr="00033816">
              <w:rPr>
                <w:b/>
              </w:rPr>
              <w:t>Activity group 2 (</w:t>
            </w:r>
            <w:proofErr w:type="spellStart"/>
            <w:r w:rsidRPr="00033816">
              <w:rPr>
                <w:b/>
              </w:rPr>
              <w:t>AG2</w:t>
            </w:r>
            <w:proofErr w:type="spellEnd"/>
            <w:r w:rsidRPr="00033816">
              <w:rPr>
                <w:b/>
              </w:rPr>
              <w:t>):</w:t>
            </w:r>
            <w:r w:rsidRPr="00033816">
              <w:t xml:space="preserve"> Provision of generic family support services. </w:t>
            </w:r>
            <w:r w:rsidRPr="00033816">
              <w:rPr>
                <w:b/>
              </w:rPr>
              <w:t>Activity group 3 (</w:t>
            </w:r>
            <w:proofErr w:type="spellStart"/>
            <w:r w:rsidRPr="00033816">
              <w:rPr>
                <w:b/>
              </w:rPr>
              <w:t>AG3</w:t>
            </w:r>
            <w:proofErr w:type="spellEnd"/>
            <w:r w:rsidRPr="00033816">
              <w:rPr>
                <w:b/>
              </w:rPr>
              <w:t>):</w:t>
            </w:r>
            <w:r w:rsidRPr="00033816">
              <w:t xml:space="preserve"> Provision of intensive family support services. </w:t>
            </w:r>
            <w:r w:rsidRPr="00033816">
              <w:rPr>
                <w:b/>
              </w:rPr>
              <w:t>Activity group 4 (</w:t>
            </w:r>
            <w:proofErr w:type="spellStart"/>
            <w:r w:rsidRPr="00033816">
              <w:rPr>
                <w:b/>
              </w:rPr>
              <w:t>AG4</w:t>
            </w:r>
            <w:proofErr w:type="spellEnd"/>
            <w:r w:rsidRPr="00033816">
              <w:rPr>
                <w:b/>
              </w:rPr>
              <w:t>):</w:t>
            </w:r>
            <w:r w:rsidRPr="00033816">
              <w:t xml:space="preserve"> Secondary information gathering and assessment. </w:t>
            </w:r>
            <w:r w:rsidRPr="00033816">
              <w:rPr>
                <w:b/>
              </w:rPr>
              <w:t>Activity group 5 (</w:t>
            </w:r>
            <w:proofErr w:type="spellStart"/>
            <w:r w:rsidRPr="00033816">
              <w:rPr>
                <w:b/>
              </w:rPr>
              <w:t>AG5</w:t>
            </w:r>
            <w:proofErr w:type="spellEnd"/>
            <w:r w:rsidRPr="00033816">
              <w:rPr>
                <w:b/>
              </w:rPr>
              <w:t>):</w:t>
            </w:r>
            <w:r w:rsidRPr="00033816">
              <w:t xml:space="preserve"> Provision of </w:t>
            </w:r>
            <w:r w:rsidR="00707432" w:rsidRPr="00033816">
              <w:t>short</w:t>
            </w:r>
            <w:r w:rsidR="004F6E3D" w:rsidRPr="00033816">
              <w:noBreakHyphen/>
            </w:r>
            <w:r w:rsidR="00707432" w:rsidRPr="00033816">
              <w:t>term</w:t>
            </w:r>
            <w:r w:rsidRPr="00033816">
              <w:t xml:space="preserve"> protective intervention and coordination services for children not on an order. </w:t>
            </w:r>
            <w:r w:rsidRPr="00033816">
              <w:rPr>
                <w:b/>
              </w:rPr>
              <w:t>Activity group 6 (</w:t>
            </w:r>
            <w:proofErr w:type="spellStart"/>
            <w:r w:rsidRPr="00033816">
              <w:rPr>
                <w:b/>
              </w:rPr>
              <w:t>AG6</w:t>
            </w:r>
            <w:proofErr w:type="spellEnd"/>
            <w:r w:rsidRPr="00033816">
              <w:rPr>
                <w:b/>
              </w:rPr>
              <w:t>):</w:t>
            </w:r>
            <w:r w:rsidRPr="00033816">
              <w:t xml:space="preserve"> Seeking an order</w:t>
            </w:r>
            <w:r w:rsidRPr="00033816">
              <w:rPr>
                <w:b/>
              </w:rPr>
              <w:t>. Activity group</w:t>
            </w:r>
            <w:r w:rsidR="001F06A8">
              <w:rPr>
                <w:b/>
              </w:rPr>
              <w:t> </w:t>
            </w:r>
            <w:r w:rsidRPr="00033816">
              <w:rPr>
                <w:b/>
              </w:rPr>
              <w:t>7 (</w:t>
            </w:r>
            <w:proofErr w:type="spellStart"/>
            <w:r w:rsidRPr="00033816">
              <w:rPr>
                <w:b/>
              </w:rPr>
              <w:t>AG7</w:t>
            </w:r>
            <w:proofErr w:type="spellEnd"/>
            <w:r w:rsidRPr="00033816">
              <w:rPr>
                <w:b/>
              </w:rPr>
              <w:t>):</w:t>
            </w:r>
            <w:r w:rsidRPr="00033816">
              <w:t xml:space="preserve"> Provision of protective intervention, support and coordination services for children on an order. </w:t>
            </w:r>
            <w:r w:rsidRPr="00033816">
              <w:rPr>
                <w:b/>
              </w:rPr>
              <w:t>Activity group 8 (</w:t>
            </w:r>
            <w:proofErr w:type="spellStart"/>
            <w:r w:rsidRPr="00033816">
              <w:rPr>
                <w:b/>
              </w:rPr>
              <w:t>AG8</w:t>
            </w:r>
            <w:proofErr w:type="spellEnd"/>
            <w:r w:rsidRPr="00033816">
              <w:rPr>
                <w:b/>
              </w:rPr>
              <w:t>):</w:t>
            </w:r>
            <w:r w:rsidRPr="00033816">
              <w:t xml:space="preserve"> Provision of out</w:t>
            </w:r>
            <w:r w:rsidR="004F6E3D" w:rsidRPr="00033816">
              <w:noBreakHyphen/>
            </w:r>
            <w:r w:rsidRPr="00033816">
              <w:t>of</w:t>
            </w:r>
            <w:r w:rsidR="004F6E3D" w:rsidRPr="00033816">
              <w:noBreakHyphen/>
            </w:r>
            <w:r w:rsidRPr="00033816">
              <w:t>home care services</w:t>
            </w:r>
            <w:r w:rsidR="001F06A8">
              <w:t>.</w:t>
            </w:r>
          </w:p>
        </w:tc>
      </w:tr>
      <w:tr w:rsidR="00F91294" w:rsidRPr="00033816" w14:paraId="164848B0" w14:textId="77777777" w:rsidTr="0028418B">
        <w:tc>
          <w:tcPr>
            <w:tcW w:w="8789" w:type="dxa"/>
            <w:tcBorders>
              <w:top w:val="single" w:sz="6" w:space="0" w:color="78A22F"/>
              <w:left w:val="nil"/>
              <w:bottom w:val="nil"/>
              <w:right w:val="nil"/>
            </w:tcBorders>
          </w:tcPr>
          <w:p w14:paraId="7CE5C876" w14:textId="1E340D8C" w:rsidR="00F91294" w:rsidRPr="00033816" w:rsidRDefault="00F91294" w:rsidP="00770430">
            <w:pPr>
              <w:pStyle w:val="BoxSpaceBelow"/>
            </w:pPr>
          </w:p>
        </w:tc>
      </w:tr>
    </w:tbl>
    <w:p w14:paraId="57D30365" w14:textId="186DB16D" w:rsidR="00815BDA" w:rsidRPr="00033816" w:rsidRDefault="00815BDA" w:rsidP="00770430">
      <w:pPr>
        <w:pStyle w:val="BodyText"/>
      </w:pPr>
      <w:r w:rsidRPr="00033816">
        <w:t>The activity groups and detailed definitions are included in section 16.4. Development of national reporting against t</w:t>
      </w:r>
      <w:r w:rsidR="004E09D0" w:rsidRPr="00033816">
        <w:t>hese activity groups is ongoing</w:t>
      </w:r>
      <w:r w:rsidR="00F91294" w:rsidRPr="00033816">
        <w:t xml:space="preserve"> and data </w:t>
      </w:r>
      <w:r w:rsidR="00707432" w:rsidRPr="00033816">
        <w:t xml:space="preserve">are </w:t>
      </w:r>
      <w:r w:rsidR="00F91294" w:rsidRPr="00033816">
        <w:t>experimental</w:t>
      </w:r>
      <w:r w:rsidRPr="00033816">
        <w:t>.</w:t>
      </w:r>
    </w:p>
    <w:p w14:paraId="55362D74" w14:textId="29BEC97B" w:rsidR="006842D6" w:rsidRPr="00033816" w:rsidRDefault="00AA2EAA" w:rsidP="00770430">
      <w:pPr>
        <w:pStyle w:val="Heading4"/>
      </w:pPr>
      <w:r w:rsidRPr="00033816">
        <w:t xml:space="preserve">Unit costs for </w:t>
      </w:r>
      <w:r w:rsidR="00216083" w:rsidRPr="00033816">
        <w:t xml:space="preserve">protective intervention services </w:t>
      </w:r>
      <w:r w:rsidR="00953194" w:rsidRPr="00033816">
        <w:t>activity groups</w:t>
      </w:r>
    </w:p>
    <w:p w14:paraId="1A7AAD55" w14:textId="40BACD6B" w:rsidR="00193E22" w:rsidRPr="00033816" w:rsidRDefault="00670C90" w:rsidP="00770430">
      <w:pPr>
        <w:pStyle w:val="BodyText"/>
      </w:pPr>
      <w:r w:rsidRPr="00033816">
        <w:t>‘</w:t>
      </w:r>
      <w:r w:rsidR="00AD6EF3" w:rsidRPr="00033816">
        <w:t xml:space="preserve">Unit costs for </w:t>
      </w:r>
      <w:r w:rsidR="00216083" w:rsidRPr="00033816">
        <w:t xml:space="preserve">protective intervention services </w:t>
      </w:r>
      <w:r w:rsidR="00953194" w:rsidRPr="00033816">
        <w:t>activity groups</w:t>
      </w:r>
      <w:r w:rsidR="002C19F0" w:rsidRPr="00033816">
        <w:t xml:space="preserve">’ </w:t>
      </w:r>
      <w:r w:rsidR="00707432" w:rsidRPr="00033816">
        <w:t xml:space="preserve">is </w:t>
      </w:r>
      <w:r w:rsidRPr="00033816">
        <w:t xml:space="preserve">reported as </w:t>
      </w:r>
      <w:r w:rsidR="00707432" w:rsidRPr="00033816">
        <w:t xml:space="preserve">an </w:t>
      </w:r>
      <w:r w:rsidRPr="00033816">
        <w:t xml:space="preserve">indicator of governments’ objective </w:t>
      </w:r>
      <w:r w:rsidR="005D5B5E" w:rsidRPr="00033816">
        <w:t>to provide child protection services in an efficient manner</w:t>
      </w:r>
      <w:r w:rsidRPr="00033816">
        <w:t xml:space="preserve"> </w:t>
      </w:r>
      <w:r w:rsidR="006842D6" w:rsidRPr="00033816">
        <w:t>(box</w:t>
      </w:r>
      <w:r w:rsidR="00F56985" w:rsidRPr="00033816">
        <w:t> </w:t>
      </w:r>
      <w:r w:rsidR="00DC383D">
        <w:t>16.12</w:t>
      </w:r>
      <w:r w:rsidR="005B2C76" w:rsidRPr="00033816">
        <w:t>).</w:t>
      </w:r>
    </w:p>
    <w:p w14:paraId="6F5868D2" w14:textId="4DF86E74" w:rsidR="00E17D6A" w:rsidRPr="00033816" w:rsidRDefault="00E17D6A"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17D6A" w:rsidRPr="00033816" w14:paraId="5DB90E8D" w14:textId="77777777" w:rsidTr="0028418B">
        <w:tc>
          <w:tcPr>
            <w:tcW w:w="8789" w:type="dxa"/>
            <w:tcBorders>
              <w:top w:val="single" w:sz="6" w:space="0" w:color="78A22F"/>
              <w:left w:val="nil"/>
              <w:bottom w:val="nil"/>
              <w:right w:val="nil"/>
            </w:tcBorders>
            <w:shd w:val="clear" w:color="auto" w:fill="F2F2F2" w:themeFill="background1" w:themeFillShade="F2"/>
          </w:tcPr>
          <w:p w14:paraId="2DBA436A" w14:textId="42C7448C" w:rsidR="00E17D6A" w:rsidRPr="00033816" w:rsidRDefault="00E17D6A" w:rsidP="00770430">
            <w:pPr>
              <w:pStyle w:val="BoxTitle"/>
              <w:rPr>
                <w:color w:val="600000" w:themeColor="accent6" w:themeShade="80"/>
              </w:rPr>
            </w:pPr>
            <w:r w:rsidRPr="00033816">
              <w:rPr>
                <w:b w:val="0"/>
              </w:rPr>
              <w:t>Box</w:t>
            </w:r>
            <w:r w:rsidR="00BB42EE" w:rsidRPr="00033816">
              <w:rPr>
                <w:b w:val="0"/>
              </w:rPr>
              <w:t xml:space="preserve"> </w:t>
            </w:r>
            <w:bookmarkStart w:id="33" w:name="OLE_LINK24"/>
            <w:r w:rsidR="00DC383D">
              <w:rPr>
                <w:b w:val="0"/>
              </w:rPr>
              <w:t>16.</w:t>
            </w:r>
            <w:bookmarkEnd w:id="33"/>
            <w:r w:rsidR="00216083" w:rsidRPr="00033816">
              <w:rPr>
                <w:b w:val="0"/>
              </w:rPr>
              <w:t>12</w:t>
            </w:r>
            <w:r w:rsidRPr="00033816">
              <w:tab/>
            </w:r>
            <w:r w:rsidR="00AD6EF3" w:rsidRPr="00033816">
              <w:t xml:space="preserve">Unit costs for </w:t>
            </w:r>
            <w:r w:rsidR="000D1CAD" w:rsidRPr="00033816">
              <w:t xml:space="preserve">protective </w:t>
            </w:r>
            <w:r w:rsidR="00216083" w:rsidRPr="00033816">
              <w:t xml:space="preserve">intervention </w:t>
            </w:r>
            <w:r w:rsidR="00AD6EF3" w:rsidRPr="00033816">
              <w:t>services</w:t>
            </w:r>
            <w:r w:rsidR="00953194" w:rsidRPr="00033816">
              <w:t xml:space="preserve"> activity groups</w:t>
            </w:r>
          </w:p>
        </w:tc>
      </w:tr>
      <w:tr w:rsidR="00E17D6A" w:rsidRPr="00033816" w14:paraId="49EB7519" w14:textId="77777777" w:rsidTr="0028418B">
        <w:trPr>
          <w:cantSplit/>
        </w:trPr>
        <w:tc>
          <w:tcPr>
            <w:tcW w:w="8789" w:type="dxa"/>
            <w:tcBorders>
              <w:top w:val="nil"/>
              <w:left w:val="nil"/>
              <w:bottom w:val="nil"/>
              <w:right w:val="nil"/>
            </w:tcBorders>
            <w:shd w:val="clear" w:color="auto" w:fill="F2F2F2" w:themeFill="background1" w:themeFillShade="F2"/>
          </w:tcPr>
          <w:p w14:paraId="1F701748" w14:textId="58324829" w:rsidR="00FD794F" w:rsidRPr="00033816" w:rsidRDefault="00FD794F" w:rsidP="00770430">
            <w:pPr>
              <w:pStyle w:val="Box"/>
            </w:pPr>
            <w:r w:rsidRPr="00033816">
              <w:t>‘</w:t>
            </w:r>
            <w:r w:rsidR="00AD6EF3" w:rsidRPr="00033816">
              <w:t xml:space="preserve">Unit costs for </w:t>
            </w:r>
            <w:r w:rsidR="000D1CAD" w:rsidRPr="00033816">
              <w:t>protective</w:t>
            </w:r>
            <w:r w:rsidR="00216083" w:rsidRPr="00033816">
              <w:t xml:space="preserve"> intervention</w:t>
            </w:r>
            <w:r w:rsidR="00AD6EF3" w:rsidRPr="00033816">
              <w:t xml:space="preserve"> services</w:t>
            </w:r>
            <w:r w:rsidR="00953194" w:rsidRPr="00033816">
              <w:t xml:space="preserve"> activity groups</w:t>
            </w:r>
            <w:r w:rsidRPr="00033816">
              <w:t xml:space="preserve">’ is defined </w:t>
            </w:r>
            <w:r w:rsidR="0075073E" w:rsidRPr="00033816">
              <w:t xml:space="preserve">as total recurrent expenditure on </w:t>
            </w:r>
            <w:r w:rsidR="00066049" w:rsidRPr="00033816">
              <w:t xml:space="preserve">a </w:t>
            </w:r>
            <w:r w:rsidR="0075073E" w:rsidRPr="00033816">
              <w:t xml:space="preserve">child protection </w:t>
            </w:r>
            <w:r w:rsidR="00707432" w:rsidRPr="00033816">
              <w:t>activity</w:t>
            </w:r>
            <w:r w:rsidR="00F56985" w:rsidRPr="00033816">
              <w:t>,</w:t>
            </w:r>
            <w:r w:rsidR="00707432" w:rsidRPr="00033816">
              <w:t xml:space="preserve"> </w:t>
            </w:r>
            <w:r w:rsidR="0075073E" w:rsidRPr="00033816">
              <w:t xml:space="preserve">divided by </w:t>
            </w:r>
            <w:r w:rsidR="00066049" w:rsidRPr="00033816">
              <w:t xml:space="preserve">the relevant units of </w:t>
            </w:r>
            <w:r w:rsidR="0075073E" w:rsidRPr="00033816">
              <w:t>service activity, resulting in six measures</w:t>
            </w:r>
            <w:r w:rsidRPr="00033816">
              <w:t>:</w:t>
            </w:r>
          </w:p>
          <w:p w14:paraId="0D2F175D" w14:textId="7C1962CF" w:rsidR="00FD794F" w:rsidRPr="00033816" w:rsidRDefault="00AD6EF3" w:rsidP="00770430">
            <w:pPr>
              <w:pStyle w:val="BoxListBullet"/>
            </w:pPr>
            <w:r w:rsidRPr="00033816">
              <w:t>cost per report to child protection</w:t>
            </w:r>
            <w:r w:rsidR="00C243CA" w:rsidRPr="00033816">
              <w:t xml:space="preserve"> </w:t>
            </w:r>
            <w:r w:rsidR="00953194" w:rsidRPr="00033816">
              <w:t>(</w:t>
            </w:r>
            <w:proofErr w:type="spellStart"/>
            <w:r w:rsidR="00953194" w:rsidRPr="00033816">
              <w:t>AG1</w:t>
            </w:r>
            <w:proofErr w:type="spellEnd"/>
            <w:r w:rsidR="00953194" w:rsidRPr="00033816">
              <w:t>)</w:t>
            </w:r>
          </w:p>
          <w:p w14:paraId="12203BE5" w14:textId="7D862755" w:rsidR="00AD6EF3" w:rsidRPr="00033816" w:rsidRDefault="00AD6EF3" w:rsidP="00770430">
            <w:pPr>
              <w:pStyle w:val="BoxListBullet"/>
            </w:pPr>
            <w:r w:rsidRPr="00033816">
              <w:t>cost per notification</w:t>
            </w:r>
            <w:r w:rsidR="00953194" w:rsidRPr="00033816">
              <w:t xml:space="preserve"> (</w:t>
            </w:r>
            <w:proofErr w:type="spellStart"/>
            <w:r w:rsidR="00953194" w:rsidRPr="00033816">
              <w:t>AG1</w:t>
            </w:r>
            <w:proofErr w:type="spellEnd"/>
            <w:r w:rsidR="00953194" w:rsidRPr="00033816">
              <w:t>)</w:t>
            </w:r>
          </w:p>
          <w:p w14:paraId="03E39F73" w14:textId="1E9FF379" w:rsidR="00AD6EF3" w:rsidRPr="00033816" w:rsidRDefault="00AD6EF3" w:rsidP="00770430">
            <w:pPr>
              <w:pStyle w:val="BoxListBullet"/>
            </w:pPr>
            <w:r w:rsidRPr="00033816">
              <w:t>cost per notification investigated</w:t>
            </w:r>
            <w:r w:rsidR="00953194" w:rsidRPr="00033816">
              <w:t xml:space="preserve"> (</w:t>
            </w:r>
            <w:proofErr w:type="spellStart"/>
            <w:r w:rsidR="00953194" w:rsidRPr="00033816">
              <w:t>AG4</w:t>
            </w:r>
            <w:proofErr w:type="spellEnd"/>
            <w:r w:rsidR="00953194" w:rsidRPr="00033816">
              <w:t>)</w:t>
            </w:r>
          </w:p>
          <w:p w14:paraId="21297DAF" w14:textId="0F4D4F1E" w:rsidR="00AD6EF3" w:rsidRPr="00033816" w:rsidRDefault="00AD6EF3" w:rsidP="00770430">
            <w:pPr>
              <w:pStyle w:val="BoxListBullet"/>
            </w:pPr>
            <w:r w:rsidRPr="00033816">
              <w:t xml:space="preserve">cost per </w:t>
            </w:r>
            <w:r w:rsidR="00953194" w:rsidRPr="00033816">
              <w:t xml:space="preserve">child commencing </w:t>
            </w:r>
            <w:r w:rsidR="00300BFD" w:rsidRPr="00033816">
              <w:t xml:space="preserve">protective intervention and coordination services who is </w:t>
            </w:r>
            <w:r w:rsidR="00300BFD" w:rsidRPr="00033816">
              <w:rPr>
                <w:u w:val="single"/>
              </w:rPr>
              <w:t>not</w:t>
            </w:r>
            <w:r w:rsidR="00300BFD" w:rsidRPr="00033816">
              <w:t xml:space="preserve"> on an order (</w:t>
            </w:r>
            <w:proofErr w:type="spellStart"/>
            <w:r w:rsidR="00300BFD" w:rsidRPr="00033816">
              <w:t>AG5</w:t>
            </w:r>
            <w:proofErr w:type="spellEnd"/>
            <w:r w:rsidR="00300BFD" w:rsidRPr="00033816">
              <w:t>)</w:t>
            </w:r>
          </w:p>
          <w:p w14:paraId="0F56FEB9" w14:textId="23E0E527" w:rsidR="00300BFD" w:rsidRPr="00033816" w:rsidRDefault="00300BFD" w:rsidP="00770430">
            <w:pPr>
              <w:pStyle w:val="BoxListBullet"/>
            </w:pPr>
            <w:r w:rsidRPr="00033816">
              <w:t>cost per order issued (</w:t>
            </w:r>
            <w:proofErr w:type="spellStart"/>
            <w:r w:rsidRPr="00033816">
              <w:t>AG6</w:t>
            </w:r>
            <w:proofErr w:type="spellEnd"/>
            <w:r w:rsidRPr="00033816">
              <w:t>)</w:t>
            </w:r>
          </w:p>
          <w:p w14:paraId="3E95220D" w14:textId="1C073007" w:rsidR="00300BFD" w:rsidRPr="00033816" w:rsidRDefault="00300BFD" w:rsidP="00770430">
            <w:pPr>
              <w:pStyle w:val="BoxListBullet"/>
            </w:pPr>
            <w:r w:rsidRPr="00033816">
              <w:t>cost per child commencing protective intervention and coordination services who is on an order (</w:t>
            </w:r>
            <w:proofErr w:type="spellStart"/>
            <w:r w:rsidRPr="00033816">
              <w:t>AG7</w:t>
            </w:r>
            <w:proofErr w:type="spellEnd"/>
            <w:r w:rsidRPr="00033816">
              <w:t>)</w:t>
            </w:r>
            <w:r w:rsidR="00F56985" w:rsidRPr="00033816">
              <w:t>.</w:t>
            </w:r>
          </w:p>
          <w:p w14:paraId="31D58063" w14:textId="5ACA3BEE" w:rsidR="008B2BD8" w:rsidRPr="00033816" w:rsidRDefault="00FD794F" w:rsidP="00770430">
            <w:pPr>
              <w:pStyle w:val="Box"/>
            </w:pPr>
            <w:r w:rsidRPr="00033816">
              <w:t xml:space="preserve">Low or decreasing expenditure per </w:t>
            </w:r>
            <w:r w:rsidR="00DA1055" w:rsidRPr="00033816">
              <w:t>child protection activity</w:t>
            </w:r>
            <w:r w:rsidRPr="00033816">
              <w:t xml:space="preserve"> can suggest more efficient services</w:t>
            </w:r>
            <w:r w:rsidR="00354704" w:rsidRPr="00033816">
              <w:t>,</w:t>
            </w:r>
            <w:r w:rsidRPr="00033816">
              <w:t xml:space="preserve"> but </w:t>
            </w:r>
            <w:r w:rsidR="00354704" w:rsidRPr="00033816">
              <w:t xml:space="preserve">could also </w:t>
            </w:r>
            <w:r w:rsidRPr="00033816">
              <w:t>indicate lower quality</w:t>
            </w:r>
            <w:r w:rsidR="00354704" w:rsidRPr="00033816">
              <w:t xml:space="preserve"> and should be considered together with the results for other indicators in this chapter.</w:t>
            </w:r>
          </w:p>
          <w:p w14:paraId="66AB320D" w14:textId="1B6A0CEE" w:rsidR="00FD794F" w:rsidRDefault="00AD6EF3" w:rsidP="00770430">
            <w:pPr>
              <w:pStyle w:val="Box"/>
            </w:pPr>
            <w:r w:rsidRPr="00033816">
              <w:t>Data for unit costs are experimental and should be considered together with the proportional allocation of total expenditure across all activity groups comprising the pathways method.</w:t>
            </w:r>
          </w:p>
          <w:p w14:paraId="67843ACE" w14:textId="17496D21" w:rsidR="00AB477E" w:rsidRPr="00033816" w:rsidRDefault="00AB477E" w:rsidP="00770430">
            <w:pPr>
              <w:pStyle w:val="Box"/>
            </w:pPr>
            <w:r>
              <w:t>Child protection reports are not a separate process f</w:t>
            </w:r>
            <w:r w:rsidR="00326B89">
              <w:t>ro</w:t>
            </w:r>
            <w:r>
              <w:t xml:space="preserve">m child protection notifications in Victoria and the ACT and this indicator is not applicable for those jurisdictions.  </w:t>
            </w:r>
          </w:p>
          <w:p w14:paraId="50ABFFA1" w14:textId="77777777" w:rsidR="00FD794F" w:rsidRPr="00033816" w:rsidRDefault="00FD794F" w:rsidP="00770430">
            <w:pPr>
              <w:pStyle w:val="Box"/>
            </w:pPr>
            <w:r w:rsidRPr="00033816">
              <w:t>Data reported for this indicator are:</w:t>
            </w:r>
          </w:p>
          <w:p w14:paraId="717A9455" w14:textId="045B4A95" w:rsidR="00FD794F" w:rsidRPr="00516C7D" w:rsidRDefault="00A557AF" w:rsidP="00770430">
            <w:pPr>
              <w:pStyle w:val="Box"/>
              <w:ind w:left="284"/>
            </w:pPr>
            <w:r w:rsidRPr="00344676">
              <w:rPr>
                <w:shd w:val="clear" w:color="auto" w:fill="FCDED3"/>
              </w:rPr>
              <w:t xml:space="preserve">    </w:t>
            </w:r>
            <w:r>
              <w:t xml:space="preserve"> </w:t>
            </w:r>
            <w:r w:rsidR="003405DD" w:rsidRPr="00033816">
              <w:t xml:space="preserve">not comparable across jurisdictions but are </w:t>
            </w:r>
            <w:r w:rsidR="00FD794F" w:rsidRPr="00033816">
              <w:t>comparable (subject to caveats) within jurisdictions over time</w:t>
            </w:r>
          </w:p>
          <w:p w14:paraId="069980B6" w14:textId="1D929DCC" w:rsidR="00E17D6A" w:rsidRPr="00033816" w:rsidRDefault="00A557AF" w:rsidP="00770430">
            <w:pPr>
              <w:pStyle w:val="Box"/>
              <w:ind w:left="284"/>
            </w:pPr>
            <w:r w:rsidRPr="00344676">
              <w:rPr>
                <w:shd w:val="clear" w:color="auto" w:fill="FCDED3"/>
              </w:rPr>
              <w:t xml:space="preserve">    </w:t>
            </w:r>
            <w:r>
              <w:t xml:space="preserve"> </w:t>
            </w:r>
            <w:r w:rsidR="0075073E" w:rsidRPr="00516C7D">
              <w:t>in</w:t>
            </w:r>
            <w:r w:rsidR="00FD794F" w:rsidRPr="00516C7D">
              <w:t>complete for the current reporting period.</w:t>
            </w:r>
            <w:r w:rsidR="0075073E" w:rsidRPr="00516C7D">
              <w:t xml:space="preserve"> All required 201</w:t>
            </w:r>
            <w:r w:rsidR="00E74778" w:rsidRPr="00516C7D">
              <w:t>7</w:t>
            </w:r>
            <w:r w:rsidR="004F6E3D" w:rsidRPr="00516C7D">
              <w:noBreakHyphen/>
            </w:r>
            <w:r w:rsidR="0075073E" w:rsidRPr="00516C7D">
              <w:t>1</w:t>
            </w:r>
            <w:r w:rsidR="00E74778" w:rsidRPr="00516C7D">
              <w:t>8</w:t>
            </w:r>
            <w:r w:rsidR="00066049" w:rsidRPr="00516C7D">
              <w:t xml:space="preserve"> data for</w:t>
            </w:r>
            <w:r w:rsidR="0075073E" w:rsidRPr="00516C7D">
              <w:t xml:space="preserve"> </w:t>
            </w:r>
            <w:r w:rsidR="00FC420A">
              <w:t xml:space="preserve">NSW, </w:t>
            </w:r>
            <w:r w:rsidR="00066049" w:rsidRPr="00516C7D">
              <w:t>Victoria</w:t>
            </w:r>
            <w:r w:rsidR="00AB477E">
              <w:t>,</w:t>
            </w:r>
            <w:r w:rsidR="00066049" w:rsidRPr="00516C7D">
              <w:t xml:space="preserve"> </w:t>
            </w:r>
            <w:r w:rsidR="00D704C0" w:rsidRPr="00516C7D">
              <w:t>SA</w:t>
            </w:r>
            <w:r w:rsidR="00AB477E">
              <w:t>, Tasmania and the NT</w:t>
            </w:r>
            <w:r w:rsidR="00066049" w:rsidRPr="00516C7D">
              <w:t xml:space="preserve"> </w:t>
            </w:r>
            <w:r w:rsidR="001F06A8">
              <w:t>are</w:t>
            </w:r>
            <w:r w:rsidR="0075073E" w:rsidRPr="00516C7D">
              <w:t xml:space="preserve"> not available.</w:t>
            </w:r>
            <w:r w:rsidR="0075073E" w:rsidRPr="00033816">
              <w:t xml:space="preserve"> </w:t>
            </w:r>
            <w:r w:rsidR="00FD794F" w:rsidRPr="00033816">
              <w:t xml:space="preserve"> </w:t>
            </w:r>
          </w:p>
        </w:tc>
      </w:tr>
      <w:tr w:rsidR="00E17D6A" w:rsidRPr="00033816" w14:paraId="10636BC8" w14:textId="77777777" w:rsidTr="0028418B">
        <w:trPr>
          <w:cantSplit/>
        </w:trPr>
        <w:tc>
          <w:tcPr>
            <w:tcW w:w="8789" w:type="dxa"/>
            <w:tcBorders>
              <w:top w:val="nil"/>
              <w:left w:val="nil"/>
              <w:bottom w:val="single" w:sz="6" w:space="0" w:color="78A22F"/>
              <w:right w:val="nil"/>
            </w:tcBorders>
            <w:shd w:val="clear" w:color="auto" w:fill="F2F2F2" w:themeFill="background1" w:themeFillShade="F2"/>
          </w:tcPr>
          <w:p w14:paraId="68F815A6" w14:textId="77777777" w:rsidR="00E17D6A" w:rsidRPr="00033816" w:rsidRDefault="00E17D6A" w:rsidP="00770430">
            <w:pPr>
              <w:pStyle w:val="Box"/>
              <w:spacing w:before="0" w:line="120" w:lineRule="exact"/>
            </w:pPr>
          </w:p>
        </w:tc>
      </w:tr>
      <w:tr w:rsidR="00E17D6A" w:rsidRPr="00033816" w14:paraId="68CC41A6" w14:textId="77777777" w:rsidTr="0028418B">
        <w:tc>
          <w:tcPr>
            <w:tcW w:w="8789" w:type="dxa"/>
            <w:tcBorders>
              <w:top w:val="single" w:sz="6" w:space="0" w:color="78A22F"/>
              <w:left w:val="nil"/>
              <w:bottom w:val="nil"/>
              <w:right w:val="nil"/>
            </w:tcBorders>
          </w:tcPr>
          <w:p w14:paraId="512A8F67" w14:textId="4EB233A1" w:rsidR="00E17D6A" w:rsidRPr="00033816" w:rsidRDefault="00E17D6A" w:rsidP="00770430">
            <w:pPr>
              <w:pStyle w:val="BoxSpaceBelow"/>
            </w:pPr>
          </w:p>
        </w:tc>
      </w:tr>
    </w:tbl>
    <w:p w14:paraId="330378A3" w14:textId="30A2110C" w:rsidR="00066049" w:rsidRPr="008A57DF" w:rsidRDefault="00953194" w:rsidP="00770430">
      <w:pPr>
        <w:pStyle w:val="BodyText"/>
        <w:rPr>
          <w:b/>
        </w:rPr>
      </w:pPr>
      <w:r w:rsidRPr="00033816">
        <w:t>Unit costs for</w:t>
      </w:r>
      <w:r w:rsidR="00FF32F6" w:rsidRPr="00033816">
        <w:t xml:space="preserve"> child </w:t>
      </w:r>
      <w:r w:rsidR="00FF32F6" w:rsidRPr="00770430">
        <w:t xml:space="preserve">protection </w:t>
      </w:r>
      <w:r w:rsidR="00512F42" w:rsidRPr="00770430">
        <w:t xml:space="preserve">intervention </w:t>
      </w:r>
      <w:r w:rsidRPr="00770430">
        <w:t xml:space="preserve">service activities </w:t>
      </w:r>
      <w:r w:rsidR="00804F8F" w:rsidRPr="00770430">
        <w:t xml:space="preserve">from </w:t>
      </w:r>
      <w:r w:rsidR="00022DF7" w:rsidRPr="00770430">
        <w:t>20</w:t>
      </w:r>
      <w:r w:rsidR="00466D07" w:rsidRPr="00770430">
        <w:t>1</w:t>
      </w:r>
      <w:r w:rsidR="00AA2EAA" w:rsidRPr="00770430">
        <w:t>1</w:t>
      </w:r>
      <w:r w:rsidR="004F6E3D" w:rsidRPr="00770430">
        <w:noBreakHyphen/>
      </w:r>
      <w:r w:rsidR="00AA2EAA" w:rsidRPr="00770430">
        <w:t>12</w:t>
      </w:r>
      <w:r w:rsidR="00804F8F" w:rsidRPr="00770430">
        <w:t xml:space="preserve"> to </w:t>
      </w:r>
      <w:r w:rsidR="006D3A4B" w:rsidRPr="00770430">
        <w:t>201</w:t>
      </w:r>
      <w:r w:rsidR="00E74778" w:rsidRPr="00770430">
        <w:t>7</w:t>
      </w:r>
      <w:r w:rsidR="004F6E3D" w:rsidRPr="00770430">
        <w:noBreakHyphen/>
      </w:r>
      <w:r w:rsidR="006D3A4B" w:rsidRPr="00770430">
        <w:t>1</w:t>
      </w:r>
      <w:r w:rsidR="00E74778" w:rsidRPr="00770430">
        <w:t>8</w:t>
      </w:r>
      <w:r w:rsidR="00804F8F" w:rsidRPr="00770430">
        <w:t xml:space="preserve"> varied </w:t>
      </w:r>
      <w:r w:rsidR="005B2C76" w:rsidRPr="00770430">
        <w:t>across</w:t>
      </w:r>
      <w:r w:rsidR="00FF32F6" w:rsidRPr="00770430">
        <w:t xml:space="preserve"> jurisdictions</w:t>
      </w:r>
      <w:r w:rsidR="00723EAE">
        <w:t xml:space="preserve"> </w:t>
      </w:r>
      <w:r w:rsidR="001D45E6">
        <w:t>where</w:t>
      </w:r>
      <w:r w:rsidR="00723EAE">
        <w:t xml:space="preserve"> data were available</w:t>
      </w:r>
      <w:r w:rsidR="00BB72B1" w:rsidRPr="00770430">
        <w:t xml:space="preserve"> </w:t>
      </w:r>
      <w:r w:rsidR="00947151" w:rsidRPr="00770430">
        <w:t xml:space="preserve">(tables </w:t>
      </w:r>
      <w:proofErr w:type="spellStart"/>
      <w:r w:rsidR="00947151" w:rsidRPr="00770430">
        <w:t>16A.</w:t>
      </w:r>
      <w:r w:rsidR="00282BD1" w:rsidRPr="00770430">
        <w:t>2</w:t>
      </w:r>
      <w:r w:rsidR="009312EF" w:rsidRPr="00770430">
        <w:t>3</w:t>
      </w:r>
      <w:proofErr w:type="spellEnd"/>
      <w:r w:rsidR="00754A1C" w:rsidRPr="00770430">
        <w:t>–</w:t>
      </w:r>
      <w:r w:rsidR="009312EF" w:rsidRPr="00770430">
        <w:t>30</w:t>
      </w:r>
      <w:r w:rsidR="00754A1C" w:rsidRPr="00770430">
        <w:t>)</w:t>
      </w:r>
      <w:r w:rsidR="00804F8F" w:rsidRPr="00770430">
        <w:t>.</w:t>
      </w:r>
      <w:bookmarkStart w:id="34" w:name="OLE_LINK26"/>
      <w:r w:rsidR="005E4A34" w:rsidRPr="00770430">
        <w:t xml:space="preserve"> </w:t>
      </w:r>
      <w:bookmarkEnd w:id="34"/>
      <w:r w:rsidR="00A36B45" w:rsidRPr="00770430">
        <w:t>In 201</w:t>
      </w:r>
      <w:r w:rsidR="00E74778" w:rsidRPr="00770430">
        <w:t>7</w:t>
      </w:r>
      <w:r w:rsidR="004F6E3D" w:rsidRPr="00770430">
        <w:noBreakHyphen/>
      </w:r>
      <w:r w:rsidR="00A36B45" w:rsidRPr="00770430">
        <w:t>1</w:t>
      </w:r>
      <w:r w:rsidR="00E74778" w:rsidRPr="00770430">
        <w:t>8</w:t>
      </w:r>
      <w:r w:rsidR="00A36B45" w:rsidRPr="00770430">
        <w:t>, t</w:t>
      </w:r>
      <w:r w:rsidR="000D1CAD" w:rsidRPr="00770430">
        <w:t xml:space="preserve">he cost per report to child protection </w:t>
      </w:r>
      <w:r w:rsidR="00A36B45" w:rsidRPr="00770430">
        <w:t xml:space="preserve">ranged from </w:t>
      </w:r>
      <w:r w:rsidR="006A1A76" w:rsidRPr="00770430">
        <w:t>$</w:t>
      </w:r>
      <w:r w:rsidR="00186C07" w:rsidRPr="00770430">
        <w:t>127</w:t>
      </w:r>
      <w:r w:rsidR="00A36B45" w:rsidRPr="00770430">
        <w:t xml:space="preserve"> to $</w:t>
      </w:r>
      <w:r w:rsidR="00186C07" w:rsidRPr="00770430">
        <w:t>2</w:t>
      </w:r>
      <w:r w:rsidR="006A7771" w:rsidRPr="00770430">
        <w:t>76</w:t>
      </w:r>
      <w:r w:rsidR="00A36B45" w:rsidRPr="00770430">
        <w:t xml:space="preserve"> (this</w:t>
      </w:r>
      <w:r w:rsidR="00A36B45" w:rsidRPr="00A60873">
        <w:t xml:space="preserve"> unit cost is not applicable for all jurisdictions); and the cost per notification </w:t>
      </w:r>
      <w:r w:rsidR="00A36B45" w:rsidRPr="00186C07">
        <w:t>investigated</w:t>
      </w:r>
      <w:r w:rsidR="00A36B45" w:rsidRPr="00A60873">
        <w:t xml:space="preserve"> ranged from $</w:t>
      </w:r>
      <w:r w:rsidR="00186C07">
        <w:t>380</w:t>
      </w:r>
      <w:r w:rsidR="00A36B45" w:rsidRPr="00A60873">
        <w:t xml:space="preserve"> to $</w:t>
      </w:r>
      <w:r w:rsidR="00186C07">
        <w:t>2496</w:t>
      </w:r>
      <w:r w:rsidR="00A36B45" w:rsidRPr="00A60873">
        <w:t>. Other unit</w:t>
      </w:r>
      <w:r w:rsidR="00F56985" w:rsidRPr="00A60873">
        <w:t xml:space="preserve"> costs are reported in tables </w:t>
      </w:r>
      <w:proofErr w:type="spellStart"/>
      <w:r w:rsidR="00A36B45" w:rsidRPr="00A60873">
        <w:t>16A.2</w:t>
      </w:r>
      <w:r w:rsidR="009312EF">
        <w:t>3</w:t>
      </w:r>
      <w:proofErr w:type="spellEnd"/>
      <w:r w:rsidR="00A36B45" w:rsidRPr="00A60873">
        <w:t>–</w:t>
      </w:r>
      <w:r w:rsidR="009312EF">
        <w:t>30</w:t>
      </w:r>
      <w:r w:rsidR="00A36B45" w:rsidRPr="00A60873">
        <w:t>.</w:t>
      </w:r>
    </w:p>
    <w:p w14:paraId="6CF95CF6" w14:textId="3ECC1AD5" w:rsidR="00BB72B1" w:rsidRPr="00033816" w:rsidRDefault="00BB72B1" w:rsidP="00770430">
      <w:pPr>
        <w:pStyle w:val="Heading4"/>
      </w:pPr>
      <w:r w:rsidRPr="00033816">
        <w:t>Unit cost for support services</w:t>
      </w:r>
    </w:p>
    <w:p w14:paraId="002C31FF" w14:textId="45673909" w:rsidR="00BB72B1" w:rsidRPr="00033816" w:rsidRDefault="00BB72B1" w:rsidP="00770430">
      <w:pPr>
        <w:pStyle w:val="BodyText"/>
      </w:pPr>
      <w:r w:rsidRPr="00033816">
        <w:t xml:space="preserve">‘Unit cost for support services’ </w:t>
      </w:r>
      <w:r w:rsidR="00697BC2" w:rsidRPr="00033816">
        <w:t xml:space="preserve">is </w:t>
      </w:r>
      <w:r w:rsidRPr="00033816">
        <w:t xml:space="preserve">reported as </w:t>
      </w:r>
      <w:r w:rsidR="00697BC2" w:rsidRPr="00033816">
        <w:t xml:space="preserve">an </w:t>
      </w:r>
      <w:r w:rsidRPr="00033816">
        <w:t xml:space="preserve">indicator of governments’ objective to provide child protection services in an efficient manner (box </w:t>
      </w:r>
      <w:r w:rsidR="00DC383D">
        <w:t>16.</w:t>
      </w:r>
      <w:r w:rsidR="00066049" w:rsidRPr="00033816">
        <w:t>13</w:t>
      </w:r>
      <w:r w:rsidRPr="00033816">
        <w:t>).</w:t>
      </w:r>
    </w:p>
    <w:p w14:paraId="18B06942" w14:textId="59F6338B" w:rsidR="00BB72B1" w:rsidRPr="00033816"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087CFE" w14:paraId="4511F0D0" w14:textId="77777777" w:rsidTr="0028418B">
        <w:tc>
          <w:tcPr>
            <w:tcW w:w="8789" w:type="dxa"/>
            <w:tcBorders>
              <w:top w:val="single" w:sz="6" w:space="0" w:color="78A22F"/>
              <w:left w:val="nil"/>
              <w:bottom w:val="nil"/>
              <w:right w:val="nil"/>
            </w:tcBorders>
            <w:shd w:val="clear" w:color="auto" w:fill="F2F2F2"/>
          </w:tcPr>
          <w:p w14:paraId="42C2C525" w14:textId="69BA1B17" w:rsidR="00BB72B1" w:rsidRPr="00087CFE" w:rsidRDefault="00BB72B1" w:rsidP="00770430">
            <w:pPr>
              <w:pStyle w:val="BoxTitle"/>
            </w:pPr>
            <w:r w:rsidRPr="00087CFE">
              <w:rPr>
                <w:b w:val="0"/>
              </w:rPr>
              <w:t xml:space="preserve">Box </w:t>
            </w:r>
            <w:bookmarkStart w:id="35" w:name="OLE_LINK12"/>
            <w:r w:rsidR="00066049" w:rsidRPr="00087CFE">
              <w:rPr>
                <w:b w:val="0"/>
              </w:rPr>
              <w:t>16.13</w:t>
            </w:r>
            <w:bookmarkEnd w:id="35"/>
            <w:r w:rsidR="001F06A8" w:rsidRPr="00087CFE">
              <w:rPr>
                <w:b w:val="0"/>
              </w:rPr>
              <w:tab/>
            </w:r>
            <w:r w:rsidRPr="00087CFE">
              <w:t>Unit cost for support services</w:t>
            </w:r>
          </w:p>
        </w:tc>
      </w:tr>
      <w:tr w:rsidR="00BB72B1" w:rsidRPr="00087CFE" w14:paraId="0965E164" w14:textId="77777777" w:rsidTr="00960687">
        <w:tc>
          <w:tcPr>
            <w:tcW w:w="8789" w:type="dxa"/>
            <w:tcBorders>
              <w:top w:val="nil"/>
              <w:left w:val="nil"/>
              <w:bottom w:val="nil"/>
              <w:right w:val="nil"/>
            </w:tcBorders>
            <w:shd w:val="clear" w:color="auto" w:fill="F2F2F2" w:themeFill="background1" w:themeFillShade="F2"/>
          </w:tcPr>
          <w:p w14:paraId="18BA5678" w14:textId="01C9070F" w:rsidR="00BB72B1" w:rsidRPr="00087CFE" w:rsidRDefault="00C243CA" w:rsidP="00770430">
            <w:pPr>
              <w:pStyle w:val="Box"/>
            </w:pPr>
            <w:r w:rsidRPr="00087CFE">
              <w:t xml:space="preserve">‘Unit cost for support services’ is defined </w:t>
            </w:r>
            <w:r w:rsidR="006C3D78" w:rsidRPr="00087CFE">
              <w:t>as total recurrent expenditure on support services</w:t>
            </w:r>
            <w:r w:rsidR="0052169C" w:rsidRPr="00087CFE">
              <w:t>,</w:t>
            </w:r>
            <w:r w:rsidR="006C3D78" w:rsidRPr="00087CFE">
              <w:t xml:space="preserve"> divided by the number of children receiving support services</w:t>
            </w:r>
            <w:r w:rsidR="00697BC2" w:rsidRPr="00087CFE">
              <w:t>,</w:t>
            </w:r>
            <w:r w:rsidR="006C3D78" w:rsidRPr="00087CFE">
              <w:t xml:space="preserve"> resulting in </w:t>
            </w:r>
            <w:r w:rsidRPr="00087CFE">
              <w:t>two measures:</w:t>
            </w:r>
          </w:p>
          <w:p w14:paraId="2C02BA4B" w14:textId="4F1D8DC4" w:rsidR="00C243CA" w:rsidRPr="00087CFE" w:rsidRDefault="00C243CA" w:rsidP="00770430">
            <w:pPr>
              <w:pStyle w:val="BoxListBullet"/>
            </w:pPr>
            <w:r w:rsidRPr="00087CFE">
              <w:t>cost per child receiving family support services</w:t>
            </w:r>
            <w:r w:rsidR="00066049" w:rsidRPr="00087CFE">
              <w:t xml:space="preserve"> (</w:t>
            </w:r>
            <w:proofErr w:type="spellStart"/>
            <w:r w:rsidR="00066049" w:rsidRPr="00087CFE">
              <w:t>AG2</w:t>
            </w:r>
            <w:proofErr w:type="spellEnd"/>
            <w:r w:rsidR="00066049" w:rsidRPr="00087CFE">
              <w:t>)</w:t>
            </w:r>
          </w:p>
          <w:p w14:paraId="0E6F9B6F" w14:textId="77777777" w:rsidR="00C243CA" w:rsidRPr="00087CFE" w:rsidRDefault="00C243CA" w:rsidP="00770430">
            <w:pPr>
              <w:pStyle w:val="BoxListBullet"/>
            </w:pPr>
            <w:r w:rsidRPr="00087CFE">
              <w:t>cost per child receiving intensive family support services</w:t>
            </w:r>
            <w:r w:rsidR="00066049" w:rsidRPr="00087CFE">
              <w:t xml:space="preserve"> (</w:t>
            </w:r>
            <w:proofErr w:type="spellStart"/>
            <w:r w:rsidR="00066049" w:rsidRPr="00087CFE">
              <w:t>AG3</w:t>
            </w:r>
            <w:proofErr w:type="spellEnd"/>
            <w:r w:rsidR="00066049" w:rsidRPr="00087CFE">
              <w:t>)</w:t>
            </w:r>
          </w:p>
          <w:p w14:paraId="61EED50E" w14:textId="5DB585FB" w:rsidR="00066049" w:rsidRPr="00087CFE" w:rsidRDefault="00066049" w:rsidP="00770430">
            <w:pPr>
              <w:pStyle w:val="Box"/>
            </w:pPr>
            <w:r w:rsidRPr="00087CFE">
              <w:t xml:space="preserve">Low or decreasing cost per child receiving support services can suggest more efficient services, but could also indicate lower quality and should be considered together with the results for other indicators in this chapter. </w:t>
            </w:r>
          </w:p>
          <w:p w14:paraId="61FDDF4A" w14:textId="10A50D6E" w:rsidR="002B7363" w:rsidRPr="00087CFE" w:rsidRDefault="002B7363" w:rsidP="00770430">
            <w:pPr>
              <w:pStyle w:val="Box"/>
            </w:pPr>
            <w:r w:rsidRPr="00087CFE">
              <w:t>Data for unit costs are experimental and should be considered together with the proportional allocation of total expenditure across all activity groups comprising the pathways method.</w:t>
            </w:r>
          </w:p>
          <w:p w14:paraId="4EABCA97" w14:textId="77777777" w:rsidR="00066049" w:rsidRPr="00087CFE" w:rsidRDefault="00066049" w:rsidP="00770430">
            <w:pPr>
              <w:pStyle w:val="Box"/>
            </w:pPr>
            <w:r w:rsidRPr="00087CFE">
              <w:t>Data reported for this indicator are:</w:t>
            </w:r>
          </w:p>
          <w:p w14:paraId="71365E1F" w14:textId="720D66AF" w:rsidR="00773777" w:rsidRPr="00087CFE" w:rsidRDefault="00A557AF" w:rsidP="00770430">
            <w:pPr>
              <w:pStyle w:val="Box"/>
              <w:ind w:left="284"/>
            </w:pPr>
            <w:r w:rsidRPr="00087CFE">
              <w:rPr>
                <w:shd w:val="clear" w:color="auto" w:fill="FCDED3"/>
              </w:rPr>
              <w:t xml:space="preserve">    </w:t>
            </w:r>
            <w:r w:rsidRPr="00087CFE">
              <w:t xml:space="preserve"> </w:t>
            </w:r>
            <w:r w:rsidR="003405DD" w:rsidRPr="00087CFE">
              <w:t xml:space="preserve">not comparable across jurisdictions but are </w:t>
            </w:r>
            <w:r w:rsidR="00066049" w:rsidRPr="00087CFE">
              <w:t>comparable (subject to caveats) within jurisdictions over time (see caveats in attachment tables)</w:t>
            </w:r>
          </w:p>
          <w:p w14:paraId="5E48C5B9" w14:textId="77777777" w:rsidR="006A7771" w:rsidRPr="00087CFE" w:rsidRDefault="00A557AF" w:rsidP="00770430">
            <w:pPr>
              <w:pStyle w:val="Box"/>
              <w:ind w:left="284"/>
            </w:pPr>
            <w:r w:rsidRPr="00087CFE">
              <w:rPr>
                <w:shd w:val="clear" w:color="auto" w:fill="FCDED3"/>
              </w:rPr>
              <w:t xml:space="preserve">    </w:t>
            </w:r>
            <w:r w:rsidRPr="00087CFE">
              <w:t xml:space="preserve"> </w:t>
            </w:r>
            <w:r w:rsidR="00066049" w:rsidRPr="00087CFE">
              <w:t>incomplete for the current reporting period</w:t>
            </w:r>
            <w:r w:rsidR="00CF74F8" w:rsidRPr="00087CFE">
              <w:t xml:space="preserve"> for family support services</w:t>
            </w:r>
            <w:r w:rsidR="00D704C0" w:rsidRPr="00087CFE">
              <w:t xml:space="preserve">. </w:t>
            </w:r>
            <w:r w:rsidR="007B60AC" w:rsidRPr="00087CFE">
              <w:t>Only Queensland and WA are able to provide all required 2017</w:t>
            </w:r>
            <w:r w:rsidR="007B60AC" w:rsidRPr="00087CFE">
              <w:noBreakHyphen/>
              <w:t>18 data for cost per child receiving family support services (</w:t>
            </w:r>
            <w:proofErr w:type="spellStart"/>
            <w:r w:rsidR="007B60AC" w:rsidRPr="00087CFE">
              <w:t>AG2</w:t>
            </w:r>
            <w:proofErr w:type="spellEnd"/>
            <w:r w:rsidR="007B60AC" w:rsidRPr="00087CFE">
              <w:t xml:space="preserve">). </w:t>
            </w:r>
          </w:p>
          <w:p w14:paraId="5C502344" w14:textId="4F41666F" w:rsidR="00066049" w:rsidRPr="00087CFE" w:rsidRDefault="006A7771" w:rsidP="00770430">
            <w:pPr>
              <w:pStyle w:val="Box"/>
              <w:ind w:left="284"/>
            </w:pPr>
            <w:r w:rsidRPr="00087CFE">
              <w:rPr>
                <w:shd w:val="clear" w:color="auto" w:fill="F15A25"/>
              </w:rPr>
              <w:t xml:space="preserve">    </w:t>
            </w:r>
            <w:r w:rsidRPr="00087CFE">
              <w:t xml:space="preserve"> complete (subject to caveats) for the current reporting period for intensive family support services (</w:t>
            </w:r>
            <w:proofErr w:type="spellStart"/>
            <w:r w:rsidRPr="00087CFE">
              <w:t>AG3</w:t>
            </w:r>
            <w:proofErr w:type="spellEnd"/>
            <w:r w:rsidRPr="00087CFE">
              <w:t>). All required 2017</w:t>
            </w:r>
            <w:r w:rsidRPr="00087CFE">
              <w:noBreakHyphen/>
              <w:t>18 data are available for all jurisdictions</w:t>
            </w:r>
            <w:r w:rsidR="00326B89" w:rsidRPr="00087CFE">
              <w:t xml:space="preserve">. </w:t>
            </w:r>
          </w:p>
        </w:tc>
      </w:tr>
      <w:tr w:rsidR="00BB72B1" w:rsidRPr="00087CFE" w14:paraId="3D2BCA00" w14:textId="77777777" w:rsidTr="0028418B">
        <w:tc>
          <w:tcPr>
            <w:tcW w:w="8789" w:type="dxa"/>
            <w:tcBorders>
              <w:top w:val="nil"/>
              <w:left w:val="nil"/>
              <w:bottom w:val="single" w:sz="6" w:space="0" w:color="78A22F"/>
              <w:right w:val="nil"/>
            </w:tcBorders>
            <w:shd w:val="clear" w:color="auto" w:fill="F2F2F2"/>
          </w:tcPr>
          <w:p w14:paraId="07A0C17F" w14:textId="77777777" w:rsidR="00BB72B1" w:rsidRPr="00087CFE" w:rsidRDefault="00BB72B1" w:rsidP="00770430">
            <w:pPr>
              <w:pStyle w:val="Box"/>
              <w:spacing w:before="0" w:line="120" w:lineRule="exact"/>
            </w:pPr>
          </w:p>
        </w:tc>
      </w:tr>
      <w:tr w:rsidR="00BB72B1" w:rsidRPr="00087CFE" w14:paraId="6AADE076" w14:textId="77777777" w:rsidTr="0028418B">
        <w:tc>
          <w:tcPr>
            <w:tcW w:w="8789" w:type="dxa"/>
            <w:tcBorders>
              <w:top w:val="single" w:sz="6" w:space="0" w:color="78A22F"/>
              <w:left w:val="nil"/>
              <w:bottom w:val="nil"/>
              <w:right w:val="nil"/>
            </w:tcBorders>
          </w:tcPr>
          <w:p w14:paraId="53F149ED" w14:textId="552431F6" w:rsidR="00BB72B1" w:rsidRPr="00087CFE" w:rsidRDefault="00BB72B1" w:rsidP="00770430">
            <w:pPr>
              <w:pStyle w:val="BoxSpaceBelow"/>
            </w:pPr>
          </w:p>
        </w:tc>
      </w:tr>
    </w:tbl>
    <w:p w14:paraId="0BF770EA" w14:textId="4A8433FD" w:rsidR="00BB72B1" w:rsidRPr="00033816" w:rsidRDefault="00754A1C" w:rsidP="00770430">
      <w:pPr>
        <w:pStyle w:val="BodyText"/>
      </w:pPr>
      <w:r w:rsidRPr="00087CFE">
        <w:t>Nationally in 201</w:t>
      </w:r>
      <w:r w:rsidR="00E74778" w:rsidRPr="00087CFE">
        <w:t>7</w:t>
      </w:r>
      <w:r w:rsidR="004F6E3D" w:rsidRPr="00087CFE">
        <w:noBreakHyphen/>
      </w:r>
      <w:r w:rsidRPr="00087CFE">
        <w:t>1</w:t>
      </w:r>
      <w:r w:rsidR="00E74778" w:rsidRPr="00087CFE">
        <w:t>8</w:t>
      </w:r>
      <w:r w:rsidRPr="00087CFE">
        <w:t>, the cost per child receiving intensive fa</w:t>
      </w:r>
      <w:r w:rsidR="006A1A76" w:rsidRPr="00087CFE">
        <w:t xml:space="preserve">mily support services </w:t>
      </w:r>
      <w:r w:rsidR="00032434" w:rsidRPr="00087CFE">
        <w:t>(</w:t>
      </w:r>
      <w:proofErr w:type="spellStart"/>
      <w:r w:rsidR="00032434" w:rsidRPr="00087CFE">
        <w:t>AG3</w:t>
      </w:r>
      <w:proofErr w:type="spellEnd"/>
      <w:r w:rsidR="00032434" w:rsidRPr="00087CFE">
        <w:t xml:space="preserve">) </w:t>
      </w:r>
      <w:r w:rsidR="006A1A76" w:rsidRPr="00087CFE">
        <w:t>was $</w:t>
      </w:r>
      <w:r w:rsidR="00B364A4" w:rsidRPr="00087CFE">
        <w:t xml:space="preserve">9137 </w:t>
      </w:r>
      <w:r w:rsidRPr="00087CFE">
        <w:t xml:space="preserve">(figure </w:t>
      </w:r>
      <w:r w:rsidR="00066049" w:rsidRPr="00087CFE">
        <w:t>16.12</w:t>
      </w:r>
      <w:r w:rsidR="0052169C" w:rsidRPr="00087CFE">
        <w:t>).</w:t>
      </w:r>
    </w:p>
    <w:p w14:paraId="5324B85D" w14:textId="689D9BBB" w:rsidR="00BB72B1" w:rsidRPr="00033816" w:rsidRDefault="00BB72B1"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B72B1" w:rsidRPr="00033816" w14:paraId="4AEA2F68" w14:textId="77777777" w:rsidTr="001D328B">
        <w:trPr>
          <w:tblHeader/>
        </w:trPr>
        <w:tc>
          <w:tcPr>
            <w:tcW w:w="8789" w:type="dxa"/>
            <w:tcBorders>
              <w:top w:val="single" w:sz="6" w:space="0" w:color="78A22F"/>
              <w:left w:val="nil"/>
              <w:bottom w:val="nil"/>
              <w:right w:val="nil"/>
            </w:tcBorders>
            <w:shd w:val="clear" w:color="auto" w:fill="auto"/>
          </w:tcPr>
          <w:p w14:paraId="1A36FF3B" w14:textId="7F193E78" w:rsidR="00BB72B1" w:rsidRPr="00033816" w:rsidRDefault="00BB72B1" w:rsidP="00770430">
            <w:pPr>
              <w:pStyle w:val="FigureTitle"/>
            </w:pPr>
            <w:r w:rsidRPr="00033816">
              <w:rPr>
                <w:b w:val="0"/>
              </w:rPr>
              <w:t xml:space="preserve">Figure </w:t>
            </w:r>
            <w:r w:rsidR="009D4A68" w:rsidRPr="00033816">
              <w:rPr>
                <w:b w:val="0"/>
              </w:rPr>
              <w:t>16.12</w:t>
            </w:r>
            <w:r w:rsidR="00A866C1" w:rsidRPr="00033816">
              <w:tab/>
              <w:t>Cost per child receiving intensive family support services</w:t>
            </w:r>
            <w:r w:rsidR="00282BF1" w:rsidRPr="00033816">
              <w:t xml:space="preserve"> </w:t>
            </w:r>
            <w:r w:rsidR="00032434" w:rsidRPr="00033816">
              <w:t>(</w:t>
            </w:r>
            <w:proofErr w:type="spellStart"/>
            <w:r w:rsidR="00032434" w:rsidRPr="00033816">
              <w:t>AG3</w:t>
            </w:r>
            <w:proofErr w:type="spellEnd"/>
            <w:r w:rsidR="00032434" w:rsidRPr="00033816">
              <w:t xml:space="preserve">) </w:t>
            </w:r>
            <w:r w:rsidR="00282BF1" w:rsidRPr="00033816">
              <w:t>(201</w:t>
            </w:r>
            <w:r w:rsidR="00E74778">
              <w:t>7</w:t>
            </w:r>
            <w:r w:rsidR="004F6E3D" w:rsidRPr="00033816">
              <w:noBreakHyphen/>
            </w:r>
            <w:r w:rsidR="00282BF1" w:rsidRPr="00033816">
              <w:t>1</w:t>
            </w:r>
            <w:r w:rsidR="00E74778">
              <w:t>8</w:t>
            </w:r>
            <w:r w:rsidR="00282BF1" w:rsidRPr="00033816">
              <w:t xml:space="preserve"> dollars)</w:t>
            </w:r>
            <w:r w:rsidR="00032434" w:rsidRPr="00033816">
              <w:rPr>
                <w:rStyle w:val="NoteLabel"/>
                <w:b/>
              </w:rPr>
              <w:t>a</w:t>
            </w:r>
            <w:r w:rsidR="00C16226" w:rsidRPr="00033816">
              <w:rPr>
                <w:rStyle w:val="NoteLabel"/>
                <w:b/>
              </w:rPr>
              <w:t>, b</w:t>
            </w:r>
          </w:p>
        </w:tc>
      </w:tr>
      <w:tr w:rsidR="001D328B" w:rsidRPr="00033816" w14:paraId="0668882C" w14:textId="77777777" w:rsidTr="001D328B">
        <w:trPr>
          <w:tblHeader/>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C96187" w14:paraId="1DD8AB5A" w14:textId="77777777" w:rsidTr="006A7771">
              <w:tc>
                <w:tcPr>
                  <w:tcW w:w="304" w:type="dxa"/>
                  <w:tcBorders>
                    <w:top w:val="nil"/>
                    <w:left w:val="nil"/>
                    <w:bottom w:val="nil"/>
                    <w:right w:val="nil"/>
                  </w:tcBorders>
                  <w:shd w:val="clear" w:color="auto" w:fill="auto"/>
                  <w:tcMar>
                    <w:top w:w="28" w:type="dxa"/>
                    <w:bottom w:w="28" w:type="dxa"/>
                  </w:tcMar>
                </w:tcPr>
                <w:p w14:paraId="624E03AE" w14:textId="77777777" w:rsidR="001D328B" w:rsidRPr="00C96187"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5F005EC" w14:textId="77777777" w:rsidR="001D328B" w:rsidRPr="00C96187"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4201529" w14:textId="78FDA8BE" w:rsidR="001D328B" w:rsidRPr="00C96187" w:rsidRDefault="001D328B" w:rsidP="00770430">
                  <w:pPr>
                    <w:pStyle w:val="TableBodyText"/>
                    <w:jc w:val="left"/>
                  </w:pPr>
                  <w:r>
                    <w:t xml:space="preserve">Data are </w:t>
                  </w:r>
                  <w:r w:rsidR="003405DD" w:rsidRPr="00C96187">
                    <w:t>not comparable across jurisdictions</w:t>
                  </w:r>
                  <w:r w:rsidR="003405DD">
                    <w:t xml:space="preserve"> </w:t>
                  </w:r>
                  <w:r w:rsidR="003405DD" w:rsidRPr="00C96187">
                    <w:t>but are</w:t>
                  </w:r>
                  <w:r w:rsidR="003405DD">
                    <w:t xml:space="preserve"> </w:t>
                  </w:r>
                  <w:r>
                    <w:t>c</w:t>
                  </w:r>
                  <w:r w:rsidRPr="00C96187">
                    <w:t>omparable (subject to caveats) within jurisdictions over time.</w:t>
                  </w:r>
                </w:p>
              </w:tc>
            </w:tr>
            <w:tr w:rsidR="001D328B" w:rsidRPr="00C96187" w14:paraId="1F55C161" w14:textId="77777777" w:rsidTr="006A7771">
              <w:tc>
                <w:tcPr>
                  <w:tcW w:w="304" w:type="dxa"/>
                  <w:tcBorders>
                    <w:top w:val="nil"/>
                    <w:left w:val="nil"/>
                    <w:bottom w:val="nil"/>
                    <w:right w:val="nil"/>
                  </w:tcBorders>
                  <w:shd w:val="clear" w:color="auto" w:fill="auto"/>
                  <w:tcMar>
                    <w:top w:w="28" w:type="dxa"/>
                    <w:bottom w:w="28" w:type="dxa"/>
                  </w:tcMar>
                </w:tcPr>
                <w:p w14:paraId="1C324CED" w14:textId="77777777" w:rsidR="001D328B" w:rsidRPr="00C96187"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0BDE089" w14:textId="77777777" w:rsidR="001D328B" w:rsidRPr="00C96187"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F5BC9B4" w14:textId="4CCB5012" w:rsidR="001D328B" w:rsidRPr="00C96187" w:rsidRDefault="001D328B" w:rsidP="00770430">
                  <w:pPr>
                    <w:pStyle w:val="TableBodyText"/>
                    <w:jc w:val="left"/>
                  </w:pPr>
                  <w:r w:rsidRPr="00B61D86">
                    <w:t>Data are complete for the current reporting period</w:t>
                  </w:r>
                  <w:r w:rsidRPr="00C96187">
                    <w:t xml:space="preserve">. </w:t>
                  </w:r>
                </w:p>
              </w:tc>
            </w:tr>
          </w:tbl>
          <w:p w14:paraId="0A69582E" w14:textId="77777777" w:rsidR="001D328B" w:rsidRPr="00033816" w:rsidRDefault="001D328B" w:rsidP="00770430">
            <w:pPr>
              <w:pStyle w:val="FigureTitle"/>
              <w:rPr>
                <w:b w:val="0"/>
              </w:rPr>
            </w:pPr>
          </w:p>
        </w:tc>
      </w:tr>
      <w:tr w:rsidR="00BB72B1" w:rsidRPr="00033816" w14:paraId="102D5C4E" w14:textId="77777777" w:rsidTr="00C1120B">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BB72B1" w:rsidRPr="00033816" w14:paraId="76EEE3A0" w14:textId="77777777" w:rsidTr="00B61D86">
              <w:trPr>
                <w:tblHeader/>
                <w:jc w:val="center"/>
              </w:trPr>
              <w:tc>
                <w:tcPr>
                  <w:tcW w:w="8504" w:type="dxa"/>
                </w:tcPr>
                <w:p w14:paraId="152992BC" w14:textId="404F8F03" w:rsidR="00BB72B1" w:rsidRPr="00033816" w:rsidRDefault="00B364A4" w:rsidP="00770430">
                  <w:pPr>
                    <w:pStyle w:val="Figure"/>
                    <w:spacing w:before="60" w:after="60"/>
                    <w:rPr>
                      <w:rFonts w:ascii="Arial" w:hAnsi="Arial" w:cs="Arial"/>
                      <w:sz w:val="18"/>
                      <w:szCs w:val="18"/>
                    </w:rPr>
                  </w:pPr>
                  <w:r>
                    <w:rPr>
                      <w:noProof/>
                    </w:rPr>
                    <w:drawing>
                      <wp:inline distT="0" distB="0" distL="0" distR="0" wp14:anchorId="472E3537" wp14:editId="41C4CB42">
                        <wp:extent cx="5262880" cy="2648585"/>
                        <wp:effectExtent l="0" t="0" r="0" b="0"/>
                        <wp:docPr id="25" name="Chart 25" descr="Figure 16.12 Cost per child receiving intensive family support services (AG3) (2017-18 dollar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459F6D35" w14:textId="77777777" w:rsidR="00BB72B1" w:rsidRPr="00033816" w:rsidRDefault="00BB72B1" w:rsidP="00770430">
            <w:pPr>
              <w:pStyle w:val="Figure"/>
            </w:pPr>
          </w:p>
        </w:tc>
      </w:tr>
      <w:tr w:rsidR="00BB72B1" w:rsidRPr="00033816" w14:paraId="65AAD716" w14:textId="77777777" w:rsidTr="00C1120B">
        <w:tc>
          <w:tcPr>
            <w:tcW w:w="8789" w:type="dxa"/>
            <w:tcBorders>
              <w:top w:val="nil"/>
              <w:left w:val="nil"/>
              <w:bottom w:val="nil"/>
              <w:right w:val="nil"/>
            </w:tcBorders>
            <w:shd w:val="clear" w:color="auto" w:fill="auto"/>
          </w:tcPr>
          <w:p w14:paraId="373ACBD7" w14:textId="6D2D9976" w:rsidR="00BB72B1" w:rsidRPr="00033816" w:rsidRDefault="00BB72B1" w:rsidP="00770430">
            <w:pPr>
              <w:pStyle w:val="Note"/>
            </w:pPr>
            <w:r w:rsidRPr="00033816">
              <w:rPr>
                <w:rStyle w:val="NoteLabel"/>
              </w:rPr>
              <w:t>a</w:t>
            </w:r>
            <w:r w:rsidR="00086A96" w:rsidRPr="00033816">
              <w:t xml:space="preserve"> See box</w:t>
            </w:r>
            <w:r w:rsidR="00E74778">
              <w:t xml:space="preserve"> 16.13 </w:t>
            </w:r>
            <w:r w:rsidR="00086A96" w:rsidRPr="00033816">
              <w:t xml:space="preserve">and tables </w:t>
            </w:r>
            <w:proofErr w:type="spellStart"/>
            <w:r w:rsidR="00086A96" w:rsidRPr="00033816">
              <w:t>16A.2</w:t>
            </w:r>
            <w:r w:rsidR="009312EF">
              <w:t>3</w:t>
            </w:r>
            <w:proofErr w:type="spellEnd"/>
            <w:r w:rsidR="004F6E3D" w:rsidRPr="00033816">
              <w:noBreakHyphen/>
            </w:r>
            <w:r w:rsidR="00373AD1" w:rsidRPr="00033816">
              <w:t>3</w:t>
            </w:r>
            <w:r w:rsidR="009312EF">
              <w:t>1</w:t>
            </w:r>
            <w:r w:rsidR="00086A96" w:rsidRPr="00033816">
              <w:t xml:space="preserve"> for detailed definitions, footnotes and caveats</w:t>
            </w:r>
            <w:r w:rsidR="00A866C1" w:rsidRPr="00033816">
              <w:t>.</w:t>
            </w:r>
            <w:r w:rsidR="00C16226" w:rsidRPr="00033816">
              <w:t xml:space="preserve"> </w:t>
            </w:r>
            <w:r w:rsidR="00C16226" w:rsidRPr="00033816">
              <w:rPr>
                <w:rStyle w:val="NoteLabel"/>
              </w:rPr>
              <w:t>b</w:t>
            </w:r>
            <w:r w:rsidR="00C16226" w:rsidRPr="00033816">
              <w:t xml:space="preserve"> </w:t>
            </w:r>
            <w:r w:rsidR="00C16226" w:rsidRPr="00C973E3">
              <w:t xml:space="preserve">Data were not </w:t>
            </w:r>
            <w:r w:rsidR="001B3213" w:rsidRPr="00C973E3">
              <w:t>provided</w:t>
            </w:r>
            <w:r w:rsidR="00C16226" w:rsidRPr="00C973E3">
              <w:t xml:space="preserve"> </w:t>
            </w:r>
            <w:r w:rsidR="001B3213" w:rsidRPr="00C973E3">
              <w:t>by</w:t>
            </w:r>
            <w:r w:rsidR="00C16226" w:rsidRPr="00C973E3">
              <w:t xml:space="preserve"> </w:t>
            </w:r>
            <w:r w:rsidR="00A01567" w:rsidRPr="00C973E3">
              <w:t>the ACT for 2013</w:t>
            </w:r>
            <w:r w:rsidR="004F6E3D" w:rsidRPr="00C973E3">
              <w:noBreakHyphen/>
            </w:r>
            <w:r w:rsidR="00A01567" w:rsidRPr="00C973E3">
              <w:t>14 and for the NT for 2013</w:t>
            </w:r>
            <w:r w:rsidR="004F6E3D" w:rsidRPr="00C973E3">
              <w:noBreakHyphen/>
            </w:r>
            <w:r w:rsidR="00A01567" w:rsidRPr="00C973E3">
              <w:t>14 to 2015</w:t>
            </w:r>
            <w:r w:rsidR="004F6E3D" w:rsidRPr="00C973E3">
              <w:noBreakHyphen/>
            </w:r>
            <w:r w:rsidR="00A01567" w:rsidRPr="00C973E3">
              <w:t>16</w:t>
            </w:r>
            <w:r w:rsidR="00C16226" w:rsidRPr="00C973E3">
              <w:t>.</w:t>
            </w:r>
          </w:p>
        </w:tc>
      </w:tr>
      <w:tr w:rsidR="00BB72B1" w:rsidRPr="00033816" w14:paraId="36512FEB" w14:textId="77777777" w:rsidTr="00C1120B">
        <w:tc>
          <w:tcPr>
            <w:tcW w:w="8789" w:type="dxa"/>
            <w:tcBorders>
              <w:top w:val="nil"/>
              <w:left w:val="nil"/>
              <w:bottom w:val="nil"/>
              <w:right w:val="nil"/>
            </w:tcBorders>
            <w:shd w:val="clear" w:color="auto" w:fill="auto"/>
          </w:tcPr>
          <w:p w14:paraId="660A5AFB" w14:textId="4207708D" w:rsidR="00BB72B1" w:rsidRPr="00033816" w:rsidRDefault="00A866C1" w:rsidP="00770430">
            <w:pPr>
              <w:pStyle w:val="Source"/>
            </w:pPr>
            <w:r w:rsidRPr="00033816">
              <w:rPr>
                <w:i/>
              </w:rPr>
              <w:t>S</w:t>
            </w:r>
            <w:r w:rsidR="00BB72B1" w:rsidRPr="00033816">
              <w:rPr>
                <w:i/>
              </w:rPr>
              <w:t>ource</w:t>
            </w:r>
            <w:r w:rsidR="00BB72B1" w:rsidRPr="00033816">
              <w:t xml:space="preserve">: </w:t>
            </w:r>
            <w:proofErr w:type="spellStart"/>
            <w:r w:rsidR="00086A96" w:rsidRPr="00033816">
              <w:t>AIHW</w:t>
            </w:r>
            <w:proofErr w:type="spellEnd"/>
            <w:r w:rsidR="00086A96" w:rsidRPr="00033816">
              <w:t xml:space="preserve"> data collection (unpublished); State and Territory governments (unpublished); </w:t>
            </w:r>
            <w:r w:rsidR="00032434" w:rsidRPr="00033816">
              <w:br/>
              <w:t xml:space="preserve">tables </w:t>
            </w:r>
            <w:proofErr w:type="spellStart"/>
            <w:r w:rsidR="00697BC2" w:rsidRPr="00033816">
              <w:t>16A.</w:t>
            </w:r>
            <w:r w:rsidR="00086A96" w:rsidRPr="00033816">
              <w:t>2</w:t>
            </w:r>
            <w:r w:rsidR="009312EF">
              <w:t>3</w:t>
            </w:r>
            <w:proofErr w:type="spellEnd"/>
            <w:r w:rsidR="00032434" w:rsidRPr="00033816">
              <w:noBreakHyphen/>
            </w:r>
            <w:r w:rsidR="00373AD1" w:rsidRPr="00033816">
              <w:t>3</w:t>
            </w:r>
            <w:r w:rsidR="009312EF">
              <w:t>1</w:t>
            </w:r>
            <w:r w:rsidR="00032434" w:rsidRPr="00033816">
              <w:t>.</w:t>
            </w:r>
          </w:p>
        </w:tc>
      </w:tr>
      <w:tr w:rsidR="00BB72B1" w:rsidRPr="00033816" w14:paraId="419F3E87" w14:textId="77777777" w:rsidTr="00C1120B">
        <w:tc>
          <w:tcPr>
            <w:tcW w:w="8789" w:type="dxa"/>
            <w:tcBorders>
              <w:top w:val="nil"/>
              <w:left w:val="nil"/>
              <w:bottom w:val="single" w:sz="6" w:space="0" w:color="78A22F"/>
              <w:right w:val="nil"/>
            </w:tcBorders>
            <w:shd w:val="clear" w:color="auto" w:fill="auto"/>
          </w:tcPr>
          <w:p w14:paraId="63A810F4" w14:textId="77777777" w:rsidR="00BB72B1" w:rsidRPr="00033816" w:rsidRDefault="00BB72B1" w:rsidP="00770430">
            <w:pPr>
              <w:pStyle w:val="Figurespace"/>
            </w:pPr>
          </w:p>
        </w:tc>
      </w:tr>
      <w:tr w:rsidR="00BB72B1" w:rsidRPr="00033816" w14:paraId="35A59C8B" w14:textId="77777777" w:rsidTr="00C1120B">
        <w:tc>
          <w:tcPr>
            <w:tcW w:w="8789" w:type="dxa"/>
            <w:tcBorders>
              <w:top w:val="single" w:sz="6" w:space="0" w:color="78A22F"/>
              <w:left w:val="nil"/>
              <w:bottom w:val="nil"/>
              <w:right w:val="nil"/>
            </w:tcBorders>
          </w:tcPr>
          <w:p w14:paraId="152E8B60" w14:textId="016C4E52" w:rsidR="00BB72B1" w:rsidRPr="00033816" w:rsidRDefault="00BB72B1" w:rsidP="00CE45D2">
            <w:pPr>
              <w:pStyle w:val="BoxSpaceBelow"/>
              <w:spacing w:before="0" w:after="0" w:line="40" w:lineRule="exact"/>
            </w:pPr>
          </w:p>
        </w:tc>
      </w:tr>
    </w:tbl>
    <w:p w14:paraId="4485E046" w14:textId="52A13B02" w:rsidR="00417E7D" w:rsidRPr="00033816" w:rsidRDefault="00AA2EAA" w:rsidP="00770430">
      <w:pPr>
        <w:pStyle w:val="Heading4"/>
      </w:pPr>
      <w:r w:rsidRPr="00033816">
        <w:t>Unit cost for out</w:t>
      </w:r>
      <w:r w:rsidR="004F6E3D" w:rsidRPr="00033816">
        <w:noBreakHyphen/>
      </w:r>
      <w:r w:rsidRPr="00033816">
        <w:t>of</w:t>
      </w:r>
      <w:r w:rsidR="004F6E3D" w:rsidRPr="00033816">
        <w:noBreakHyphen/>
      </w:r>
      <w:r w:rsidRPr="00033816">
        <w:t>home care</w:t>
      </w:r>
    </w:p>
    <w:p w14:paraId="5EF9B206" w14:textId="3D0DF38B" w:rsidR="00417E7D" w:rsidRDefault="00417E7D" w:rsidP="00770430">
      <w:pPr>
        <w:pStyle w:val="BodyText"/>
      </w:pPr>
      <w:r w:rsidRPr="00033816">
        <w:t>‘</w:t>
      </w:r>
      <w:r w:rsidR="00AA2EAA" w:rsidRPr="00033816">
        <w:t>Unit cost for out</w:t>
      </w:r>
      <w:r w:rsidR="004F6E3D" w:rsidRPr="00033816">
        <w:noBreakHyphen/>
      </w:r>
      <w:r w:rsidR="00AA2EAA" w:rsidRPr="00033816">
        <w:t>of</w:t>
      </w:r>
      <w:r w:rsidR="004F6E3D" w:rsidRPr="00033816">
        <w:noBreakHyphen/>
      </w:r>
      <w:r w:rsidR="00AA2EAA" w:rsidRPr="00033816">
        <w:t>home care</w:t>
      </w:r>
      <w:r w:rsidRPr="00033816">
        <w:t xml:space="preserve">’ is an indicator of governments’ objective to </w:t>
      </w:r>
      <w:r w:rsidR="005D5B5E" w:rsidRPr="00033816">
        <w:t>provide child protection services in an efficient manner</w:t>
      </w:r>
      <w:r w:rsidRPr="00033816">
        <w:t xml:space="preserve"> (box</w:t>
      </w:r>
      <w:r w:rsidR="00203E9E" w:rsidRPr="00033816">
        <w:t xml:space="preserve"> </w:t>
      </w:r>
      <w:r w:rsidR="00066049" w:rsidRPr="00033816">
        <w:t>16.14</w:t>
      </w:r>
      <w:r w:rsidRPr="00033816">
        <w:t>).</w:t>
      </w:r>
    </w:p>
    <w:p w14:paraId="65A6E4E2" w14:textId="77777777" w:rsidR="00CE45D2" w:rsidRPr="00033816" w:rsidRDefault="00CE45D2" w:rsidP="00770430">
      <w:pPr>
        <w:pStyle w:val="BodyText"/>
      </w:pPr>
    </w:p>
    <w:p w14:paraId="2C2F6CCB" w14:textId="6FD3984D" w:rsidR="0031531D" w:rsidRPr="00033816" w:rsidRDefault="0031531D"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1531D" w:rsidRPr="00033816" w14:paraId="2B3CC9C1" w14:textId="77777777" w:rsidTr="00C1120B">
        <w:tc>
          <w:tcPr>
            <w:tcW w:w="8789" w:type="dxa"/>
            <w:tcBorders>
              <w:top w:val="single" w:sz="6" w:space="0" w:color="78A22F"/>
              <w:left w:val="nil"/>
              <w:bottom w:val="nil"/>
              <w:right w:val="nil"/>
            </w:tcBorders>
            <w:shd w:val="clear" w:color="auto" w:fill="F2F2F2" w:themeFill="background1" w:themeFillShade="F2"/>
          </w:tcPr>
          <w:p w14:paraId="326D6EB4" w14:textId="0155CAB1" w:rsidR="0031531D" w:rsidRPr="00033816" w:rsidRDefault="0031531D" w:rsidP="00770430">
            <w:pPr>
              <w:pStyle w:val="BoxTitle"/>
            </w:pPr>
            <w:r w:rsidRPr="00033816">
              <w:rPr>
                <w:b w:val="0"/>
              </w:rPr>
              <w:t>Box</w:t>
            </w:r>
            <w:r w:rsidR="00976F95" w:rsidRPr="00033816">
              <w:rPr>
                <w:b w:val="0"/>
              </w:rPr>
              <w:t xml:space="preserve"> </w:t>
            </w:r>
            <w:r w:rsidR="00066049" w:rsidRPr="00033816">
              <w:rPr>
                <w:b w:val="0"/>
              </w:rPr>
              <w:t>16.14</w:t>
            </w:r>
            <w:r w:rsidRPr="00033816">
              <w:tab/>
            </w:r>
            <w:r w:rsidR="00AA2EAA" w:rsidRPr="00033816">
              <w:t>Unit cost for out</w:t>
            </w:r>
            <w:r w:rsidR="004F6E3D" w:rsidRPr="00033816">
              <w:noBreakHyphen/>
            </w:r>
            <w:r w:rsidR="00AA2EAA" w:rsidRPr="00033816">
              <w:t>of</w:t>
            </w:r>
            <w:r w:rsidR="004F6E3D" w:rsidRPr="00033816">
              <w:noBreakHyphen/>
            </w:r>
            <w:r w:rsidR="00AA2EAA" w:rsidRPr="00033816">
              <w:t>home care</w:t>
            </w:r>
          </w:p>
        </w:tc>
      </w:tr>
      <w:tr w:rsidR="0031531D" w:rsidRPr="00033816" w14:paraId="23C149FB" w14:textId="77777777" w:rsidTr="00C1120B">
        <w:trPr>
          <w:cantSplit/>
        </w:trPr>
        <w:tc>
          <w:tcPr>
            <w:tcW w:w="8789" w:type="dxa"/>
            <w:tcBorders>
              <w:top w:val="nil"/>
              <w:left w:val="nil"/>
              <w:bottom w:val="nil"/>
              <w:right w:val="nil"/>
            </w:tcBorders>
            <w:shd w:val="clear" w:color="auto" w:fill="F2F2F2" w:themeFill="background1" w:themeFillShade="F2"/>
          </w:tcPr>
          <w:p w14:paraId="5614CD33" w14:textId="23650A0A" w:rsidR="0031531D" w:rsidRPr="00033816" w:rsidRDefault="00AA2EAA" w:rsidP="00770430">
            <w:pPr>
              <w:pStyle w:val="Box"/>
            </w:pPr>
            <w:r w:rsidRPr="00033816">
              <w:t>‘Unit cost for out</w:t>
            </w:r>
            <w:r w:rsidR="004F6E3D" w:rsidRPr="00033816">
              <w:noBreakHyphen/>
            </w:r>
            <w:r w:rsidRPr="00033816">
              <w:t>of</w:t>
            </w:r>
            <w:r w:rsidR="004F6E3D" w:rsidRPr="00033816">
              <w:noBreakHyphen/>
            </w:r>
            <w:r w:rsidRPr="00033816">
              <w:t>home care</w:t>
            </w:r>
            <w:r w:rsidR="0031531D" w:rsidRPr="00033816">
              <w:t>’ is defined as total real recurrent expenditure on out</w:t>
            </w:r>
            <w:r w:rsidR="008817BB" w:rsidRPr="00033816">
              <w:noBreakHyphen/>
            </w:r>
            <w:r w:rsidR="0031531D" w:rsidRPr="00033816">
              <w:t>of</w:t>
            </w:r>
            <w:r w:rsidR="008817BB" w:rsidRPr="00033816">
              <w:noBreakHyphen/>
            </w:r>
            <w:r w:rsidR="0031531D" w:rsidRPr="00033816">
              <w:t>home care services</w:t>
            </w:r>
            <w:r w:rsidR="0052169C" w:rsidRPr="00033816">
              <w:t>,</w:t>
            </w:r>
            <w:r w:rsidR="0031531D" w:rsidRPr="00033816">
              <w:t xml:space="preserve"> divided by the total number of placement nights in out</w:t>
            </w:r>
            <w:r w:rsidR="008817BB" w:rsidRPr="00033816">
              <w:noBreakHyphen/>
            </w:r>
            <w:r w:rsidR="0031531D" w:rsidRPr="00033816">
              <w:t>of</w:t>
            </w:r>
            <w:r w:rsidR="008817BB" w:rsidRPr="00033816">
              <w:noBreakHyphen/>
            </w:r>
            <w:r w:rsidR="0031531D" w:rsidRPr="00033816">
              <w:t>home care</w:t>
            </w:r>
            <w:r w:rsidR="00C035C1" w:rsidRPr="00033816">
              <w:t xml:space="preserve"> </w:t>
            </w:r>
            <w:r w:rsidR="00300BFD" w:rsidRPr="00033816">
              <w:t>(</w:t>
            </w:r>
            <w:proofErr w:type="spellStart"/>
            <w:r w:rsidR="00300BFD" w:rsidRPr="00033816">
              <w:t>AG8</w:t>
            </w:r>
            <w:proofErr w:type="spellEnd"/>
            <w:r w:rsidR="00300BFD" w:rsidRPr="00033816">
              <w:t>)</w:t>
            </w:r>
            <w:r w:rsidR="0031531D" w:rsidRPr="00033816">
              <w:t>.</w:t>
            </w:r>
          </w:p>
          <w:p w14:paraId="7711006E" w14:textId="1F6A0136" w:rsidR="00CC1F96" w:rsidRPr="00033816" w:rsidRDefault="0031531D" w:rsidP="00770430">
            <w:pPr>
              <w:pStyle w:val="Box"/>
            </w:pPr>
            <w:r w:rsidRPr="00033816">
              <w:t>Low or decreasing expenditure per placement night can suggest more efficient services</w:t>
            </w:r>
            <w:r w:rsidR="00914653" w:rsidRPr="00033816">
              <w:t>,</w:t>
            </w:r>
            <w:r w:rsidRPr="00033816">
              <w:t xml:space="preserve"> </w:t>
            </w:r>
            <w:r w:rsidR="00CC1F96" w:rsidRPr="00033816">
              <w:t>but could also indicate lower quality and should be considered together with the results for other indicators in this chapter.</w:t>
            </w:r>
          </w:p>
          <w:p w14:paraId="2B100629" w14:textId="409E36B1" w:rsidR="00300BFD" w:rsidRDefault="00300BFD" w:rsidP="00770430">
            <w:pPr>
              <w:pStyle w:val="Box"/>
            </w:pPr>
            <w:r w:rsidRPr="00033816">
              <w:t>Data for unit cost</w:t>
            </w:r>
            <w:r w:rsidR="00C035C1" w:rsidRPr="00033816">
              <w:t>s</w:t>
            </w:r>
            <w:r w:rsidRPr="00033816">
              <w:t xml:space="preserve"> are experimental and should be considered together with the proportional allocation of total expenditure across all activity groups comprising the pathways method.</w:t>
            </w:r>
          </w:p>
          <w:p w14:paraId="624A732C" w14:textId="77777777" w:rsidR="0031531D" w:rsidRPr="00033816" w:rsidRDefault="0031531D" w:rsidP="00770430">
            <w:pPr>
              <w:pStyle w:val="Box"/>
            </w:pPr>
            <w:r w:rsidRPr="00033816">
              <w:t>Data reported for this indicator are:</w:t>
            </w:r>
          </w:p>
          <w:p w14:paraId="5D313886" w14:textId="5CA0692B" w:rsidR="0031531D" w:rsidRPr="00033816" w:rsidRDefault="00A557AF" w:rsidP="00770430">
            <w:pPr>
              <w:pStyle w:val="Box"/>
              <w:ind w:left="284"/>
            </w:pPr>
            <w:r w:rsidRPr="00344676">
              <w:rPr>
                <w:shd w:val="clear" w:color="auto" w:fill="FCDED3"/>
              </w:rPr>
              <w:t xml:space="preserve">    </w:t>
            </w:r>
            <w:r>
              <w:t xml:space="preserve"> </w:t>
            </w:r>
            <w:r w:rsidR="003405DD" w:rsidRPr="00033816">
              <w:t xml:space="preserve">not comparable across jurisdictions but are </w:t>
            </w:r>
            <w:r w:rsidR="0031531D" w:rsidRPr="00033816">
              <w:t xml:space="preserve">comparable (subject to caveats) within jurisdictions over time </w:t>
            </w:r>
          </w:p>
          <w:p w14:paraId="445248D7" w14:textId="46479602" w:rsidR="0031531D" w:rsidRPr="00033816" w:rsidRDefault="00DB479D" w:rsidP="00770430">
            <w:pPr>
              <w:pStyle w:val="Box"/>
              <w:ind w:left="284"/>
            </w:pPr>
            <w:r w:rsidRPr="009273A9">
              <w:rPr>
                <w:shd w:val="clear" w:color="auto" w:fill="F15A25"/>
              </w:rPr>
              <w:t xml:space="preserve">    </w:t>
            </w:r>
            <w:r>
              <w:t xml:space="preserve"> </w:t>
            </w:r>
            <w:r w:rsidR="0031531D" w:rsidRPr="00033816">
              <w:t xml:space="preserve">complete </w:t>
            </w:r>
            <w:r w:rsidR="00D40E0E">
              <w:t xml:space="preserve">(subject to caveats) </w:t>
            </w:r>
            <w:r w:rsidR="0031531D" w:rsidRPr="00033816">
              <w:t xml:space="preserve">for the current reporting </w:t>
            </w:r>
            <w:r w:rsidR="0031531D" w:rsidRPr="009F6235">
              <w:t xml:space="preserve">period. </w:t>
            </w:r>
            <w:r w:rsidR="00D704C0" w:rsidRPr="009F6235">
              <w:t>All required</w:t>
            </w:r>
            <w:r w:rsidR="00D704C0" w:rsidRPr="00033816">
              <w:t xml:space="preserve"> 201</w:t>
            </w:r>
            <w:r w:rsidR="00E74778">
              <w:t>7</w:t>
            </w:r>
            <w:r w:rsidR="004F6E3D" w:rsidRPr="00033816">
              <w:noBreakHyphen/>
            </w:r>
            <w:r w:rsidR="00D704C0" w:rsidRPr="00033816">
              <w:t>1</w:t>
            </w:r>
            <w:r w:rsidR="00E74778">
              <w:t>8</w:t>
            </w:r>
            <w:r w:rsidR="00D704C0" w:rsidRPr="00033816">
              <w:t xml:space="preserve"> data </w:t>
            </w:r>
            <w:r w:rsidR="001F06A8">
              <w:t>are</w:t>
            </w:r>
            <w:r w:rsidR="00D704C0" w:rsidRPr="00033816">
              <w:t xml:space="preserve"> available</w:t>
            </w:r>
            <w:r w:rsidR="007777AA">
              <w:t xml:space="preserve"> for all jurisdictions</w:t>
            </w:r>
            <w:r w:rsidR="00D704C0" w:rsidRPr="00033816">
              <w:t>.</w:t>
            </w:r>
          </w:p>
        </w:tc>
      </w:tr>
      <w:tr w:rsidR="0031531D" w:rsidRPr="00033816" w14:paraId="34BD3A7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93FEEE9" w14:textId="77777777" w:rsidR="0031531D" w:rsidRPr="00033816" w:rsidRDefault="0031531D" w:rsidP="00770430">
            <w:pPr>
              <w:pStyle w:val="Box"/>
              <w:spacing w:before="0" w:line="120" w:lineRule="exact"/>
            </w:pPr>
          </w:p>
        </w:tc>
      </w:tr>
      <w:tr w:rsidR="0031531D" w:rsidRPr="00033816" w14:paraId="0119043D" w14:textId="77777777" w:rsidTr="00C1120B">
        <w:tc>
          <w:tcPr>
            <w:tcW w:w="8789" w:type="dxa"/>
            <w:tcBorders>
              <w:top w:val="single" w:sz="6" w:space="0" w:color="78A22F"/>
              <w:left w:val="nil"/>
              <w:bottom w:val="nil"/>
              <w:right w:val="nil"/>
            </w:tcBorders>
          </w:tcPr>
          <w:p w14:paraId="5A7978B8" w14:textId="2386C656" w:rsidR="0031531D" w:rsidRPr="00033816" w:rsidRDefault="0031531D" w:rsidP="00770430">
            <w:pPr>
              <w:pStyle w:val="BoxSpaceBelow"/>
            </w:pPr>
          </w:p>
        </w:tc>
      </w:tr>
    </w:tbl>
    <w:p w14:paraId="37C44006" w14:textId="52695BDC" w:rsidR="00A003BA" w:rsidRDefault="00750DA8" w:rsidP="00770430">
      <w:pPr>
        <w:pStyle w:val="BodyText"/>
      </w:pPr>
      <w:r w:rsidRPr="00033816">
        <w:t>Nationally</w:t>
      </w:r>
      <w:r w:rsidR="0056415B" w:rsidRPr="00033816">
        <w:t xml:space="preserve"> in </w:t>
      </w:r>
      <w:r w:rsidR="006D3A4B" w:rsidRPr="00033816">
        <w:t>201</w:t>
      </w:r>
      <w:r w:rsidR="00E74778">
        <w:t>7</w:t>
      </w:r>
      <w:r w:rsidR="004F6E3D" w:rsidRPr="00033816">
        <w:noBreakHyphen/>
      </w:r>
      <w:r w:rsidR="006D3A4B" w:rsidRPr="00033816">
        <w:t>1</w:t>
      </w:r>
      <w:r w:rsidR="00E74778">
        <w:t>8</w:t>
      </w:r>
      <w:r w:rsidRPr="00033816">
        <w:t xml:space="preserve">, </w:t>
      </w:r>
      <w:r w:rsidR="00AA2EAA" w:rsidRPr="00033816">
        <w:t xml:space="preserve">the unit cost </w:t>
      </w:r>
      <w:r w:rsidR="0029385C" w:rsidRPr="00033816">
        <w:t>for</w:t>
      </w:r>
      <w:r w:rsidR="00AA2EAA" w:rsidRPr="00033816">
        <w:t xml:space="preserve"> out</w:t>
      </w:r>
      <w:r w:rsidR="004F6E3D" w:rsidRPr="00033816">
        <w:noBreakHyphen/>
      </w:r>
      <w:r w:rsidR="00AA2EAA" w:rsidRPr="00033816">
        <w:t>of</w:t>
      </w:r>
      <w:r w:rsidR="004F6E3D" w:rsidRPr="00033816">
        <w:noBreakHyphen/>
      </w:r>
      <w:r w:rsidR="00AA2EAA" w:rsidRPr="00033816">
        <w:t>home care</w:t>
      </w:r>
      <w:r w:rsidR="00220859" w:rsidRPr="00033816">
        <w:t xml:space="preserve"> was </w:t>
      </w:r>
      <w:r w:rsidR="009B2341" w:rsidRPr="00B61D86">
        <w:t>$</w:t>
      </w:r>
      <w:r w:rsidR="007777AA" w:rsidRPr="00B61D86">
        <w:t>19</w:t>
      </w:r>
      <w:r w:rsidR="001B2125" w:rsidRPr="00B61D86">
        <w:t>5</w:t>
      </w:r>
      <w:r w:rsidR="007777AA" w:rsidRPr="00B61D86">
        <w:t>.</w:t>
      </w:r>
      <w:r w:rsidR="00B364A4" w:rsidRPr="00B61D86">
        <w:t xml:space="preserve">53 </w:t>
      </w:r>
      <w:r w:rsidR="00417E7D" w:rsidRPr="00B61D86">
        <w:t>(</w:t>
      </w:r>
      <w:r w:rsidR="00A43D28" w:rsidRPr="00033816">
        <w:t>figure </w:t>
      </w:r>
      <w:r w:rsidR="00404601" w:rsidRPr="00033816">
        <w:t>16.13</w:t>
      </w:r>
      <w:r w:rsidR="00417E7D" w:rsidRPr="00033816">
        <w:t>).</w:t>
      </w:r>
    </w:p>
    <w:p w14:paraId="7ED8F1EE" w14:textId="047392F5" w:rsidR="008D10C8" w:rsidRPr="00033816" w:rsidRDefault="008D10C8"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10C8" w:rsidRPr="00033816" w14:paraId="45F64AA5" w14:textId="77777777" w:rsidTr="001D328B">
        <w:trPr>
          <w:cantSplit/>
        </w:trPr>
        <w:tc>
          <w:tcPr>
            <w:tcW w:w="8789" w:type="dxa"/>
            <w:tcBorders>
              <w:top w:val="single" w:sz="6" w:space="0" w:color="78A22F"/>
              <w:left w:val="nil"/>
              <w:bottom w:val="nil"/>
              <w:right w:val="nil"/>
            </w:tcBorders>
            <w:shd w:val="clear" w:color="auto" w:fill="auto"/>
          </w:tcPr>
          <w:p w14:paraId="63C63544" w14:textId="608145B0" w:rsidR="008D10C8" w:rsidRPr="00033816" w:rsidRDefault="008D10C8" w:rsidP="00770430">
            <w:pPr>
              <w:pStyle w:val="FigureTitle"/>
            </w:pPr>
            <w:r w:rsidRPr="00033816">
              <w:rPr>
                <w:b w:val="0"/>
              </w:rPr>
              <w:t>Figure</w:t>
            </w:r>
            <w:r w:rsidR="00404601" w:rsidRPr="00033816">
              <w:rPr>
                <w:b w:val="0"/>
              </w:rPr>
              <w:t xml:space="preserve"> 16.13</w:t>
            </w:r>
            <w:r w:rsidRPr="00033816">
              <w:tab/>
            </w:r>
            <w:r w:rsidR="00C035C1" w:rsidRPr="00033816">
              <w:t>Cost per placement night</w:t>
            </w:r>
            <w:r w:rsidR="00466D07" w:rsidRPr="00033816">
              <w:t xml:space="preserve"> </w:t>
            </w:r>
            <w:r w:rsidR="0029385C" w:rsidRPr="00033816">
              <w:t>in</w:t>
            </w:r>
            <w:r w:rsidR="00032434" w:rsidRPr="00033816">
              <w:t xml:space="preserve"> out</w:t>
            </w:r>
            <w:r w:rsidR="004F6E3D" w:rsidRPr="00033816">
              <w:noBreakHyphen/>
            </w:r>
            <w:r w:rsidR="00032434" w:rsidRPr="00033816">
              <w:t>of</w:t>
            </w:r>
            <w:r w:rsidR="004F6E3D" w:rsidRPr="00033816">
              <w:noBreakHyphen/>
            </w:r>
            <w:r w:rsidR="00032434" w:rsidRPr="00033816">
              <w:t>home care (</w:t>
            </w:r>
            <w:proofErr w:type="spellStart"/>
            <w:r w:rsidR="00032434" w:rsidRPr="00033816">
              <w:t>AG8</w:t>
            </w:r>
            <w:proofErr w:type="spellEnd"/>
            <w:r w:rsidR="00032434" w:rsidRPr="00033816">
              <w:t xml:space="preserve">) </w:t>
            </w:r>
            <w:r w:rsidR="00032434" w:rsidRPr="00033816">
              <w:br/>
            </w:r>
            <w:r w:rsidR="00466D07" w:rsidRPr="00033816">
              <w:t>(</w:t>
            </w:r>
            <w:r w:rsidR="006D3A4B" w:rsidRPr="00033816">
              <w:t>201</w:t>
            </w:r>
            <w:r w:rsidR="00E74778">
              <w:t>7</w:t>
            </w:r>
            <w:r w:rsidR="004F6E3D" w:rsidRPr="00033816">
              <w:noBreakHyphen/>
            </w:r>
            <w:r w:rsidR="006D3A4B" w:rsidRPr="00033816">
              <w:t>1</w:t>
            </w:r>
            <w:r w:rsidR="00E74778">
              <w:t>8</w:t>
            </w:r>
            <w:r w:rsidRPr="00033816">
              <w:t xml:space="preserve"> dollars)</w:t>
            </w:r>
            <w:r w:rsidR="0056415B" w:rsidRPr="00033816">
              <w:rPr>
                <w:rStyle w:val="NoteLabel"/>
                <w:b/>
              </w:rPr>
              <w:t>a</w:t>
            </w:r>
          </w:p>
        </w:tc>
      </w:tr>
      <w:tr w:rsidR="001D328B" w:rsidRPr="00033816" w14:paraId="127DFEE9" w14:textId="77777777" w:rsidTr="001D328B">
        <w:trPr>
          <w:cantSplit/>
        </w:trPr>
        <w:tc>
          <w:tcPr>
            <w:tcW w:w="8789" w:type="dxa"/>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1D328B" w:rsidRPr="00C96187" w14:paraId="081A9991" w14:textId="77777777" w:rsidTr="00E15CC6">
              <w:tc>
                <w:tcPr>
                  <w:tcW w:w="304" w:type="dxa"/>
                  <w:tcBorders>
                    <w:top w:val="nil"/>
                    <w:left w:val="nil"/>
                    <w:bottom w:val="nil"/>
                    <w:right w:val="nil"/>
                  </w:tcBorders>
                  <w:shd w:val="clear" w:color="auto" w:fill="auto"/>
                  <w:tcMar>
                    <w:top w:w="28" w:type="dxa"/>
                    <w:bottom w:w="28" w:type="dxa"/>
                  </w:tcMar>
                </w:tcPr>
                <w:p w14:paraId="4A5656C0" w14:textId="77777777" w:rsidR="001D328B" w:rsidRPr="00C96187"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6D4AEDFF" w14:textId="77777777" w:rsidR="001D328B" w:rsidRPr="00C96187" w:rsidRDefault="001D328B"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6E993F34" w14:textId="78502E16" w:rsidR="001D328B" w:rsidRPr="00C96187" w:rsidRDefault="001D328B" w:rsidP="00770430">
                  <w:pPr>
                    <w:pStyle w:val="TableBodyText"/>
                    <w:jc w:val="left"/>
                  </w:pPr>
                  <w:r>
                    <w:t xml:space="preserve">Data are </w:t>
                  </w:r>
                  <w:r w:rsidR="003405DD" w:rsidRPr="00C96187">
                    <w:t>not comparable across jurisdictions</w:t>
                  </w:r>
                  <w:r w:rsidR="003405DD">
                    <w:t xml:space="preserve"> </w:t>
                  </w:r>
                  <w:r w:rsidR="003405DD" w:rsidRPr="00C96187">
                    <w:t>but are</w:t>
                  </w:r>
                  <w:r w:rsidR="003405DD">
                    <w:t xml:space="preserve"> </w:t>
                  </w:r>
                  <w:r>
                    <w:t>c</w:t>
                  </w:r>
                  <w:r w:rsidRPr="00C96187">
                    <w:t>omparable (subject to caveats) within jurisdictions over time.</w:t>
                  </w:r>
                </w:p>
              </w:tc>
            </w:tr>
            <w:tr w:rsidR="001D328B" w:rsidRPr="00C96187" w14:paraId="744DE563" w14:textId="77777777" w:rsidTr="00E15CC6">
              <w:tc>
                <w:tcPr>
                  <w:tcW w:w="304" w:type="dxa"/>
                  <w:tcBorders>
                    <w:top w:val="nil"/>
                    <w:left w:val="nil"/>
                    <w:bottom w:val="nil"/>
                    <w:right w:val="nil"/>
                  </w:tcBorders>
                  <w:shd w:val="clear" w:color="auto" w:fill="auto"/>
                  <w:tcMar>
                    <w:top w:w="28" w:type="dxa"/>
                    <w:bottom w:w="28" w:type="dxa"/>
                  </w:tcMar>
                </w:tcPr>
                <w:p w14:paraId="7F8203E6" w14:textId="77777777" w:rsidR="001D328B" w:rsidRPr="00C96187" w:rsidRDefault="001D328B"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9DC7F8C" w14:textId="77777777" w:rsidR="001D328B" w:rsidRPr="00C96187" w:rsidRDefault="001D328B"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B15F466" w14:textId="3E03123A" w:rsidR="001D328B" w:rsidRPr="00C96187" w:rsidRDefault="001D328B" w:rsidP="00770430">
                  <w:pPr>
                    <w:pStyle w:val="TableBodyText"/>
                    <w:jc w:val="left"/>
                  </w:pPr>
                  <w:r w:rsidRPr="00C96187">
                    <w:t xml:space="preserve">Data are complete (subject to caveats) for the current reporting period. </w:t>
                  </w:r>
                </w:p>
              </w:tc>
            </w:tr>
          </w:tbl>
          <w:p w14:paraId="69FFB98B" w14:textId="77777777" w:rsidR="001D328B" w:rsidRPr="00033816" w:rsidRDefault="001D328B" w:rsidP="00770430">
            <w:pPr>
              <w:pStyle w:val="FigureTitle"/>
              <w:rPr>
                <w:b w:val="0"/>
              </w:rPr>
            </w:pPr>
          </w:p>
        </w:tc>
      </w:tr>
      <w:tr w:rsidR="008D10C8" w:rsidRPr="00033816" w14:paraId="4622CFC1" w14:textId="77777777" w:rsidTr="00A003BA">
        <w:trPr>
          <w:cantSplit/>
          <w:trHeight w:val="3965"/>
        </w:trPr>
        <w:tc>
          <w:tcPr>
            <w:tcW w:w="8789" w:type="dxa"/>
            <w:tcBorders>
              <w:top w:val="nil"/>
              <w:left w:val="nil"/>
              <w:bottom w:val="nil"/>
              <w:right w:val="nil"/>
            </w:tcBorders>
            <w:shd w:val="clear" w:color="auto" w:fill="auto"/>
            <w:tcMar>
              <w:top w:w="28" w:type="dxa"/>
              <w:bottom w:w="28" w:type="dxa"/>
            </w:tcMar>
          </w:tcPr>
          <w:tbl>
            <w:tblPr>
              <w:tblW w:w="8504" w:type="dxa"/>
              <w:shd w:val="clear" w:color="auto" w:fill="FF4040" w:themeFill="accent6" w:themeFillTint="99"/>
              <w:tblLayout w:type="fixed"/>
              <w:tblCellMar>
                <w:top w:w="28" w:type="dxa"/>
              </w:tblCellMar>
              <w:tblLook w:val="0000" w:firstRow="0" w:lastRow="0" w:firstColumn="0" w:lastColumn="0" w:noHBand="0" w:noVBand="0"/>
            </w:tblPr>
            <w:tblGrid>
              <w:gridCol w:w="8504"/>
            </w:tblGrid>
            <w:tr w:rsidR="008D10C8" w:rsidRPr="00033816" w14:paraId="02638554" w14:textId="77777777" w:rsidTr="00B61D86">
              <w:trPr>
                <w:trHeight w:val="4252"/>
              </w:trPr>
              <w:tc>
                <w:tcPr>
                  <w:tcW w:w="8504" w:type="dxa"/>
                  <w:shd w:val="clear" w:color="auto" w:fill="auto"/>
                </w:tcPr>
                <w:p w14:paraId="149A66B9" w14:textId="534A38D2" w:rsidR="008D10C8" w:rsidRPr="00033816" w:rsidRDefault="00B364A4" w:rsidP="00770430">
                  <w:pPr>
                    <w:pStyle w:val="Figure"/>
                  </w:pPr>
                  <w:r>
                    <w:rPr>
                      <w:noProof/>
                    </w:rPr>
                    <w:drawing>
                      <wp:inline distT="0" distB="0" distL="0" distR="0" wp14:anchorId="6172BB96" wp14:editId="0839791F">
                        <wp:extent cx="5262880" cy="2648585"/>
                        <wp:effectExtent l="0" t="0" r="0" b="0"/>
                        <wp:docPr id="26" name="Chart 26" descr="Figure 16.13 Cost per placement night in out-of-home care (AG8) &#10;(2017-18 dollars)&#10;&#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EFE8AE2" w14:textId="77777777" w:rsidR="008D10C8" w:rsidRPr="00033816" w:rsidRDefault="008D10C8" w:rsidP="00770430">
            <w:pPr>
              <w:pStyle w:val="Figure"/>
            </w:pPr>
          </w:p>
        </w:tc>
      </w:tr>
      <w:tr w:rsidR="008D10C8" w:rsidRPr="00033816" w14:paraId="5FF1CF43" w14:textId="77777777" w:rsidTr="00A003BA">
        <w:trPr>
          <w:cantSplit/>
          <w:trHeight w:val="224"/>
        </w:trPr>
        <w:tc>
          <w:tcPr>
            <w:tcW w:w="8789" w:type="dxa"/>
            <w:tcBorders>
              <w:top w:val="nil"/>
              <w:left w:val="nil"/>
              <w:bottom w:val="nil"/>
              <w:right w:val="nil"/>
            </w:tcBorders>
            <w:shd w:val="clear" w:color="auto" w:fill="auto"/>
          </w:tcPr>
          <w:p w14:paraId="4088ECD0" w14:textId="455D5B8A" w:rsidR="008D10C8" w:rsidRPr="00033816" w:rsidRDefault="00624F24" w:rsidP="00770430">
            <w:pPr>
              <w:pStyle w:val="Note"/>
            </w:pPr>
            <w:r w:rsidRPr="00033816">
              <w:rPr>
                <w:rStyle w:val="NoteLabel"/>
              </w:rPr>
              <w:t>a</w:t>
            </w:r>
            <w:r w:rsidRPr="00033816">
              <w:t xml:space="preserve"> See </w:t>
            </w:r>
            <w:r w:rsidR="009B0BDA" w:rsidRPr="00033816">
              <w:t xml:space="preserve">box </w:t>
            </w:r>
            <w:r w:rsidR="00032434" w:rsidRPr="00033816">
              <w:t>16.14</w:t>
            </w:r>
            <w:r w:rsidR="00220859" w:rsidRPr="00033816">
              <w:t xml:space="preserve"> </w:t>
            </w:r>
            <w:r w:rsidR="00601546" w:rsidRPr="00033816">
              <w:t xml:space="preserve">and table </w:t>
            </w:r>
            <w:proofErr w:type="spellStart"/>
            <w:r w:rsidR="003D62DA" w:rsidRPr="00033816">
              <w:t>16</w:t>
            </w:r>
            <w:r w:rsidR="008C6DBC" w:rsidRPr="00033816">
              <w:t>A.</w:t>
            </w:r>
            <w:r w:rsidR="00356FD7" w:rsidRPr="00033816">
              <w:t>3</w:t>
            </w:r>
            <w:r w:rsidR="009312EF">
              <w:t>3</w:t>
            </w:r>
            <w:proofErr w:type="spellEnd"/>
            <w:r w:rsidR="00601546" w:rsidRPr="00033816">
              <w:t xml:space="preserve"> </w:t>
            </w:r>
            <w:r w:rsidRPr="00033816">
              <w:t xml:space="preserve">for detailed </w:t>
            </w:r>
            <w:r w:rsidR="00601546" w:rsidRPr="00033816">
              <w:t xml:space="preserve">definitions, </w:t>
            </w:r>
            <w:r w:rsidRPr="00033816">
              <w:t>footnotes</w:t>
            </w:r>
            <w:r w:rsidR="00601546" w:rsidRPr="00033816">
              <w:t xml:space="preserve"> and caveats</w:t>
            </w:r>
            <w:r w:rsidRPr="00033816">
              <w:t xml:space="preserve">. </w:t>
            </w:r>
          </w:p>
        </w:tc>
      </w:tr>
      <w:tr w:rsidR="008D10C8" w:rsidRPr="00033816" w14:paraId="2629F785" w14:textId="77777777" w:rsidTr="00A003BA">
        <w:trPr>
          <w:cantSplit/>
          <w:trHeight w:val="68"/>
        </w:trPr>
        <w:tc>
          <w:tcPr>
            <w:tcW w:w="8789" w:type="dxa"/>
            <w:tcBorders>
              <w:top w:val="nil"/>
              <w:left w:val="nil"/>
              <w:bottom w:val="nil"/>
              <w:right w:val="nil"/>
            </w:tcBorders>
            <w:shd w:val="clear" w:color="auto" w:fill="auto"/>
          </w:tcPr>
          <w:p w14:paraId="5AA9262A" w14:textId="3758C677" w:rsidR="008D10C8" w:rsidRPr="00033816" w:rsidRDefault="008D10C8" w:rsidP="00770430">
            <w:pPr>
              <w:pStyle w:val="Source"/>
            </w:pPr>
            <w:r w:rsidRPr="00033816">
              <w:rPr>
                <w:i/>
              </w:rPr>
              <w:t>Source</w:t>
            </w:r>
            <w:r w:rsidRPr="00033816">
              <w:t xml:space="preserve">: </w:t>
            </w:r>
            <w:proofErr w:type="spellStart"/>
            <w:r w:rsidRPr="00033816">
              <w:t>AIHW</w:t>
            </w:r>
            <w:proofErr w:type="spellEnd"/>
            <w:r w:rsidRPr="00033816">
              <w:t xml:space="preserve"> data collection (unpublished); State and Territory governments (unpublished); table</w:t>
            </w:r>
            <w:r w:rsidR="00203E9E" w:rsidRPr="00033816">
              <w:t xml:space="preserve"> </w:t>
            </w:r>
            <w:proofErr w:type="spellStart"/>
            <w:r w:rsidR="003D62DA" w:rsidRPr="00033816">
              <w:t>16</w:t>
            </w:r>
            <w:r w:rsidR="008C6DBC" w:rsidRPr="00033816">
              <w:t>A.</w:t>
            </w:r>
            <w:r w:rsidR="00356FD7" w:rsidRPr="00033816">
              <w:t>3</w:t>
            </w:r>
            <w:r w:rsidR="009312EF">
              <w:t>3</w:t>
            </w:r>
            <w:proofErr w:type="spellEnd"/>
            <w:r w:rsidRPr="00033816">
              <w:t>.</w:t>
            </w:r>
          </w:p>
        </w:tc>
      </w:tr>
      <w:tr w:rsidR="008D10C8" w:rsidRPr="00033816" w14:paraId="0C1F480E" w14:textId="77777777" w:rsidTr="00A003BA">
        <w:trPr>
          <w:cantSplit/>
        </w:trPr>
        <w:tc>
          <w:tcPr>
            <w:tcW w:w="8789" w:type="dxa"/>
            <w:tcBorders>
              <w:top w:val="nil"/>
              <w:left w:val="nil"/>
              <w:bottom w:val="single" w:sz="6" w:space="0" w:color="78A22F"/>
              <w:right w:val="nil"/>
            </w:tcBorders>
            <w:shd w:val="clear" w:color="auto" w:fill="auto"/>
          </w:tcPr>
          <w:p w14:paraId="33097020" w14:textId="77777777" w:rsidR="008D10C8" w:rsidRPr="00033816" w:rsidRDefault="008D10C8" w:rsidP="00770430">
            <w:pPr>
              <w:pStyle w:val="Figurespace"/>
            </w:pPr>
          </w:p>
        </w:tc>
      </w:tr>
      <w:tr w:rsidR="00697BC2" w:rsidRPr="00033816" w14:paraId="492DD8F3" w14:textId="77777777" w:rsidTr="00A003BA">
        <w:trPr>
          <w:cantSplit/>
        </w:trPr>
        <w:tc>
          <w:tcPr>
            <w:tcW w:w="8789" w:type="dxa"/>
            <w:tcBorders>
              <w:top w:val="single" w:sz="6" w:space="0" w:color="78A22F"/>
              <w:left w:val="nil"/>
              <w:bottom w:val="nil"/>
              <w:right w:val="nil"/>
            </w:tcBorders>
          </w:tcPr>
          <w:p w14:paraId="05026D75" w14:textId="60D97FF1" w:rsidR="00697BC2" w:rsidRPr="00033816" w:rsidRDefault="00697BC2" w:rsidP="00770430">
            <w:pPr>
              <w:pStyle w:val="BoxSpaceBelow"/>
            </w:pPr>
          </w:p>
        </w:tc>
      </w:tr>
    </w:tbl>
    <w:p w14:paraId="48A84B9C" w14:textId="2BFB50A6" w:rsidR="000178D1" w:rsidRPr="00033816" w:rsidRDefault="00914653" w:rsidP="00770430">
      <w:pPr>
        <w:pStyle w:val="BodyText"/>
      </w:pPr>
      <w:r w:rsidRPr="00033816">
        <w:lastRenderedPageBreak/>
        <w:t>Cost per placement night in out</w:t>
      </w:r>
      <w:r w:rsidR="004F6E3D" w:rsidRPr="00033816">
        <w:noBreakHyphen/>
      </w:r>
      <w:r w:rsidRPr="00033816">
        <w:t>of</w:t>
      </w:r>
      <w:r w:rsidR="004F6E3D" w:rsidRPr="00033816">
        <w:noBreakHyphen/>
      </w:r>
      <w:r w:rsidRPr="00033816">
        <w:t xml:space="preserve">home care should be considered in conjunction with </w:t>
      </w:r>
      <w:r w:rsidR="006842D6" w:rsidRPr="00033816">
        <w:t>expenditure on out</w:t>
      </w:r>
      <w:r w:rsidR="004F6E3D" w:rsidRPr="00033816">
        <w:noBreakHyphen/>
      </w:r>
      <w:r w:rsidR="006842D6" w:rsidRPr="00033816">
        <w:t>of</w:t>
      </w:r>
      <w:r w:rsidR="004F6E3D" w:rsidRPr="00033816">
        <w:noBreakHyphen/>
      </w:r>
      <w:r w:rsidR="006842D6" w:rsidRPr="00033816">
        <w:t>home care per child</w:t>
      </w:r>
      <w:r w:rsidRPr="00033816">
        <w:t xml:space="preserve"> (</w:t>
      </w:r>
      <w:r w:rsidR="008F1FC5" w:rsidRPr="00033816">
        <w:t xml:space="preserve">and </w:t>
      </w:r>
      <w:r w:rsidRPr="00033816">
        <w:t xml:space="preserve">by </w:t>
      </w:r>
      <w:r w:rsidRPr="007777AA">
        <w:t>placement type). The cost per child</w:t>
      </w:r>
      <w:r w:rsidR="006842D6" w:rsidRPr="007777AA">
        <w:t xml:space="preserve"> in </w:t>
      </w:r>
      <w:r w:rsidR="004A332F" w:rsidRPr="007777AA">
        <w:t>out</w:t>
      </w:r>
      <w:r w:rsidR="004F6E3D" w:rsidRPr="007777AA">
        <w:noBreakHyphen/>
      </w:r>
      <w:r w:rsidR="004A332F" w:rsidRPr="007777AA">
        <w:t>of</w:t>
      </w:r>
      <w:r w:rsidR="004F6E3D" w:rsidRPr="007777AA">
        <w:noBreakHyphen/>
      </w:r>
      <w:r w:rsidR="004A332F" w:rsidRPr="007777AA">
        <w:t xml:space="preserve">home </w:t>
      </w:r>
      <w:r w:rsidR="006842D6" w:rsidRPr="007777AA">
        <w:t xml:space="preserve">care </w:t>
      </w:r>
      <w:r w:rsidR="002D05B6" w:rsidRPr="007777AA">
        <w:t>at</w:t>
      </w:r>
      <w:r w:rsidR="006842D6" w:rsidRPr="007777AA">
        <w:t xml:space="preserve"> 30</w:t>
      </w:r>
      <w:r w:rsidR="008817BB" w:rsidRPr="007777AA">
        <w:t> </w:t>
      </w:r>
      <w:r w:rsidR="006842D6" w:rsidRPr="007777AA">
        <w:t xml:space="preserve">June </w:t>
      </w:r>
      <w:r w:rsidR="003D62DA" w:rsidRPr="007777AA">
        <w:t>201</w:t>
      </w:r>
      <w:r w:rsidR="00F25D78" w:rsidRPr="007777AA">
        <w:t>8</w:t>
      </w:r>
      <w:r w:rsidR="009E50F5" w:rsidRPr="007777AA">
        <w:t xml:space="preserve"> varied across jurisdictions ranging between $</w:t>
      </w:r>
      <w:r w:rsidR="004F2B9E" w:rsidRPr="007777AA">
        <w:t>51 646</w:t>
      </w:r>
      <w:r w:rsidR="009E50F5" w:rsidRPr="007777AA">
        <w:t xml:space="preserve"> and $</w:t>
      </w:r>
      <w:r w:rsidR="004F2B9E" w:rsidRPr="007777AA">
        <w:t>128 762</w:t>
      </w:r>
      <w:r w:rsidR="004A0FD4">
        <w:t xml:space="preserve">. </w:t>
      </w:r>
      <w:r w:rsidR="004A0FD4" w:rsidRPr="00B61D86">
        <w:t>In jurisdictions where data were available, costs were</w:t>
      </w:r>
      <w:r w:rsidR="0096323B" w:rsidRPr="00B61D86">
        <w:t xml:space="preserve"> </w:t>
      </w:r>
      <w:r w:rsidR="004A332F" w:rsidRPr="00B61D86">
        <w:t>considerably</w:t>
      </w:r>
      <w:r w:rsidR="004A332F" w:rsidRPr="007777AA">
        <w:t xml:space="preserve"> higher</w:t>
      </w:r>
      <w:r w:rsidR="0096323B" w:rsidRPr="007777AA">
        <w:t xml:space="preserve"> for </w:t>
      </w:r>
      <w:r w:rsidR="004A332F" w:rsidRPr="007777AA">
        <w:t xml:space="preserve">residential care (ranging between </w:t>
      </w:r>
      <w:r w:rsidR="008F799A" w:rsidRPr="007777AA">
        <w:t>$</w:t>
      </w:r>
      <w:r w:rsidR="007777AA" w:rsidRPr="007777AA">
        <w:t>463 549</w:t>
      </w:r>
      <w:r w:rsidR="004A332F" w:rsidRPr="007777AA">
        <w:t xml:space="preserve"> and $</w:t>
      </w:r>
      <w:r w:rsidR="007777AA" w:rsidRPr="007777AA">
        <w:t>875 166</w:t>
      </w:r>
      <w:r w:rsidR="004A332F" w:rsidRPr="007777AA">
        <w:t xml:space="preserve">) compared to </w:t>
      </w:r>
      <w:r w:rsidR="0096323B" w:rsidRPr="007777AA">
        <w:t>non</w:t>
      </w:r>
      <w:r w:rsidR="008817BB" w:rsidRPr="007777AA">
        <w:noBreakHyphen/>
      </w:r>
      <w:r w:rsidR="0096323B" w:rsidRPr="007777AA">
        <w:t>residential care (ranging between $</w:t>
      </w:r>
      <w:r w:rsidR="007777AA" w:rsidRPr="007777AA">
        <w:t>34 634</w:t>
      </w:r>
      <w:r w:rsidR="0096323B" w:rsidRPr="007777AA">
        <w:t xml:space="preserve"> and $</w:t>
      </w:r>
      <w:r w:rsidR="007777AA" w:rsidRPr="007777AA">
        <w:t>48 985</w:t>
      </w:r>
      <w:r w:rsidR="0096323B" w:rsidRPr="007777AA">
        <w:t>)</w:t>
      </w:r>
      <w:r w:rsidR="004A332F" w:rsidRPr="007777AA">
        <w:t xml:space="preserve"> </w:t>
      </w:r>
      <w:r w:rsidR="007777AA" w:rsidRPr="007777AA">
        <w:t>(table </w:t>
      </w:r>
      <w:proofErr w:type="spellStart"/>
      <w:r w:rsidR="00356FD7" w:rsidRPr="007777AA">
        <w:t>16A.3</w:t>
      </w:r>
      <w:r w:rsidR="009312EF" w:rsidRPr="007777AA">
        <w:t>4</w:t>
      </w:r>
      <w:proofErr w:type="spellEnd"/>
      <w:r w:rsidR="008C6DBC" w:rsidRPr="007777AA">
        <w:t>)</w:t>
      </w:r>
      <w:r w:rsidR="009E50F5" w:rsidRPr="007777AA">
        <w:t>.</w:t>
      </w:r>
    </w:p>
    <w:p w14:paraId="7EA701C3" w14:textId="7B698233" w:rsidR="006842D6" w:rsidRPr="00033816" w:rsidRDefault="006842D6" w:rsidP="00770430">
      <w:pPr>
        <w:pStyle w:val="Heading3"/>
      </w:pPr>
      <w:r w:rsidRPr="00033816">
        <w:t>Outcomes</w:t>
      </w:r>
    </w:p>
    <w:p w14:paraId="67FB90F2" w14:textId="77777777" w:rsidR="001F2D2A" w:rsidRPr="00033816" w:rsidRDefault="00730369" w:rsidP="00770430">
      <w:pPr>
        <w:pStyle w:val="BodyText"/>
        <w:widowControl w:val="0"/>
      </w:pPr>
      <w:r w:rsidRPr="00033816">
        <w:t xml:space="preserve">Outcomes </w:t>
      </w:r>
      <w:r w:rsidR="001F2D2A" w:rsidRPr="00033816">
        <w:t xml:space="preserve">are the impact of services on the status of an individual or </w:t>
      </w:r>
      <w:r w:rsidR="00434D29" w:rsidRPr="00033816">
        <w:t>group (see chapter 1</w:t>
      </w:r>
      <w:r w:rsidR="001F2D2A" w:rsidRPr="00033816">
        <w:t>).</w:t>
      </w:r>
    </w:p>
    <w:p w14:paraId="38F47E8A" w14:textId="77777777" w:rsidR="006842D6" w:rsidRPr="00033816" w:rsidRDefault="006842D6" w:rsidP="00770430">
      <w:pPr>
        <w:pStyle w:val="Heading4"/>
      </w:pPr>
      <w:r w:rsidRPr="00033816">
        <w:t>Improved safety — substantiation rate after decision not to substantiate</w:t>
      </w:r>
    </w:p>
    <w:p w14:paraId="16A739D2" w14:textId="7B991592" w:rsidR="006842D6" w:rsidRDefault="006842D6" w:rsidP="00770430">
      <w:pPr>
        <w:pStyle w:val="BodyText"/>
        <w:widowControl w:val="0"/>
      </w:pPr>
      <w:r w:rsidRPr="00033816">
        <w:t>‘</w:t>
      </w:r>
      <w:r w:rsidR="000D3EFA" w:rsidRPr="00033816">
        <w:t>Improved safety</w:t>
      </w:r>
      <w:r w:rsidR="00400A06" w:rsidRPr="00033816">
        <w:t xml:space="preserve">’ </w:t>
      </w:r>
      <w:r w:rsidR="004B40A1" w:rsidRPr="00033816">
        <w:t xml:space="preserve">is an indicator of governments’ objective to </w:t>
      </w:r>
      <w:r w:rsidR="00D03E05" w:rsidRPr="00033816">
        <w:t>protect children and young people who are at risk of abuse and neglect within their families, or whose families do not have the capacity to provide care and protection</w:t>
      </w:r>
      <w:r w:rsidRPr="00033816">
        <w:t xml:space="preserve"> (box</w:t>
      </w:r>
      <w:r w:rsidR="00AF31B1" w:rsidRPr="00033816">
        <w:t> </w:t>
      </w:r>
      <w:r w:rsidR="00DC383D">
        <w:t>16.15</w:t>
      </w:r>
      <w:r w:rsidR="00AE3E35" w:rsidRPr="00033816">
        <w:t>).</w:t>
      </w:r>
    </w:p>
    <w:p w14:paraId="18D4CBB8" w14:textId="130E3092" w:rsidR="00CE45D2" w:rsidRDefault="00CE45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45D2" w14:paraId="016CE854" w14:textId="77777777" w:rsidTr="00537314">
        <w:trPr>
          <w:tblHeader/>
        </w:trPr>
        <w:tc>
          <w:tcPr>
            <w:tcW w:w="5000" w:type="pct"/>
            <w:tcBorders>
              <w:top w:val="single" w:sz="6" w:space="0" w:color="78A22F"/>
              <w:left w:val="nil"/>
              <w:bottom w:val="nil"/>
              <w:right w:val="nil"/>
            </w:tcBorders>
            <w:shd w:val="clear" w:color="auto" w:fill="F2F2F2"/>
          </w:tcPr>
          <w:p w14:paraId="369807B8" w14:textId="66A4EC07" w:rsidR="00CE45D2" w:rsidRDefault="00CE45D2" w:rsidP="00CE45D2">
            <w:pPr>
              <w:pStyle w:val="BoxTitle"/>
            </w:pPr>
            <w:r>
              <w:rPr>
                <w:b w:val="0"/>
              </w:rPr>
              <w:t>Box 16.15</w:t>
            </w:r>
            <w:r>
              <w:tab/>
            </w:r>
            <w:r w:rsidRPr="00033816">
              <w:t>Improved safety</w:t>
            </w:r>
          </w:p>
        </w:tc>
      </w:tr>
      <w:tr w:rsidR="00CE45D2" w14:paraId="4F6D6CB1" w14:textId="77777777" w:rsidTr="00537314">
        <w:tc>
          <w:tcPr>
            <w:tcW w:w="5000" w:type="pct"/>
            <w:tcBorders>
              <w:top w:val="nil"/>
              <w:left w:val="nil"/>
              <w:bottom w:val="nil"/>
              <w:right w:val="nil"/>
            </w:tcBorders>
            <w:shd w:val="clear" w:color="auto" w:fill="F2F2F2"/>
          </w:tcPr>
          <w:p w14:paraId="401FBB47" w14:textId="77777777" w:rsidR="00CE45D2" w:rsidRPr="00033816" w:rsidRDefault="00CE45D2" w:rsidP="00CE45D2">
            <w:pPr>
              <w:pStyle w:val="Box"/>
            </w:pPr>
            <w:r w:rsidRPr="00033816">
              <w:t>‘Improved safety’ is defined by two measures:</w:t>
            </w:r>
          </w:p>
          <w:p w14:paraId="1C606AC3" w14:textId="77777777" w:rsidR="00CE45D2" w:rsidRPr="00033816" w:rsidRDefault="00CE45D2" w:rsidP="00CE45D2">
            <w:pPr>
              <w:pStyle w:val="BoxListBullet"/>
            </w:pPr>
            <w:r w:rsidRPr="00033816">
              <w:t xml:space="preserve">substantiation rate </w:t>
            </w:r>
            <w:r w:rsidRPr="00033816">
              <w:rPr>
                <w:i/>
              </w:rPr>
              <w:t>after a decision not to substantiate</w:t>
            </w:r>
            <w:r w:rsidRPr="00033816">
              <w:t>, defined as the proportion of children who were the subject of an investigation in the previous financial year that led to a decision not to substantiate, and who were later the subject of a substantiation within 3 or 12 months of the initial decision not to substantiate. The year reported relates to the year of the initial decision not to substantiate</w:t>
            </w:r>
          </w:p>
          <w:p w14:paraId="48ADCAF0" w14:textId="77777777" w:rsidR="00CE45D2" w:rsidRDefault="00CE45D2" w:rsidP="00CE45D2">
            <w:pPr>
              <w:pStyle w:val="BoxListBullet"/>
            </w:pPr>
            <w:r w:rsidRPr="00033816">
              <w:t xml:space="preserve">substantiation rate </w:t>
            </w:r>
            <w:r w:rsidRPr="00033816">
              <w:rPr>
                <w:i/>
              </w:rPr>
              <w:t>after a prior substantiation</w:t>
            </w:r>
            <w:r w:rsidRPr="00033816">
              <w:t>, defined as the proportion of children who were the subject of a substantiation in the previous financial year, who were subsequently the subject of a further substantiation within the following 3 or 12 months. The year reported relates to the year of the initial substantiation.</w:t>
            </w:r>
          </w:p>
          <w:p w14:paraId="6BFE4059" w14:textId="77777777" w:rsidR="00CE45D2" w:rsidRDefault="00CE45D2" w:rsidP="00CE45D2">
            <w:pPr>
              <w:pStyle w:val="Box"/>
            </w:pPr>
            <w:r w:rsidRPr="00033816">
              <w:t>A low or decreasing rate for these measures is desirable. However, reported results can be affected by the finalisation of investigations, factors beyond the control of child protection services, or a change in circumstances after the initial decision not to substantiate was made. A demonstrable risk of abuse or neglect might not have existed in the first instance. In addition, this indicator does not distinguish between subsequent substantiations which are related to the initial notification (that is, the same source of risk of abuse or neglect) and those that are unrelated to the initial notification (that is, a different source of risk of abuse or neglect). This indicator partly reveals the extent to which an investigation has not succeeded in identifying the risk of abuse or neglect to a child who is subsequently the subject of a substantiation. It also provides a measure of the adequacy of interventions offered to children to protect them from further abuse or neglect. This indicator should be considered with other outcome indicators.</w:t>
            </w:r>
          </w:p>
          <w:p w14:paraId="4A1980C2" w14:textId="6424E5A7" w:rsidR="00CE45D2" w:rsidRDefault="00CE45D2" w:rsidP="00CE45D2">
            <w:pPr>
              <w:pStyle w:val="Box"/>
            </w:pPr>
            <w:r w:rsidRPr="00033816">
              <w:t>Varying thresholds for recording a substantiation across jurisdictions should also be considered when interpreting data for this indicator (see section 16.4</w:t>
            </w:r>
            <w:r>
              <w:t>).</w:t>
            </w:r>
          </w:p>
        </w:tc>
      </w:tr>
      <w:tr w:rsidR="00CE45D2" w14:paraId="0A3D4324" w14:textId="77777777" w:rsidTr="00537314">
        <w:tc>
          <w:tcPr>
            <w:tcW w:w="5000" w:type="pct"/>
            <w:tcBorders>
              <w:top w:val="nil"/>
              <w:left w:val="nil"/>
              <w:bottom w:val="nil"/>
              <w:right w:val="nil"/>
            </w:tcBorders>
            <w:shd w:val="clear" w:color="auto" w:fill="F2F2F2"/>
          </w:tcPr>
          <w:p w14:paraId="33EF9BEB" w14:textId="3DF70C78" w:rsidR="00CE45D2" w:rsidRDefault="00CE45D2" w:rsidP="00CE45D2">
            <w:pPr>
              <w:pStyle w:val="Continued"/>
            </w:pPr>
            <w:r>
              <w:t>(continued next page)</w:t>
            </w:r>
          </w:p>
        </w:tc>
      </w:tr>
      <w:tr w:rsidR="00CE45D2" w14:paraId="639E77B1" w14:textId="77777777" w:rsidTr="00537314">
        <w:tc>
          <w:tcPr>
            <w:tcW w:w="5000" w:type="pct"/>
            <w:tcBorders>
              <w:top w:val="nil"/>
              <w:left w:val="nil"/>
              <w:bottom w:val="single" w:sz="6" w:space="0" w:color="78A22F"/>
              <w:right w:val="nil"/>
            </w:tcBorders>
            <w:shd w:val="clear" w:color="auto" w:fill="F2F2F2"/>
          </w:tcPr>
          <w:p w14:paraId="6B457B77" w14:textId="77777777" w:rsidR="00CE45D2" w:rsidRDefault="00CE45D2">
            <w:pPr>
              <w:pStyle w:val="Box"/>
              <w:spacing w:before="0" w:line="120" w:lineRule="exact"/>
            </w:pPr>
          </w:p>
        </w:tc>
      </w:tr>
      <w:tr w:rsidR="00CE45D2" w:rsidRPr="000863A5" w14:paraId="5422097C" w14:textId="77777777" w:rsidTr="00537314">
        <w:tc>
          <w:tcPr>
            <w:tcW w:w="5000" w:type="pct"/>
            <w:tcBorders>
              <w:top w:val="single" w:sz="6" w:space="0" w:color="78A22F"/>
              <w:left w:val="nil"/>
              <w:bottom w:val="nil"/>
              <w:right w:val="nil"/>
            </w:tcBorders>
          </w:tcPr>
          <w:p w14:paraId="5162BE0E" w14:textId="226A19B9" w:rsidR="00CE45D2" w:rsidRPr="00626D32" w:rsidRDefault="00CE45D2" w:rsidP="00537314">
            <w:pPr>
              <w:pStyle w:val="BoxSpaceBelow"/>
            </w:pPr>
          </w:p>
        </w:tc>
      </w:tr>
    </w:tbl>
    <w:p w14:paraId="2861DDEB" w14:textId="7ABA9B92" w:rsidR="007F1264" w:rsidRPr="00033816" w:rsidRDefault="007F1264"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F1264" w:rsidRPr="00033816" w14:paraId="756702EB" w14:textId="77777777" w:rsidTr="00C1120B">
        <w:tc>
          <w:tcPr>
            <w:tcW w:w="8789" w:type="dxa"/>
            <w:tcBorders>
              <w:top w:val="single" w:sz="6" w:space="0" w:color="78A22F"/>
              <w:left w:val="nil"/>
              <w:bottom w:val="nil"/>
              <w:right w:val="nil"/>
            </w:tcBorders>
            <w:shd w:val="clear" w:color="auto" w:fill="F2F2F2"/>
          </w:tcPr>
          <w:p w14:paraId="4D8B55CA" w14:textId="79E1E8A8" w:rsidR="007F1264" w:rsidRPr="00033816" w:rsidRDefault="007F1264" w:rsidP="00CE45D2">
            <w:pPr>
              <w:pStyle w:val="BoxTitle"/>
            </w:pPr>
            <w:r w:rsidRPr="00033816">
              <w:rPr>
                <w:b w:val="0"/>
              </w:rPr>
              <w:t>Box</w:t>
            </w:r>
            <w:r w:rsidR="00203E9E" w:rsidRPr="00033816">
              <w:rPr>
                <w:b w:val="0"/>
              </w:rPr>
              <w:t xml:space="preserve"> </w:t>
            </w:r>
            <w:r w:rsidR="00914653" w:rsidRPr="00033816">
              <w:rPr>
                <w:b w:val="0"/>
              </w:rPr>
              <w:t>16.15</w:t>
            </w:r>
            <w:r w:rsidRPr="00033816">
              <w:tab/>
            </w:r>
            <w:r w:rsidR="00CE45D2" w:rsidRPr="00CE45D2">
              <w:rPr>
                <w:rStyle w:val="Continuedintitle"/>
              </w:rPr>
              <w:t>(continued)</w:t>
            </w:r>
          </w:p>
        </w:tc>
      </w:tr>
      <w:tr w:rsidR="007F1264" w:rsidRPr="00033816" w14:paraId="2F673AD7" w14:textId="77777777" w:rsidTr="00C1120B">
        <w:trPr>
          <w:cantSplit/>
        </w:trPr>
        <w:tc>
          <w:tcPr>
            <w:tcW w:w="8789" w:type="dxa"/>
            <w:tcBorders>
              <w:top w:val="nil"/>
              <w:left w:val="nil"/>
              <w:bottom w:val="nil"/>
              <w:right w:val="nil"/>
            </w:tcBorders>
            <w:shd w:val="clear" w:color="auto" w:fill="F2F2F2"/>
          </w:tcPr>
          <w:p w14:paraId="38DCF1FB" w14:textId="77777777" w:rsidR="007F1264" w:rsidRPr="00033816" w:rsidRDefault="007F1264" w:rsidP="00770430">
            <w:pPr>
              <w:pStyle w:val="Box"/>
            </w:pPr>
            <w:r w:rsidRPr="00033816">
              <w:t>Data reported for these measures are:</w:t>
            </w:r>
          </w:p>
          <w:p w14:paraId="0F3C0A05" w14:textId="2B4F757F" w:rsidR="007F1264" w:rsidRPr="00033816" w:rsidRDefault="00A557AF" w:rsidP="00770430">
            <w:pPr>
              <w:pStyle w:val="Box"/>
              <w:ind w:left="284"/>
            </w:pPr>
            <w:r w:rsidRPr="00344676">
              <w:rPr>
                <w:shd w:val="clear" w:color="auto" w:fill="FCDED3"/>
              </w:rPr>
              <w:t xml:space="preserve">    </w:t>
            </w:r>
            <w:r>
              <w:t xml:space="preserve"> </w:t>
            </w:r>
            <w:r w:rsidR="003405DD" w:rsidRPr="00033816">
              <w:t xml:space="preserve">not comparable across jurisdictions but are </w:t>
            </w:r>
            <w:r w:rsidR="007F1264" w:rsidRPr="00033816">
              <w:t>comparable (subject to caveats) within jurisdictions over time</w:t>
            </w:r>
          </w:p>
          <w:p w14:paraId="0D592182" w14:textId="37226149" w:rsidR="007F1264" w:rsidRPr="00033816" w:rsidRDefault="00DB479D" w:rsidP="00770430">
            <w:pPr>
              <w:pStyle w:val="Box"/>
              <w:ind w:left="284"/>
            </w:pPr>
            <w:r w:rsidRPr="00544913">
              <w:rPr>
                <w:shd w:val="clear" w:color="auto" w:fill="FCDED3"/>
              </w:rPr>
              <w:t xml:space="preserve">    </w:t>
            </w:r>
            <w:r>
              <w:t xml:space="preserve"> </w:t>
            </w:r>
            <w:r w:rsidR="00544913">
              <w:t>in</w:t>
            </w:r>
            <w:r w:rsidR="007F1264" w:rsidRPr="00033816">
              <w:t>complete for the current reporting period</w:t>
            </w:r>
            <w:r w:rsidR="007F1264" w:rsidRPr="009F6235">
              <w:t xml:space="preserve">. </w:t>
            </w:r>
            <w:r w:rsidR="00002DFF" w:rsidRPr="009F6235">
              <w:t>All required</w:t>
            </w:r>
            <w:r w:rsidR="00002DFF" w:rsidRPr="00033816">
              <w:t xml:space="preserve"> 201</w:t>
            </w:r>
            <w:r w:rsidR="00F25D78">
              <w:t>6</w:t>
            </w:r>
            <w:r w:rsidR="008817BB" w:rsidRPr="00033816">
              <w:noBreakHyphen/>
            </w:r>
            <w:r w:rsidR="005877F3" w:rsidRPr="00033816">
              <w:t>1</w:t>
            </w:r>
            <w:r w:rsidR="00F25D78">
              <w:t>7</w:t>
            </w:r>
            <w:r w:rsidR="00002DFF" w:rsidRPr="00033816">
              <w:t xml:space="preserve"> data </w:t>
            </w:r>
            <w:r w:rsidR="00F1315C">
              <w:t>are</w:t>
            </w:r>
            <w:r w:rsidR="00F1315C" w:rsidRPr="00033816">
              <w:t xml:space="preserve"> </w:t>
            </w:r>
            <w:r w:rsidR="00544913">
              <w:t xml:space="preserve">not </w:t>
            </w:r>
            <w:r w:rsidR="00002DFF" w:rsidRPr="00033816">
              <w:t>available</w:t>
            </w:r>
            <w:r w:rsidR="00544913">
              <w:t xml:space="preserve"> for NSW</w:t>
            </w:r>
            <w:r w:rsidR="00002DFF" w:rsidRPr="00033816">
              <w:t>.</w:t>
            </w:r>
          </w:p>
        </w:tc>
      </w:tr>
      <w:tr w:rsidR="007F1264" w:rsidRPr="00033816" w14:paraId="5BF54F1D" w14:textId="77777777" w:rsidTr="00C1120B">
        <w:trPr>
          <w:cantSplit/>
        </w:trPr>
        <w:tc>
          <w:tcPr>
            <w:tcW w:w="8789" w:type="dxa"/>
            <w:tcBorders>
              <w:top w:val="nil"/>
              <w:left w:val="nil"/>
              <w:bottom w:val="single" w:sz="6" w:space="0" w:color="78A22F"/>
              <w:right w:val="nil"/>
            </w:tcBorders>
            <w:shd w:val="clear" w:color="auto" w:fill="F2F2F2"/>
          </w:tcPr>
          <w:p w14:paraId="26490FF1" w14:textId="77777777" w:rsidR="007F1264" w:rsidRPr="00033816" w:rsidRDefault="007F1264" w:rsidP="00770430">
            <w:pPr>
              <w:pStyle w:val="Box"/>
              <w:spacing w:before="0" w:line="120" w:lineRule="exact"/>
            </w:pPr>
          </w:p>
        </w:tc>
      </w:tr>
      <w:tr w:rsidR="007F1264" w:rsidRPr="00033816" w14:paraId="418E5930" w14:textId="77777777" w:rsidTr="00C1120B">
        <w:tc>
          <w:tcPr>
            <w:tcW w:w="8789" w:type="dxa"/>
            <w:tcBorders>
              <w:top w:val="single" w:sz="6" w:space="0" w:color="78A22F"/>
              <w:left w:val="nil"/>
              <w:bottom w:val="nil"/>
              <w:right w:val="nil"/>
            </w:tcBorders>
          </w:tcPr>
          <w:p w14:paraId="6CE8FF12" w14:textId="63EF1B8F" w:rsidR="007F1264" w:rsidRPr="00033816" w:rsidRDefault="007F1264" w:rsidP="00770430">
            <w:pPr>
              <w:pStyle w:val="BoxSpaceBelow"/>
            </w:pPr>
          </w:p>
        </w:tc>
      </w:tr>
    </w:tbl>
    <w:p w14:paraId="0D0065D3" w14:textId="5474D5E5" w:rsidR="00434D29" w:rsidRPr="00033816" w:rsidRDefault="005D6064" w:rsidP="00770430">
      <w:pPr>
        <w:pStyle w:val="BodyText"/>
        <w:rPr>
          <w:b/>
        </w:rPr>
      </w:pPr>
      <w:r w:rsidRPr="00033816">
        <w:t xml:space="preserve">The proportion of </w:t>
      </w:r>
      <w:r w:rsidR="00523824" w:rsidRPr="00033816">
        <w:t>substantiations that occurred within 3</w:t>
      </w:r>
      <w:r w:rsidR="00253D5E" w:rsidRPr="00033816">
        <w:t xml:space="preserve"> and 12</w:t>
      </w:r>
      <w:r w:rsidR="00523824" w:rsidRPr="00033816">
        <w:t xml:space="preserve"> </w:t>
      </w:r>
      <w:r w:rsidR="004F78F0" w:rsidRPr="00033816">
        <w:t xml:space="preserve">months </w:t>
      </w:r>
      <w:r w:rsidR="00523824" w:rsidRPr="00033816">
        <w:t xml:space="preserve">of a decision not to substantiate are provided in figure </w:t>
      </w:r>
      <w:r w:rsidR="009D4A68" w:rsidRPr="00033816">
        <w:t>16.14</w:t>
      </w:r>
      <w:r w:rsidR="00D011EC" w:rsidRPr="00033816">
        <w:t>.</w:t>
      </w:r>
      <w:r w:rsidR="0012127E" w:rsidRPr="00033816">
        <w:t xml:space="preserve"> </w:t>
      </w:r>
      <w:r w:rsidR="00352A9F" w:rsidRPr="00033816">
        <w:t>In 201</w:t>
      </w:r>
      <w:r w:rsidR="00F25D78">
        <w:t>6</w:t>
      </w:r>
      <w:r w:rsidR="004F6E3D" w:rsidRPr="00033816">
        <w:noBreakHyphen/>
      </w:r>
      <w:r w:rsidR="00352A9F" w:rsidRPr="00033816">
        <w:t>1</w:t>
      </w:r>
      <w:r w:rsidR="00F25D78">
        <w:t>7</w:t>
      </w:r>
      <w:r w:rsidR="00352A9F" w:rsidRPr="00033816">
        <w:t>, r</w:t>
      </w:r>
      <w:r w:rsidR="004F78F0" w:rsidRPr="00033816">
        <w:t>ates</w:t>
      </w:r>
      <w:r w:rsidR="00FD3E16">
        <w:t xml:space="preserve"> for the jurisdictions where data </w:t>
      </w:r>
      <w:r w:rsidR="008809D7">
        <w:t>we</w:t>
      </w:r>
      <w:r w:rsidR="00FD3E16">
        <w:t>re available</w:t>
      </w:r>
      <w:r w:rsidR="004F78F0" w:rsidRPr="00033816">
        <w:t xml:space="preserve"> were </w:t>
      </w:r>
      <w:r w:rsidR="00FD3E16">
        <w:t>16</w:t>
      </w:r>
      <w:r w:rsidR="00FD3E16" w:rsidRPr="00033816">
        <w:t xml:space="preserve"> </w:t>
      </w:r>
      <w:r w:rsidR="004F78F0" w:rsidRPr="00033816">
        <w:t xml:space="preserve">per cent </w:t>
      </w:r>
      <w:r w:rsidR="00FC420A">
        <w:t xml:space="preserve">or less </w:t>
      </w:r>
      <w:r w:rsidR="004F78F0" w:rsidRPr="00033816">
        <w:t>in all jurisdictions</w:t>
      </w:r>
      <w:r w:rsidR="001378E8" w:rsidRPr="00033816">
        <w:t xml:space="preserve"> (table </w:t>
      </w:r>
      <w:proofErr w:type="spellStart"/>
      <w:r w:rsidR="001378E8" w:rsidRPr="00033816">
        <w:t>16A.</w:t>
      </w:r>
      <w:r w:rsidR="00356FD7" w:rsidRPr="00033816">
        <w:t>3</w:t>
      </w:r>
      <w:r w:rsidR="009312EF">
        <w:t>5</w:t>
      </w:r>
      <w:proofErr w:type="spellEnd"/>
      <w:r w:rsidR="001378E8" w:rsidRPr="00033816">
        <w:t>)</w:t>
      </w:r>
      <w:r w:rsidR="004F78F0" w:rsidRPr="00033816">
        <w:t>.</w:t>
      </w:r>
      <w:r w:rsidR="004F78F0" w:rsidRPr="00033816">
        <w:rPr>
          <w:b/>
        </w:rPr>
        <w:t xml:space="preserve"> </w:t>
      </w:r>
    </w:p>
    <w:p w14:paraId="59549F4D" w14:textId="3399E99A" w:rsidR="003311B7" w:rsidRPr="00033816" w:rsidRDefault="003311B7" w:rsidP="007704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033816" w14:paraId="04FAC3FF" w14:textId="77777777" w:rsidTr="00276F52">
        <w:tc>
          <w:tcPr>
            <w:tcW w:w="5000" w:type="pct"/>
            <w:tcBorders>
              <w:top w:val="single" w:sz="6" w:space="0" w:color="78A22F"/>
              <w:left w:val="nil"/>
              <w:bottom w:val="nil"/>
              <w:right w:val="nil"/>
            </w:tcBorders>
            <w:shd w:val="clear" w:color="auto" w:fill="auto"/>
          </w:tcPr>
          <w:p w14:paraId="6A882B87" w14:textId="7EC100D2" w:rsidR="0010799F" w:rsidRPr="00033816" w:rsidRDefault="0010799F" w:rsidP="00770430">
            <w:pPr>
              <w:pStyle w:val="FigureTitle"/>
            </w:pPr>
            <w:r w:rsidRPr="00033816">
              <w:rPr>
                <w:b w:val="0"/>
              </w:rPr>
              <w:t>Figure</w:t>
            </w:r>
            <w:r w:rsidR="003A51B5" w:rsidRPr="00033816">
              <w:rPr>
                <w:b w:val="0"/>
              </w:rPr>
              <w:t xml:space="preserve"> </w:t>
            </w:r>
            <w:r w:rsidR="009D4A68" w:rsidRPr="00033816">
              <w:rPr>
                <w:b w:val="0"/>
              </w:rPr>
              <w:t>16.14</w:t>
            </w:r>
            <w:r w:rsidRPr="00033816">
              <w:tab/>
              <w:t xml:space="preserve">Improved safety — substantiation rate within 3 </w:t>
            </w:r>
            <w:r w:rsidR="00352A9F" w:rsidRPr="00033816">
              <w:t xml:space="preserve">months </w:t>
            </w:r>
            <w:r w:rsidRPr="00033816">
              <w:t>and 12 months after a decision not to substantiate</w:t>
            </w:r>
            <w:r w:rsidRPr="00033816">
              <w:rPr>
                <w:rStyle w:val="NoteLabel"/>
                <w:b/>
              </w:rPr>
              <w:t>a</w:t>
            </w:r>
            <w:r w:rsidR="00416E08">
              <w:rPr>
                <w:rStyle w:val="NoteLabel"/>
                <w:b/>
              </w:rPr>
              <w:t>, b</w:t>
            </w:r>
          </w:p>
        </w:tc>
      </w:tr>
      <w:tr w:rsidR="00276F52" w:rsidRPr="00033816" w14:paraId="5A4AC52C" w14:textId="77777777" w:rsidTr="00276F52">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C96187" w14:paraId="7E5D5394" w14:textId="77777777" w:rsidTr="00FD3E16">
              <w:tc>
                <w:tcPr>
                  <w:tcW w:w="304" w:type="dxa"/>
                  <w:tcBorders>
                    <w:top w:val="nil"/>
                    <w:left w:val="nil"/>
                    <w:bottom w:val="nil"/>
                    <w:right w:val="nil"/>
                  </w:tcBorders>
                  <w:shd w:val="clear" w:color="auto" w:fill="auto"/>
                  <w:tcMar>
                    <w:top w:w="28" w:type="dxa"/>
                    <w:bottom w:w="28" w:type="dxa"/>
                  </w:tcMar>
                </w:tcPr>
                <w:p w14:paraId="51CFFD57" w14:textId="77777777" w:rsidR="00276F52" w:rsidRPr="00C96187"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336E2ED" w14:textId="77777777" w:rsidR="00276F52" w:rsidRPr="00C96187"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5BAC5C49" w14:textId="3F414F7A" w:rsidR="00276F52" w:rsidRPr="00C96187" w:rsidRDefault="00276F52" w:rsidP="00770430">
                  <w:pPr>
                    <w:pStyle w:val="TableBodyText"/>
                    <w:jc w:val="left"/>
                  </w:pPr>
                  <w:r>
                    <w:t xml:space="preserve">Data are </w:t>
                  </w:r>
                  <w:r w:rsidR="003405DD" w:rsidRPr="00C96187">
                    <w:t>not comparable across jurisdictions</w:t>
                  </w:r>
                  <w:r w:rsidR="003405DD">
                    <w:t xml:space="preserve"> </w:t>
                  </w:r>
                  <w:r w:rsidR="003405DD" w:rsidRPr="00C96187">
                    <w:t>but are</w:t>
                  </w:r>
                  <w:r w:rsidR="003405DD">
                    <w:t xml:space="preserve"> </w:t>
                  </w:r>
                  <w:r>
                    <w:t>c</w:t>
                  </w:r>
                  <w:r w:rsidRPr="00C96187">
                    <w:t>omparable (subject to caveats) within jurisdictions over time.</w:t>
                  </w:r>
                </w:p>
              </w:tc>
            </w:tr>
            <w:tr w:rsidR="00276F52" w:rsidRPr="00C96187" w14:paraId="7DD4CDB6" w14:textId="77777777" w:rsidTr="00FD3E16">
              <w:tc>
                <w:tcPr>
                  <w:tcW w:w="304" w:type="dxa"/>
                  <w:tcBorders>
                    <w:top w:val="nil"/>
                    <w:left w:val="nil"/>
                    <w:bottom w:val="nil"/>
                    <w:right w:val="nil"/>
                  </w:tcBorders>
                  <w:shd w:val="clear" w:color="auto" w:fill="auto"/>
                  <w:tcMar>
                    <w:top w:w="28" w:type="dxa"/>
                    <w:bottom w:w="28" w:type="dxa"/>
                  </w:tcMar>
                </w:tcPr>
                <w:p w14:paraId="5D5C46A8" w14:textId="77777777" w:rsidR="00276F52" w:rsidRPr="00C96187"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380F7878" w14:textId="77777777" w:rsidR="00276F52" w:rsidRPr="00FD3E16" w:rsidRDefault="00276F52" w:rsidP="00770430">
                  <w:pPr>
                    <w:keepNext/>
                    <w:keepLines/>
                    <w:spacing w:before="60" w:after="60" w:line="240" w:lineRule="atLeast"/>
                    <w:rPr>
                      <w:szCs w:val="20"/>
                    </w:rPr>
                  </w:pPr>
                </w:p>
              </w:tc>
              <w:tc>
                <w:tcPr>
                  <w:tcW w:w="7938" w:type="dxa"/>
                  <w:tcBorders>
                    <w:top w:val="nil"/>
                    <w:left w:val="nil"/>
                    <w:bottom w:val="nil"/>
                    <w:right w:val="nil"/>
                  </w:tcBorders>
                  <w:shd w:val="clear" w:color="auto" w:fill="auto"/>
                </w:tcPr>
                <w:p w14:paraId="448D5A7A" w14:textId="74E6FC48" w:rsidR="00276F52" w:rsidRPr="00C96187" w:rsidRDefault="00276F52" w:rsidP="00770430">
                  <w:pPr>
                    <w:pStyle w:val="TableBodyText"/>
                    <w:jc w:val="left"/>
                  </w:pPr>
                  <w:r w:rsidRPr="00C96187">
                    <w:t xml:space="preserve">Data are </w:t>
                  </w:r>
                  <w:r w:rsidR="00FD3E16">
                    <w:t>in</w:t>
                  </w:r>
                  <w:r w:rsidRPr="00C96187">
                    <w:t>complete for the current reporting period.</w:t>
                  </w:r>
                </w:p>
              </w:tc>
            </w:tr>
          </w:tbl>
          <w:p w14:paraId="67704D1A" w14:textId="77777777" w:rsidR="00276F52" w:rsidRPr="00033816" w:rsidRDefault="00276F52" w:rsidP="00770430">
            <w:pPr>
              <w:pStyle w:val="FigureTitle"/>
              <w:rPr>
                <w:b w:val="0"/>
              </w:rPr>
            </w:pPr>
          </w:p>
        </w:tc>
      </w:tr>
      <w:tr w:rsidR="0010799F" w:rsidRPr="00033816" w14:paraId="76DEFFDE" w14:textId="77777777" w:rsidTr="00C1120B">
        <w:tblPrEx>
          <w:tblCellMar>
            <w:left w:w="108" w:type="dxa"/>
            <w:right w:w="108" w:type="dxa"/>
          </w:tblCellMar>
        </w:tblPrEx>
        <w:trPr>
          <w:trHeight w:val="9029"/>
        </w:trPr>
        <w:tc>
          <w:tcPr>
            <w:tcW w:w="5000" w:type="pct"/>
            <w:tcBorders>
              <w:top w:val="nil"/>
              <w:left w:val="nil"/>
              <w:bottom w:val="nil"/>
              <w:right w:val="nil"/>
            </w:tcBorders>
            <w:shd w:val="clear" w:color="auto" w:fill="auto"/>
          </w:tcPr>
          <w:p w14:paraId="6283D714" w14:textId="6640DBBA" w:rsidR="00DC29F0" w:rsidRPr="00033816" w:rsidRDefault="00BD62E3" w:rsidP="00770430">
            <w:pPr>
              <w:pStyle w:val="Figure"/>
            </w:pPr>
            <w:r>
              <w:rPr>
                <w:noProof/>
              </w:rPr>
              <w:drawing>
                <wp:inline distT="0" distB="0" distL="0" distR="0" wp14:anchorId="613A687A" wp14:editId="55C32109">
                  <wp:extent cx="5435383" cy="6019800"/>
                  <wp:effectExtent l="0" t="0" r="0" b="0"/>
                  <wp:docPr id="4" name="Picture 4" descr="Figure 16.14 Improved safety — substantiation rate within 3 months and 12 months after a decision not to substantiat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38770" cy="6023551"/>
                          </a:xfrm>
                          <a:prstGeom prst="rect">
                            <a:avLst/>
                          </a:prstGeom>
                        </pic:spPr>
                      </pic:pic>
                    </a:graphicData>
                  </a:graphic>
                </wp:inline>
              </w:drawing>
            </w:r>
          </w:p>
        </w:tc>
      </w:tr>
      <w:tr w:rsidR="0010799F" w:rsidRPr="00033816" w14:paraId="0F25E220" w14:textId="77777777" w:rsidTr="00C1120B">
        <w:tc>
          <w:tcPr>
            <w:tcW w:w="5000" w:type="pct"/>
            <w:tcBorders>
              <w:top w:val="nil"/>
              <w:left w:val="nil"/>
              <w:bottom w:val="nil"/>
              <w:right w:val="nil"/>
            </w:tcBorders>
            <w:shd w:val="clear" w:color="auto" w:fill="auto"/>
          </w:tcPr>
          <w:p w14:paraId="640AD8A3" w14:textId="4736D856" w:rsidR="0010799F" w:rsidRPr="00033816" w:rsidRDefault="0012127E" w:rsidP="00770430">
            <w:pPr>
              <w:pStyle w:val="Note"/>
            </w:pPr>
            <w:r w:rsidRPr="00033816">
              <w:rPr>
                <w:rStyle w:val="NoteLabel"/>
              </w:rPr>
              <w:t>a</w:t>
            </w:r>
            <w:r w:rsidR="00A54037" w:rsidRPr="00033816">
              <w:t xml:space="preserve"> See </w:t>
            </w:r>
            <w:r w:rsidR="007D2D0A" w:rsidRPr="00033816">
              <w:t xml:space="preserve">box </w:t>
            </w:r>
            <w:r w:rsidR="00DC383D">
              <w:t>16.15</w:t>
            </w:r>
            <w:r w:rsidR="003D62DA" w:rsidRPr="00033816">
              <w:t xml:space="preserve"> and table </w:t>
            </w:r>
            <w:proofErr w:type="spellStart"/>
            <w:r w:rsidR="003D62DA" w:rsidRPr="00033816">
              <w:t>16</w:t>
            </w:r>
            <w:r w:rsidR="001378E8" w:rsidRPr="00033816">
              <w:t>A.</w:t>
            </w:r>
            <w:r w:rsidR="00356FD7" w:rsidRPr="00033816">
              <w:t>3</w:t>
            </w:r>
            <w:r w:rsidR="009312EF">
              <w:t>5</w:t>
            </w:r>
            <w:proofErr w:type="spellEnd"/>
            <w:r w:rsidR="00A54037" w:rsidRPr="00033816">
              <w:t xml:space="preserve"> for detailed </w:t>
            </w:r>
            <w:r w:rsidR="000B48A6" w:rsidRPr="00033816">
              <w:t xml:space="preserve">definitions, </w:t>
            </w:r>
            <w:r w:rsidR="00A54037" w:rsidRPr="00033816">
              <w:t>footnotes</w:t>
            </w:r>
            <w:r w:rsidR="000B48A6" w:rsidRPr="00033816">
              <w:t xml:space="preserve"> and caveats</w:t>
            </w:r>
            <w:r w:rsidR="00A54037" w:rsidRPr="00B61D86">
              <w:t>.</w:t>
            </w:r>
            <w:r w:rsidR="00416E08" w:rsidRPr="00B61D86">
              <w:t xml:space="preserve"> </w:t>
            </w:r>
            <w:r w:rsidR="00416E08" w:rsidRPr="00B61D86">
              <w:rPr>
                <w:rStyle w:val="NoteLabel"/>
              </w:rPr>
              <w:t>b</w:t>
            </w:r>
            <w:r w:rsidR="00416E08" w:rsidRPr="00B61D86">
              <w:t xml:space="preserve"> Data for NSW for 2016</w:t>
            </w:r>
            <w:r w:rsidR="00416E08" w:rsidRPr="00B61D86">
              <w:noBreakHyphen/>
              <w:t>17 were not available.</w:t>
            </w:r>
          </w:p>
        </w:tc>
      </w:tr>
      <w:tr w:rsidR="0010799F" w:rsidRPr="00033816" w14:paraId="02B079B3" w14:textId="77777777" w:rsidTr="00C1120B">
        <w:tc>
          <w:tcPr>
            <w:tcW w:w="5000" w:type="pct"/>
            <w:tcBorders>
              <w:top w:val="nil"/>
              <w:left w:val="nil"/>
              <w:bottom w:val="nil"/>
              <w:right w:val="nil"/>
            </w:tcBorders>
            <w:shd w:val="clear" w:color="auto" w:fill="auto"/>
          </w:tcPr>
          <w:p w14:paraId="3B60913C" w14:textId="5892113D" w:rsidR="0010799F" w:rsidRPr="00033816" w:rsidRDefault="0010799F" w:rsidP="00770430">
            <w:pPr>
              <w:pStyle w:val="Source"/>
            </w:pPr>
            <w:r w:rsidRPr="00033816">
              <w:rPr>
                <w:i/>
              </w:rPr>
              <w:t>Source</w:t>
            </w:r>
            <w:r w:rsidRPr="00033816">
              <w:t xml:space="preserve">: </w:t>
            </w:r>
            <w:proofErr w:type="spellStart"/>
            <w:r w:rsidRPr="00033816">
              <w:t>AIHW</w:t>
            </w:r>
            <w:proofErr w:type="spellEnd"/>
            <w:r w:rsidRPr="00033816">
              <w:t xml:space="preserve"> data collection (unpublished); table</w:t>
            </w:r>
            <w:r w:rsidR="003D62DA" w:rsidRPr="00033816">
              <w:t xml:space="preserve"> </w:t>
            </w:r>
            <w:proofErr w:type="spellStart"/>
            <w:r w:rsidR="003D62DA" w:rsidRPr="00033816">
              <w:t>16</w:t>
            </w:r>
            <w:r w:rsidR="001378E8" w:rsidRPr="00033816">
              <w:t>A.</w:t>
            </w:r>
            <w:r w:rsidR="00356FD7" w:rsidRPr="00033816">
              <w:t>3</w:t>
            </w:r>
            <w:r w:rsidR="009312EF">
              <w:t>5</w:t>
            </w:r>
            <w:proofErr w:type="spellEnd"/>
            <w:r w:rsidRPr="00033816">
              <w:t>.</w:t>
            </w:r>
          </w:p>
        </w:tc>
      </w:tr>
      <w:tr w:rsidR="0010799F" w:rsidRPr="00033816" w14:paraId="04CDA3D3" w14:textId="77777777" w:rsidTr="00C1120B">
        <w:tc>
          <w:tcPr>
            <w:tcW w:w="5000" w:type="pct"/>
            <w:tcBorders>
              <w:top w:val="nil"/>
              <w:left w:val="nil"/>
              <w:bottom w:val="single" w:sz="6" w:space="0" w:color="78A22F"/>
              <w:right w:val="nil"/>
            </w:tcBorders>
            <w:shd w:val="clear" w:color="auto" w:fill="auto"/>
          </w:tcPr>
          <w:p w14:paraId="473985C5" w14:textId="77777777" w:rsidR="0010799F" w:rsidRPr="00033816" w:rsidRDefault="0010799F" w:rsidP="00770430">
            <w:pPr>
              <w:pStyle w:val="Figurespace"/>
            </w:pPr>
          </w:p>
        </w:tc>
      </w:tr>
      <w:tr w:rsidR="0010799F" w:rsidRPr="00033816" w14:paraId="4165D132" w14:textId="77777777" w:rsidTr="00C1120B">
        <w:tc>
          <w:tcPr>
            <w:tcW w:w="5000" w:type="pct"/>
            <w:tcBorders>
              <w:top w:val="single" w:sz="6" w:space="0" w:color="78A22F"/>
              <w:left w:val="nil"/>
              <w:bottom w:val="nil"/>
              <w:right w:val="nil"/>
            </w:tcBorders>
          </w:tcPr>
          <w:p w14:paraId="6012842E" w14:textId="32A38EBD" w:rsidR="0010799F" w:rsidRPr="00033816" w:rsidRDefault="0010799F" w:rsidP="00770430">
            <w:pPr>
              <w:pStyle w:val="BoxSpaceBelow"/>
            </w:pPr>
          </w:p>
        </w:tc>
      </w:tr>
    </w:tbl>
    <w:p w14:paraId="2B3E339A" w14:textId="213E988C" w:rsidR="00960687" w:rsidRDefault="008F1FC5" w:rsidP="00770430">
      <w:pPr>
        <w:pStyle w:val="BodyText"/>
      </w:pPr>
      <w:r w:rsidRPr="00033816">
        <w:lastRenderedPageBreak/>
        <w:t xml:space="preserve">The proportion of substantiations that occurred within 3 and 12 months of a prior substantiation are provided in figure </w:t>
      </w:r>
      <w:r w:rsidR="009D4A68" w:rsidRPr="00033816">
        <w:t>16.15</w:t>
      </w:r>
      <w:r w:rsidRPr="00033816">
        <w:t xml:space="preserve">. </w:t>
      </w:r>
      <w:r w:rsidR="00352A9F" w:rsidRPr="00033816">
        <w:t>In 201</w:t>
      </w:r>
      <w:r w:rsidR="00F25D78">
        <w:t>6</w:t>
      </w:r>
      <w:r w:rsidR="004F6E3D" w:rsidRPr="00033816">
        <w:noBreakHyphen/>
      </w:r>
      <w:r w:rsidR="00352A9F" w:rsidRPr="00033816">
        <w:t>1</w:t>
      </w:r>
      <w:r w:rsidR="00F25D78">
        <w:t>7</w:t>
      </w:r>
      <w:r w:rsidR="00352A9F" w:rsidRPr="00033816">
        <w:t>, r</w:t>
      </w:r>
      <w:r w:rsidRPr="00033816">
        <w:t xml:space="preserve">ates </w:t>
      </w:r>
      <w:r w:rsidR="00D53E00">
        <w:t xml:space="preserve">for the jurisdictions where data </w:t>
      </w:r>
      <w:r w:rsidR="008809D7">
        <w:t>we</w:t>
      </w:r>
      <w:r w:rsidR="00D53E00">
        <w:t>re available</w:t>
      </w:r>
      <w:r w:rsidR="00D53E00" w:rsidRPr="00033816">
        <w:t xml:space="preserve"> </w:t>
      </w:r>
      <w:r w:rsidRPr="00033816">
        <w:t xml:space="preserve">were under </w:t>
      </w:r>
      <w:r w:rsidR="00BD62E3">
        <w:t>28</w:t>
      </w:r>
      <w:r w:rsidRPr="00033816">
        <w:t xml:space="preserve"> per cent in all jurisdictions (table </w:t>
      </w:r>
      <w:proofErr w:type="spellStart"/>
      <w:r w:rsidRPr="00033816">
        <w:t>16A.3</w:t>
      </w:r>
      <w:r w:rsidR="009312EF">
        <w:t>6</w:t>
      </w:r>
      <w:proofErr w:type="spellEnd"/>
      <w:r w:rsidRPr="00033816">
        <w:t>).</w:t>
      </w:r>
    </w:p>
    <w:p w14:paraId="01FA4412" w14:textId="47A7C1AD" w:rsidR="007C0783" w:rsidRPr="005F1719" w:rsidRDefault="007C0783" w:rsidP="00820A60">
      <w:pPr>
        <w:pStyle w:val="BoxSpaceAbove"/>
        <w:spacing w:before="280"/>
        <w:rPr>
          <w:b/>
          <w:vanish/>
          <w:color w:val="FF00FF"/>
          <w:sz w:val="14"/>
        </w:rPr>
      </w:pPr>
      <w:r w:rsidRPr="00033816">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0799F" w:rsidRPr="00033816" w14:paraId="564FA478" w14:textId="77777777" w:rsidTr="005F1719">
        <w:trPr>
          <w:cantSplit/>
        </w:trPr>
        <w:tc>
          <w:tcPr>
            <w:tcW w:w="5000" w:type="pct"/>
            <w:tcBorders>
              <w:top w:val="single" w:sz="6" w:space="0" w:color="78A22F"/>
              <w:left w:val="nil"/>
              <w:bottom w:val="nil"/>
              <w:right w:val="nil"/>
            </w:tcBorders>
            <w:shd w:val="clear" w:color="auto" w:fill="auto"/>
          </w:tcPr>
          <w:p w14:paraId="1BCB0370" w14:textId="4D4979FD" w:rsidR="0010799F" w:rsidRPr="00033816" w:rsidRDefault="0010799F" w:rsidP="00770430">
            <w:pPr>
              <w:pStyle w:val="FigureTitle"/>
            </w:pPr>
            <w:r w:rsidRPr="00033816">
              <w:rPr>
                <w:b w:val="0"/>
              </w:rPr>
              <w:t>Figure</w:t>
            </w:r>
            <w:r w:rsidR="007D2D0A" w:rsidRPr="00033816">
              <w:rPr>
                <w:b w:val="0"/>
              </w:rPr>
              <w:t xml:space="preserve"> </w:t>
            </w:r>
            <w:r w:rsidR="009D4A68" w:rsidRPr="00033816">
              <w:rPr>
                <w:b w:val="0"/>
              </w:rPr>
              <w:t>16.15</w:t>
            </w:r>
            <w:r w:rsidR="005D0B97" w:rsidRPr="00033816">
              <w:tab/>
              <w:t xml:space="preserve">Improved safety — </w:t>
            </w:r>
            <w:r w:rsidRPr="00033816">
              <w:t xml:space="preserve">substantiation rate within 3 </w:t>
            </w:r>
            <w:r w:rsidR="00352A9F" w:rsidRPr="00033816">
              <w:t>months and</w:t>
            </w:r>
            <w:r w:rsidRPr="00033816">
              <w:t xml:space="preserve"> 12 months of a prior substantiation</w:t>
            </w:r>
            <w:r w:rsidRPr="00033816">
              <w:rPr>
                <w:rStyle w:val="NoteLabel"/>
                <w:b/>
              </w:rPr>
              <w:t>a</w:t>
            </w:r>
            <w:r w:rsidR="00416E08">
              <w:rPr>
                <w:rStyle w:val="NoteLabel"/>
                <w:b/>
              </w:rPr>
              <w:t>, b</w:t>
            </w:r>
          </w:p>
        </w:tc>
        <w:bookmarkStart w:id="36" w:name="_GoBack"/>
        <w:bookmarkEnd w:id="36"/>
      </w:tr>
      <w:tr w:rsidR="00276F52" w:rsidRPr="00033816" w14:paraId="481A2475" w14:textId="77777777" w:rsidTr="005F1719">
        <w:trPr>
          <w:cantSplit/>
          <w:trHeight w:val="813"/>
        </w:trPr>
        <w:tc>
          <w:tcPr>
            <w:tcW w:w="5000" w:type="pct"/>
            <w:tcBorders>
              <w:top w:val="nil"/>
              <w:left w:val="nil"/>
              <w:bottom w:val="nil"/>
              <w:right w:val="nil"/>
            </w:tcBorders>
            <w:shd w:val="clear" w:color="auto" w:fill="auto"/>
          </w:tcPr>
          <w:tbl>
            <w:tblPr>
              <w:tblW w:w="8789"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304"/>
              <w:gridCol w:w="547"/>
              <w:gridCol w:w="7938"/>
            </w:tblGrid>
            <w:tr w:rsidR="00276F52" w:rsidRPr="00011645" w14:paraId="2FECD1FA" w14:textId="77777777" w:rsidTr="00BD62E3">
              <w:tc>
                <w:tcPr>
                  <w:tcW w:w="304" w:type="dxa"/>
                  <w:tcBorders>
                    <w:top w:val="nil"/>
                    <w:left w:val="nil"/>
                    <w:bottom w:val="nil"/>
                    <w:right w:val="nil"/>
                  </w:tcBorders>
                  <w:shd w:val="clear" w:color="auto" w:fill="auto"/>
                  <w:tcMar>
                    <w:top w:w="28" w:type="dxa"/>
                    <w:bottom w:w="28" w:type="dxa"/>
                  </w:tcMar>
                </w:tcPr>
                <w:p w14:paraId="6A1E29C1" w14:textId="77777777" w:rsidR="00276F52" w:rsidRPr="0001164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2234B79E" w14:textId="77777777" w:rsidR="00276F52" w:rsidRPr="00011645" w:rsidRDefault="00276F52" w:rsidP="00770430">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74EE74" w14:textId="0C874110" w:rsidR="00276F52" w:rsidRPr="00011645" w:rsidRDefault="00276F52" w:rsidP="00770430">
                  <w:pPr>
                    <w:pStyle w:val="TableBodyText"/>
                    <w:jc w:val="left"/>
                  </w:pPr>
                  <w:r w:rsidRPr="00011645">
                    <w:t xml:space="preserve">Data are </w:t>
                  </w:r>
                  <w:r w:rsidR="003405DD" w:rsidRPr="00011645">
                    <w:t xml:space="preserve">not comparable across jurisdictions but are </w:t>
                  </w:r>
                  <w:r w:rsidRPr="00011645">
                    <w:t>comparable (subject to caveats) within jurisdictions over time.</w:t>
                  </w:r>
                </w:p>
              </w:tc>
            </w:tr>
            <w:tr w:rsidR="00276F52" w:rsidRPr="00011645" w14:paraId="4F54D42D" w14:textId="77777777" w:rsidTr="00BD62E3">
              <w:tc>
                <w:tcPr>
                  <w:tcW w:w="304" w:type="dxa"/>
                  <w:tcBorders>
                    <w:top w:val="nil"/>
                    <w:left w:val="nil"/>
                    <w:bottom w:val="nil"/>
                    <w:right w:val="nil"/>
                  </w:tcBorders>
                  <w:shd w:val="clear" w:color="auto" w:fill="auto"/>
                  <w:tcMar>
                    <w:top w:w="28" w:type="dxa"/>
                    <w:bottom w:w="28" w:type="dxa"/>
                  </w:tcMar>
                </w:tcPr>
                <w:p w14:paraId="2B4024A3" w14:textId="77777777" w:rsidR="00276F52" w:rsidRPr="00011645" w:rsidRDefault="00276F52" w:rsidP="00770430">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56CA3943" w14:textId="77777777" w:rsidR="00276F52" w:rsidRPr="00011645" w:rsidRDefault="00276F52" w:rsidP="00770430">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27039416" w14:textId="5C694293" w:rsidR="00276F52" w:rsidRPr="00011645" w:rsidRDefault="00276F52" w:rsidP="00770430">
                  <w:pPr>
                    <w:pStyle w:val="TableBodyText"/>
                    <w:jc w:val="left"/>
                  </w:pPr>
                  <w:r w:rsidRPr="00011645">
                    <w:t xml:space="preserve">Data are </w:t>
                  </w:r>
                  <w:r w:rsidR="00BD62E3">
                    <w:t>in</w:t>
                  </w:r>
                  <w:r w:rsidRPr="00011645">
                    <w:t xml:space="preserve">complete for the current reporting period. </w:t>
                  </w:r>
                </w:p>
              </w:tc>
            </w:tr>
          </w:tbl>
          <w:p w14:paraId="6E5182F7" w14:textId="77777777" w:rsidR="00276F52" w:rsidRPr="00033816" w:rsidRDefault="00276F52" w:rsidP="00770430">
            <w:pPr>
              <w:pStyle w:val="FigureTitle"/>
              <w:rPr>
                <w:b w:val="0"/>
              </w:rPr>
            </w:pPr>
          </w:p>
        </w:tc>
      </w:tr>
      <w:tr w:rsidR="0010799F" w:rsidRPr="00033816" w14:paraId="3701F871" w14:textId="77777777" w:rsidTr="005F1719">
        <w:tblPrEx>
          <w:tblCellMar>
            <w:left w:w="108" w:type="dxa"/>
            <w:right w:w="108" w:type="dxa"/>
          </w:tblCellMar>
        </w:tblPrEx>
        <w:trPr>
          <w:cantSplit/>
          <w:trHeight w:val="9638"/>
        </w:trPr>
        <w:tc>
          <w:tcPr>
            <w:tcW w:w="5000" w:type="pct"/>
            <w:tcBorders>
              <w:top w:val="nil"/>
              <w:left w:val="nil"/>
              <w:bottom w:val="nil"/>
              <w:right w:val="nil"/>
            </w:tcBorders>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igure 16.15 Improved safety - substantiation rate within 3 months and 12 months of a prior substantiation&#10;&#10;More details can be found within the text surrounding this image."/>
            </w:tblPr>
            <w:tblGrid>
              <w:gridCol w:w="8573"/>
            </w:tblGrid>
            <w:tr w:rsidR="00960687" w14:paraId="2E0D1181" w14:textId="77777777" w:rsidTr="00960687">
              <w:tc>
                <w:tcPr>
                  <w:tcW w:w="8563" w:type="dxa"/>
                </w:tcPr>
                <w:p w14:paraId="1C6371AF" w14:textId="46654DEA" w:rsidR="00960687" w:rsidRDefault="00960687" w:rsidP="00960687">
                  <w:r>
                    <w:rPr>
                      <w:noProof/>
                    </w:rPr>
                    <w:drawing>
                      <wp:anchor distT="0" distB="0" distL="114300" distR="114300" simplePos="0" relativeHeight="251696128" behindDoc="1" locked="0" layoutInCell="1" allowOverlap="1" wp14:anchorId="08463024" wp14:editId="587C5157">
                        <wp:simplePos x="0" y="0"/>
                        <wp:positionH relativeFrom="column">
                          <wp:posOffset>-68308</wp:posOffset>
                        </wp:positionH>
                        <wp:positionV relativeFrom="paragraph">
                          <wp:posOffset>74567</wp:posOffset>
                        </wp:positionV>
                        <wp:extent cx="5579110" cy="5883729"/>
                        <wp:effectExtent l="0" t="0" r="2540" b="3175"/>
                        <wp:wrapTight wrapText="bothSides">
                          <wp:wrapPolygon edited="0">
                            <wp:start x="0" y="0"/>
                            <wp:lineTo x="0" y="21542"/>
                            <wp:lineTo x="21536" y="21542"/>
                            <wp:lineTo x="21536" y="0"/>
                            <wp:lineTo x="0" y="0"/>
                          </wp:wrapPolygon>
                        </wp:wrapTight>
                        <wp:docPr id="6" name="Picture 6" descr="Figure 16.15 Improved safety — substantiation rate within 3 months and 12 months of a prior substantiat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579110" cy="5883729"/>
                                </a:xfrm>
                                <a:prstGeom prst="rect">
                                  <a:avLst/>
                                </a:prstGeom>
                              </pic:spPr>
                            </pic:pic>
                          </a:graphicData>
                        </a:graphic>
                      </wp:anchor>
                    </w:drawing>
                  </w:r>
                </w:p>
              </w:tc>
            </w:tr>
          </w:tbl>
          <w:p w14:paraId="23E22DC1" w14:textId="48B0FFE5" w:rsidR="0010799F" w:rsidRPr="00033816" w:rsidRDefault="0010799F" w:rsidP="00770430">
            <w:pPr>
              <w:pStyle w:val="Figure"/>
            </w:pPr>
          </w:p>
        </w:tc>
      </w:tr>
      <w:tr w:rsidR="0010799F" w:rsidRPr="00033816" w14:paraId="0A0462A8" w14:textId="77777777" w:rsidTr="005F1719">
        <w:trPr>
          <w:cantSplit/>
        </w:trPr>
        <w:tc>
          <w:tcPr>
            <w:tcW w:w="5000" w:type="pct"/>
            <w:tcBorders>
              <w:top w:val="nil"/>
              <w:left w:val="nil"/>
              <w:bottom w:val="nil"/>
              <w:right w:val="nil"/>
            </w:tcBorders>
            <w:shd w:val="clear" w:color="auto" w:fill="auto"/>
          </w:tcPr>
          <w:p w14:paraId="61A4CAC9" w14:textId="2969B428" w:rsidR="0010799F" w:rsidRPr="00033816" w:rsidRDefault="0012127E" w:rsidP="00770430">
            <w:pPr>
              <w:pStyle w:val="Note"/>
              <w:spacing w:before="0"/>
            </w:pPr>
            <w:r w:rsidRPr="00033816">
              <w:rPr>
                <w:rStyle w:val="NoteLabel"/>
              </w:rPr>
              <w:t>a</w:t>
            </w:r>
            <w:r w:rsidR="00A54037" w:rsidRPr="00033816">
              <w:t xml:space="preserve"> </w:t>
            </w:r>
            <w:r w:rsidR="009B0BDA" w:rsidRPr="00033816">
              <w:t xml:space="preserve">See box </w:t>
            </w:r>
            <w:r w:rsidR="00DC383D">
              <w:t>16.15</w:t>
            </w:r>
            <w:r w:rsidR="000B48A6" w:rsidRPr="00033816">
              <w:t xml:space="preserve"> and table </w:t>
            </w:r>
            <w:proofErr w:type="spellStart"/>
            <w:r w:rsidR="003D62DA" w:rsidRPr="00033816">
              <w:t>16</w:t>
            </w:r>
            <w:r w:rsidR="001378E8" w:rsidRPr="00033816">
              <w:t>A.</w:t>
            </w:r>
            <w:r w:rsidR="008C6DBC" w:rsidRPr="00033816">
              <w:t>3</w:t>
            </w:r>
            <w:r w:rsidR="009312EF">
              <w:t>6</w:t>
            </w:r>
            <w:proofErr w:type="spellEnd"/>
            <w:r w:rsidR="000B48A6" w:rsidRPr="00033816">
              <w:t xml:space="preserve"> for detailed definitions, footnotes and </w:t>
            </w:r>
            <w:r w:rsidR="000B48A6" w:rsidRPr="00B61D86">
              <w:t>caveats.</w:t>
            </w:r>
            <w:r w:rsidR="00A54037" w:rsidRPr="00B61D86">
              <w:t xml:space="preserve"> </w:t>
            </w:r>
            <w:r w:rsidR="00416E08" w:rsidRPr="00B61D86">
              <w:rPr>
                <w:rStyle w:val="NoteLabel"/>
              </w:rPr>
              <w:t>b</w:t>
            </w:r>
            <w:r w:rsidR="00416E08" w:rsidRPr="00B61D86">
              <w:t xml:space="preserve"> Data for NSW for 2016</w:t>
            </w:r>
            <w:r w:rsidR="00416E08" w:rsidRPr="00B61D86">
              <w:noBreakHyphen/>
              <w:t>17 were not available.</w:t>
            </w:r>
          </w:p>
        </w:tc>
      </w:tr>
      <w:tr w:rsidR="0010799F" w:rsidRPr="00033816" w14:paraId="4D13543D" w14:textId="77777777" w:rsidTr="005F1719">
        <w:trPr>
          <w:cantSplit/>
        </w:trPr>
        <w:tc>
          <w:tcPr>
            <w:tcW w:w="5000" w:type="pct"/>
            <w:tcBorders>
              <w:top w:val="nil"/>
              <w:left w:val="nil"/>
              <w:bottom w:val="nil"/>
              <w:right w:val="nil"/>
            </w:tcBorders>
            <w:shd w:val="clear" w:color="auto" w:fill="auto"/>
          </w:tcPr>
          <w:p w14:paraId="65496E24" w14:textId="1AC59237" w:rsidR="0010799F" w:rsidRPr="00033816" w:rsidRDefault="0010799F" w:rsidP="00820A60">
            <w:pPr>
              <w:pStyle w:val="Source"/>
              <w:spacing w:before="60"/>
            </w:pPr>
            <w:r w:rsidRPr="00033816">
              <w:rPr>
                <w:i/>
              </w:rPr>
              <w:t>Source</w:t>
            </w:r>
            <w:r w:rsidRPr="00033816">
              <w:t xml:space="preserve">: </w:t>
            </w:r>
            <w:proofErr w:type="spellStart"/>
            <w:r w:rsidRPr="00033816">
              <w:t>AIHW</w:t>
            </w:r>
            <w:proofErr w:type="spellEnd"/>
            <w:r w:rsidRPr="00033816">
              <w:t xml:space="preserve"> data collection (unpublished); table</w:t>
            </w:r>
            <w:r w:rsidR="00203E9E" w:rsidRPr="00033816">
              <w:t xml:space="preserve"> </w:t>
            </w:r>
            <w:proofErr w:type="spellStart"/>
            <w:r w:rsidR="003D62DA" w:rsidRPr="00033816">
              <w:t>16</w:t>
            </w:r>
            <w:r w:rsidR="001378E8" w:rsidRPr="00033816">
              <w:t>A.</w:t>
            </w:r>
            <w:r w:rsidR="008C6DBC" w:rsidRPr="00033816">
              <w:t>3</w:t>
            </w:r>
            <w:r w:rsidR="009312EF">
              <w:t>6</w:t>
            </w:r>
            <w:proofErr w:type="spellEnd"/>
            <w:r w:rsidRPr="00033816">
              <w:t>.</w:t>
            </w:r>
          </w:p>
        </w:tc>
      </w:tr>
      <w:tr w:rsidR="0010799F" w:rsidRPr="00033816" w14:paraId="29487EAF" w14:textId="77777777" w:rsidTr="005F1719">
        <w:trPr>
          <w:cantSplit/>
        </w:trPr>
        <w:tc>
          <w:tcPr>
            <w:tcW w:w="5000" w:type="pct"/>
            <w:tcBorders>
              <w:top w:val="nil"/>
              <w:left w:val="nil"/>
              <w:bottom w:val="single" w:sz="6" w:space="0" w:color="78A22F"/>
              <w:right w:val="nil"/>
            </w:tcBorders>
            <w:shd w:val="clear" w:color="auto" w:fill="auto"/>
          </w:tcPr>
          <w:p w14:paraId="799376FB" w14:textId="77777777" w:rsidR="0010799F" w:rsidRPr="00033816" w:rsidRDefault="0010799F" w:rsidP="00820A60">
            <w:pPr>
              <w:pStyle w:val="Figurespace"/>
              <w:spacing w:line="80" w:lineRule="exact"/>
            </w:pPr>
          </w:p>
        </w:tc>
      </w:tr>
      <w:tr w:rsidR="0010799F" w:rsidRPr="00033816" w14:paraId="34CF97AA" w14:textId="77777777" w:rsidTr="005F1719">
        <w:trPr>
          <w:cantSplit/>
        </w:trPr>
        <w:tc>
          <w:tcPr>
            <w:tcW w:w="5000" w:type="pct"/>
            <w:tcBorders>
              <w:top w:val="single" w:sz="6" w:space="0" w:color="78A22F"/>
              <w:left w:val="nil"/>
              <w:bottom w:val="nil"/>
              <w:right w:val="nil"/>
            </w:tcBorders>
          </w:tcPr>
          <w:p w14:paraId="5D30D105" w14:textId="09BDDB99" w:rsidR="0010799F" w:rsidRPr="008A57DF" w:rsidRDefault="0010799F" w:rsidP="00820A60">
            <w:pPr>
              <w:pStyle w:val="BoxSpaceBelow"/>
              <w:spacing w:before="0" w:after="0" w:line="40" w:lineRule="exact"/>
            </w:pPr>
          </w:p>
        </w:tc>
      </w:tr>
    </w:tbl>
    <w:p w14:paraId="1AFA2F59" w14:textId="77777777" w:rsidR="006842D6" w:rsidRPr="00033816" w:rsidRDefault="007E1C5B" w:rsidP="00770430">
      <w:pPr>
        <w:pStyle w:val="Heading4"/>
      </w:pPr>
      <w:r w:rsidRPr="00033816">
        <w:lastRenderedPageBreak/>
        <w:t>Improved education</w:t>
      </w:r>
    </w:p>
    <w:p w14:paraId="0AF733F7" w14:textId="5870DE17" w:rsidR="006842D6" w:rsidRPr="00033816" w:rsidRDefault="006842D6" w:rsidP="00770430">
      <w:pPr>
        <w:pStyle w:val="BodyText"/>
      </w:pPr>
      <w:r w:rsidRPr="00033816">
        <w:t xml:space="preserve">‘Improved education’ </w:t>
      </w:r>
      <w:r w:rsidR="00C563C3" w:rsidRPr="00033816">
        <w:t xml:space="preserve">is an indicator of governments’ objective to </w:t>
      </w:r>
      <w:r w:rsidR="00D03E05" w:rsidRPr="00033816">
        <w:t>support children and young people in the child protection system to reach their potential</w:t>
      </w:r>
      <w:r w:rsidRPr="00033816">
        <w:t xml:space="preserve"> (box</w:t>
      </w:r>
      <w:r w:rsidR="00203E9E" w:rsidRPr="00033816">
        <w:t xml:space="preserve"> </w:t>
      </w:r>
      <w:r w:rsidR="009D4A68" w:rsidRPr="00033816">
        <w:t>16.16</w:t>
      </w:r>
      <w:r w:rsidRPr="00033816">
        <w:t>).</w:t>
      </w:r>
    </w:p>
    <w:p w14:paraId="48913AE9" w14:textId="77A095DE" w:rsidR="0010799F" w:rsidRPr="00033816" w:rsidRDefault="0010799F"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0799F" w:rsidRPr="00033816" w14:paraId="093C524D" w14:textId="77777777" w:rsidTr="00C1120B">
        <w:tc>
          <w:tcPr>
            <w:tcW w:w="8789" w:type="dxa"/>
            <w:tcBorders>
              <w:top w:val="single" w:sz="6" w:space="0" w:color="78A22F"/>
              <w:left w:val="nil"/>
              <w:bottom w:val="nil"/>
              <w:right w:val="nil"/>
            </w:tcBorders>
            <w:shd w:val="clear" w:color="auto" w:fill="F2F2F2" w:themeFill="background1" w:themeFillShade="F2"/>
          </w:tcPr>
          <w:p w14:paraId="068DCE9F" w14:textId="2EC4B3E2" w:rsidR="0010799F" w:rsidRPr="00033816" w:rsidRDefault="0010799F" w:rsidP="00770430">
            <w:pPr>
              <w:pStyle w:val="BoxTitle"/>
            </w:pPr>
            <w:r w:rsidRPr="00033816">
              <w:rPr>
                <w:b w:val="0"/>
              </w:rPr>
              <w:t>Box</w:t>
            </w:r>
            <w:r w:rsidR="00EC6188" w:rsidRPr="00033816">
              <w:rPr>
                <w:b w:val="0"/>
              </w:rPr>
              <w:t xml:space="preserve"> </w:t>
            </w:r>
            <w:r w:rsidR="00B03F27" w:rsidRPr="00033816">
              <w:rPr>
                <w:b w:val="0"/>
              </w:rPr>
              <w:t>16.16</w:t>
            </w:r>
            <w:r w:rsidRPr="00033816">
              <w:tab/>
              <w:t>Improved education</w:t>
            </w:r>
          </w:p>
        </w:tc>
      </w:tr>
      <w:tr w:rsidR="0010799F" w:rsidRPr="00033816" w14:paraId="3320BF9C" w14:textId="77777777" w:rsidTr="00C1120B">
        <w:trPr>
          <w:cantSplit/>
        </w:trPr>
        <w:tc>
          <w:tcPr>
            <w:tcW w:w="8789" w:type="dxa"/>
            <w:tcBorders>
              <w:top w:val="nil"/>
              <w:left w:val="nil"/>
              <w:bottom w:val="nil"/>
              <w:right w:val="nil"/>
            </w:tcBorders>
            <w:shd w:val="clear" w:color="auto" w:fill="F2F2F2" w:themeFill="background1" w:themeFillShade="F2"/>
          </w:tcPr>
          <w:p w14:paraId="6A2E11B6" w14:textId="0D4316D9" w:rsidR="00086DA0" w:rsidRPr="00033816" w:rsidRDefault="0010799F" w:rsidP="00770430">
            <w:pPr>
              <w:pStyle w:val="Box"/>
              <w:rPr>
                <w:shd w:val="clear" w:color="auto" w:fill="F2F2F2" w:themeFill="background1" w:themeFillShade="F2"/>
              </w:rPr>
            </w:pPr>
            <w:r w:rsidRPr="00033816">
              <w:t xml:space="preserve">‘Improved education’ is defined as </w:t>
            </w:r>
            <w:r w:rsidR="0056415B" w:rsidRPr="00033816">
              <w:t xml:space="preserve">the </w:t>
            </w:r>
            <w:r w:rsidRPr="00033816">
              <w:t xml:space="preserve">proportion of children on guardianship and custody orders </w:t>
            </w:r>
            <w:r w:rsidRPr="00033816">
              <w:rPr>
                <w:shd w:val="clear" w:color="auto" w:fill="F2F2F2" w:themeFill="background1" w:themeFillShade="F2"/>
              </w:rPr>
              <w:t xml:space="preserve">achieving </w:t>
            </w:r>
            <w:r w:rsidR="0056415B" w:rsidRPr="00033816">
              <w:rPr>
                <w:shd w:val="clear" w:color="auto" w:fill="F2F2F2" w:themeFill="background1" w:themeFillShade="F2"/>
              </w:rPr>
              <w:t xml:space="preserve">at or above </w:t>
            </w:r>
            <w:r w:rsidRPr="00033816">
              <w:rPr>
                <w:shd w:val="clear" w:color="auto" w:fill="F2F2F2" w:themeFill="background1" w:themeFillShade="F2"/>
              </w:rPr>
              <w:t xml:space="preserve">national </w:t>
            </w:r>
            <w:r w:rsidR="0056415B" w:rsidRPr="00033816">
              <w:rPr>
                <w:shd w:val="clear" w:color="auto" w:fill="F2F2F2" w:themeFill="background1" w:themeFillShade="F2"/>
              </w:rPr>
              <w:t xml:space="preserve">minimum standards </w:t>
            </w:r>
            <w:r w:rsidRPr="00033816">
              <w:rPr>
                <w:shd w:val="clear" w:color="auto" w:fill="F2F2F2" w:themeFill="background1" w:themeFillShade="F2"/>
              </w:rPr>
              <w:t>in reading and numeracy</w:t>
            </w:r>
            <w:r w:rsidR="00BD05F6" w:rsidRPr="00033816">
              <w:rPr>
                <w:shd w:val="clear" w:color="auto" w:fill="F2F2F2" w:themeFill="background1" w:themeFillShade="F2"/>
              </w:rPr>
              <w:t xml:space="preserve"> in Year 5</w:t>
            </w:r>
            <w:r w:rsidRPr="00033816">
              <w:rPr>
                <w:shd w:val="clear" w:color="auto" w:fill="F2F2F2" w:themeFill="background1" w:themeFillShade="F2"/>
              </w:rPr>
              <w:t xml:space="preserve">. </w:t>
            </w:r>
          </w:p>
          <w:p w14:paraId="046A66BC" w14:textId="2966EF50" w:rsidR="0010799F" w:rsidRPr="00033816" w:rsidRDefault="0010799F" w:rsidP="00770430">
            <w:pPr>
              <w:pStyle w:val="Box"/>
            </w:pPr>
            <w:r w:rsidRPr="00033816">
              <w:t xml:space="preserve">A high or increasing rate of children on guardianship and custody orders achieving </w:t>
            </w:r>
            <w:r w:rsidR="0056415B" w:rsidRPr="00033816">
              <w:t xml:space="preserve">at or above </w:t>
            </w:r>
            <w:r w:rsidRPr="00033816">
              <w:t xml:space="preserve">national </w:t>
            </w:r>
            <w:r w:rsidR="0056415B" w:rsidRPr="00033816">
              <w:t xml:space="preserve">minimum standards </w:t>
            </w:r>
            <w:r w:rsidRPr="00033816">
              <w:t>in reading and numeracy</w:t>
            </w:r>
            <w:r w:rsidR="00452BA5" w:rsidRPr="00033816">
              <w:t>, and relative to all children,</w:t>
            </w:r>
            <w:r w:rsidRPr="00033816">
              <w:t xml:space="preserve"> is desirable.</w:t>
            </w:r>
          </w:p>
          <w:p w14:paraId="00F3F831" w14:textId="77777777" w:rsidR="0010799F" w:rsidRPr="00033816" w:rsidRDefault="0010799F" w:rsidP="00770430">
            <w:pPr>
              <w:pStyle w:val="Box"/>
            </w:pPr>
            <w:r w:rsidRPr="00033816">
              <w:t xml:space="preserve">Factors outside the control of child protection services have an influence on the educational outcomes of children on guardianship and custody </w:t>
            </w:r>
            <w:r w:rsidRPr="00033816">
              <w:rPr>
                <w:shd w:val="clear" w:color="auto" w:fill="F2F2F2" w:themeFill="background1" w:themeFillShade="F2"/>
              </w:rPr>
              <w:t xml:space="preserve">orders, and care </w:t>
            </w:r>
            <w:r w:rsidR="008B2BD8" w:rsidRPr="00033816">
              <w:rPr>
                <w:shd w:val="clear" w:color="auto" w:fill="F2F2F2" w:themeFill="background1" w:themeFillShade="F2"/>
              </w:rPr>
              <w:t>should</w:t>
            </w:r>
            <w:r w:rsidRPr="00033816">
              <w:rPr>
                <w:shd w:val="clear" w:color="auto" w:fill="F2F2F2" w:themeFill="background1" w:themeFillShade="F2"/>
              </w:rPr>
              <w:t xml:space="preserve"> be exercised wh</w:t>
            </w:r>
            <w:r w:rsidR="00D03E05" w:rsidRPr="00033816">
              <w:rPr>
                <w:shd w:val="clear" w:color="auto" w:fill="F2F2F2" w:themeFill="background1" w:themeFillShade="F2"/>
              </w:rPr>
              <w:t>en interpreting results.</w:t>
            </w:r>
          </w:p>
          <w:p w14:paraId="2A8524A0" w14:textId="7B8B2500" w:rsidR="0010799F" w:rsidRPr="00033816" w:rsidRDefault="00B43736" w:rsidP="00770430">
            <w:pPr>
              <w:pStyle w:val="Box"/>
            </w:pPr>
            <w:r w:rsidRPr="00033816">
              <w:t xml:space="preserve">When interpreting </w:t>
            </w:r>
            <w:proofErr w:type="spellStart"/>
            <w:r w:rsidRPr="00033816">
              <w:t>NAPLAN</w:t>
            </w:r>
            <w:proofErr w:type="spellEnd"/>
            <w:r w:rsidRPr="00033816">
              <w:t xml:space="preserve"> </w:t>
            </w:r>
            <w:r w:rsidR="00452BA5" w:rsidRPr="00033816">
              <w:t xml:space="preserve">(National Assessment Program — Literacy and Numeracy) </w:t>
            </w:r>
            <w:r w:rsidRPr="00033816">
              <w:t>data, i</w:t>
            </w:r>
            <w:r w:rsidR="0010799F" w:rsidRPr="00033816">
              <w:t xml:space="preserve">t is important to </w:t>
            </w:r>
            <w:r w:rsidRPr="00033816">
              <w:t>take into account student participation rates</w:t>
            </w:r>
            <w:r w:rsidR="001378E8" w:rsidRPr="00033816">
              <w:t xml:space="preserve"> (table </w:t>
            </w:r>
            <w:proofErr w:type="spellStart"/>
            <w:r w:rsidR="001378E8" w:rsidRPr="00033816">
              <w:t>16A.3</w:t>
            </w:r>
            <w:r w:rsidR="00466F75">
              <w:t>7</w:t>
            </w:r>
            <w:proofErr w:type="spellEnd"/>
            <w:r w:rsidR="00131347" w:rsidRPr="00033816">
              <w:t>)</w:t>
            </w:r>
            <w:r w:rsidRPr="00033816">
              <w:t>. C</w:t>
            </w:r>
            <w:r w:rsidR="0010799F" w:rsidRPr="00033816">
              <w:t xml:space="preserve">hildren exempted from </w:t>
            </w:r>
            <w:proofErr w:type="spellStart"/>
            <w:r w:rsidR="0010799F" w:rsidRPr="00033816">
              <w:t>NAPLAN</w:t>
            </w:r>
            <w:proofErr w:type="spellEnd"/>
            <w:r w:rsidR="0010799F" w:rsidRPr="00033816">
              <w:t xml:space="preserve"> testing are recorded as </w:t>
            </w:r>
            <w:r w:rsidR="00043F2D" w:rsidRPr="00033816">
              <w:t xml:space="preserve">not having met </w:t>
            </w:r>
            <w:r w:rsidR="0010799F" w:rsidRPr="00033816">
              <w:t xml:space="preserve">the national minimum </w:t>
            </w:r>
            <w:r w:rsidR="00043F2D" w:rsidRPr="00033816">
              <w:t xml:space="preserve">standards </w:t>
            </w:r>
            <w:r w:rsidR="0010799F" w:rsidRPr="00033816">
              <w:t xml:space="preserve">in reading and numeracy. Experimental data indicate that children on guardianship and custody orders are exempted from </w:t>
            </w:r>
            <w:proofErr w:type="spellStart"/>
            <w:r w:rsidR="0010799F" w:rsidRPr="00033816">
              <w:t>NAPLAN</w:t>
            </w:r>
            <w:proofErr w:type="spellEnd"/>
            <w:r w:rsidR="0010799F" w:rsidRPr="00033816">
              <w:t xml:space="preserve"> testing at significantly higher rates than the general student population, which </w:t>
            </w:r>
            <w:r w:rsidRPr="00033816">
              <w:t xml:space="preserve">might </w:t>
            </w:r>
            <w:r w:rsidR="0010799F" w:rsidRPr="00033816">
              <w:t xml:space="preserve">contribute to poorer reported </w:t>
            </w:r>
            <w:proofErr w:type="spellStart"/>
            <w:r w:rsidR="0010799F" w:rsidRPr="00033816">
              <w:t>NAPLAN</w:t>
            </w:r>
            <w:proofErr w:type="spellEnd"/>
            <w:r w:rsidR="0010799F" w:rsidRPr="00033816">
              <w:t xml:space="preserve"> results for children on orders</w:t>
            </w:r>
            <w:r w:rsidRPr="00033816">
              <w:t xml:space="preserve">, compared with </w:t>
            </w:r>
            <w:r w:rsidR="0010799F" w:rsidRPr="00033816">
              <w:t>the general student population.</w:t>
            </w:r>
            <w:r w:rsidR="00043F2D" w:rsidRPr="00033816">
              <w:t xml:space="preserve"> </w:t>
            </w:r>
          </w:p>
          <w:p w14:paraId="50DAEA23" w14:textId="77777777" w:rsidR="0010799F" w:rsidRPr="00033816" w:rsidRDefault="0010799F" w:rsidP="00770430">
            <w:pPr>
              <w:pStyle w:val="Box"/>
            </w:pPr>
            <w:r w:rsidRPr="00033816">
              <w:t>Data reported for this measure are:</w:t>
            </w:r>
          </w:p>
          <w:p w14:paraId="79552826" w14:textId="790AC031" w:rsidR="0010799F" w:rsidRPr="00033816" w:rsidRDefault="00DB479D" w:rsidP="00770430">
            <w:pPr>
              <w:pStyle w:val="Box"/>
              <w:ind w:left="284"/>
              <w:rPr>
                <w:b/>
              </w:rPr>
            </w:pPr>
            <w:r w:rsidRPr="009273A9">
              <w:rPr>
                <w:shd w:val="clear" w:color="auto" w:fill="F15A25"/>
              </w:rPr>
              <w:t xml:space="preserve">    </w:t>
            </w:r>
            <w:r>
              <w:t xml:space="preserve"> </w:t>
            </w:r>
            <w:r w:rsidR="0010799F" w:rsidRPr="00033816">
              <w:t>comparable (subject to caveats) across jurisdictions</w:t>
            </w:r>
            <w:r w:rsidR="008817BB" w:rsidRPr="00033816">
              <w:t xml:space="preserve"> </w:t>
            </w:r>
          </w:p>
          <w:p w14:paraId="52F243D2" w14:textId="7F23102D" w:rsidR="0010799F" w:rsidRPr="00033816" w:rsidRDefault="00A557AF" w:rsidP="00770430">
            <w:pPr>
              <w:pStyle w:val="Box"/>
              <w:ind w:left="284"/>
            </w:pPr>
            <w:r w:rsidRPr="00344676">
              <w:rPr>
                <w:shd w:val="clear" w:color="auto" w:fill="FCDED3"/>
              </w:rPr>
              <w:t xml:space="preserve">    </w:t>
            </w:r>
            <w:r>
              <w:t xml:space="preserve"> in</w:t>
            </w:r>
            <w:r w:rsidR="0010799F" w:rsidRPr="00033816">
              <w:t xml:space="preserve">complete for the </w:t>
            </w:r>
            <w:r>
              <w:t>current</w:t>
            </w:r>
            <w:r w:rsidRPr="00033816">
              <w:t xml:space="preserve"> </w:t>
            </w:r>
            <w:r w:rsidR="0010799F" w:rsidRPr="00033816">
              <w:t>reporting period</w:t>
            </w:r>
            <w:r w:rsidR="008F799A" w:rsidRPr="00033816">
              <w:t>. Only</w:t>
            </w:r>
            <w:r w:rsidR="00D03E05" w:rsidRPr="00033816">
              <w:t xml:space="preserve"> Queensland</w:t>
            </w:r>
            <w:r w:rsidR="00AC52FF">
              <w:t xml:space="preserve">, WA and SA </w:t>
            </w:r>
            <w:r w:rsidR="003B4793">
              <w:t xml:space="preserve">were able to provide data </w:t>
            </w:r>
            <w:r w:rsidR="00AC52FF">
              <w:t>for the 2016 reporting period</w:t>
            </w:r>
            <w:r w:rsidR="00D51FB5">
              <w:t>.</w:t>
            </w:r>
          </w:p>
        </w:tc>
      </w:tr>
      <w:tr w:rsidR="0010799F" w:rsidRPr="00033816" w14:paraId="2679CBF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0A6381DE" w14:textId="77777777" w:rsidR="0010799F" w:rsidRPr="00033816" w:rsidRDefault="0010799F" w:rsidP="00770430">
            <w:pPr>
              <w:pStyle w:val="Box"/>
              <w:spacing w:before="0" w:line="120" w:lineRule="exact"/>
            </w:pPr>
          </w:p>
        </w:tc>
      </w:tr>
      <w:tr w:rsidR="0010799F" w:rsidRPr="00033816" w14:paraId="13270C57" w14:textId="77777777" w:rsidTr="00C1120B">
        <w:tc>
          <w:tcPr>
            <w:tcW w:w="8789" w:type="dxa"/>
            <w:tcBorders>
              <w:top w:val="single" w:sz="6" w:space="0" w:color="78A22F"/>
              <w:left w:val="nil"/>
              <w:bottom w:val="nil"/>
              <w:right w:val="nil"/>
            </w:tcBorders>
          </w:tcPr>
          <w:p w14:paraId="29934E14" w14:textId="66A25823" w:rsidR="0010799F" w:rsidRPr="00033816" w:rsidRDefault="0010799F" w:rsidP="00770430">
            <w:pPr>
              <w:pStyle w:val="BoxSpaceBelow"/>
            </w:pPr>
          </w:p>
        </w:tc>
      </w:tr>
    </w:tbl>
    <w:p w14:paraId="5C112C7C" w14:textId="4A643CBD" w:rsidR="005F669F" w:rsidRPr="00033816" w:rsidRDefault="00D03E05" w:rsidP="00770430">
      <w:pPr>
        <w:pStyle w:val="BodyText"/>
      </w:pPr>
      <w:r w:rsidRPr="00033816">
        <w:t>In 2013</w:t>
      </w:r>
      <w:r w:rsidR="008809D7">
        <w:t xml:space="preserve"> (the only year for which data are available for all jurisdictions)</w:t>
      </w:r>
      <w:r w:rsidRPr="00033816">
        <w:t>, t</w:t>
      </w:r>
      <w:r w:rsidR="005F669F" w:rsidRPr="00033816">
        <w:t>he</w:t>
      </w:r>
      <w:r w:rsidRPr="00033816">
        <w:t xml:space="preserve"> proportion</w:t>
      </w:r>
      <w:r w:rsidR="00BD05F6" w:rsidRPr="00033816">
        <w:t>s</w:t>
      </w:r>
      <w:r w:rsidRPr="00033816">
        <w:t xml:space="preserve"> of children in care </w:t>
      </w:r>
      <w:r w:rsidR="00BD05F6" w:rsidRPr="00033816">
        <w:t>at or above</w:t>
      </w:r>
      <w:r w:rsidR="005F669F" w:rsidRPr="00033816">
        <w:t xml:space="preserve"> the national minimum standards for </w:t>
      </w:r>
      <w:r w:rsidR="00BD05F6" w:rsidRPr="00033816">
        <w:t xml:space="preserve">Year 5 </w:t>
      </w:r>
      <w:r w:rsidR="00131347" w:rsidRPr="00033816">
        <w:t xml:space="preserve">reading </w:t>
      </w:r>
      <w:r w:rsidR="005F669F" w:rsidRPr="00033816">
        <w:t>and numeracy varied</w:t>
      </w:r>
      <w:r w:rsidR="00BD05F6" w:rsidRPr="00033816">
        <w:t xml:space="preserve"> across jurisdictions</w:t>
      </w:r>
      <w:r w:rsidR="00131347" w:rsidRPr="00033816">
        <w:t xml:space="preserve">, </w:t>
      </w:r>
      <w:r w:rsidR="00541CD9" w:rsidRPr="00033816">
        <w:t>and</w:t>
      </w:r>
      <w:r w:rsidR="00131347" w:rsidRPr="00033816">
        <w:t xml:space="preserve"> w</w:t>
      </w:r>
      <w:r w:rsidR="00BD05F6" w:rsidRPr="00033816">
        <w:t>ere</w:t>
      </w:r>
      <w:r w:rsidR="00131347" w:rsidRPr="00033816">
        <w:t xml:space="preserve"> below t</w:t>
      </w:r>
      <w:r w:rsidR="00541CD9" w:rsidRPr="00033816">
        <w:t>he proportions</w:t>
      </w:r>
      <w:r w:rsidR="00131347" w:rsidRPr="00033816">
        <w:t xml:space="preserve"> for all students</w:t>
      </w:r>
      <w:r w:rsidR="00541CD9" w:rsidRPr="00033816">
        <w:t xml:space="preserve"> (by at least 10 percentage points for the majority of jurisdictions)</w:t>
      </w:r>
      <w:r w:rsidR="001378E8" w:rsidRPr="00033816">
        <w:t xml:space="preserve"> (table </w:t>
      </w:r>
      <w:proofErr w:type="spellStart"/>
      <w:r w:rsidR="001378E8" w:rsidRPr="00033816">
        <w:t>16A.</w:t>
      </w:r>
      <w:r w:rsidR="009B2341" w:rsidRPr="00033816">
        <w:t>3</w:t>
      </w:r>
      <w:r w:rsidR="009312EF">
        <w:t>7</w:t>
      </w:r>
      <w:proofErr w:type="spellEnd"/>
      <w:r w:rsidR="009B2341" w:rsidRPr="00033816">
        <w:t>)</w:t>
      </w:r>
      <w:r w:rsidRPr="00033816">
        <w:t>.</w:t>
      </w:r>
    </w:p>
    <w:p w14:paraId="1A8F543F" w14:textId="77777777" w:rsidR="007E1C5B" w:rsidRPr="00033816" w:rsidRDefault="007E1C5B" w:rsidP="00770430">
      <w:pPr>
        <w:pStyle w:val="Heading4"/>
      </w:pPr>
      <w:r w:rsidRPr="00033816">
        <w:t>Improved health and wellbeing of the child</w:t>
      </w:r>
    </w:p>
    <w:p w14:paraId="079FAC30" w14:textId="0EECA24E" w:rsidR="007E1C5B" w:rsidRPr="00033816" w:rsidRDefault="007E1C5B" w:rsidP="00770430">
      <w:pPr>
        <w:pStyle w:val="BodyText"/>
      </w:pPr>
      <w:r w:rsidRPr="00033816">
        <w:t xml:space="preserve">‘Improved health and wellbeing of the child’ is an indicator of governments’ objective to </w:t>
      </w:r>
      <w:r w:rsidR="00D03E05" w:rsidRPr="00033816">
        <w:t>support children and young people in the child protection system to reach their potential</w:t>
      </w:r>
      <w:r w:rsidRPr="00033816">
        <w:t xml:space="preserve"> </w:t>
      </w:r>
      <w:r w:rsidR="00B03F27" w:rsidRPr="00033816">
        <w:br/>
      </w:r>
      <w:r w:rsidRPr="00033816">
        <w:t xml:space="preserve">(box </w:t>
      </w:r>
      <w:r w:rsidR="000443E2" w:rsidRPr="00033816">
        <w:t>16.17</w:t>
      </w:r>
      <w:r w:rsidR="00203E9E" w:rsidRPr="00033816">
        <w:t>)</w:t>
      </w:r>
      <w:r w:rsidRPr="00033816">
        <w:t>.</w:t>
      </w:r>
    </w:p>
    <w:p w14:paraId="139D62DD" w14:textId="7D1C2588" w:rsidR="003A37E3" w:rsidRPr="00033816"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033816" w14:paraId="00AF27C3" w14:textId="77777777" w:rsidTr="00C1120B">
        <w:tc>
          <w:tcPr>
            <w:tcW w:w="8789" w:type="dxa"/>
            <w:tcBorders>
              <w:top w:val="single" w:sz="6" w:space="0" w:color="78A22F"/>
              <w:left w:val="nil"/>
              <w:bottom w:val="nil"/>
              <w:right w:val="nil"/>
            </w:tcBorders>
            <w:shd w:val="clear" w:color="auto" w:fill="F2F2F2" w:themeFill="background1" w:themeFillShade="F2"/>
          </w:tcPr>
          <w:p w14:paraId="17E67F52" w14:textId="66BD22CD" w:rsidR="003A37E3" w:rsidRPr="00033816" w:rsidRDefault="003A37E3" w:rsidP="00770430">
            <w:pPr>
              <w:pStyle w:val="BoxTitle"/>
            </w:pPr>
            <w:r w:rsidRPr="00033816">
              <w:rPr>
                <w:b w:val="0"/>
              </w:rPr>
              <w:t>Box</w:t>
            </w:r>
            <w:r w:rsidR="00203E9E" w:rsidRPr="00033816">
              <w:rPr>
                <w:b w:val="0"/>
              </w:rPr>
              <w:t xml:space="preserve"> </w:t>
            </w:r>
            <w:r w:rsidR="00B03F27" w:rsidRPr="00033816">
              <w:rPr>
                <w:b w:val="0"/>
              </w:rPr>
              <w:t>16.17</w:t>
            </w:r>
            <w:r w:rsidRPr="00033816">
              <w:tab/>
              <w:t>Improved health and wellbeing of the child</w:t>
            </w:r>
          </w:p>
        </w:tc>
      </w:tr>
      <w:tr w:rsidR="003A37E3" w:rsidRPr="00033816" w14:paraId="4854EF53" w14:textId="77777777" w:rsidTr="00C1120B">
        <w:trPr>
          <w:cantSplit/>
        </w:trPr>
        <w:tc>
          <w:tcPr>
            <w:tcW w:w="8789" w:type="dxa"/>
            <w:tcBorders>
              <w:top w:val="nil"/>
              <w:left w:val="nil"/>
              <w:bottom w:val="nil"/>
              <w:right w:val="nil"/>
            </w:tcBorders>
            <w:shd w:val="clear" w:color="auto" w:fill="F2F2F2" w:themeFill="background1" w:themeFillShade="F2"/>
          </w:tcPr>
          <w:p w14:paraId="49A466A4" w14:textId="2C7C984B" w:rsidR="00747A2D" w:rsidRPr="00033816" w:rsidRDefault="003A37E3" w:rsidP="00770430">
            <w:pPr>
              <w:pStyle w:val="Box"/>
            </w:pPr>
            <w:r w:rsidRPr="00033816">
              <w:t>‘Improved health and wellbeing of</w:t>
            </w:r>
            <w:r w:rsidR="00747A2D" w:rsidRPr="00033816">
              <w:t xml:space="preserve"> the child’ is </w:t>
            </w:r>
            <w:r w:rsidR="001E7C3D" w:rsidRPr="00033816">
              <w:t xml:space="preserve">currently </w:t>
            </w:r>
            <w:r w:rsidR="00747A2D" w:rsidRPr="00033816">
              <w:t>defined</w:t>
            </w:r>
            <w:r w:rsidR="00156C1A" w:rsidRPr="00033816">
              <w:t xml:space="preserve"> </w:t>
            </w:r>
            <w:r w:rsidR="001E7C3D" w:rsidRPr="00033816">
              <w:t>by one measure related to wellbeing</w:t>
            </w:r>
            <w:r w:rsidR="009C19AC" w:rsidRPr="00033816">
              <w:t xml:space="preserve">: </w:t>
            </w:r>
            <w:r w:rsidR="00156C1A" w:rsidRPr="00033816">
              <w:t>the p</w:t>
            </w:r>
            <w:r w:rsidR="00747A2D" w:rsidRPr="00033816">
              <w:t xml:space="preserve">roportion of </w:t>
            </w:r>
            <w:r w:rsidR="001E7C3D" w:rsidRPr="00033816">
              <w:t xml:space="preserve">children and </w:t>
            </w:r>
            <w:r w:rsidR="00747A2D" w:rsidRPr="00033816">
              <w:t xml:space="preserve">young people in the child protection system </w:t>
            </w:r>
            <w:r w:rsidR="009C19AC" w:rsidRPr="00033816">
              <w:t xml:space="preserve">not </w:t>
            </w:r>
            <w:r w:rsidR="00747A2D" w:rsidRPr="00033816">
              <w:t>classified in the ‘abnormal’ range on the Strengths and Difficulties Questionnaire</w:t>
            </w:r>
            <w:r w:rsidR="001E7C3D" w:rsidRPr="00033816">
              <w:t xml:space="preserve"> (</w:t>
            </w:r>
            <w:proofErr w:type="spellStart"/>
            <w:r w:rsidR="001E7C3D" w:rsidRPr="00033816">
              <w:t>SDQ</w:t>
            </w:r>
            <w:proofErr w:type="spellEnd"/>
            <w:r w:rsidR="001E7C3D" w:rsidRPr="00033816">
              <w:t>)</w:t>
            </w:r>
            <w:r w:rsidR="00747A2D" w:rsidRPr="00033816">
              <w:t xml:space="preserve"> scale</w:t>
            </w:r>
            <w:r w:rsidR="00F25D78">
              <w:t>. See section </w:t>
            </w:r>
            <w:r w:rsidR="001E7C3D" w:rsidRPr="00033816">
              <w:t xml:space="preserve">16.4 for further information on the </w:t>
            </w:r>
            <w:proofErr w:type="spellStart"/>
            <w:r w:rsidR="001E7C3D" w:rsidRPr="00033816">
              <w:t>SDQ</w:t>
            </w:r>
            <w:proofErr w:type="spellEnd"/>
            <w:r w:rsidR="001E7C3D" w:rsidRPr="00033816">
              <w:t>.</w:t>
            </w:r>
          </w:p>
          <w:p w14:paraId="24647355" w14:textId="090B7E0B" w:rsidR="003A37E3" w:rsidRPr="00033816" w:rsidRDefault="00747A2D" w:rsidP="00770430">
            <w:pPr>
              <w:pStyle w:val="Box"/>
            </w:pPr>
            <w:r w:rsidRPr="00033816">
              <w:t>A high or increasing percentage of children</w:t>
            </w:r>
            <w:r w:rsidR="001E7C3D" w:rsidRPr="00033816">
              <w:t xml:space="preserve"> and young people</w:t>
            </w:r>
            <w:r w:rsidRPr="00033816">
              <w:t xml:space="preserve"> in the child protection system </w:t>
            </w:r>
            <w:r w:rsidR="009C19AC" w:rsidRPr="00033816">
              <w:t xml:space="preserve">with </w:t>
            </w:r>
            <w:r w:rsidRPr="00033816">
              <w:t>improved wellbeing is desirable</w:t>
            </w:r>
            <w:r w:rsidR="003A37E3" w:rsidRPr="00033816">
              <w:t>.</w:t>
            </w:r>
          </w:p>
          <w:p w14:paraId="3CA95CAB" w14:textId="203DCE52" w:rsidR="003A37E3" w:rsidRPr="00033816" w:rsidRDefault="00747A2D" w:rsidP="00770430">
            <w:pPr>
              <w:pStyle w:val="Box"/>
            </w:pPr>
            <w:r w:rsidRPr="00033816">
              <w:t>Data are not yet available for reporting against th</w:t>
            </w:r>
            <w:r w:rsidR="001E7C3D" w:rsidRPr="00033816">
              <w:t>is</w:t>
            </w:r>
            <w:r w:rsidRPr="00033816">
              <w:t xml:space="preserve"> measure</w:t>
            </w:r>
            <w:r w:rsidR="003A37E3" w:rsidRPr="00033816">
              <w:t>.</w:t>
            </w:r>
            <w:r w:rsidR="001E7C3D" w:rsidRPr="00033816">
              <w:t xml:space="preserve"> A measure of improved health of the child is still to be developed.</w:t>
            </w:r>
          </w:p>
        </w:tc>
      </w:tr>
      <w:tr w:rsidR="003A37E3" w:rsidRPr="00033816" w14:paraId="072F6D5C"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7D6E2FDF" w14:textId="77777777" w:rsidR="003A37E3" w:rsidRPr="00033816" w:rsidRDefault="003A37E3" w:rsidP="00770430">
            <w:pPr>
              <w:pStyle w:val="Box"/>
              <w:spacing w:before="0" w:line="120" w:lineRule="exact"/>
            </w:pPr>
          </w:p>
        </w:tc>
      </w:tr>
      <w:tr w:rsidR="003A37E3" w:rsidRPr="00033816" w14:paraId="5C78EF66" w14:textId="77777777" w:rsidTr="00C1120B">
        <w:tc>
          <w:tcPr>
            <w:tcW w:w="8789" w:type="dxa"/>
            <w:tcBorders>
              <w:top w:val="single" w:sz="6" w:space="0" w:color="78A22F"/>
              <w:left w:val="nil"/>
              <w:bottom w:val="nil"/>
              <w:right w:val="nil"/>
            </w:tcBorders>
          </w:tcPr>
          <w:p w14:paraId="418312E7" w14:textId="3BD8C50C" w:rsidR="003A37E3" w:rsidRPr="00033816" w:rsidRDefault="003A37E3" w:rsidP="00770430">
            <w:pPr>
              <w:pStyle w:val="BoxSpaceBelow"/>
            </w:pPr>
          </w:p>
        </w:tc>
      </w:tr>
    </w:tbl>
    <w:p w14:paraId="268500D6" w14:textId="01A0D1D2" w:rsidR="006842D6" w:rsidRPr="00411AE9" w:rsidRDefault="00B20881" w:rsidP="00770430">
      <w:pPr>
        <w:pStyle w:val="Heading4"/>
      </w:pPr>
      <w:r w:rsidRPr="00411AE9">
        <w:t>Exit from out-of-home care to a permanency arrangement</w:t>
      </w:r>
    </w:p>
    <w:p w14:paraId="577DD0FB" w14:textId="0FCD245D" w:rsidR="006842D6" w:rsidRPr="00411AE9" w:rsidRDefault="006842D6" w:rsidP="00770430">
      <w:pPr>
        <w:pStyle w:val="BodyText"/>
      </w:pPr>
      <w:r w:rsidRPr="00411AE9">
        <w:t>‘</w:t>
      </w:r>
      <w:r w:rsidR="004921DB" w:rsidRPr="00411AE9">
        <w:t>Exit from out-of-</w:t>
      </w:r>
      <w:r w:rsidR="00FA69C0" w:rsidRPr="00411AE9">
        <w:t>home care to a permanency arrange</w:t>
      </w:r>
      <w:r w:rsidR="004921DB" w:rsidRPr="00411AE9">
        <w:t>ment</w:t>
      </w:r>
      <w:r w:rsidRPr="00411AE9">
        <w:t xml:space="preserve">’ </w:t>
      </w:r>
      <w:r w:rsidR="00893FF2" w:rsidRPr="00411AE9">
        <w:t xml:space="preserve">is an indicator of governments’ objective to </w:t>
      </w:r>
      <w:r w:rsidR="00E15CC6" w:rsidRPr="00411AE9">
        <w:t xml:space="preserve">protect children and young people who are at risk of abuse and neglect within their families or whose families do not have the capacity to provide care and protection </w:t>
      </w:r>
      <w:r w:rsidR="00454863" w:rsidRPr="00411AE9">
        <w:br/>
      </w:r>
      <w:r w:rsidRPr="00411AE9">
        <w:t>(box</w:t>
      </w:r>
      <w:r w:rsidR="00203E9E" w:rsidRPr="00411AE9">
        <w:t xml:space="preserve"> </w:t>
      </w:r>
      <w:r w:rsidR="000443E2" w:rsidRPr="00411AE9">
        <w:t>16.18</w:t>
      </w:r>
      <w:r w:rsidR="00203E9E" w:rsidRPr="00411AE9">
        <w:t>)</w:t>
      </w:r>
      <w:r w:rsidRPr="00411AE9">
        <w:t>.</w:t>
      </w:r>
    </w:p>
    <w:p w14:paraId="10C712B7" w14:textId="1D2FF6E4" w:rsidR="003A37E3" w:rsidRPr="00411AE9" w:rsidRDefault="003A37E3" w:rsidP="0077043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A37E3" w:rsidRPr="00411AE9" w14:paraId="00AB0588" w14:textId="77777777" w:rsidTr="00C1120B">
        <w:tc>
          <w:tcPr>
            <w:tcW w:w="8789" w:type="dxa"/>
            <w:tcBorders>
              <w:top w:val="single" w:sz="6" w:space="0" w:color="78A22F"/>
              <w:left w:val="nil"/>
              <w:bottom w:val="nil"/>
              <w:right w:val="nil"/>
            </w:tcBorders>
            <w:shd w:val="clear" w:color="auto" w:fill="F2F2F2" w:themeFill="background1" w:themeFillShade="F2"/>
          </w:tcPr>
          <w:p w14:paraId="4025AEAD" w14:textId="6A580DC8" w:rsidR="003A37E3" w:rsidRPr="00411AE9" w:rsidRDefault="003A37E3" w:rsidP="00770430">
            <w:pPr>
              <w:pStyle w:val="BoxTitle"/>
            </w:pPr>
            <w:r w:rsidRPr="00411AE9">
              <w:rPr>
                <w:b w:val="0"/>
              </w:rPr>
              <w:t>Box</w:t>
            </w:r>
            <w:r w:rsidR="00203E9E" w:rsidRPr="00411AE9">
              <w:rPr>
                <w:b w:val="0"/>
              </w:rPr>
              <w:t xml:space="preserve"> </w:t>
            </w:r>
            <w:bookmarkStart w:id="37" w:name="OLE_LINK41"/>
            <w:r w:rsidR="00B03F27" w:rsidRPr="00411AE9">
              <w:rPr>
                <w:b w:val="0"/>
              </w:rPr>
              <w:t>16.18</w:t>
            </w:r>
            <w:bookmarkEnd w:id="37"/>
            <w:r w:rsidRPr="00411AE9">
              <w:tab/>
            </w:r>
            <w:r w:rsidR="004921DB" w:rsidRPr="00411AE9">
              <w:t xml:space="preserve">Exit from out-of-home care to a permanency arrangement </w:t>
            </w:r>
          </w:p>
        </w:tc>
      </w:tr>
      <w:tr w:rsidR="003A37E3" w:rsidRPr="00411AE9" w14:paraId="75727C23" w14:textId="77777777" w:rsidTr="00C1120B">
        <w:trPr>
          <w:cantSplit/>
        </w:trPr>
        <w:tc>
          <w:tcPr>
            <w:tcW w:w="8789" w:type="dxa"/>
            <w:tcBorders>
              <w:top w:val="nil"/>
              <w:left w:val="nil"/>
              <w:bottom w:val="nil"/>
              <w:right w:val="nil"/>
            </w:tcBorders>
            <w:shd w:val="clear" w:color="auto" w:fill="F2F2F2" w:themeFill="background1" w:themeFillShade="F2"/>
          </w:tcPr>
          <w:p w14:paraId="3BFFEE59" w14:textId="2CC2DA26" w:rsidR="003A37E3" w:rsidRPr="00411AE9" w:rsidRDefault="003A37E3" w:rsidP="00770430">
            <w:pPr>
              <w:pStyle w:val="Box"/>
            </w:pPr>
            <w:r w:rsidRPr="00411AE9">
              <w:t>‘</w:t>
            </w:r>
            <w:r w:rsidR="004921DB" w:rsidRPr="00411AE9">
              <w:t xml:space="preserve">Exit from out-of-home care to a permanency </w:t>
            </w:r>
            <w:r w:rsidR="00FA69C0" w:rsidRPr="00411AE9">
              <w:t>arrangement</w:t>
            </w:r>
            <w:r w:rsidRPr="00411AE9">
              <w:t xml:space="preserve">’ is </w:t>
            </w:r>
            <w:r w:rsidR="00747A2D" w:rsidRPr="00411AE9">
              <w:t xml:space="preserve">defined as the </w:t>
            </w:r>
            <w:r w:rsidR="00FA69C0" w:rsidRPr="00411AE9">
              <w:t xml:space="preserve">number </w:t>
            </w:r>
            <w:r w:rsidR="00747A2D" w:rsidRPr="00411AE9">
              <w:t xml:space="preserve">of children and young people </w:t>
            </w:r>
            <w:r w:rsidR="00FA69C0" w:rsidRPr="00411AE9">
              <w:t xml:space="preserve">who exited </w:t>
            </w:r>
            <w:r w:rsidR="00747A2D" w:rsidRPr="00411AE9">
              <w:t>out</w:t>
            </w:r>
            <w:r w:rsidR="004F6E3D" w:rsidRPr="00411AE9">
              <w:noBreakHyphen/>
            </w:r>
            <w:r w:rsidR="00747A2D" w:rsidRPr="00411AE9">
              <w:t>of</w:t>
            </w:r>
            <w:r w:rsidR="004F6E3D" w:rsidRPr="00411AE9">
              <w:noBreakHyphen/>
            </w:r>
            <w:r w:rsidR="00747A2D" w:rsidRPr="00411AE9">
              <w:t xml:space="preserve">home care </w:t>
            </w:r>
            <w:r w:rsidR="00FA69C0" w:rsidRPr="00411AE9">
              <w:t>to a permanency outcome (reunified with their families, adopted or placed on third party parental responsibility orders)</w:t>
            </w:r>
            <w:r w:rsidR="00747A2D" w:rsidRPr="00411AE9">
              <w:t xml:space="preserve">, and for whom there was no </w:t>
            </w:r>
            <w:r w:rsidR="00FA69C0" w:rsidRPr="00411AE9">
              <w:t xml:space="preserve">return to out-of-home care </w:t>
            </w:r>
            <w:r w:rsidR="00747A2D" w:rsidRPr="00411AE9">
              <w:t>within</w:t>
            </w:r>
            <w:r w:rsidR="00FA69C0" w:rsidRPr="00411AE9">
              <w:t xml:space="preserve"> 12 months, as a proportion of all children who exited out-of-home care to a permanency outcome in the previous reporting period</w:t>
            </w:r>
            <w:r w:rsidRPr="00411AE9">
              <w:t>.</w:t>
            </w:r>
            <w:r w:rsidR="00E428BB" w:rsidRPr="00411AE9">
              <w:t xml:space="preserve"> </w:t>
            </w:r>
          </w:p>
          <w:p w14:paraId="6467B229" w14:textId="5650E1AD" w:rsidR="003A37E3" w:rsidRPr="00411AE9" w:rsidRDefault="00747A2D" w:rsidP="00770430">
            <w:pPr>
              <w:pStyle w:val="Box"/>
            </w:pPr>
            <w:r w:rsidRPr="00411AE9">
              <w:t xml:space="preserve">High or increasing proportions of children and young people </w:t>
            </w:r>
            <w:r w:rsidR="00FA69C0" w:rsidRPr="00411AE9">
              <w:t>exiting out-of-home care to a permanency outcome</w:t>
            </w:r>
            <w:r w:rsidRPr="00411AE9">
              <w:t xml:space="preserve"> for whom there was no </w:t>
            </w:r>
            <w:r w:rsidR="00FA69C0" w:rsidRPr="00411AE9">
              <w:t>return to out-of-home care</w:t>
            </w:r>
            <w:r w:rsidRPr="00411AE9">
              <w:t xml:space="preserve"> is desirable</w:t>
            </w:r>
            <w:r w:rsidR="003A37E3" w:rsidRPr="00411AE9">
              <w:t xml:space="preserve">. </w:t>
            </w:r>
          </w:p>
          <w:p w14:paraId="792AAE6D" w14:textId="77EE7D77" w:rsidR="003A37E3" w:rsidRPr="00411AE9" w:rsidRDefault="00747A2D" w:rsidP="00770430">
            <w:pPr>
              <w:pStyle w:val="Box"/>
            </w:pPr>
            <w:r w:rsidRPr="00411AE9">
              <w:t>Data are not yet available for reporting against this indicator</w:t>
            </w:r>
            <w:r w:rsidR="003A37E3" w:rsidRPr="00411AE9">
              <w:t>.</w:t>
            </w:r>
            <w:r w:rsidR="00D011EC" w:rsidRPr="00411AE9">
              <w:t xml:space="preserve"> </w:t>
            </w:r>
          </w:p>
        </w:tc>
      </w:tr>
      <w:tr w:rsidR="003A37E3" w:rsidRPr="00411AE9" w14:paraId="6576F67F" w14:textId="77777777" w:rsidTr="00C1120B">
        <w:trPr>
          <w:cantSplit/>
        </w:trPr>
        <w:tc>
          <w:tcPr>
            <w:tcW w:w="8789" w:type="dxa"/>
            <w:tcBorders>
              <w:top w:val="nil"/>
              <w:left w:val="nil"/>
              <w:bottom w:val="single" w:sz="6" w:space="0" w:color="78A22F"/>
              <w:right w:val="nil"/>
            </w:tcBorders>
            <w:shd w:val="clear" w:color="auto" w:fill="F2F2F2" w:themeFill="background1" w:themeFillShade="F2"/>
          </w:tcPr>
          <w:p w14:paraId="44114453" w14:textId="77777777" w:rsidR="003A37E3" w:rsidRPr="00411AE9" w:rsidRDefault="003A37E3" w:rsidP="00770430">
            <w:pPr>
              <w:pStyle w:val="Box"/>
              <w:spacing w:before="0" w:line="120" w:lineRule="exact"/>
            </w:pPr>
          </w:p>
        </w:tc>
      </w:tr>
      <w:tr w:rsidR="003A37E3" w:rsidRPr="00033816" w14:paraId="3CC7223D" w14:textId="77777777" w:rsidTr="00C1120B">
        <w:tc>
          <w:tcPr>
            <w:tcW w:w="8789" w:type="dxa"/>
            <w:tcBorders>
              <w:top w:val="single" w:sz="6" w:space="0" w:color="78A22F"/>
              <w:left w:val="nil"/>
              <w:bottom w:val="nil"/>
              <w:right w:val="nil"/>
            </w:tcBorders>
          </w:tcPr>
          <w:p w14:paraId="1FDB57E1" w14:textId="541F57BA" w:rsidR="003A37E3" w:rsidRPr="00033816" w:rsidRDefault="003A37E3" w:rsidP="00770430">
            <w:pPr>
              <w:pStyle w:val="BoxSpaceBelow"/>
            </w:pPr>
          </w:p>
        </w:tc>
      </w:tr>
    </w:tbl>
    <w:p w14:paraId="2C3AFB13" w14:textId="27E0F9D1" w:rsidR="006842D6" w:rsidRPr="00033816" w:rsidRDefault="00DC383D" w:rsidP="00770430">
      <w:pPr>
        <w:pStyle w:val="Heading2"/>
        <w:keepNext w:val="0"/>
        <w:widowControl w:val="0"/>
      </w:pPr>
      <w:bookmarkStart w:id="38" w:name="OLE_LINK86"/>
      <w:bookmarkStart w:id="39" w:name="_Toc369851915"/>
      <w:bookmarkStart w:id="40" w:name="_Toc464459209"/>
      <w:bookmarkStart w:id="41" w:name="_Toc494980932"/>
      <w:bookmarkStart w:id="42" w:name="_Toc524611008"/>
      <w:r>
        <w:t>16.</w:t>
      </w:r>
      <w:r>
        <w:rPr>
          <w:noProof/>
        </w:rPr>
        <w:t>4</w:t>
      </w:r>
      <w:r w:rsidR="00B144C3" w:rsidRPr="00033816">
        <w:tab/>
      </w:r>
      <w:bookmarkEnd w:id="38"/>
      <w:r w:rsidR="006842D6" w:rsidRPr="00033816">
        <w:t>Definitions of key terms</w:t>
      </w:r>
      <w:bookmarkEnd w:id="39"/>
      <w:bookmarkEnd w:id="40"/>
      <w:bookmarkEnd w:id="41"/>
      <w:bookmarkEnd w:id="42"/>
    </w:p>
    <w:p w14:paraId="6DBED18E" w14:textId="77777777" w:rsidR="0094457E" w:rsidRPr="00033816" w:rsidRDefault="0094457E" w:rsidP="00770430">
      <w:pPr>
        <w:pStyle w:val="Figurespace"/>
        <w:keepNext w:val="0"/>
        <w:widowControl w:val="0"/>
      </w:pPr>
    </w:p>
    <w:tbl>
      <w:tblPr>
        <w:tblW w:w="8789" w:type="dxa"/>
        <w:tblLayout w:type="fixed"/>
        <w:tblLook w:val="0000" w:firstRow="0" w:lastRow="0" w:firstColumn="0" w:lastColumn="0" w:noHBand="0" w:noVBand="0"/>
      </w:tblPr>
      <w:tblGrid>
        <w:gridCol w:w="2518"/>
        <w:gridCol w:w="6271"/>
      </w:tblGrid>
      <w:tr w:rsidR="00DF578B" w:rsidRPr="00033816" w14:paraId="4A802841" w14:textId="77777777" w:rsidTr="00C1120B">
        <w:tc>
          <w:tcPr>
            <w:tcW w:w="2518" w:type="dxa"/>
            <w:shd w:val="clear" w:color="auto" w:fill="auto"/>
          </w:tcPr>
          <w:p w14:paraId="4C7A23A1" w14:textId="77777777" w:rsidR="00DF578B" w:rsidRPr="00033816" w:rsidRDefault="00DF578B" w:rsidP="00770430">
            <w:pPr>
              <w:pStyle w:val="TableBodyText"/>
              <w:keepNext w:val="0"/>
              <w:keepLines w:val="0"/>
              <w:widowControl w:val="0"/>
              <w:spacing w:before="60" w:after="60"/>
              <w:ind w:left="0"/>
              <w:jc w:val="left"/>
              <w:rPr>
                <w:b/>
              </w:rPr>
            </w:pPr>
            <w:r w:rsidRPr="00033816">
              <w:rPr>
                <w:b/>
              </w:rPr>
              <w:t>Aboriginal and Torres Strait Islander person</w:t>
            </w:r>
          </w:p>
        </w:tc>
        <w:tc>
          <w:tcPr>
            <w:tcW w:w="6271" w:type="dxa"/>
            <w:shd w:val="clear" w:color="auto" w:fill="auto"/>
          </w:tcPr>
          <w:p w14:paraId="04B5B8D3" w14:textId="77777777" w:rsidR="00DF578B" w:rsidRPr="00033816" w:rsidRDefault="00DF578B" w:rsidP="00770430">
            <w:pPr>
              <w:pStyle w:val="TableBodyText"/>
              <w:jc w:val="left"/>
            </w:pPr>
            <w:r w:rsidRPr="00033816">
              <w:t xml:space="preserve">Person of Aboriginal or Torres Strait Islander descent who identifies as being an Aboriginal or Torres Strait Islander and is accepted as such by the community with which he or she lives. </w:t>
            </w:r>
          </w:p>
        </w:tc>
      </w:tr>
      <w:tr w:rsidR="00A57FB5" w:rsidRPr="00033816" w14:paraId="4AD4F26A" w14:textId="77777777" w:rsidTr="00C1120B">
        <w:tc>
          <w:tcPr>
            <w:tcW w:w="2518" w:type="dxa"/>
            <w:shd w:val="clear" w:color="auto" w:fill="auto"/>
          </w:tcPr>
          <w:p w14:paraId="319528E5" w14:textId="77777777" w:rsidR="00AB3040" w:rsidRPr="00033816" w:rsidRDefault="00AB3040" w:rsidP="00770430">
            <w:pPr>
              <w:pStyle w:val="TableBodyText"/>
              <w:keepNext w:val="0"/>
              <w:keepLines w:val="0"/>
              <w:widowControl w:val="0"/>
              <w:spacing w:before="60" w:after="60"/>
              <w:ind w:left="0"/>
              <w:jc w:val="left"/>
              <w:rPr>
                <w:b/>
              </w:rPr>
            </w:pPr>
            <w:r w:rsidRPr="00033816">
              <w:rPr>
                <w:b/>
              </w:rPr>
              <w:t>Activity Group 1 (pathways)</w:t>
            </w:r>
          </w:p>
          <w:p w14:paraId="424EA685" w14:textId="77777777" w:rsidR="00A57FB5" w:rsidRPr="00033816" w:rsidRDefault="00AB3040" w:rsidP="00770430">
            <w:pPr>
              <w:pStyle w:val="TableBodyText"/>
              <w:keepNext w:val="0"/>
              <w:keepLines w:val="0"/>
              <w:widowControl w:val="0"/>
              <w:spacing w:before="60" w:after="60"/>
              <w:ind w:left="0"/>
              <w:jc w:val="left"/>
            </w:pPr>
            <w:r w:rsidRPr="00033816">
              <w:t>Receipt and assessment of initial information about a potent</w:t>
            </w:r>
            <w:r w:rsidR="00AC1B70" w:rsidRPr="00033816">
              <w:t>ial protection or support issue</w:t>
            </w:r>
          </w:p>
        </w:tc>
        <w:tc>
          <w:tcPr>
            <w:tcW w:w="6271" w:type="dxa"/>
            <w:shd w:val="clear" w:color="auto" w:fill="auto"/>
          </w:tcPr>
          <w:p w14:paraId="5E57012D" w14:textId="3E94FD68" w:rsidR="00AB3040" w:rsidRPr="00033816" w:rsidRDefault="00AB3040" w:rsidP="00770430">
            <w:pPr>
              <w:pStyle w:val="TableBodyText"/>
              <w:jc w:val="left"/>
            </w:pPr>
            <w:r w:rsidRPr="00033816">
              <w:t xml:space="preserve">Activities that are typically associated with receipt and assessment of initial information including receipt and recording of information, review of department databases, initial assessment of information and decisions about the appropriate response. This activity can also include consultation, with possible provision of advice. Activities by </w:t>
            </w:r>
            <w:r w:rsidR="00990A3A" w:rsidRPr="00033816">
              <w:t>non</w:t>
            </w:r>
            <w:r w:rsidR="008817BB" w:rsidRPr="00033816">
              <w:noBreakHyphen/>
            </w:r>
            <w:r w:rsidR="00BD15D4" w:rsidRPr="00033816">
              <w:t xml:space="preserve">government organisations (NGOs) </w:t>
            </w:r>
            <w:r w:rsidRPr="00033816">
              <w:t>may be included if appropriate.</w:t>
            </w:r>
          </w:p>
        </w:tc>
      </w:tr>
      <w:tr w:rsidR="00AB3040" w:rsidRPr="00033816" w14:paraId="2F97AA3C" w14:textId="77777777" w:rsidTr="00C1120B">
        <w:tc>
          <w:tcPr>
            <w:tcW w:w="2518" w:type="dxa"/>
            <w:shd w:val="clear" w:color="auto" w:fill="auto"/>
          </w:tcPr>
          <w:p w14:paraId="6664A8E4" w14:textId="77777777" w:rsidR="00AB3040" w:rsidRPr="00033816" w:rsidRDefault="00AB3040" w:rsidP="00770430">
            <w:pPr>
              <w:pStyle w:val="TableBodyText"/>
              <w:keepNext w:val="0"/>
              <w:keepLines w:val="0"/>
              <w:widowControl w:val="0"/>
              <w:spacing w:before="60" w:after="60"/>
              <w:ind w:left="0"/>
              <w:jc w:val="left"/>
              <w:rPr>
                <w:b/>
              </w:rPr>
            </w:pPr>
            <w:r w:rsidRPr="00033816">
              <w:rPr>
                <w:b/>
              </w:rPr>
              <w:lastRenderedPageBreak/>
              <w:t>Activity Group 2 (pathways)</w:t>
            </w:r>
          </w:p>
          <w:p w14:paraId="3EB0319B" w14:textId="77777777" w:rsidR="00AB3040" w:rsidRPr="00033816" w:rsidRDefault="00AB3040" w:rsidP="00770430">
            <w:pPr>
              <w:pStyle w:val="TableBodyText"/>
              <w:keepNext w:val="0"/>
              <w:keepLines w:val="0"/>
              <w:widowControl w:val="0"/>
              <w:spacing w:before="60" w:after="60"/>
              <w:ind w:left="0"/>
              <w:jc w:val="left"/>
            </w:pPr>
            <w:r w:rsidRPr="00033816">
              <w:t>Provision of generic family support services</w:t>
            </w:r>
          </w:p>
        </w:tc>
        <w:tc>
          <w:tcPr>
            <w:tcW w:w="6271" w:type="dxa"/>
            <w:shd w:val="clear" w:color="auto" w:fill="auto"/>
          </w:tcPr>
          <w:p w14:paraId="086BEE0A" w14:textId="11E1BB7F" w:rsidR="00AB3040" w:rsidRPr="00033816" w:rsidRDefault="00AB3040" w:rsidP="00770430">
            <w:pPr>
              <w:pStyle w:val="TableBodyText"/>
              <w:jc w:val="left"/>
            </w:pPr>
            <w:r w:rsidRPr="00033816">
              <w:t>Activities that are typically associated with provision of lower level family support services at various stages including identification of family needs, provision of support services and diversionary services, some counselling and active linking of the family to support networks. Services are funded by government but can be delivered by either the relevant agency or a NGO. This bundle of services does not involve planned follow</w:t>
            </w:r>
            <w:r w:rsidR="008817BB" w:rsidRPr="00033816">
              <w:noBreakHyphen/>
            </w:r>
            <w:r w:rsidRPr="00033816">
              <w:t>up by the relevant agency after initial service delivery. The services will be delivered under voluntary arrangements between the relevant agency and family. Clients may receive these services more than once.</w:t>
            </w:r>
          </w:p>
        </w:tc>
      </w:tr>
      <w:tr w:rsidR="00F264E0" w:rsidRPr="00033816" w14:paraId="7EECAB43" w14:textId="77777777" w:rsidTr="00C1120B">
        <w:tc>
          <w:tcPr>
            <w:tcW w:w="2518" w:type="dxa"/>
            <w:shd w:val="clear" w:color="auto" w:fill="auto"/>
          </w:tcPr>
          <w:p w14:paraId="527DBFAD" w14:textId="77777777" w:rsidR="00F264E0" w:rsidRPr="00033816" w:rsidRDefault="00F264E0" w:rsidP="00770430">
            <w:pPr>
              <w:pStyle w:val="TableBodyText"/>
              <w:keepNext w:val="0"/>
              <w:keepLines w:val="0"/>
              <w:widowControl w:val="0"/>
              <w:spacing w:before="60" w:after="60"/>
              <w:ind w:left="0"/>
              <w:jc w:val="left"/>
              <w:rPr>
                <w:b/>
              </w:rPr>
            </w:pPr>
            <w:r w:rsidRPr="00033816">
              <w:rPr>
                <w:b/>
              </w:rPr>
              <w:t>Activity Group 3 (pathways)</w:t>
            </w:r>
          </w:p>
          <w:p w14:paraId="3D2F28DD" w14:textId="77777777" w:rsidR="00F264E0" w:rsidRPr="00033816" w:rsidRDefault="00F264E0" w:rsidP="00770430">
            <w:pPr>
              <w:pStyle w:val="TableBodyText"/>
              <w:keepNext w:val="0"/>
              <w:keepLines w:val="0"/>
              <w:widowControl w:val="0"/>
              <w:spacing w:before="60" w:after="60"/>
              <w:ind w:left="0"/>
              <w:jc w:val="left"/>
            </w:pPr>
            <w:r w:rsidRPr="00033816">
              <w:t>Provision of intensive family support services</w:t>
            </w:r>
          </w:p>
        </w:tc>
        <w:tc>
          <w:tcPr>
            <w:tcW w:w="6271" w:type="dxa"/>
            <w:shd w:val="clear" w:color="auto" w:fill="auto"/>
          </w:tcPr>
          <w:p w14:paraId="553F7808" w14:textId="77777777" w:rsidR="00F264E0" w:rsidRPr="00033816" w:rsidRDefault="00F264E0" w:rsidP="00770430">
            <w:pPr>
              <w:pStyle w:val="TableBodyText"/>
              <w:jc w:val="left"/>
            </w:pPr>
            <w:r w:rsidRPr="00033816">
              <w:t>Activities that are typically associated with provision of complex or intensive family support services including provision of therapeutic and in</w:t>
            </w:r>
            <w:r w:rsidRPr="00033816">
              <w:noBreakHyphen/>
              <w:t>home supports such as counselling and mediation, modelling of positive parenting strategies, referrals to intensive support services that may be provided by NGOs, advocacy on behalf of clients, and intensive support for a family in a residential setting and/or supported accommodation. These services may be provided if other diversionary services are inappropriate to the case and may lead to statutory services being provided to the client.</w:t>
            </w:r>
          </w:p>
        </w:tc>
      </w:tr>
      <w:tr w:rsidR="00F264E0" w:rsidRPr="00033816" w14:paraId="40E3C240" w14:textId="77777777" w:rsidTr="00C1120B">
        <w:tc>
          <w:tcPr>
            <w:tcW w:w="2518" w:type="dxa"/>
            <w:shd w:val="clear" w:color="auto" w:fill="auto"/>
          </w:tcPr>
          <w:p w14:paraId="45BC54E6" w14:textId="77777777" w:rsidR="00F264E0" w:rsidRPr="00033816" w:rsidRDefault="00F264E0" w:rsidP="00770430">
            <w:pPr>
              <w:pStyle w:val="TableBodyText"/>
              <w:keepNext w:val="0"/>
              <w:keepLines w:val="0"/>
              <w:widowControl w:val="0"/>
              <w:spacing w:before="60" w:after="60"/>
              <w:ind w:left="0"/>
              <w:jc w:val="left"/>
              <w:rPr>
                <w:b/>
              </w:rPr>
            </w:pPr>
            <w:r w:rsidRPr="00033816">
              <w:rPr>
                <w:b/>
              </w:rPr>
              <w:t>Activity Group 4 (pathways)</w:t>
            </w:r>
          </w:p>
          <w:p w14:paraId="6511D58B" w14:textId="77777777" w:rsidR="00F264E0" w:rsidRPr="00033816" w:rsidRDefault="00F264E0" w:rsidP="00770430">
            <w:pPr>
              <w:pStyle w:val="TableBodyText"/>
              <w:keepNext w:val="0"/>
              <w:keepLines w:val="0"/>
              <w:widowControl w:val="0"/>
              <w:spacing w:before="60" w:after="60"/>
              <w:ind w:left="0"/>
              <w:jc w:val="left"/>
            </w:pPr>
            <w:r w:rsidRPr="00033816">
              <w:t>Secondary information gathering and assessment</w:t>
            </w:r>
          </w:p>
        </w:tc>
        <w:tc>
          <w:tcPr>
            <w:tcW w:w="6271" w:type="dxa"/>
            <w:shd w:val="clear" w:color="auto" w:fill="auto"/>
          </w:tcPr>
          <w:p w14:paraId="783A151A" w14:textId="77777777" w:rsidR="00F264E0" w:rsidRPr="00033816" w:rsidRDefault="00F264E0" w:rsidP="00770430">
            <w:pPr>
              <w:pStyle w:val="TableBodyText"/>
              <w:jc w:val="left"/>
            </w:pPr>
            <w:r w:rsidRPr="00033816">
              <w:t xml:space="preserve">Activities that are typically associated with secondary information gathering and assessment are currently counted as ‘investigations’ in the Report on Government Services. As part of this activity group a decision may be made to substantiate or not substantiate. Information gathering activities include: </w:t>
            </w:r>
          </w:p>
          <w:p w14:paraId="67487DF4" w14:textId="77777777" w:rsidR="00F264E0" w:rsidRPr="00033816" w:rsidRDefault="00F264E0" w:rsidP="00770430">
            <w:pPr>
              <w:pStyle w:val="TableBullet"/>
            </w:pPr>
            <w:r w:rsidRPr="00033816">
              <w:t xml:space="preserve">sighting the child </w:t>
            </w:r>
          </w:p>
          <w:p w14:paraId="6314EF0D" w14:textId="77777777" w:rsidR="00F264E0" w:rsidRPr="00033816" w:rsidRDefault="00F264E0" w:rsidP="00770430">
            <w:pPr>
              <w:pStyle w:val="TableBullet"/>
            </w:pPr>
            <w:r w:rsidRPr="00033816">
              <w:t xml:space="preserve">contacting people with relevant information about the child or family (for example, teachers, police, support services) </w:t>
            </w:r>
          </w:p>
          <w:p w14:paraId="3523B7C4" w14:textId="77777777" w:rsidR="00F264E0" w:rsidRPr="00033816" w:rsidRDefault="00F264E0" w:rsidP="00770430">
            <w:pPr>
              <w:pStyle w:val="TableBullet"/>
            </w:pPr>
            <w:r w:rsidRPr="00033816">
              <w:t xml:space="preserve">interviewing the child, sibling(s) and parents </w:t>
            </w:r>
          </w:p>
          <w:p w14:paraId="364D9F37" w14:textId="77777777" w:rsidR="00F264E0" w:rsidRPr="00033816" w:rsidRDefault="00F264E0" w:rsidP="00770430">
            <w:pPr>
              <w:pStyle w:val="TableBullet"/>
            </w:pPr>
            <w:r w:rsidRPr="00033816">
              <w:t xml:space="preserve">observing family interactions </w:t>
            </w:r>
          </w:p>
          <w:p w14:paraId="5AE1BF9F" w14:textId="77777777" w:rsidR="00F264E0" w:rsidRPr="00033816" w:rsidRDefault="00F264E0" w:rsidP="00770430">
            <w:pPr>
              <w:pStyle w:val="TableBullet"/>
            </w:pPr>
            <w:r w:rsidRPr="00033816">
              <w:t xml:space="preserve">obtaining assessments of the child and/or family </w:t>
            </w:r>
          </w:p>
          <w:p w14:paraId="21810AE9" w14:textId="77777777" w:rsidR="00F264E0" w:rsidRPr="00033816" w:rsidRDefault="00F264E0" w:rsidP="00770430">
            <w:pPr>
              <w:pStyle w:val="TableBullet"/>
            </w:pPr>
            <w:r w:rsidRPr="00033816">
              <w:t xml:space="preserve">conducting family group conferences </w:t>
            </w:r>
          </w:p>
          <w:p w14:paraId="6E8C3F72" w14:textId="77777777" w:rsidR="00F264E0" w:rsidRPr="00033816" w:rsidRDefault="00F264E0" w:rsidP="00770430">
            <w:pPr>
              <w:pStyle w:val="TableBullet"/>
            </w:pPr>
            <w:r w:rsidRPr="00033816">
              <w:t xml:space="preserve">liaising with agencies providing services to the child and family </w:t>
            </w:r>
          </w:p>
          <w:p w14:paraId="156AD81A" w14:textId="77777777" w:rsidR="00F264E0" w:rsidRPr="00033816" w:rsidRDefault="00F264E0" w:rsidP="00770430">
            <w:pPr>
              <w:pStyle w:val="TableBullet"/>
            </w:pPr>
            <w:r w:rsidRPr="00033816">
              <w:t>recording a substantiation or non</w:t>
            </w:r>
            <w:r w:rsidRPr="00033816">
              <w:noBreakHyphen/>
              <w:t>substantiation decision</w:t>
            </w:r>
          </w:p>
          <w:p w14:paraId="3EF10F46" w14:textId="77777777" w:rsidR="00F264E0" w:rsidRPr="00033816" w:rsidRDefault="00F264E0" w:rsidP="00770430">
            <w:pPr>
              <w:pStyle w:val="TableBullet"/>
            </w:pPr>
            <w:r w:rsidRPr="00033816">
              <w:t>case conferences with partners and contributors in the investigation and assessment process.</w:t>
            </w:r>
          </w:p>
        </w:tc>
      </w:tr>
      <w:tr w:rsidR="00AB3040" w:rsidRPr="00033816" w14:paraId="64CA10EE" w14:textId="77777777" w:rsidTr="00C1120B">
        <w:tc>
          <w:tcPr>
            <w:tcW w:w="2518" w:type="dxa"/>
            <w:shd w:val="clear" w:color="auto" w:fill="auto"/>
          </w:tcPr>
          <w:p w14:paraId="120377E8" w14:textId="77777777" w:rsidR="00AB3040" w:rsidRPr="00033816" w:rsidRDefault="00AB3040" w:rsidP="00770430">
            <w:pPr>
              <w:pStyle w:val="TableBodyText"/>
              <w:keepNext w:val="0"/>
              <w:keepLines w:val="0"/>
              <w:widowControl w:val="0"/>
              <w:spacing w:before="60" w:after="60"/>
              <w:ind w:left="0"/>
              <w:jc w:val="left"/>
              <w:rPr>
                <w:b/>
              </w:rPr>
            </w:pPr>
            <w:r w:rsidRPr="00033816">
              <w:rPr>
                <w:b/>
              </w:rPr>
              <w:t>Activity Group 5 (pathways)</w:t>
            </w:r>
          </w:p>
          <w:p w14:paraId="2A1BB648" w14:textId="54B3F683" w:rsidR="00AB3040" w:rsidRPr="00033816" w:rsidRDefault="00AC1B70" w:rsidP="00770430">
            <w:pPr>
              <w:pStyle w:val="TableBodyText"/>
              <w:keepNext w:val="0"/>
              <w:keepLines w:val="0"/>
              <w:widowControl w:val="0"/>
              <w:spacing w:before="60" w:after="60"/>
              <w:ind w:left="0"/>
              <w:jc w:val="left"/>
              <w:rPr>
                <w:b/>
              </w:rPr>
            </w:pPr>
            <w:r w:rsidRPr="00033816">
              <w:t>Provision of short</w:t>
            </w:r>
            <w:r w:rsidR="008817BB" w:rsidRPr="00033816">
              <w:noBreakHyphen/>
            </w:r>
            <w:r w:rsidRPr="00033816">
              <w:t>term protective intervention and coordination services</w:t>
            </w:r>
            <w:r w:rsidR="00942B16" w:rsidRPr="00033816">
              <w:t xml:space="preserve"> for children not on a</w:t>
            </w:r>
            <w:r w:rsidR="00031EDE" w:rsidRPr="00033816">
              <w:t>n</w:t>
            </w:r>
            <w:r w:rsidR="00942B16" w:rsidRPr="00033816">
              <w:t xml:space="preserve"> order</w:t>
            </w:r>
          </w:p>
        </w:tc>
        <w:tc>
          <w:tcPr>
            <w:tcW w:w="6271" w:type="dxa"/>
            <w:shd w:val="clear" w:color="auto" w:fill="auto"/>
          </w:tcPr>
          <w:p w14:paraId="042CA813" w14:textId="321B8B5B" w:rsidR="00AC1B70" w:rsidRPr="00033816" w:rsidRDefault="00AC1B70" w:rsidP="00770430">
            <w:pPr>
              <w:pStyle w:val="TableBodyText"/>
              <w:jc w:val="left"/>
            </w:pPr>
            <w:r w:rsidRPr="00033816">
              <w:t>Activities that are typically associated with provision of short</w:t>
            </w:r>
            <w:r w:rsidR="008817BB" w:rsidRPr="00033816">
              <w:noBreakHyphen/>
            </w:r>
            <w:r w:rsidRPr="00033816">
              <w:t xml:space="preserve">term protective intervention and coordination services including: </w:t>
            </w:r>
          </w:p>
          <w:p w14:paraId="4038920E" w14:textId="77777777" w:rsidR="00AC1B70" w:rsidRPr="00033816" w:rsidRDefault="00AC1B70" w:rsidP="00770430">
            <w:pPr>
              <w:pStyle w:val="TableBullet"/>
            </w:pPr>
            <w:r w:rsidRPr="00033816">
              <w:t xml:space="preserve">working with the family to address protective issues </w:t>
            </w:r>
          </w:p>
          <w:p w14:paraId="554802EB" w14:textId="77777777" w:rsidR="00AC1B70" w:rsidRPr="00033816" w:rsidRDefault="00AC1B70" w:rsidP="00770430">
            <w:pPr>
              <w:pStyle w:val="TableBullet"/>
            </w:pPr>
            <w:r w:rsidRPr="00033816">
              <w:t>developing networks of support for the child</w:t>
            </w:r>
          </w:p>
          <w:p w14:paraId="46A4D76C" w14:textId="77777777" w:rsidR="00AC1B70" w:rsidRPr="00033816" w:rsidRDefault="00AC1B70" w:rsidP="00770430">
            <w:pPr>
              <w:pStyle w:val="TableBullet"/>
            </w:pPr>
            <w:r w:rsidRPr="00033816">
              <w:t xml:space="preserve">monitoring and reviewing the safety of the child </w:t>
            </w:r>
          </w:p>
          <w:p w14:paraId="3CE93336" w14:textId="77777777" w:rsidR="00AC1B70" w:rsidRPr="00033816" w:rsidRDefault="00AC1B70" w:rsidP="00770430">
            <w:pPr>
              <w:pStyle w:val="TableBullet"/>
            </w:pPr>
            <w:r w:rsidRPr="00033816">
              <w:t xml:space="preserve">monitoring and reviewing family progress against case planning goals </w:t>
            </w:r>
          </w:p>
          <w:p w14:paraId="595E6473" w14:textId="77777777" w:rsidR="00AC1B70" w:rsidRPr="00033816" w:rsidRDefault="00AC1B70" w:rsidP="00770430">
            <w:pPr>
              <w:pStyle w:val="TableBullet"/>
            </w:pPr>
            <w:r w:rsidRPr="00033816">
              <w:t>case conferences with agencies providing services to the child and/or family, internal discussions and reviews</w:t>
            </w:r>
          </w:p>
          <w:p w14:paraId="154074B5" w14:textId="4275CF3F" w:rsidR="00AB3040" w:rsidRPr="00033816" w:rsidRDefault="00AC1B70" w:rsidP="00770430">
            <w:pPr>
              <w:pStyle w:val="TableBullet"/>
            </w:pPr>
            <w:r w:rsidRPr="00033816">
              <w:t>specialist chi</w:t>
            </w:r>
            <w:r w:rsidR="00967410" w:rsidRPr="00033816">
              <w:t>ld</w:t>
            </w:r>
            <w:r w:rsidR="008817BB" w:rsidRPr="00033816">
              <w:noBreakHyphen/>
            </w:r>
            <w:r w:rsidR="00967410" w:rsidRPr="00033816">
              <w:t>focused therapeutic support.</w:t>
            </w:r>
          </w:p>
        </w:tc>
      </w:tr>
      <w:tr w:rsidR="00967410" w:rsidRPr="00033816" w14:paraId="4A9FBFA7" w14:textId="77777777" w:rsidTr="00C1120B">
        <w:trPr>
          <w:cantSplit/>
        </w:trPr>
        <w:tc>
          <w:tcPr>
            <w:tcW w:w="2518" w:type="dxa"/>
            <w:shd w:val="clear" w:color="auto" w:fill="auto"/>
          </w:tcPr>
          <w:p w14:paraId="36F857BF" w14:textId="77777777" w:rsidR="00967410" w:rsidRPr="00033816" w:rsidRDefault="00967410" w:rsidP="00770430">
            <w:pPr>
              <w:pStyle w:val="TableBodyText"/>
              <w:keepNext w:val="0"/>
              <w:keepLines w:val="0"/>
              <w:widowControl w:val="0"/>
              <w:spacing w:before="60" w:after="60"/>
              <w:ind w:left="0"/>
              <w:jc w:val="left"/>
              <w:rPr>
                <w:b/>
              </w:rPr>
            </w:pPr>
            <w:r w:rsidRPr="00033816">
              <w:rPr>
                <w:b/>
              </w:rPr>
              <w:t>Activity Group 6 (pathways)</w:t>
            </w:r>
          </w:p>
          <w:p w14:paraId="704B19B1" w14:textId="77777777" w:rsidR="00967410" w:rsidRPr="00033816" w:rsidRDefault="00967410" w:rsidP="00770430">
            <w:pPr>
              <w:pStyle w:val="TableBodyText"/>
              <w:keepNext w:val="0"/>
              <w:keepLines w:val="0"/>
              <w:widowControl w:val="0"/>
              <w:spacing w:before="60" w:after="60"/>
              <w:ind w:left="0"/>
              <w:jc w:val="left"/>
            </w:pPr>
            <w:r w:rsidRPr="00033816">
              <w:t>Seeking a</w:t>
            </w:r>
            <w:r w:rsidR="00031EDE" w:rsidRPr="00033816">
              <w:t>n</w:t>
            </w:r>
            <w:r w:rsidRPr="00033816">
              <w:t xml:space="preserve"> order</w:t>
            </w:r>
          </w:p>
        </w:tc>
        <w:tc>
          <w:tcPr>
            <w:tcW w:w="6271" w:type="dxa"/>
            <w:shd w:val="clear" w:color="auto" w:fill="auto"/>
          </w:tcPr>
          <w:p w14:paraId="0C259D4E" w14:textId="77777777" w:rsidR="00967410" w:rsidRPr="00033816" w:rsidRDefault="00967410" w:rsidP="00770430">
            <w:pPr>
              <w:pStyle w:val="TableBodyText"/>
              <w:jc w:val="left"/>
            </w:pPr>
            <w:r w:rsidRPr="00033816">
              <w:t>Activities that are typically associated with seeking orders</w:t>
            </w:r>
            <w:r w:rsidR="00031EDE" w:rsidRPr="00033816">
              <w:t xml:space="preserve"> (court orders or voluntary/administrative orders)</w:t>
            </w:r>
            <w:r w:rsidRPr="00033816">
              <w:t xml:space="preserve"> including:</w:t>
            </w:r>
          </w:p>
          <w:p w14:paraId="1A107282" w14:textId="77777777" w:rsidR="00967410" w:rsidRPr="00033816" w:rsidRDefault="00967410" w:rsidP="00770430">
            <w:pPr>
              <w:pStyle w:val="TableBullet"/>
            </w:pPr>
            <w:r w:rsidRPr="00033816">
              <w:t>preparing applications for the order</w:t>
            </w:r>
          </w:p>
          <w:p w14:paraId="0405AF69" w14:textId="77777777" w:rsidR="00967410" w:rsidRPr="00033816" w:rsidRDefault="00967410" w:rsidP="00770430">
            <w:pPr>
              <w:pStyle w:val="TableBullet"/>
            </w:pPr>
            <w:r w:rsidRPr="00033816">
              <w:t>preparing reports for the court</w:t>
            </w:r>
          </w:p>
          <w:p w14:paraId="6926FBE0" w14:textId="77777777" w:rsidR="00DE4CEE" w:rsidRPr="00033816" w:rsidRDefault="00967410" w:rsidP="00770430">
            <w:pPr>
              <w:pStyle w:val="TableBullet"/>
            </w:pPr>
            <w:r w:rsidRPr="00033816">
              <w:t>obtaining assessment</w:t>
            </w:r>
            <w:r w:rsidR="00DE4CEE" w:rsidRPr="00033816">
              <w:t xml:space="preserve"> reports to submit to the court</w:t>
            </w:r>
          </w:p>
          <w:p w14:paraId="1799AB13" w14:textId="77777777" w:rsidR="00DE4CEE" w:rsidRPr="00033816" w:rsidRDefault="00967410" w:rsidP="00770430">
            <w:pPr>
              <w:pStyle w:val="TableBullet"/>
            </w:pPr>
            <w:r w:rsidRPr="00033816">
              <w:t>informing parties to the court proceedings, including parents, the child, and lawyers</w:t>
            </w:r>
          </w:p>
          <w:p w14:paraId="7D44C48D" w14:textId="77777777" w:rsidR="00DE4CEE" w:rsidRPr="00033816" w:rsidRDefault="00967410" w:rsidP="00770430">
            <w:pPr>
              <w:pStyle w:val="TableBullet"/>
            </w:pPr>
            <w:r w:rsidRPr="00033816">
              <w:t>informing and briefing legal counsel or internal court groups</w:t>
            </w:r>
          </w:p>
          <w:p w14:paraId="52354E75" w14:textId="5B311300" w:rsidR="00DE4CEE" w:rsidRPr="00033816" w:rsidRDefault="00967410" w:rsidP="00770430">
            <w:pPr>
              <w:pStyle w:val="TableBullet"/>
            </w:pPr>
            <w:r w:rsidRPr="00033816">
              <w:t>going through internal pre</w:t>
            </w:r>
            <w:r w:rsidR="008817BB" w:rsidRPr="00033816">
              <w:noBreakHyphen/>
            </w:r>
            <w:r w:rsidRPr="00033816">
              <w:t>court review processes</w:t>
            </w:r>
          </w:p>
          <w:p w14:paraId="620FB472" w14:textId="77777777" w:rsidR="00DE4CEE" w:rsidRPr="00033816" w:rsidRDefault="00967410" w:rsidP="00770430">
            <w:pPr>
              <w:pStyle w:val="TableBullet"/>
            </w:pPr>
            <w:r w:rsidRPr="00033816">
              <w:t>attending court</w:t>
            </w:r>
          </w:p>
          <w:p w14:paraId="0F8A605E" w14:textId="77777777" w:rsidR="00967410" w:rsidRPr="00033816" w:rsidRDefault="00967410" w:rsidP="00770430">
            <w:pPr>
              <w:pStyle w:val="TableBullet"/>
            </w:pPr>
            <w:r w:rsidRPr="00033816">
              <w:t>conducting family group conferences.</w:t>
            </w:r>
          </w:p>
        </w:tc>
      </w:tr>
      <w:tr w:rsidR="00DE4CEE" w:rsidRPr="00033816" w14:paraId="362CBBBA" w14:textId="77777777" w:rsidTr="00C1120B">
        <w:tc>
          <w:tcPr>
            <w:tcW w:w="2518" w:type="dxa"/>
            <w:shd w:val="clear" w:color="auto" w:fill="auto"/>
          </w:tcPr>
          <w:p w14:paraId="6D884AC6" w14:textId="77777777" w:rsidR="00DE4CEE" w:rsidRPr="00033816" w:rsidRDefault="00DE4CEE" w:rsidP="00770430">
            <w:pPr>
              <w:pStyle w:val="TableBodyText"/>
              <w:keepNext w:val="0"/>
              <w:keepLines w:val="0"/>
              <w:widowControl w:val="0"/>
              <w:spacing w:before="60" w:after="60"/>
              <w:ind w:left="0"/>
              <w:jc w:val="left"/>
              <w:rPr>
                <w:b/>
              </w:rPr>
            </w:pPr>
            <w:r w:rsidRPr="00033816">
              <w:rPr>
                <w:b/>
              </w:rPr>
              <w:lastRenderedPageBreak/>
              <w:t>Activity Group 7 (pathways)</w:t>
            </w:r>
          </w:p>
          <w:p w14:paraId="20A9775B" w14:textId="77777777" w:rsidR="00DE4CEE" w:rsidRPr="00033816" w:rsidRDefault="00DE4CEE" w:rsidP="00770430">
            <w:pPr>
              <w:pStyle w:val="TableBodyText"/>
              <w:keepNext w:val="0"/>
              <w:keepLines w:val="0"/>
              <w:widowControl w:val="0"/>
              <w:spacing w:before="60" w:after="60"/>
              <w:ind w:left="0"/>
              <w:jc w:val="left"/>
            </w:pPr>
            <w:r w:rsidRPr="00033816">
              <w:t>Provision of protective intervention</w:t>
            </w:r>
            <w:r w:rsidR="00942B16" w:rsidRPr="00033816">
              <w:t>, support</w:t>
            </w:r>
            <w:r w:rsidRPr="00033816">
              <w:t xml:space="preserve"> and coordination services</w:t>
            </w:r>
            <w:r w:rsidR="00942B16" w:rsidRPr="00033816">
              <w:t xml:space="preserve"> for children on a</w:t>
            </w:r>
            <w:r w:rsidR="00031EDE" w:rsidRPr="00033816">
              <w:t>n</w:t>
            </w:r>
            <w:r w:rsidR="00942B16" w:rsidRPr="00033816">
              <w:t xml:space="preserve"> order</w:t>
            </w:r>
          </w:p>
        </w:tc>
        <w:tc>
          <w:tcPr>
            <w:tcW w:w="6271" w:type="dxa"/>
            <w:shd w:val="clear" w:color="auto" w:fill="auto"/>
          </w:tcPr>
          <w:p w14:paraId="2054A76A" w14:textId="58748B96" w:rsidR="00DE4CEE" w:rsidRPr="00033816" w:rsidRDefault="00DE4CEE" w:rsidP="00770430">
            <w:pPr>
              <w:pStyle w:val="TableBodyText"/>
              <w:jc w:val="left"/>
            </w:pPr>
            <w:r w:rsidRPr="00033816">
              <w:t>Activities that are typically associated with provision of longer</w:t>
            </w:r>
            <w:r w:rsidR="008817BB" w:rsidRPr="00033816">
              <w:noBreakHyphen/>
            </w:r>
            <w:r w:rsidRPr="00033816">
              <w:t>term protective intervention and coordination services including:</w:t>
            </w:r>
          </w:p>
          <w:p w14:paraId="6AA760AD" w14:textId="77777777" w:rsidR="007B13BA" w:rsidRPr="00033816" w:rsidRDefault="00DE4CEE" w:rsidP="00770430">
            <w:pPr>
              <w:pStyle w:val="TableBullet"/>
            </w:pPr>
            <w:r w:rsidRPr="00033816">
              <w:t>monitoring the child or young person’s progress and development (for example, social development and education progress) and undertaking activities that facilitate progress and development</w:t>
            </w:r>
          </w:p>
          <w:p w14:paraId="3234BE84" w14:textId="77777777" w:rsidR="007B13BA" w:rsidRPr="00033816" w:rsidRDefault="00DE4CEE" w:rsidP="00770430">
            <w:pPr>
              <w:pStyle w:val="TableBullet"/>
            </w:pPr>
            <w:r w:rsidRPr="00033816">
              <w:t>meeting any specific requirements of any court order</w:t>
            </w:r>
          </w:p>
          <w:p w14:paraId="2C7D967C" w14:textId="77777777" w:rsidR="007B13BA" w:rsidRPr="00033816" w:rsidRDefault="00DE4CEE" w:rsidP="00770430">
            <w:pPr>
              <w:pStyle w:val="TableBullet"/>
            </w:pPr>
            <w:r w:rsidRPr="00033816">
              <w:t>reviewing appropriateness of the order for the circumstances of the child or young person. This usually occurs at intervals established by the court or in legislation</w:t>
            </w:r>
          </w:p>
          <w:p w14:paraId="6902E64A" w14:textId="77777777" w:rsidR="007B13BA" w:rsidRPr="00033816" w:rsidRDefault="00DE4CEE" w:rsidP="00770430">
            <w:pPr>
              <w:pStyle w:val="TableBullet"/>
            </w:pPr>
            <w:r w:rsidRPr="00033816">
              <w:t>reporting back to court</w:t>
            </w:r>
          </w:p>
          <w:p w14:paraId="2F499D85" w14:textId="3000B76F" w:rsidR="00DE4CEE" w:rsidRPr="00033816" w:rsidRDefault="00DE4CEE" w:rsidP="00770430">
            <w:pPr>
              <w:pStyle w:val="TableBullet"/>
            </w:pPr>
            <w:r w:rsidRPr="00033816">
              <w:t>long term cases involving out</w:t>
            </w:r>
            <w:r w:rsidR="008817BB" w:rsidRPr="00033816">
              <w:noBreakHyphen/>
            </w:r>
            <w:r w:rsidRPr="00033816">
              <w:t>of</w:t>
            </w:r>
            <w:r w:rsidR="008817BB" w:rsidRPr="00033816">
              <w:noBreakHyphen/>
            </w:r>
            <w:r w:rsidRPr="00033816">
              <w:t>home care</w:t>
            </w:r>
            <w:r w:rsidR="007B13BA" w:rsidRPr="00033816">
              <w:t>.</w:t>
            </w:r>
          </w:p>
        </w:tc>
      </w:tr>
      <w:tr w:rsidR="007B13BA" w:rsidRPr="00033816" w14:paraId="563576E3" w14:textId="77777777" w:rsidTr="00C1120B">
        <w:tc>
          <w:tcPr>
            <w:tcW w:w="2518" w:type="dxa"/>
            <w:shd w:val="clear" w:color="auto" w:fill="auto"/>
          </w:tcPr>
          <w:p w14:paraId="6D2AA230" w14:textId="77777777" w:rsidR="007B13BA" w:rsidRPr="00033816" w:rsidRDefault="007B13BA" w:rsidP="00770430">
            <w:pPr>
              <w:pStyle w:val="TableBodyText"/>
              <w:keepNext w:val="0"/>
              <w:keepLines w:val="0"/>
              <w:widowControl w:val="0"/>
              <w:spacing w:before="60" w:after="60"/>
              <w:ind w:left="0"/>
              <w:jc w:val="left"/>
              <w:rPr>
                <w:b/>
              </w:rPr>
            </w:pPr>
            <w:r w:rsidRPr="00033816">
              <w:rPr>
                <w:b/>
              </w:rPr>
              <w:t>Activity Group 8 (pathways)</w:t>
            </w:r>
          </w:p>
          <w:p w14:paraId="179D008E" w14:textId="77777777" w:rsidR="007B13BA" w:rsidRPr="00033816" w:rsidRDefault="007B13BA" w:rsidP="00770430">
            <w:pPr>
              <w:pStyle w:val="TableBodyText"/>
              <w:keepNext w:val="0"/>
              <w:keepLines w:val="0"/>
              <w:widowControl w:val="0"/>
              <w:spacing w:before="60" w:after="60"/>
              <w:ind w:left="0"/>
              <w:jc w:val="left"/>
            </w:pPr>
            <w:r w:rsidRPr="00033816">
              <w:t>Provision of out</w:t>
            </w:r>
            <w:r w:rsidR="00CA6793" w:rsidRPr="00033816">
              <w:noBreakHyphen/>
            </w:r>
            <w:r w:rsidRPr="00033816">
              <w:t>of</w:t>
            </w:r>
            <w:r w:rsidR="00CA6793" w:rsidRPr="00033816">
              <w:noBreakHyphen/>
            </w:r>
            <w:r w:rsidRPr="00033816">
              <w:t>home care services</w:t>
            </w:r>
          </w:p>
        </w:tc>
        <w:tc>
          <w:tcPr>
            <w:tcW w:w="6271" w:type="dxa"/>
            <w:shd w:val="clear" w:color="auto" w:fill="auto"/>
          </w:tcPr>
          <w:p w14:paraId="7D2AF776" w14:textId="75FECE5E" w:rsidR="007B13BA" w:rsidRPr="00033816" w:rsidRDefault="007B13BA" w:rsidP="00770430">
            <w:pPr>
              <w:pStyle w:val="TableBodyText"/>
              <w:jc w:val="left"/>
            </w:pPr>
            <w:r w:rsidRPr="00033816">
              <w:t>Activities that are typically associated with provision of out</w:t>
            </w:r>
            <w:r w:rsidR="008817BB" w:rsidRPr="00033816">
              <w:noBreakHyphen/>
            </w:r>
            <w:r w:rsidRPr="00033816">
              <w:t>of</w:t>
            </w:r>
            <w:r w:rsidR="008817BB" w:rsidRPr="00033816">
              <w:noBreakHyphen/>
            </w:r>
            <w:r w:rsidRPr="00033816">
              <w:t>home care services including:</w:t>
            </w:r>
          </w:p>
          <w:p w14:paraId="74646CB0" w14:textId="77777777" w:rsidR="007B13BA" w:rsidRPr="00033816" w:rsidRDefault="007B13BA" w:rsidP="00770430">
            <w:pPr>
              <w:pStyle w:val="TableBullet"/>
            </w:pPr>
            <w:r w:rsidRPr="00033816">
              <w:t>finding suitable placement(s) for the child</w:t>
            </w:r>
          </w:p>
          <w:p w14:paraId="4BAAA1D5" w14:textId="77777777" w:rsidR="007B13BA" w:rsidRPr="00033816" w:rsidRDefault="007B13BA" w:rsidP="00770430">
            <w:pPr>
              <w:pStyle w:val="TableBullet"/>
            </w:pPr>
            <w:r w:rsidRPr="00033816">
              <w:t xml:space="preserve">assisting the child or young person to maintain contact with his/her family </w:t>
            </w:r>
          </w:p>
          <w:p w14:paraId="6C0F58FE" w14:textId="77777777" w:rsidR="007B13BA" w:rsidRPr="00033816" w:rsidRDefault="007B13BA" w:rsidP="00770430">
            <w:pPr>
              <w:pStyle w:val="TableBullet"/>
            </w:pPr>
            <w:r w:rsidRPr="00033816">
              <w:t xml:space="preserve">in some cases, staff payments for recruiting and training carers </w:t>
            </w:r>
          </w:p>
          <w:p w14:paraId="23D608B4" w14:textId="77777777" w:rsidR="007B13BA" w:rsidRPr="00033816" w:rsidRDefault="007B13BA" w:rsidP="00770430">
            <w:pPr>
              <w:pStyle w:val="TableBullet"/>
            </w:pPr>
            <w:r w:rsidRPr="00033816">
              <w:t>assessing suitability of potential kinship carers</w:t>
            </w:r>
          </w:p>
          <w:p w14:paraId="6518A1C1" w14:textId="77777777" w:rsidR="007B13BA" w:rsidRPr="00033816" w:rsidRDefault="007B13BA" w:rsidP="00770430">
            <w:pPr>
              <w:pStyle w:val="TableBullet"/>
            </w:pPr>
            <w:r w:rsidRPr="00033816">
              <w:t>assisting the child or young person to main</w:t>
            </w:r>
            <w:r w:rsidR="00B3662C" w:rsidRPr="00033816">
              <w:t>tain contact with their family</w:t>
            </w:r>
          </w:p>
          <w:p w14:paraId="7D024413" w14:textId="77777777" w:rsidR="007B13BA" w:rsidRPr="00033816" w:rsidRDefault="007B13BA" w:rsidP="00770430">
            <w:pPr>
              <w:pStyle w:val="TableBullet"/>
            </w:pPr>
            <w:r w:rsidRPr="00033816">
              <w:t>working to return the child home</w:t>
            </w:r>
          </w:p>
          <w:p w14:paraId="5AFA7A5F" w14:textId="77777777" w:rsidR="007B13BA" w:rsidRPr="00033816" w:rsidRDefault="007B13BA" w:rsidP="00770430">
            <w:pPr>
              <w:pStyle w:val="TableBullet"/>
            </w:pPr>
            <w:r w:rsidRPr="00033816">
              <w:t>assisting the child or young person as they prepare to leave care as t</w:t>
            </w:r>
            <w:r w:rsidR="002220E0" w:rsidRPr="00033816">
              <w:t>he end of the order approaches.</w:t>
            </w:r>
          </w:p>
        </w:tc>
      </w:tr>
      <w:tr w:rsidR="00E91B38" w:rsidRPr="00033816" w14:paraId="1B8B7780" w14:textId="77777777" w:rsidTr="00C1120B">
        <w:tc>
          <w:tcPr>
            <w:tcW w:w="2518" w:type="dxa"/>
            <w:shd w:val="clear" w:color="auto" w:fill="auto"/>
          </w:tcPr>
          <w:p w14:paraId="0B476C06" w14:textId="15DE0293" w:rsidR="00E91B38" w:rsidRPr="00033816" w:rsidRDefault="00E91B38" w:rsidP="00770430">
            <w:pPr>
              <w:pStyle w:val="TableBodyText"/>
              <w:keepNext w:val="0"/>
              <w:keepLines w:val="0"/>
              <w:widowControl w:val="0"/>
              <w:spacing w:before="60" w:after="60"/>
              <w:ind w:left="0"/>
              <w:jc w:val="left"/>
              <w:rPr>
                <w:b/>
              </w:rPr>
            </w:pPr>
            <w:r w:rsidRPr="00033816">
              <w:rPr>
                <w:b/>
              </w:rPr>
              <w:t>Care and protection orders</w:t>
            </w:r>
          </w:p>
        </w:tc>
        <w:tc>
          <w:tcPr>
            <w:tcW w:w="6271" w:type="dxa"/>
            <w:shd w:val="clear" w:color="auto" w:fill="auto"/>
          </w:tcPr>
          <w:p w14:paraId="3B99F46E" w14:textId="77777777" w:rsidR="00E91B38" w:rsidRPr="00033816" w:rsidRDefault="00E91B38" w:rsidP="00E91B38">
            <w:pPr>
              <w:pStyle w:val="TableBodyText"/>
              <w:jc w:val="left"/>
            </w:pPr>
            <w:r w:rsidRPr="00033816">
              <w:t xml:space="preserve">Care and protection orders are legal orders or arrangements which give child protection departments some responsibility for a child’s welfare. The scope of departmental involvement mandated by a care and protection order is dependent on the type of order, and can include: </w:t>
            </w:r>
          </w:p>
          <w:p w14:paraId="1C42EE90" w14:textId="77777777" w:rsidR="00E91B38" w:rsidRPr="00033816" w:rsidRDefault="00E91B38" w:rsidP="00E91B38">
            <w:pPr>
              <w:pStyle w:val="TableBullet"/>
            </w:pPr>
            <w:r w:rsidRPr="00033816">
              <w:t>responsibility for overseeing the actions of the person or authority caring for the child</w:t>
            </w:r>
          </w:p>
          <w:p w14:paraId="3C87FC3B" w14:textId="77777777" w:rsidR="00E91B38" w:rsidRDefault="00E91B38" w:rsidP="00E91B38">
            <w:pPr>
              <w:pStyle w:val="TableBullet"/>
            </w:pPr>
            <w:r w:rsidRPr="00033816">
              <w:t>reporting or giving consideration to the child’s welfare (for example, regarding the child’s education, health, religion, accommodation and financial matters).</w:t>
            </w:r>
          </w:p>
          <w:p w14:paraId="213A8FD3" w14:textId="77777777" w:rsidR="00E91B38" w:rsidRPr="00033816" w:rsidRDefault="00E91B38" w:rsidP="00E91B38">
            <w:pPr>
              <w:pStyle w:val="TableBodyText"/>
              <w:jc w:val="left"/>
            </w:pPr>
            <w:r w:rsidRPr="00033816">
              <w:t>Types of care and protection orders:</w:t>
            </w:r>
          </w:p>
          <w:p w14:paraId="2B6CC751" w14:textId="77777777" w:rsidR="00E91B38" w:rsidRDefault="00E91B38" w:rsidP="00E91B38">
            <w:pPr>
              <w:pStyle w:val="TableBullet"/>
            </w:pPr>
            <w:r w:rsidRPr="00033816">
              <w:t>Finalised guardianship or custody orders – involve the transfer of legal guardianship to the relevant state or territory department or NGO. These orders involve considerable intervention in a child’s life and that of his or her family, and are sought only as a last resort. Guardianship orders convey responsibility for the welfare of a child to a guardian. Guardianship orders do not necessarily grant the right to the daily care and control of a child, or the right to make decisions about the daily care and control of a child, which are granted under custody orders. Custody orders generally refer to orders that place children in the custody of the state or territory, or department responsible for child protection or NGO. These orders usually involve the child protection department being responsible for the daily care and requirements of a child, while his or her parent retains legal guardianship. Custody alone does not bestow any responsibility regarding the long</w:t>
            </w:r>
            <w:r w:rsidRPr="00033816">
              <w:noBreakHyphen/>
              <w:t>term welfare of the child.</w:t>
            </w:r>
          </w:p>
          <w:p w14:paraId="4E07C7DE" w14:textId="08CA0D5A" w:rsidR="00E91B38" w:rsidRPr="00033816" w:rsidRDefault="00E91B38" w:rsidP="00E91B38">
            <w:pPr>
              <w:pStyle w:val="TableBullet"/>
            </w:pPr>
            <w:r w:rsidRPr="00033816">
              <w:t>Finalised third party parental responsibility orders – transfer all duties, powers, responsibilities and authority parents are entitled to by law, to a nominated person(s) considered appropriate by the court. The nominated person may be an individual such as a relative or an officer of a state or territory department. Third party parental responsibility may be ordered when a parent is unable to care for a child. ‘Permanent care orders’ are an example of a third party parental responsibility order and involve the transfer of guardianship to a third party carer. It can also be applied to the achievement of a stable arrangement under a long</w:t>
            </w:r>
            <w:r w:rsidRPr="00033816">
              <w:noBreakHyphen/>
              <w:t>term guardianship order to 18 years without guardianship being transferred to a third party. These orders are only applicable in some jurisdictions.</w:t>
            </w:r>
          </w:p>
        </w:tc>
      </w:tr>
      <w:tr w:rsidR="00A30A8D" w:rsidRPr="00033816" w14:paraId="30AD02AC" w14:textId="77777777" w:rsidTr="00C1120B">
        <w:tc>
          <w:tcPr>
            <w:tcW w:w="2518" w:type="dxa"/>
            <w:shd w:val="clear" w:color="auto" w:fill="auto"/>
          </w:tcPr>
          <w:p w14:paraId="5C1EBD47" w14:textId="4A6EFAC7" w:rsidR="00A30A8D" w:rsidRPr="00033816" w:rsidRDefault="00A30A8D" w:rsidP="00770430">
            <w:pPr>
              <w:pStyle w:val="TableBodyText"/>
              <w:keepNext w:val="0"/>
              <w:keepLines w:val="0"/>
              <w:widowControl w:val="0"/>
              <w:spacing w:before="60" w:after="60"/>
              <w:ind w:left="0"/>
              <w:jc w:val="left"/>
              <w:rPr>
                <w:b/>
              </w:rPr>
            </w:pPr>
          </w:p>
        </w:tc>
        <w:tc>
          <w:tcPr>
            <w:tcW w:w="6271" w:type="dxa"/>
            <w:shd w:val="clear" w:color="auto" w:fill="auto"/>
          </w:tcPr>
          <w:p w14:paraId="5CA9CA02" w14:textId="77777777" w:rsidR="00730BC6" w:rsidRPr="00033816" w:rsidRDefault="00730BC6" w:rsidP="00770430">
            <w:pPr>
              <w:pStyle w:val="TableBullet"/>
            </w:pPr>
            <w:r w:rsidRPr="00033816">
              <w:t xml:space="preserve">Finalised supervisory orders – give the department </w:t>
            </w:r>
            <w:r w:rsidR="00074E81" w:rsidRPr="00033816">
              <w:t>responsible</w:t>
            </w:r>
            <w:r w:rsidRPr="00033816">
              <w:t xml:space="preserve"> for child protection some responsibility for a child’s welfare. Under these orders, the department supervises and/or directs the level and type of care that is to be provided to the child. Children under supervisory orders are generally under the responsibility of their parents and the guardianship or custody of the child is unaffected. Finalised supervisory orders are therefore less </w:t>
            </w:r>
            <w:r w:rsidR="00F90184" w:rsidRPr="00033816">
              <w:t>interventionist</w:t>
            </w:r>
            <w:r w:rsidRPr="00033816">
              <w:t xml:space="preserve"> than finalised guardianship orders but require the child’s parent or guardian to meet specified conditions, such as medical care of the child.</w:t>
            </w:r>
          </w:p>
          <w:p w14:paraId="1347C33F" w14:textId="77777777" w:rsidR="00F46AEB" w:rsidRPr="00033816" w:rsidRDefault="00F46AEB" w:rsidP="00770430">
            <w:pPr>
              <w:pStyle w:val="TableBullet"/>
            </w:pPr>
            <w:r w:rsidRPr="00033816">
              <w:t>Interim and temporary orders – generally cover the provision of a limited period of supervision and/or placement of a child. Parental responsibility under these orders may reside with the parents or with the department responsible for child protection. Orders that are not finalised (such as an application to a court for a care and protection order) are also included in this category, unless another finalised order is in place.</w:t>
            </w:r>
          </w:p>
          <w:p w14:paraId="431A033B" w14:textId="77777777" w:rsidR="00F46AEB" w:rsidRPr="00033816" w:rsidRDefault="00F46AEB" w:rsidP="00770430">
            <w:pPr>
              <w:pStyle w:val="TableBullet"/>
            </w:pPr>
            <w:r w:rsidRPr="00033816">
              <w:t>Administrative arrangements – agreements with child protection departments that have the same effect as a court order in transferring custody or guardianship. These arrangements can also allow a child to be placed in out</w:t>
            </w:r>
            <w:r w:rsidRPr="00033816">
              <w:noBreakHyphen/>
              <w:t>of</w:t>
            </w:r>
            <w:r w:rsidRPr="00033816">
              <w:noBreakHyphen/>
              <w:t xml:space="preserve">home care without going through court. </w:t>
            </w:r>
          </w:p>
          <w:p w14:paraId="5AFCD610" w14:textId="57FAC2E0" w:rsidR="00A30A8D" w:rsidRPr="00033816" w:rsidRDefault="00F46AEB" w:rsidP="00770430">
            <w:pPr>
              <w:pStyle w:val="TableBodyText"/>
              <w:ind w:left="0"/>
              <w:jc w:val="left"/>
            </w:pPr>
            <w:r w:rsidRPr="00033816">
              <w:t>Children are counted only once, even if they are on more than one care and protection order.</w:t>
            </w:r>
          </w:p>
        </w:tc>
      </w:tr>
      <w:tr w:rsidR="00A30A8D" w:rsidRPr="00033816" w14:paraId="3156A573" w14:textId="77777777" w:rsidTr="00C1120B">
        <w:tc>
          <w:tcPr>
            <w:tcW w:w="2518" w:type="dxa"/>
            <w:shd w:val="clear" w:color="auto" w:fill="auto"/>
          </w:tcPr>
          <w:p w14:paraId="784C58AC" w14:textId="77777777" w:rsidR="00A30A8D" w:rsidRPr="00033816" w:rsidRDefault="00CA7787" w:rsidP="00770430">
            <w:pPr>
              <w:pStyle w:val="TableBodyText"/>
              <w:keepNext w:val="0"/>
              <w:keepLines w:val="0"/>
              <w:widowControl w:val="0"/>
              <w:spacing w:before="60" w:after="60"/>
              <w:ind w:left="0"/>
              <w:jc w:val="left"/>
              <w:rPr>
                <w:b/>
              </w:rPr>
            </w:pPr>
            <w:r w:rsidRPr="00033816">
              <w:rPr>
                <w:b/>
              </w:rPr>
              <w:t>Child</w:t>
            </w:r>
          </w:p>
        </w:tc>
        <w:tc>
          <w:tcPr>
            <w:tcW w:w="6271" w:type="dxa"/>
            <w:shd w:val="clear" w:color="auto" w:fill="auto"/>
          </w:tcPr>
          <w:p w14:paraId="23F2B6AC" w14:textId="77777777" w:rsidR="00A30A8D" w:rsidRPr="00033816" w:rsidRDefault="00CA7787" w:rsidP="00770430">
            <w:pPr>
              <w:pStyle w:val="TableBodyText"/>
              <w:jc w:val="left"/>
            </w:pPr>
            <w:r w:rsidRPr="00033816">
              <w:t>A person aged 0–17 years</w:t>
            </w:r>
            <w:r w:rsidR="00D17B47" w:rsidRPr="00033816">
              <w:t xml:space="preserve"> (</w:t>
            </w:r>
            <w:r w:rsidR="006B768F" w:rsidRPr="00033816">
              <w:t>including, at times,</w:t>
            </w:r>
            <w:r w:rsidR="00D17B47" w:rsidRPr="00033816">
              <w:t xml:space="preserve"> unborn children)</w:t>
            </w:r>
            <w:r w:rsidRPr="00033816">
              <w:t>.</w:t>
            </w:r>
          </w:p>
        </w:tc>
      </w:tr>
      <w:tr w:rsidR="000E3472" w:rsidRPr="00033816" w14:paraId="0D00C7E8" w14:textId="77777777" w:rsidTr="00C1120B">
        <w:tc>
          <w:tcPr>
            <w:tcW w:w="2518" w:type="dxa"/>
            <w:shd w:val="clear" w:color="auto" w:fill="auto"/>
          </w:tcPr>
          <w:p w14:paraId="6415F2C2" w14:textId="3E04A79E" w:rsidR="000E3472" w:rsidRPr="00033816" w:rsidRDefault="000E3472" w:rsidP="00770430">
            <w:pPr>
              <w:pStyle w:val="TableBodyText"/>
              <w:keepNext w:val="0"/>
              <w:keepLines w:val="0"/>
              <w:widowControl w:val="0"/>
              <w:spacing w:before="60" w:after="60"/>
              <w:ind w:left="0"/>
              <w:jc w:val="left"/>
              <w:rPr>
                <w:b/>
              </w:rPr>
            </w:pPr>
            <w:r w:rsidRPr="00033816">
              <w:rPr>
                <w:b/>
              </w:rPr>
              <w:t>Children in out</w:t>
            </w:r>
            <w:r w:rsidRPr="00033816">
              <w:rPr>
                <w:b/>
              </w:rPr>
              <w:noBreakHyphen/>
              <w:t>of</w:t>
            </w:r>
            <w:r w:rsidRPr="00033816">
              <w:rPr>
                <w:b/>
              </w:rPr>
              <w:noBreakHyphen/>
              <w:t>home care during the year</w:t>
            </w:r>
          </w:p>
        </w:tc>
        <w:tc>
          <w:tcPr>
            <w:tcW w:w="6271" w:type="dxa"/>
            <w:shd w:val="clear" w:color="auto" w:fill="auto"/>
          </w:tcPr>
          <w:p w14:paraId="390EEF58" w14:textId="1D0C6332" w:rsidR="000E3472" w:rsidRPr="00033816" w:rsidRDefault="000E3472" w:rsidP="00770430">
            <w:pPr>
              <w:pStyle w:val="TableBodyText"/>
              <w:jc w:val="left"/>
            </w:pPr>
            <w:r w:rsidRPr="00033816">
              <w:t>The total number of children who were in at least one out</w:t>
            </w:r>
            <w:r w:rsidRPr="00033816">
              <w:noBreakHyphen/>
              <w:t>of</w:t>
            </w:r>
            <w:r w:rsidRPr="00033816">
              <w:noBreakHyphen/>
              <w:t>home care placement at any time during the year. A child who is in more than one placement is counted only once.</w:t>
            </w:r>
          </w:p>
        </w:tc>
      </w:tr>
      <w:tr w:rsidR="000E3472" w:rsidRPr="00033816" w14:paraId="5E24DB38" w14:textId="77777777" w:rsidTr="00C1120B">
        <w:tc>
          <w:tcPr>
            <w:tcW w:w="2518" w:type="dxa"/>
            <w:shd w:val="clear" w:color="auto" w:fill="auto"/>
          </w:tcPr>
          <w:p w14:paraId="7201C6F3" w14:textId="00219D64" w:rsidR="000E3472" w:rsidRPr="00033816" w:rsidRDefault="000E3472" w:rsidP="00770430">
            <w:pPr>
              <w:pStyle w:val="TableBodyText"/>
              <w:keepNext w:val="0"/>
              <w:keepLines w:val="0"/>
              <w:widowControl w:val="0"/>
              <w:spacing w:before="60" w:after="60"/>
              <w:ind w:left="0"/>
              <w:jc w:val="left"/>
              <w:rPr>
                <w:b/>
              </w:rPr>
            </w:pPr>
            <w:r w:rsidRPr="00033816">
              <w:rPr>
                <w:b/>
              </w:rPr>
              <w:t>Exited out</w:t>
            </w:r>
            <w:r w:rsidRPr="00033816">
              <w:rPr>
                <w:b/>
              </w:rPr>
              <w:noBreakHyphen/>
              <w:t>of</w:t>
            </w:r>
            <w:r w:rsidRPr="00033816">
              <w:rPr>
                <w:b/>
              </w:rPr>
              <w:noBreakHyphen/>
              <w:t>home care</w:t>
            </w:r>
          </w:p>
        </w:tc>
        <w:tc>
          <w:tcPr>
            <w:tcW w:w="6271" w:type="dxa"/>
            <w:shd w:val="clear" w:color="auto" w:fill="auto"/>
          </w:tcPr>
          <w:p w14:paraId="493A56E8" w14:textId="203674DB" w:rsidR="000E3472" w:rsidRPr="00033816" w:rsidRDefault="000E3472" w:rsidP="00770430">
            <w:pPr>
              <w:pStyle w:val="TableBodyText"/>
              <w:jc w:val="left"/>
            </w:pPr>
            <w:r w:rsidRPr="00033816">
              <w:t>Where a child leaves a government</w:t>
            </w:r>
            <w:r w:rsidRPr="00033816">
              <w:noBreakHyphen/>
              <w:t>funded placement for more than 60 days. This does not necessarily mean that a child has returned to the care of his or her family.</w:t>
            </w:r>
          </w:p>
        </w:tc>
      </w:tr>
      <w:tr w:rsidR="000E3472" w:rsidRPr="00033816" w14:paraId="32D6FDC6" w14:textId="77777777" w:rsidTr="00C1120B">
        <w:tc>
          <w:tcPr>
            <w:tcW w:w="2518" w:type="dxa"/>
            <w:shd w:val="clear" w:color="auto" w:fill="auto"/>
          </w:tcPr>
          <w:p w14:paraId="46FAE47C" w14:textId="46EE4D9D" w:rsidR="000E3472" w:rsidRPr="00033816" w:rsidRDefault="000E3472" w:rsidP="00770430">
            <w:pPr>
              <w:pStyle w:val="TableBodyText"/>
              <w:keepNext w:val="0"/>
              <w:keepLines w:val="0"/>
              <w:widowControl w:val="0"/>
              <w:spacing w:before="60" w:after="60"/>
              <w:ind w:left="0"/>
              <w:jc w:val="left"/>
              <w:rPr>
                <w:b/>
              </w:rPr>
            </w:pPr>
            <w:r w:rsidRPr="00033816">
              <w:rPr>
                <w:b/>
              </w:rPr>
              <w:t>Family based care</w:t>
            </w:r>
          </w:p>
        </w:tc>
        <w:tc>
          <w:tcPr>
            <w:tcW w:w="6271" w:type="dxa"/>
            <w:shd w:val="clear" w:color="auto" w:fill="auto"/>
          </w:tcPr>
          <w:p w14:paraId="221C4D87" w14:textId="70E9346C" w:rsidR="000E3472" w:rsidRPr="00033816" w:rsidRDefault="000E3472" w:rsidP="00770430">
            <w:pPr>
              <w:pStyle w:val="TableBodyText"/>
              <w:jc w:val="left"/>
            </w:pPr>
            <w:r w:rsidRPr="00033816">
              <w:t>Home</w:t>
            </w:r>
            <w:r w:rsidRPr="00033816">
              <w:noBreakHyphen/>
              <w:t>based care (see ‘Out</w:t>
            </w:r>
            <w:r w:rsidRPr="00033816">
              <w:noBreakHyphen/>
              <w:t>of</w:t>
            </w:r>
            <w:r w:rsidRPr="00033816">
              <w:noBreakHyphen/>
              <w:t>home care’).</w:t>
            </w:r>
          </w:p>
        </w:tc>
      </w:tr>
      <w:tr w:rsidR="000E3472" w:rsidRPr="00033816" w14:paraId="54B04296" w14:textId="77777777" w:rsidTr="00C1120B">
        <w:trPr>
          <w:cantSplit/>
        </w:trPr>
        <w:tc>
          <w:tcPr>
            <w:tcW w:w="2518" w:type="dxa"/>
            <w:shd w:val="clear" w:color="auto" w:fill="auto"/>
          </w:tcPr>
          <w:p w14:paraId="74AD719C" w14:textId="36937008" w:rsidR="000E3472" w:rsidRPr="00033816" w:rsidRDefault="000E3472" w:rsidP="00770430">
            <w:pPr>
              <w:pStyle w:val="TableBodyText"/>
              <w:keepNext w:val="0"/>
              <w:keepLines w:val="0"/>
              <w:widowControl w:val="0"/>
              <w:spacing w:before="60" w:after="60"/>
              <w:ind w:left="0"/>
              <w:jc w:val="left"/>
              <w:rPr>
                <w:b/>
              </w:rPr>
            </w:pPr>
            <w:r w:rsidRPr="00033816">
              <w:rPr>
                <w:b/>
              </w:rPr>
              <w:t>Family support services</w:t>
            </w:r>
          </w:p>
        </w:tc>
        <w:tc>
          <w:tcPr>
            <w:tcW w:w="6271" w:type="dxa"/>
            <w:shd w:val="clear" w:color="auto" w:fill="auto"/>
          </w:tcPr>
          <w:p w14:paraId="493994A7" w14:textId="77777777" w:rsidR="000E3472" w:rsidRPr="00033816" w:rsidRDefault="000E3472" w:rsidP="00770430">
            <w:pPr>
              <w:pStyle w:val="TableBodyText"/>
              <w:jc w:val="left"/>
            </w:pPr>
            <w:r w:rsidRPr="00033816">
              <w:t>Activities associated with the provision of lower level (that is, non</w:t>
            </w:r>
            <w:r w:rsidRPr="00033816">
              <w:noBreakHyphen/>
              <w:t>intensive) services to families in need, including identification and assessment of family needs, provision of support and diversionary services, some counselling and active linking and referrals to support networks. These types of services are funded by government but can be delivered by a child protection agency or a non</w:t>
            </w:r>
            <w:r w:rsidRPr="00033816">
              <w:noBreakHyphen/>
              <w:t xml:space="preserve">government organisation. </w:t>
            </w:r>
          </w:p>
          <w:p w14:paraId="3CEC6A21" w14:textId="4108A4BB" w:rsidR="000E3472" w:rsidRPr="00033816" w:rsidRDefault="000E3472" w:rsidP="00770430">
            <w:pPr>
              <w:pStyle w:val="TableBodyText"/>
              <w:jc w:val="left"/>
            </w:pPr>
            <w:r w:rsidRPr="00033816">
              <w:t>These services are typically delivered via voluntary arrangements (as distinct from court orders) between the relevant agency and family. This suite of services does not typically involve planned follow</w:t>
            </w:r>
            <w:r w:rsidRPr="00033816">
              <w:noBreakHyphen/>
              <w:t xml:space="preserve">up by the applicable child protection agency after initial service referral or delivery. </w:t>
            </w:r>
          </w:p>
        </w:tc>
      </w:tr>
      <w:tr w:rsidR="000E3472" w:rsidRPr="00033816" w14:paraId="61716253" w14:textId="77777777" w:rsidTr="00C1120B">
        <w:tc>
          <w:tcPr>
            <w:tcW w:w="2518" w:type="dxa"/>
            <w:shd w:val="clear" w:color="auto" w:fill="auto"/>
          </w:tcPr>
          <w:p w14:paraId="08F76317" w14:textId="102C93F0" w:rsidR="000E3472" w:rsidRPr="00033816" w:rsidRDefault="000E3472" w:rsidP="00770430">
            <w:pPr>
              <w:pStyle w:val="TableBodyText"/>
              <w:keepNext w:val="0"/>
              <w:keepLines w:val="0"/>
              <w:widowControl w:val="0"/>
              <w:spacing w:before="60" w:after="60"/>
              <w:ind w:left="0"/>
              <w:jc w:val="left"/>
              <w:rPr>
                <w:b/>
              </w:rPr>
            </w:pPr>
            <w:r w:rsidRPr="00033816">
              <w:rPr>
                <w:b/>
              </w:rPr>
              <w:t>Guardian</w:t>
            </w:r>
          </w:p>
        </w:tc>
        <w:tc>
          <w:tcPr>
            <w:tcW w:w="6271" w:type="dxa"/>
            <w:shd w:val="clear" w:color="auto" w:fill="auto"/>
          </w:tcPr>
          <w:p w14:paraId="15A120BB" w14:textId="7F00A822" w:rsidR="000E3472" w:rsidRPr="00033816" w:rsidRDefault="000E3472" w:rsidP="00770430">
            <w:pPr>
              <w:pStyle w:val="TableBodyText"/>
              <w:jc w:val="left"/>
            </w:pPr>
            <w:r w:rsidRPr="00033816">
              <w:t>Any person who has the legal and ongoing care and responsibility for the protection of a child.</w:t>
            </w:r>
          </w:p>
        </w:tc>
      </w:tr>
      <w:tr w:rsidR="000E3472" w:rsidRPr="00033816" w14:paraId="71424AC7" w14:textId="77777777" w:rsidTr="00C1120B">
        <w:tc>
          <w:tcPr>
            <w:tcW w:w="2518" w:type="dxa"/>
            <w:shd w:val="clear" w:color="auto" w:fill="auto"/>
          </w:tcPr>
          <w:p w14:paraId="55D5F36D" w14:textId="28ABDD8C" w:rsidR="000E3472" w:rsidRPr="00033816" w:rsidRDefault="000E3472" w:rsidP="00770430">
            <w:pPr>
              <w:pStyle w:val="TableBodyText"/>
              <w:keepNext w:val="0"/>
              <w:keepLines w:val="0"/>
              <w:widowControl w:val="0"/>
              <w:spacing w:before="60" w:after="60"/>
              <w:ind w:left="0"/>
              <w:jc w:val="left"/>
              <w:rPr>
                <w:b/>
              </w:rPr>
            </w:pPr>
            <w:r w:rsidRPr="00033816">
              <w:rPr>
                <w:b/>
              </w:rPr>
              <w:t>Intensive family support services</w:t>
            </w:r>
          </w:p>
        </w:tc>
        <w:tc>
          <w:tcPr>
            <w:tcW w:w="6271" w:type="dxa"/>
            <w:shd w:val="clear" w:color="auto" w:fill="auto"/>
          </w:tcPr>
          <w:p w14:paraId="2BB07F7E" w14:textId="77777777" w:rsidR="000E3472" w:rsidRPr="00033816" w:rsidRDefault="000E3472" w:rsidP="00770430">
            <w:pPr>
              <w:pStyle w:val="TableBodyText"/>
              <w:jc w:val="left"/>
            </w:pPr>
            <w:r w:rsidRPr="00033816">
              <w:t>Specialist services that aim to prevent the imminent separation of children from their primary caregivers as a result of child protection concerns and to reunify families where separation has already occurred. These services:</w:t>
            </w:r>
          </w:p>
          <w:p w14:paraId="2D17C583" w14:textId="77777777" w:rsidR="000E3472" w:rsidRPr="00033816" w:rsidRDefault="000E3472" w:rsidP="00770430">
            <w:pPr>
              <w:pStyle w:val="TableBullet"/>
            </w:pPr>
            <w:r w:rsidRPr="00033816">
              <w:t>are funded or established explicitly to prevent the separation of or to reunify families</w:t>
            </w:r>
          </w:p>
          <w:p w14:paraId="04010A09" w14:textId="77777777" w:rsidR="000E3472" w:rsidRPr="00033816" w:rsidRDefault="000E3472" w:rsidP="00770430">
            <w:pPr>
              <w:pStyle w:val="TableBullet"/>
            </w:pPr>
            <w:r w:rsidRPr="00033816">
              <w:t xml:space="preserve">provide a range of services as part of an integrated strategy focusing on improving family functioning and skills, rather than providing a single type of service </w:t>
            </w:r>
          </w:p>
          <w:p w14:paraId="36EAADC6" w14:textId="77777777" w:rsidR="000E3472" w:rsidRPr="00033816" w:rsidRDefault="000E3472" w:rsidP="00770430">
            <w:pPr>
              <w:pStyle w:val="TableBullet"/>
            </w:pPr>
            <w:r w:rsidRPr="00033816">
              <w:t>are intensive in nature, averaging at least four hours of service provision per week for a specified short term period (usually less than six months).</w:t>
            </w:r>
          </w:p>
          <w:p w14:paraId="0BE87E4F" w14:textId="641948BD" w:rsidR="000E3472" w:rsidRPr="00033816" w:rsidRDefault="000E3472" w:rsidP="00770430">
            <w:pPr>
              <w:pStyle w:val="TableBodyText"/>
              <w:jc w:val="left"/>
            </w:pPr>
            <w:r w:rsidRPr="00033816">
              <w:t>Families are generally referred to these services by the statutory child protection agency and will have been identified through the child protection process. Intensive family support services may use some or all of the following strategies: assessment and case planning; parent education and skill development; individual and family counselling; drug and alcohol counselling and domestic and family violence support; anger management; respite and emergency care; practical and financial support; mediation, brokerage and referral services; and training in problem solving.</w:t>
            </w:r>
          </w:p>
        </w:tc>
      </w:tr>
      <w:tr w:rsidR="000E3472" w:rsidRPr="00033816" w14:paraId="1EC225A0" w14:textId="77777777" w:rsidTr="00C1120B">
        <w:tc>
          <w:tcPr>
            <w:tcW w:w="2518" w:type="dxa"/>
            <w:shd w:val="clear" w:color="auto" w:fill="auto"/>
          </w:tcPr>
          <w:p w14:paraId="173BA955" w14:textId="11D4CAB3" w:rsidR="000E3472" w:rsidRPr="00033816" w:rsidRDefault="000E3472" w:rsidP="00770430">
            <w:pPr>
              <w:pStyle w:val="TableBodyText"/>
              <w:keepNext w:val="0"/>
              <w:keepLines w:val="0"/>
              <w:widowControl w:val="0"/>
              <w:spacing w:before="60" w:after="60"/>
              <w:ind w:left="0"/>
              <w:jc w:val="left"/>
              <w:rPr>
                <w:b/>
              </w:rPr>
            </w:pPr>
            <w:r w:rsidRPr="00033816">
              <w:rPr>
                <w:b/>
              </w:rPr>
              <w:lastRenderedPageBreak/>
              <w:t>Investigation</w:t>
            </w:r>
          </w:p>
        </w:tc>
        <w:tc>
          <w:tcPr>
            <w:tcW w:w="6271" w:type="dxa"/>
            <w:shd w:val="clear" w:color="auto" w:fill="auto"/>
          </w:tcPr>
          <w:p w14:paraId="24949A0C" w14:textId="77777777" w:rsidR="000E3472" w:rsidRPr="00033816" w:rsidRDefault="000E3472" w:rsidP="00770430">
            <w:pPr>
              <w:pStyle w:val="TableBodyText"/>
              <w:jc w:val="left"/>
            </w:pPr>
            <w:r w:rsidRPr="00033816">
              <w:t xml:space="preserve">An investigation is the process whereby the relevant department obtains more detailed information about a child who is the subject of a notification and makes an assessment about the risk of abuse or neglect to the child, and his or her protective needs. Not all notifications are investigated in all jurisdictions. For example, if a determination is made that a child and family are better served by family support services rather than a child protection response, children and families might be referred to diversionary and support services. Once it has been decided that an investigation is required, the investigation process is similar across jurisdictions. </w:t>
            </w:r>
          </w:p>
          <w:p w14:paraId="66DBF13A" w14:textId="73E686E3" w:rsidR="000E3472" w:rsidRPr="00033816" w:rsidRDefault="000E3472" w:rsidP="00770430">
            <w:pPr>
              <w:pStyle w:val="TableBodyText"/>
              <w:jc w:val="left"/>
            </w:pPr>
            <w:r w:rsidRPr="00033816">
              <w:t>The department responsible for child protection may obtain further information about the child and his or her family by checking information systems for any previous history, undertaking discussions with agencies and individuals, interviewing/sighting the child and/or interviewing the caregivers/parents. At a minimum, the child is sighted whenever practicable, and the child’s circumstances and needs are assessed. Where possible, an investigation determines whether a notification is substantiated or not substantiated.</w:t>
            </w:r>
          </w:p>
        </w:tc>
      </w:tr>
      <w:tr w:rsidR="000E3472" w:rsidRPr="00033816" w14:paraId="5B028772" w14:textId="77777777" w:rsidTr="00C1120B">
        <w:tc>
          <w:tcPr>
            <w:tcW w:w="2518" w:type="dxa"/>
            <w:shd w:val="clear" w:color="auto" w:fill="auto"/>
          </w:tcPr>
          <w:p w14:paraId="192A1FA7" w14:textId="1FC32740" w:rsidR="000E3472" w:rsidRPr="00033816" w:rsidRDefault="000E3472" w:rsidP="00770430">
            <w:pPr>
              <w:pStyle w:val="TableBodyText"/>
              <w:keepNext w:val="0"/>
              <w:keepLines w:val="0"/>
              <w:widowControl w:val="0"/>
              <w:spacing w:before="60" w:after="60"/>
              <w:ind w:left="0"/>
              <w:jc w:val="left"/>
              <w:rPr>
                <w:b/>
              </w:rPr>
            </w:pPr>
            <w:r w:rsidRPr="00033816">
              <w:rPr>
                <w:b/>
              </w:rPr>
              <w:t>Investigation finalised</w:t>
            </w:r>
          </w:p>
        </w:tc>
        <w:tc>
          <w:tcPr>
            <w:tcW w:w="6271" w:type="dxa"/>
            <w:shd w:val="clear" w:color="auto" w:fill="auto"/>
          </w:tcPr>
          <w:p w14:paraId="0F3E1043" w14:textId="61DA08DB" w:rsidR="000E3472" w:rsidRPr="00033816" w:rsidRDefault="000E3472" w:rsidP="00770430">
            <w:pPr>
              <w:pStyle w:val="TableBodyText"/>
              <w:jc w:val="left"/>
            </w:pPr>
            <w:r w:rsidRPr="00033816">
              <w:t>Where an investigation is completed and an outcome of ‘substantiated’ or ‘not substantiated’ is recorded by 31 August.</w:t>
            </w:r>
          </w:p>
        </w:tc>
      </w:tr>
      <w:tr w:rsidR="000E3472" w:rsidRPr="00033816" w14:paraId="3491D20E" w14:textId="77777777" w:rsidTr="00C1120B">
        <w:tc>
          <w:tcPr>
            <w:tcW w:w="2518" w:type="dxa"/>
            <w:shd w:val="clear" w:color="auto" w:fill="auto"/>
          </w:tcPr>
          <w:p w14:paraId="0B131540" w14:textId="09B4191F" w:rsidR="000E3472" w:rsidRPr="00033816" w:rsidRDefault="000E3472" w:rsidP="00770430">
            <w:pPr>
              <w:pStyle w:val="TableBodyText"/>
              <w:keepNext w:val="0"/>
              <w:keepLines w:val="0"/>
              <w:widowControl w:val="0"/>
              <w:spacing w:before="60" w:after="60"/>
              <w:ind w:left="0"/>
              <w:jc w:val="left"/>
              <w:rPr>
                <w:b/>
              </w:rPr>
            </w:pPr>
            <w:r w:rsidRPr="00033816">
              <w:rPr>
                <w:b/>
              </w:rPr>
              <w:t>Investigation in process</w:t>
            </w:r>
          </w:p>
        </w:tc>
        <w:tc>
          <w:tcPr>
            <w:tcW w:w="6271" w:type="dxa"/>
            <w:shd w:val="clear" w:color="auto" w:fill="auto"/>
          </w:tcPr>
          <w:p w14:paraId="7622EAAC" w14:textId="40DE2C43" w:rsidR="000E3472" w:rsidRPr="00033816" w:rsidRDefault="000E3472" w:rsidP="00770430">
            <w:pPr>
              <w:pStyle w:val="TableBodyText"/>
              <w:jc w:val="left"/>
            </w:pPr>
            <w:r w:rsidRPr="00033816">
              <w:t>Where an investigation is commenced but an outcome is not recorded by 31 August.</w:t>
            </w:r>
          </w:p>
        </w:tc>
      </w:tr>
      <w:tr w:rsidR="000E3472" w:rsidRPr="00033816" w14:paraId="0722D063" w14:textId="77777777" w:rsidTr="00C1120B">
        <w:tc>
          <w:tcPr>
            <w:tcW w:w="2518" w:type="dxa"/>
            <w:shd w:val="clear" w:color="auto" w:fill="auto"/>
          </w:tcPr>
          <w:p w14:paraId="59342971" w14:textId="6ECD3F36" w:rsidR="000E3472" w:rsidRPr="00033816" w:rsidRDefault="000E3472" w:rsidP="00770430">
            <w:pPr>
              <w:pStyle w:val="TableBodyText"/>
              <w:keepNext w:val="0"/>
              <w:keepLines w:val="0"/>
              <w:widowControl w:val="0"/>
              <w:spacing w:before="60" w:after="60"/>
              <w:ind w:left="0"/>
              <w:jc w:val="left"/>
              <w:rPr>
                <w:b/>
              </w:rPr>
            </w:pPr>
            <w:r w:rsidRPr="00033816">
              <w:rPr>
                <w:b/>
              </w:rPr>
              <w:t>Length of time in continuous out</w:t>
            </w:r>
            <w:r w:rsidRPr="00033816">
              <w:rPr>
                <w:b/>
              </w:rPr>
              <w:noBreakHyphen/>
              <w:t>of</w:t>
            </w:r>
            <w:r w:rsidRPr="00033816">
              <w:rPr>
                <w:b/>
              </w:rPr>
              <w:noBreakHyphen/>
              <w:t>home care</w:t>
            </w:r>
          </w:p>
        </w:tc>
        <w:tc>
          <w:tcPr>
            <w:tcW w:w="6271" w:type="dxa"/>
            <w:shd w:val="clear" w:color="auto" w:fill="auto"/>
          </w:tcPr>
          <w:p w14:paraId="4126C365" w14:textId="1B1C7DB3" w:rsidR="000E3472" w:rsidRPr="00033816" w:rsidRDefault="000E3472" w:rsidP="00770430">
            <w:pPr>
              <w:pStyle w:val="TableBodyText"/>
              <w:jc w:val="left"/>
            </w:pPr>
            <w:r w:rsidRPr="00033816">
              <w:t>The length of time a child is in out</w:t>
            </w:r>
            <w:r w:rsidRPr="00033816">
              <w:noBreakHyphen/>
              <w:t>of</w:t>
            </w:r>
            <w:r w:rsidRPr="00033816">
              <w:noBreakHyphen/>
              <w:t>home care on a continuous basis. Any break of 60 days or more is considered to break the continuity of the placement. Where a child returns home for less than 60 days and then returns to the former placement or to a different placement, this does not affect the length of time in care. Holidays or authorised absences (less than 60 days) in a placement do not break the continuity of placement. A break in a placement does not necessarily mean a child has returned to the care of his or her family.</w:t>
            </w:r>
          </w:p>
        </w:tc>
      </w:tr>
      <w:tr w:rsidR="000E3472" w:rsidRPr="00033816" w14:paraId="58DB2789" w14:textId="77777777" w:rsidTr="00C1120B">
        <w:tc>
          <w:tcPr>
            <w:tcW w:w="2518" w:type="dxa"/>
            <w:shd w:val="clear" w:color="auto" w:fill="auto"/>
          </w:tcPr>
          <w:p w14:paraId="7ED4FE0C" w14:textId="27EBA730" w:rsidR="000E3472" w:rsidRPr="00033816" w:rsidRDefault="000E3472" w:rsidP="00770430">
            <w:pPr>
              <w:pStyle w:val="TableBodyText"/>
              <w:keepNext w:val="0"/>
              <w:keepLines w:val="0"/>
              <w:widowControl w:val="0"/>
              <w:spacing w:before="60" w:after="60"/>
              <w:ind w:left="0"/>
              <w:jc w:val="left"/>
              <w:rPr>
                <w:b/>
              </w:rPr>
            </w:pPr>
            <w:r w:rsidRPr="00033816">
              <w:rPr>
                <w:b/>
              </w:rPr>
              <w:t>Notification</w:t>
            </w:r>
          </w:p>
        </w:tc>
        <w:tc>
          <w:tcPr>
            <w:tcW w:w="6271" w:type="dxa"/>
            <w:shd w:val="clear" w:color="auto" w:fill="auto"/>
          </w:tcPr>
          <w:p w14:paraId="545E69F7" w14:textId="77777777" w:rsidR="000E3472" w:rsidRPr="00033816" w:rsidRDefault="000E3472" w:rsidP="00770430">
            <w:pPr>
              <w:pStyle w:val="TableBodyText"/>
              <w:jc w:val="left"/>
            </w:pPr>
            <w:r w:rsidRPr="00033816">
              <w:t>Notifications are reports lodged by members of the community with the appropriate statutory child protection department to signify that they have reason to believe that a child is in need of protection. Depending on the circumstances, not all reports received by child protection departments will be recorded as notifications. Most jurisdictions assess incoming reports to determine whether they meet the threshold for recording a notification. Where, for example, a determination is made that the alleged behaviour does not meet the definition of a child in need of protection, a child concern report or equivalent might be recorded instead. If the alleged behaviour does not meet the threshold for recording a notification or a child concern report, the person reporting the matter might be provided with general advice and/or a referral.</w:t>
            </w:r>
          </w:p>
          <w:p w14:paraId="45141CA5" w14:textId="77777777" w:rsidR="000E3472" w:rsidRPr="00033816" w:rsidRDefault="000E3472" w:rsidP="00770430">
            <w:pPr>
              <w:pStyle w:val="TableBodyText"/>
              <w:jc w:val="left"/>
            </w:pPr>
            <w:r w:rsidRPr="00033816">
              <w:t>Jurisdictions count notifications at different points in the response to a report, ranging from the point of initial contact with the source of the report to the end of a screening and decision making process. This means the number of notifications is not strictly comparable across jurisdictions. Notifications are subsequently investigated based on the policies and practices in each jurisdiction.</w:t>
            </w:r>
          </w:p>
          <w:p w14:paraId="785B1254" w14:textId="2F9BBFB5" w:rsidR="000E3472" w:rsidRPr="00033816" w:rsidRDefault="000E3472" w:rsidP="00770430">
            <w:pPr>
              <w:pStyle w:val="TableBodyText"/>
              <w:jc w:val="left"/>
            </w:pPr>
            <w:r w:rsidRPr="00033816">
              <w:t>Notification and investigation data are collected early in the child protection process and often before an agency has full knowledge of a child’s circumstances. This lack of information and the inherent difficulties in identifying Indigenous status mean that data on the number of notifications and investigations by Indigenous status should be interpreted with care.</w:t>
            </w:r>
          </w:p>
        </w:tc>
      </w:tr>
      <w:tr w:rsidR="000E3472" w:rsidRPr="00033816" w14:paraId="6459F56D" w14:textId="77777777" w:rsidTr="00C1120B">
        <w:tc>
          <w:tcPr>
            <w:tcW w:w="2518" w:type="dxa"/>
            <w:shd w:val="clear" w:color="auto" w:fill="auto"/>
          </w:tcPr>
          <w:p w14:paraId="6A8898E5" w14:textId="43A65F04" w:rsidR="000E3472" w:rsidRPr="00033816" w:rsidRDefault="000E3472" w:rsidP="00770430">
            <w:pPr>
              <w:pStyle w:val="TableBodyText"/>
              <w:keepNext w:val="0"/>
              <w:keepLines w:val="0"/>
              <w:widowControl w:val="0"/>
              <w:spacing w:before="60" w:after="60"/>
              <w:ind w:left="0"/>
              <w:jc w:val="left"/>
              <w:rPr>
                <w:b/>
              </w:rPr>
            </w:pPr>
            <w:r w:rsidRPr="00033816">
              <w:rPr>
                <w:b/>
              </w:rPr>
              <w:t>Other relative</w:t>
            </w:r>
          </w:p>
        </w:tc>
        <w:tc>
          <w:tcPr>
            <w:tcW w:w="6271" w:type="dxa"/>
            <w:shd w:val="clear" w:color="auto" w:fill="auto"/>
          </w:tcPr>
          <w:p w14:paraId="155E7923" w14:textId="3F04819C" w:rsidR="000E3472" w:rsidRPr="00033816" w:rsidRDefault="000E3472" w:rsidP="00770430">
            <w:pPr>
              <w:pStyle w:val="TableBodyText"/>
              <w:jc w:val="left"/>
            </w:pPr>
            <w:r w:rsidRPr="00033816">
              <w:t>A grandparent, aunt, uncle or cousin, whether the relationship is half, full, step or through adoption, and can be traced through or to a person whose parents were not married to each other at the time of the child’s birth. This category includes members of Aboriginal communities who are accepted by that community as being related to the child.</w:t>
            </w:r>
          </w:p>
        </w:tc>
      </w:tr>
      <w:tr w:rsidR="000E3472" w:rsidRPr="00033816" w14:paraId="54938E15" w14:textId="77777777" w:rsidTr="00C1120B">
        <w:tc>
          <w:tcPr>
            <w:tcW w:w="2518" w:type="dxa"/>
            <w:shd w:val="clear" w:color="auto" w:fill="auto"/>
          </w:tcPr>
          <w:p w14:paraId="6A293BE6" w14:textId="65AE829F" w:rsidR="000E3472" w:rsidRPr="00396891" w:rsidRDefault="000E3472" w:rsidP="00770430">
            <w:pPr>
              <w:pStyle w:val="TableBodyText"/>
              <w:keepNext w:val="0"/>
              <w:keepLines w:val="0"/>
              <w:widowControl w:val="0"/>
              <w:spacing w:before="60" w:after="60"/>
              <w:ind w:left="0"/>
              <w:jc w:val="left"/>
              <w:rPr>
                <w:b/>
              </w:rPr>
            </w:pPr>
            <w:r w:rsidRPr="00396891">
              <w:rPr>
                <w:b/>
              </w:rPr>
              <w:lastRenderedPageBreak/>
              <w:t>Out</w:t>
            </w:r>
            <w:r w:rsidRPr="00396891">
              <w:rPr>
                <w:b/>
              </w:rPr>
              <w:noBreakHyphen/>
              <w:t>of</w:t>
            </w:r>
            <w:r w:rsidRPr="00396891">
              <w:rPr>
                <w:b/>
              </w:rPr>
              <w:noBreakHyphen/>
              <w:t>home care</w:t>
            </w:r>
          </w:p>
        </w:tc>
        <w:tc>
          <w:tcPr>
            <w:tcW w:w="6271" w:type="dxa"/>
            <w:shd w:val="clear" w:color="auto" w:fill="auto"/>
          </w:tcPr>
          <w:p w14:paraId="4AEBD692" w14:textId="23EFB6C5" w:rsidR="000E3472" w:rsidRPr="00396891" w:rsidRDefault="000E3472" w:rsidP="00770430">
            <w:pPr>
              <w:pStyle w:val="TableBullet"/>
              <w:numPr>
                <w:ilvl w:val="0"/>
                <w:numId w:val="0"/>
              </w:numPr>
            </w:pPr>
            <w:r w:rsidRPr="00396891">
              <w:t xml:space="preserve">Overnight care, including placement with relatives (other than parents) where the government makes a financial payment. Includes care of children in legal and voluntary placements (that is, children on and not on a legal order) but excludes placements solely funded by disability services, psychiatric services, youth justice facilities and overnight child care services. </w:t>
            </w:r>
          </w:p>
        </w:tc>
      </w:tr>
      <w:tr w:rsidR="000E3472" w:rsidRPr="00033816" w14:paraId="064E0962" w14:textId="77777777" w:rsidTr="00C1120B">
        <w:tc>
          <w:tcPr>
            <w:tcW w:w="2518" w:type="dxa"/>
            <w:shd w:val="clear" w:color="auto" w:fill="auto"/>
          </w:tcPr>
          <w:p w14:paraId="3BBE9CD0" w14:textId="6A22329A" w:rsidR="000E3472" w:rsidRPr="00033816" w:rsidRDefault="000E3472" w:rsidP="00770430">
            <w:pPr>
              <w:pStyle w:val="TableBodyText"/>
              <w:keepNext w:val="0"/>
              <w:keepLines w:val="0"/>
              <w:widowControl w:val="0"/>
              <w:spacing w:before="60" w:after="60"/>
              <w:ind w:left="0"/>
              <w:jc w:val="left"/>
              <w:rPr>
                <w:b/>
              </w:rPr>
            </w:pPr>
            <w:r w:rsidRPr="00033816">
              <w:rPr>
                <w:b/>
              </w:rPr>
              <w:t>Relatives/kin</w:t>
            </w:r>
          </w:p>
        </w:tc>
        <w:tc>
          <w:tcPr>
            <w:tcW w:w="6271" w:type="dxa"/>
            <w:shd w:val="clear" w:color="auto" w:fill="auto"/>
          </w:tcPr>
          <w:p w14:paraId="1A92A198" w14:textId="303FF3A3" w:rsidR="000E3472" w:rsidRPr="00033816" w:rsidRDefault="000E3472" w:rsidP="00770430">
            <w:pPr>
              <w:pStyle w:val="TableBodyText"/>
              <w:jc w:val="left"/>
            </w:pPr>
            <w:r w:rsidRPr="00033816">
              <w:t>People who are family or close friends, or are members of a child or young person’s community (in accordance with their culture) who are reimbursed (or who have been offered but declined reimbursement) by the State/Territory for the care of a child. For Aboriginal and Torres Strait Islander children, a kinship carer may be another Aboriginal and Torres Strait Islander person who is a member of their community, a compatible community or from the same language group.</w:t>
            </w:r>
          </w:p>
        </w:tc>
      </w:tr>
      <w:tr w:rsidR="000E3472" w:rsidRPr="00033816" w14:paraId="69461201" w14:textId="77777777" w:rsidTr="00C1120B">
        <w:tc>
          <w:tcPr>
            <w:tcW w:w="2518" w:type="dxa"/>
            <w:shd w:val="clear" w:color="auto" w:fill="auto"/>
          </w:tcPr>
          <w:p w14:paraId="7ACA9AD0" w14:textId="65CC003D" w:rsidR="000E3472" w:rsidRPr="00033816" w:rsidRDefault="000E3472" w:rsidP="00770430">
            <w:pPr>
              <w:pStyle w:val="TableBodyText"/>
              <w:keepNext w:val="0"/>
              <w:keepLines w:val="0"/>
              <w:widowControl w:val="0"/>
              <w:spacing w:before="60" w:after="60"/>
              <w:ind w:left="0"/>
              <w:jc w:val="left"/>
              <w:rPr>
                <w:b/>
              </w:rPr>
            </w:pPr>
            <w:r w:rsidRPr="00033816">
              <w:rPr>
                <w:b/>
              </w:rPr>
              <w:t>Protective intervention services</w:t>
            </w:r>
          </w:p>
        </w:tc>
        <w:tc>
          <w:tcPr>
            <w:tcW w:w="6271" w:type="dxa"/>
            <w:shd w:val="clear" w:color="auto" w:fill="auto"/>
          </w:tcPr>
          <w:p w14:paraId="49A20FD4" w14:textId="422032AF" w:rsidR="000E3472" w:rsidRPr="00033816" w:rsidRDefault="000E3472" w:rsidP="00770430">
            <w:pPr>
              <w:pStyle w:val="TableBodyText"/>
              <w:jc w:val="left"/>
            </w:pPr>
            <w:r w:rsidRPr="00033816">
              <w:t>Functions of government that receive and assess allegations of child abuse and neglect, and/or harm to children and young people, provide and refer clients to family support and other relevant services, and intervene to protect children.</w:t>
            </w:r>
          </w:p>
        </w:tc>
      </w:tr>
      <w:tr w:rsidR="000E3472" w:rsidRPr="00033816" w14:paraId="720A1AB7" w14:textId="77777777" w:rsidTr="00C1120B">
        <w:tc>
          <w:tcPr>
            <w:tcW w:w="2518" w:type="dxa"/>
            <w:shd w:val="clear" w:color="auto" w:fill="auto"/>
          </w:tcPr>
          <w:p w14:paraId="03D89066" w14:textId="44D8CB97" w:rsidR="000E3472" w:rsidRPr="00033816" w:rsidRDefault="000E3472" w:rsidP="00770430">
            <w:pPr>
              <w:pStyle w:val="TableBodyText"/>
              <w:keepNext w:val="0"/>
              <w:keepLines w:val="0"/>
              <w:widowControl w:val="0"/>
              <w:spacing w:before="60" w:after="60"/>
              <w:ind w:left="0"/>
              <w:jc w:val="left"/>
              <w:rPr>
                <w:b/>
              </w:rPr>
            </w:pPr>
            <w:r w:rsidRPr="00033816">
              <w:rPr>
                <w:b/>
              </w:rPr>
              <w:t>Respite care</w:t>
            </w:r>
          </w:p>
        </w:tc>
        <w:tc>
          <w:tcPr>
            <w:tcW w:w="6271" w:type="dxa"/>
            <w:shd w:val="clear" w:color="auto" w:fill="auto"/>
          </w:tcPr>
          <w:p w14:paraId="262845CA" w14:textId="4E6ADA3F" w:rsidR="000E3472" w:rsidRPr="00033816" w:rsidRDefault="000E3472" w:rsidP="00770430">
            <w:pPr>
              <w:pStyle w:val="TableBodyText"/>
              <w:jc w:val="left"/>
            </w:pPr>
            <w:r w:rsidRPr="00033816">
              <w:t>Respite care is a form of out</w:t>
            </w:r>
            <w:r w:rsidRPr="00033816">
              <w:noBreakHyphen/>
              <w:t>of</w:t>
            </w:r>
            <w:r w:rsidRPr="00033816">
              <w:noBreakHyphen/>
              <w:t>home care used to provide short</w:t>
            </w:r>
            <w:r w:rsidRPr="00033816">
              <w:noBreakHyphen/>
              <w:t xml:space="preserve">term accommodation for children where the intention is for the child to return to their prior place of residence. Respite placements include: </w:t>
            </w:r>
            <w:r w:rsidRPr="00033816">
              <w:rPr>
                <w:i/>
              </w:rPr>
              <w:t>respite from birth family</w:t>
            </w:r>
            <w:r w:rsidRPr="00033816">
              <w:t>, where a child is placed in out</w:t>
            </w:r>
            <w:r w:rsidRPr="00033816">
              <w:noBreakHyphen/>
              <w:t>of</w:t>
            </w:r>
            <w:r w:rsidRPr="00033816">
              <w:noBreakHyphen/>
              <w:t xml:space="preserve">home care on a temporary basis for reasons other than child protection (for example, the child’s parents are ill or unable to care for them on a temporary basis; or as a family support mechanism to prevent entry into full time care, as part of the reunification process, as a shared care arrangement); </w:t>
            </w:r>
            <w:r w:rsidRPr="00033816">
              <w:rPr>
                <w:i/>
              </w:rPr>
              <w:t>respite from placement</w:t>
            </w:r>
            <w:r w:rsidRPr="00033816">
              <w:t>, where a child spends regular, short and agreed periods of time with another carer other than their primary carer.</w:t>
            </w:r>
          </w:p>
        </w:tc>
      </w:tr>
      <w:tr w:rsidR="000E3472" w:rsidRPr="00033816" w14:paraId="24984D49" w14:textId="77777777" w:rsidTr="00C1120B">
        <w:tc>
          <w:tcPr>
            <w:tcW w:w="2518" w:type="dxa"/>
            <w:shd w:val="clear" w:color="auto" w:fill="auto"/>
          </w:tcPr>
          <w:p w14:paraId="402D8FF9" w14:textId="5CEF3369" w:rsidR="000E3472" w:rsidRPr="00033816" w:rsidRDefault="000E3472" w:rsidP="00770430">
            <w:pPr>
              <w:pStyle w:val="TableBodyText"/>
              <w:keepNext w:val="0"/>
              <w:keepLines w:val="0"/>
              <w:widowControl w:val="0"/>
              <w:spacing w:before="60" w:after="60"/>
              <w:ind w:left="0"/>
              <w:jc w:val="left"/>
              <w:rPr>
                <w:b/>
              </w:rPr>
            </w:pPr>
            <w:r w:rsidRPr="00033816">
              <w:rPr>
                <w:b/>
              </w:rPr>
              <w:t>Stability and permanency of placement</w:t>
            </w:r>
          </w:p>
        </w:tc>
        <w:tc>
          <w:tcPr>
            <w:tcW w:w="6271" w:type="dxa"/>
            <w:shd w:val="clear" w:color="auto" w:fill="auto"/>
          </w:tcPr>
          <w:p w14:paraId="54EB8A62" w14:textId="77777777" w:rsidR="000E3472" w:rsidRPr="00033816" w:rsidRDefault="000E3472" w:rsidP="00770430">
            <w:pPr>
              <w:pStyle w:val="TableBodyText"/>
              <w:jc w:val="left"/>
            </w:pPr>
            <w:r w:rsidRPr="00033816">
              <w:t>Number of placements for children who exited out</w:t>
            </w:r>
            <w:r w:rsidRPr="00033816">
              <w:noBreakHyphen/>
              <w:t>of</w:t>
            </w:r>
            <w:r w:rsidRPr="00033816">
              <w:noBreakHyphen/>
              <w:t xml:space="preserve">home care and did not return within 60 days. Placements exclude respite or temporary placements lasting less than 7 days. Placements are counted separately where there is: </w:t>
            </w:r>
          </w:p>
          <w:p w14:paraId="6B28BC5F" w14:textId="77777777" w:rsidR="000E3472" w:rsidRPr="00033816" w:rsidRDefault="000E3472" w:rsidP="00770430">
            <w:pPr>
              <w:pStyle w:val="TableBullet"/>
            </w:pPr>
            <w:r w:rsidRPr="00033816">
              <w:t>a change in the placement type — for example, from a home</w:t>
            </w:r>
            <w:r w:rsidRPr="00033816">
              <w:noBreakHyphen/>
              <w:t>based to a facility</w:t>
            </w:r>
            <w:r w:rsidRPr="00033816">
              <w:noBreakHyphen/>
              <w:t>based placement</w:t>
            </w:r>
          </w:p>
          <w:p w14:paraId="14CF827F" w14:textId="77777777" w:rsidR="000E3472" w:rsidRPr="00033816" w:rsidRDefault="000E3472" w:rsidP="00770430">
            <w:pPr>
              <w:pStyle w:val="TableBullet"/>
            </w:pPr>
            <w:r w:rsidRPr="00033816">
              <w:t>within placement type, a change in venue or a change from one home</w:t>
            </w:r>
            <w:r w:rsidRPr="00033816">
              <w:noBreakHyphen/>
              <w:t>based placement to a different home</w:t>
            </w:r>
            <w:r w:rsidRPr="00033816">
              <w:noBreakHyphen/>
              <w:t>based placement.</w:t>
            </w:r>
          </w:p>
          <w:p w14:paraId="2EF9149B" w14:textId="77CE10E2" w:rsidR="000E3472" w:rsidRPr="00033816" w:rsidRDefault="000E3472" w:rsidP="00770430">
            <w:pPr>
              <w:pStyle w:val="TableBodyText"/>
              <w:jc w:val="left"/>
            </w:pPr>
            <w:r w:rsidRPr="00033816">
              <w:t xml:space="preserve">Each placement should only be counted once. A return to a previous placement is not included as a different placement. A return home is not counted as a placement, although if a child returns home for 60 days or more they are considered to have exited care. </w:t>
            </w:r>
          </w:p>
        </w:tc>
      </w:tr>
      <w:tr w:rsidR="000E3472" w:rsidRPr="00033816" w14:paraId="307C0B0C" w14:textId="77777777" w:rsidTr="00C1120B">
        <w:tc>
          <w:tcPr>
            <w:tcW w:w="2518" w:type="dxa"/>
            <w:shd w:val="clear" w:color="auto" w:fill="auto"/>
          </w:tcPr>
          <w:p w14:paraId="01D9AE3C" w14:textId="1220DE7F" w:rsidR="000E3472" w:rsidRPr="00033816" w:rsidRDefault="000E3472" w:rsidP="00770430">
            <w:pPr>
              <w:pStyle w:val="TableBodyText"/>
              <w:keepNext w:val="0"/>
              <w:keepLines w:val="0"/>
              <w:widowControl w:val="0"/>
              <w:spacing w:before="60" w:after="60"/>
              <w:ind w:left="0"/>
              <w:jc w:val="left"/>
              <w:rPr>
                <w:b/>
              </w:rPr>
            </w:pPr>
            <w:r w:rsidRPr="00033816">
              <w:rPr>
                <w:b/>
              </w:rPr>
              <w:t>Strengths and Difficulties Questionnaires (</w:t>
            </w:r>
            <w:proofErr w:type="spellStart"/>
            <w:r w:rsidRPr="00033816">
              <w:rPr>
                <w:b/>
              </w:rPr>
              <w:t>SDQ</w:t>
            </w:r>
            <w:proofErr w:type="spellEnd"/>
            <w:r w:rsidRPr="00033816">
              <w:rPr>
                <w:b/>
              </w:rPr>
              <w:t>)</w:t>
            </w:r>
          </w:p>
        </w:tc>
        <w:tc>
          <w:tcPr>
            <w:tcW w:w="6271" w:type="dxa"/>
            <w:shd w:val="clear" w:color="auto" w:fill="auto"/>
          </w:tcPr>
          <w:p w14:paraId="32D1AA39" w14:textId="50AB0CF8" w:rsidR="000E3472" w:rsidRPr="00033816" w:rsidRDefault="000E3472" w:rsidP="00770430">
            <w:pPr>
              <w:pStyle w:val="TableBodyText"/>
              <w:jc w:val="left"/>
            </w:pPr>
            <w:r w:rsidRPr="00033816">
              <w:t>The Strengths and Difficulties Questionnaire (</w:t>
            </w:r>
            <w:proofErr w:type="spellStart"/>
            <w:r w:rsidRPr="00033816">
              <w:t>SDQ</w:t>
            </w:r>
            <w:proofErr w:type="spellEnd"/>
            <w:r w:rsidRPr="00033816">
              <w:t xml:space="preserve">) is a brief behavioural screening questionnaire about 3 to 16 year olds. There are several versions to meet the needs of researchers, clinicians and educationalists. All versions ask about 25 attributes divided between five scales 1) emotional symptoms (5 items); conduct problems (5 items); hyperactivity/inattention (5 items); peer relationship problems (5 items); </w:t>
            </w:r>
            <w:proofErr w:type="spellStart"/>
            <w:r w:rsidRPr="00033816">
              <w:t>prosocial</w:t>
            </w:r>
            <w:proofErr w:type="spellEnd"/>
            <w:r w:rsidRPr="00033816">
              <w:t xml:space="preserve"> behaviour (5 items).</w:t>
            </w:r>
          </w:p>
        </w:tc>
      </w:tr>
      <w:tr w:rsidR="000E3472" w:rsidRPr="00033816" w14:paraId="61B461EB" w14:textId="77777777" w:rsidTr="00C1120B">
        <w:tc>
          <w:tcPr>
            <w:tcW w:w="2518" w:type="dxa"/>
            <w:shd w:val="clear" w:color="auto" w:fill="auto"/>
          </w:tcPr>
          <w:p w14:paraId="21C0A9FF" w14:textId="7BD37B89" w:rsidR="000E3472" w:rsidRPr="00033816" w:rsidRDefault="000E3472" w:rsidP="00770430">
            <w:pPr>
              <w:pStyle w:val="TableBodyText"/>
              <w:keepNext w:val="0"/>
              <w:keepLines w:val="0"/>
              <w:widowControl w:val="0"/>
              <w:spacing w:before="60" w:after="60"/>
              <w:ind w:left="0"/>
              <w:jc w:val="left"/>
              <w:rPr>
                <w:b/>
              </w:rPr>
            </w:pPr>
            <w:r w:rsidRPr="00033816">
              <w:rPr>
                <w:b/>
              </w:rPr>
              <w:t>Substantiation</w:t>
            </w:r>
          </w:p>
        </w:tc>
        <w:tc>
          <w:tcPr>
            <w:tcW w:w="6271" w:type="dxa"/>
            <w:shd w:val="clear" w:color="auto" w:fill="auto"/>
          </w:tcPr>
          <w:p w14:paraId="0EA3F309" w14:textId="77777777" w:rsidR="000E3472" w:rsidRPr="00033816" w:rsidRDefault="000E3472" w:rsidP="00770430">
            <w:pPr>
              <w:pStyle w:val="TableBodyText"/>
              <w:jc w:val="left"/>
            </w:pPr>
            <w:r w:rsidRPr="00033816">
              <w:t xml:space="preserve">A substantiation is the outcome of an investigated notification which has resulted in the conclusion that there is reasonable cause to believe a child has been, is being or is likely to be abused, neglected or otherwise harmed. It does not necessarily require sufficient evidence for a successful prosecution and does not imply that treatment or case management is, or is to be, provided. However, if an investigation results in a substantiation, intervention by child protection services might be needed to protect the child. This intervention can take a number of forms, including one or more of: referral to other services; supervision and support; an application to court; and a placement in out of home care. </w:t>
            </w:r>
          </w:p>
          <w:p w14:paraId="77465EEB" w14:textId="42AF510C" w:rsidR="000E3472" w:rsidRPr="00033816" w:rsidRDefault="000E3472" w:rsidP="00770430">
            <w:pPr>
              <w:pStyle w:val="TableBodyText"/>
              <w:jc w:val="left"/>
            </w:pPr>
            <w:r w:rsidRPr="00033816">
              <w:t>The legal definitions of abuse and neglect are similar across jurisdictions. However, while the legal definitions for substantiating notifications are similar across jurisdictions, there remain some differences in practice, including different thresholds for recording a substantiation (that is, some jurisdictions substantiate harm or risk of harm to a child, and others substantiate actions by parents or incidents that cause harm). These differences impact on the comparability of these data.</w:t>
            </w:r>
          </w:p>
        </w:tc>
      </w:tr>
    </w:tbl>
    <w:p w14:paraId="71D70FF6" w14:textId="4F86E26F" w:rsidR="006842D6" w:rsidRPr="00033816" w:rsidRDefault="00DC383D" w:rsidP="00770430">
      <w:pPr>
        <w:pStyle w:val="Heading2"/>
      </w:pPr>
      <w:bookmarkStart w:id="43" w:name="_Toc369851917"/>
      <w:bookmarkStart w:id="44" w:name="_Toc464459210"/>
      <w:bookmarkStart w:id="45" w:name="_Toc494980933"/>
      <w:bookmarkStart w:id="46" w:name="_Toc524611009"/>
      <w:r>
        <w:lastRenderedPageBreak/>
        <w:t>16.</w:t>
      </w:r>
      <w:r>
        <w:rPr>
          <w:noProof/>
        </w:rPr>
        <w:t>5</w:t>
      </w:r>
      <w:r w:rsidR="00B144C3" w:rsidRPr="00033816">
        <w:tab/>
      </w:r>
      <w:r w:rsidR="006842D6" w:rsidRPr="00033816">
        <w:t>References</w:t>
      </w:r>
      <w:bookmarkEnd w:id="43"/>
      <w:bookmarkEnd w:id="44"/>
      <w:bookmarkEnd w:id="45"/>
      <w:bookmarkEnd w:id="46"/>
    </w:p>
    <w:p w14:paraId="3B8E87B3" w14:textId="32677EFD" w:rsidR="00203229" w:rsidRPr="00033816" w:rsidRDefault="00203229" w:rsidP="00770430">
      <w:pPr>
        <w:pStyle w:val="Reference"/>
      </w:pPr>
      <w:proofErr w:type="spellStart"/>
      <w:r w:rsidRPr="00033816">
        <w:t>DSS</w:t>
      </w:r>
      <w:proofErr w:type="spellEnd"/>
      <w:r w:rsidRPr="00033816">
        <w:t xml:space="preserve"> (Department of Social Services) 2015, </w:t>
      </w:r>
      <w:r w:rsidRPr="00033816">
        <w:rPr>
          <w:i/>
        </w:rPr>
        <w:t>National Framework for Protecting Australia’s Children — Driving Change: Intervening Early, Third three</w:t>
      </w:r>
      <w:r w:rsidR="008817BB" w:rsidRPr="00033816">
        <w:rPr>
          <w:i/>
        </w:rPr>
        <w:noBreakHyphen/>
      </w:r>
      <w:r w:rsidRPr="00033816">
        <w:rPr>
          <w:i/>
        </w:rPr>
        <w:t>year action plan, 2015</w:t>
      </w:r>
      <w:r w:rsidR="00EE5B95" w:rsidRPr="00033816">
        <w:rPr>
          <w:i/>
        </w:rPr>
        <w:t>–</w:t>
      </w:r>
      <w:r w:rsidRPr="00033816">
        <w:rPr>
          <w:i/>
        </w:rPr>
        <w:t>2018</w:t>
      </w:r>
      <w:r w:rsidRPr="00033816">
        <w:t>, Commonwealth of Australia, Canberra.</w:t>
      </w:r>
    </w:p>
    <w:p w14:paraId="25F6142F" w14:textId="3978D202" w:rsidR="00D32A72" w:rsidRDefault="00203229" w:rsidP="00770430">
      <w:pPr>
        <w:pStyle w:val="Reference"/>
      </w:pPr>
      <w:proofErr w:type="spellStart"/>
      <w:r w:rsidRPr="00033816">
        <w:t>SNAICC</w:t>
      </w:r>
      <w:proofErr w:type="spellEnd"/>
      <w:r w:rsidRPr="00033816">
        <w:t xml:space="preserve"> (Secretariat of National Aboriginal and Islander Child Care) 2013, </w:t>
      </w:r>
      <w:r w:rsidRPr="00033816">
        <w:rPr>
          <w:i/>
        </w:rPr>
        <w:t>Aboriginal and Torres Strait Islander Child Placement Principle</w:t>
      </w:r>
      <w:r w:rsidRPr="00033816">
        <w:t xml:space="preserve">, </w:t>
      </w:r>
      <w:proofErr w:type="spellStart"/>
      <w:r w:rsidR="00EC7B43" w:rsidRPr="00033816">
        <w:t>snaicc.org.au</w:t>
      </w:r>
      <w:proofErr w:type="spellEnd"/>
      <w:r w:rsidR="00EC7B43" w:rsidRPr="00033816">
        <w:t>/</w:t>
      </w:r>
      <w:r w:rsidR="00640261">
        <w:t>aboriginal-and-</w:t>
      </w:r>
      <w:proofErr w:type="spellStart"/>
      <w:r w:rsidR="00640261">
        <w:t>torres</w:t>
      </w:r>
      <w:proofErr w:type="spellEnd"/>
      <w:r w:rsidR="00640261">
        <w:t>-</w:t>
      </w:r>
      <w:r w:rsidR="00EC7B43" w:rsidRPr="00033816">
        <w:t xml:space="preserve"> strait</w:t>
      </w:r>
      <w:r w:rsidR="008817BB" w:rsidRPr="00033816">
        <w:noBreakHyphen/>
      </w:r>
      <w:r w:rsidR="00EC7B43" w:rsidRPr="00033816">
        <w:t>islander</w:t>
      </w:r>
      <w:r w:rsidR="008817BB" w:rsidRPr="00033816">
        <w:noBreakHyphen/>
      </w:r>
      <w:r w:rsidR="00EC7B43" w:rsidRPr="00033816">
        <w:t>child</w:t>
      </w:r>
      <w:r w:rsidR="008817BB" w:rsidRPr="00033816">
        <w:noBreakHyphen/>
      </w:r>
      <w:r w:rsidR="00EC7B43" w:rsidRPr="00033816">
        <w:t>placement</w:t>
      </w:r>
      <w:r w:rsidR="008817BB" w:rsidRPr="00033816">
        <w:noBreakHyphen/>
      </w:r>
      <w:r w:rsidR="00EC7B43" w:rsidRPr="00033816">
        <w:t>principle/</w:t>
      </w:r>
      <w:r w:rsidRPr="00033816">
        <w:t xml:space="preserve"> (accessed 31</w:t>
      </w:r>
      <w:r w:rsidR="008817BB" w:rsidRPr="00033816">
        <w:t> </w:t>
      </w:r>
      <w:r w:rsidRPr="00033816">
        <w:t>August 2016).</w:t>
      </w:r>
    </w:p>
    <w:p w14:paraId="3B36A280" w14:textId="0B050013" w:rsidR="0071751F" w:rsidRDefault="0071751F" w:rsidP="00770430">
      <w:pPr>
        <w:pStyle w:val="BodyText"/>
      </w:pPr>
    </w:p>
    <w:sectPr w:rsidR="0071751F" w:rsidSect="00C321E6">
      <w:headerReference w:type="even" r:id="rId25"/>
      <w:headerReference w:type="default" r:id="rId26"/>
      <w:footerReference w:type="even" r:id="rId27"/>
      <w:footerReference w:type="default" r:id="rId28"/>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B401E" w14:textId="77777777" w:rsidR="001D45E6" w:rsidRDefault="001D45E6">
      <w:r>
        <w:separator/>
      </w:r>
    </w:p>
  </w:endnote>
  <w:endnote w:type="continuationSeparator" w:id="0">
    <w:p w14:paraId="015A3812" w14:textId="77777777" w:rsidR="001D45E6" w:rsidRDefault="001D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tham">
    <w:altName w:val="Cambria"/>
    <w:panose1 w:val="00000000000000000000"/>
    <w:charset w:val="4D"/>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45E6" w14:paraId="3DFB4820" w14:textId="77777777" w:rsidTr="00E92AD4">
      <w:trPr>
        <w:trHeight w:hRule="exact" w:val="567"/>
      </w:trPr>
      <w:tc>
        <w:tcPr>
          <w:tcW w:w="510" w:type="dxa"/>
        </w:tcPr>
        <w:p w14:paraId="0FDEBB49" w14:textId="761738C9" w:rsidR="001D45E6" w:rsidRPr="00A24443" w:rsidRDefault="001D45E6" w:rsidP="00E92AD4">
          <w:pPr>
            <w:pStyle w:val="Footer"/>
            <w:tabs>
              <w:tab w:val="left" w:pos="0"/>
            </w:tabs>
            <w:ind w:right="0"/>
            <w:rPr>
              <w:rStyle w:val="PageNumbe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3696">
            <w:rPr>
              <w:rStyle w:val="PageNumber"/>
              <w:caps w:val="0"/>
              <w:noProof/>
            </w:rPr>
            <w:t>14</w:t>
          </w:r>
          <w:r w:rsidRPr="00A24443">
            <w:rPr>
              <w:rStyle w:val="PageNumber"/>
              <w:caps w:val="0"/>
            </w:rPr>
            <w:fldChar w:fldCharType="end"/>
          </w:r>
        </w:p>
      </w:tc>
      <w:tc>
        <w:tcPr>
          <w:tcW w:w="7767" w:type="dxa"/>
        </w:tcPr>
        <w:p w14:paraId="6EC3AA5F" w14:textId="59D1AD3A" w:rsidR="001D45E6" w:rsidRPr="0013739A" w:rsidRDefault="001D45E6" w:rsidP="00E92AD4">
          <w:pPr>
            <w:pStyle w:val="Footer"/>
            <w:rPr>
              <w:rFonts w:cs="Arial"/>
            </w:rPr>
          </w:pPr>
          <w:r>
            <w:rPr>
              <w:rFonts w:cs="Arial"/>
            </w:rPr>
            <w:t>Report on Government Services 2019</w:t>
          </w:r>
          <w:bookmarkStart w:id="47" w:name="DraftReportEven"/>
          <w:bookmarkEnd w:id="47"/>
        </w:p>
      </w:tc>
      <w:tc>
        <w:tcPr>
          <w:tcW w:w="510" w:type="dxa"/>
        </w:tcPr>
        <w:p w14:paraId="636BE9F5" w14:textId="77777777" w:rsidR="001D45E6" w:rsidRDefault="001D45E6" w:rsidP="00E92AD4">
          <w:pPr>
            <w:pStyle w:val="Footer"/>
          </w:pPr>
        </w:p>
      </w:tc>
    </w:tr>
  </w:tbl>
  <w:p w14:paraId="6C0AD195" w14:textId="77777777" w:rsidR="001D45E6" w:rsidRDefault="001D45E6" w:rsidP="00E92AD4">
    <w:pPr>
      <w:pStyle w:val="FooterEnd"/>
    </w:pPr>
  </w:p>
  <w:p w14:paraId="6247C686" w14:textId="77777777" w:rsidR="001D45E6" w:rsidRDefault="001D45E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D45E6" w14:paraId="5764972A" w14:textId="77777777" w:rsidTr="00E92AD4">
      <w:trPr>
        <w:trHeight w:hRule="exact" w:val="567"/>
      </w:trPr>
      <w:tc>
        <w:tcPr>
          <w:tcW w:w="510" w:type="dxa"/>
        </w:tcPr>
        <w:p w14:paraId="2C254118" w14:textId="77777777" w:rsidR="001D45E6" w:rsidRDefault="001D45E6">
          <w:pPr>
            <w:pStyle w:val="Footer"/>
            <w:ind w:right="360" w:firstLine="360"/>
          </w:pPr>
        </w:p>
      </w:tc>
      <w:tc>
        <w:tcPr>
          <w:tcW w:w="7767" w:type="dxa"/>
        </w:tcPr>
        <w:p w14:paraId="2C3F0B70" w14:textId="02D3BA20" w:rsidR="001D45E6" w:rsidRPr="00BA5B14" w:rsidRDefault="001D45E6" w:rsidP="00E92AD4">
          <w:pPr>
            <w:pStyle w:val="Footer"/>
            <w:jc w:val="right"/>
            <w:rPr>
              <w:rFonts w:cs="Arial"/>
            </w:rPr>
          </w:pPr>
          <w:r>
            <w:rPr>
              <w:rFonts w:cs="Arial"/>
            </w:rPr>
            <w:t>Child protection services</w:t>
          </w:r>
        </w:p>
      </w:tc>
      <w:tc>
        <w:tcPr>
          <w:tcW w:w="510" w:type="dxa"/>
        </w:tcPr>
        <w:p w14:paraId="09A699BD" w14:textId="53E44626" w:rsidR="001D45E6" w:rsidRPr="00A24443" w:rsidRDefault="001D45E6">
          <w:pPr>
            <w:pStyle w:val="Footer"/>
            <w:jc w:val="right"/>
            <w:rPr>
              <w:caps w:val="0"/>
            </w:rPr>
          </w:pPr>
          <w:r>
            <w:rPr>
              <w:rStyle w:val="PageNumber"/>
              <w:caps w:val="0"/>
            </w:rPr>
            <w:t>16.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3696">
            <w:rPr>
              <w:rStyle w:val="PageNumber"/>
              <w:caps w:val="0"/>
              <w:noProof/>
            </w:rPr>
            <w:t>13</w:t>
          </w:r>
          <w:r w:rsidRPr="00A24443">
            <w:rPr>
              <w:rStyle w:val="PageNumber"/>
              <w:caps w:val="0"/>
            </w:rPr>
            <w:fldChar w:fldCharType="end"/>
          </w:r>
        </w:p>
      </w:tc>
    </w:tr>
  </w:tbl>
  <w:p w14:paraId="4908063E" w14:textId="77777777" w:rsidR="001D45E6" w:rsidRDefault="001D45E6">
    <w:pPr>
      <w:pStyle w:val="FooterEnd"/>
    </w:pPr>
  </w:p>
  <w:p w14:paraId="50286090" w14:textId="77777777" w:rsidR="001D45E6" w:rsidRDefault="001D45E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2982E" w14:textId="77777777" w:rsidR="001D45E6" w:rsidRDefault="001D45E6">
      <w:r>
        <w:separator/>
      </w:r>
    </w:p>
  </w:footnote>
  <w:footnote w:type="continuationSeparator" w:id="0">
    <w:p w14:paraId="28DFC323" w14:textId="77777777" w:rsidR="001D45E6" w:rsidRDefault="001D4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D45E6" w14:paraId="7F0B6E83" w14:textId="77777777">
      <w:tc>
        <w:tcPr>
          <w:tcW w:w="2155" w:type="dxa"/>
          <w:tcBorders>
            <w:top w:val="single" w:sz="24" w:space="0" w:color="auto"/>
          </w:tcBorders>
        </w:tcPr>
        <w:p w14:paraId="77640089" w14:textId="14412BD6" w:rsidR="001D45E6" w:rsidRDefault="001D45E6" w:rsidP="00E92AD4">
          <w:pPr>
            <w:pStyle w:val="HeaderEven"/>
          </w:pPr>
        </w:p>
      </w:tc>
      <w:tc>
        <w:tcPr>
          <w:tcW w:w="6634" w:type="dxa"/>
          <w:tcBorders>
            <w:top w:val="single" w:sz="6" w:space="0" w:color="auto"/>
          </w:tcBorders>
        </w:tcPr>
        <w:p w14:paraId="527574B7" w14:textId="4A0D5D95" w:rsidR="001D45E6" w:rsidRDefault="001D45E6" w:rsidP="00E92AD4">
          <w:pPr>
            <w:pStyle w:val="HeaderEven"/>
          </w:pPr>
        </w:p>
      </w:tc>
    </w:tr>
  </w:tbl>
  <w:p w14:paraId="749B9637" w14:textId="77777777" w:rsidR="001D45E6" w:rsidRDefault="001D45E6" w:rsidP="00E92AD4">
    <w:pPr>
      <w:pStyle w:val="HeaderEnd"/>
    </w:pPr>
  </w:p>
  <w:p w14:paraId="1A53FC04" w14:textId="77777777" w:rsidR="001D45E6" w:rsidRDefault="001D45E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D45E6" w14:paraId="2F05BB1E" w14:textId="77777777">
      <w:tc>
        <w:tcPr>
          <w:tcW w:w="6634" w:type="dxa"/>
          <w:tcBorders>
            <w:top w:val="single" w:sz="6" w:space="0" w:color="auto"/>
          </w:tcBorders>
        </w:tcPr>
        <w:p w14:paraId="2BAC40E5" w14:textId="1E3A9FB3" w:rsidR="001D45E6" w:rsidRDefault="001D45E6" w:rsidP="00E92AD4">
          <w:pPr>
            <w:pStyle w:val="HeaderOdd"/>
          </w:pPr>
        </w:p>
      </w:tc>
      <w:tc>
        <w:tcPr>
          <w:tcW w:w="2155" w:type="dxa"/>
          <w:tcBorders>
            <w:top w:val="single" w:sz="24" w:space="0" w:color="auto"/>
          </w:tcBorders>
        </w:tcPr>
        <w:p w14:paraId="0A425D66" w14:textId="77777777" w:rsidR="001D45E6" w:rsidRDefault="001D45E6" w:rsidP="00E92AD4">
          <w:pPr>
            <w:pStyle w:val="HeaderOdd"/>
          </w:pPr>
        </w:p>
      </w:tc>
    </w:tr>
  </w:tbl>
  <w:p w14:paraId="09E8360F" w14:textId="77777777" w:rsidR="001D45E6" w:rsidRDefault="001D45E6" w:rsidP="00E92AD4">
    <w:pPr>
      <w:pStyle w:val="HeaderEnd"/>
    </w:pPr>
  </w:p>
  <w:p w14:paraId="5766A524" w14:textId="77777777" w:rsidR="001D45E6" w:rsidRDefault="001D45E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740D3E"/>
    <w:multiLevelType w:val="hybridMultilevel"/>
    <w:tmpl w:val="767862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C8870CE"/>
    <w:multiLevelType w:val="multilevel"/>
    <w:tmpl w:val="4DD2E5BA"/>
    <w:lvl w:ilvl="0">
      <w:start w:val="1"/>
      <w:numFmt w:val="bullet"/>
      <w:pStyle w:val="Response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Arial" w:hAnsi="Arial"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A9B4388"/>
    <w:multiLevelType w:val="hybridMultilevel"/>
    <w:tmpl w:val="E7A06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D582C11"/>
    <w:multiLevelType w:val="hybridMultilevel"/>
    <w:tmpl w:val="797039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6A0525F"/>
    <w:multiLevelType w:val="hybridMultilevel"/>
    <w:tmpl w:val="A57C0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6EA503B"/>
    <w:multiLevelType w:val="hybridMultilevel"/>
    <w:tmpl w:val="528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4"/>
  </w:num>
  <w:num w:numId="2">
    <w:abstractNumId w:val="5"/>
  </w:num>
  <w:num w:numId="3">
    <w:abstractNumId w:val="6"/>
  </w:num>
  <w:num w:numId="4">
    <w:abstractNumId w:val="10"/>
  </w:num>
  <w:num w:numId="5">
    <w:abstractNumId w:val="17"/>
  </w:num>
  <w:num w:numId="6">
    <w:abstractNumId w:val="15"/>
  </w:num>
  <w:num w:numId="7">
    <w:abstractNumId w:val="28"/>
  </w:num>
  <w:num w:numId="8">
    <w:abstractNumId w:val="29"/>
  </w:num>
  <w:num w:numId="9">
    <w:abstractNumId w:val="13"/>
  </w:num>
  <w:num w:numId="10">
    <w:abstractNumId w:val="18"/>
  </w:num>
  <w:num w:numId="11">
    <w:abstractNumId w:val="19"/>
  </w:num>
  <w:num w:numId="12">
    <w:abstractNumId w:val="4"/>
  </w:num>
  <w:num w:numId="13">
    <w:abstractNumId w:val="9"/>
  </w:num>
  <w:num w:numId="14">
    <w:abstractNumId w:val="8"/>
  </w:num>
  <w:num w:numId="15">
    <w:abstractNumId w:val="12"/>
  </w:num>
  <w:num w:numId="16">
    <w:abstractNumId w:val="14"/>
  </w:num>
  <w:num w:numId="17">
    <w:abstractNumId w:val="16"/>
  </w:num>
  <w:num w:numId="18">
    <w:abstractNumId w:val="20"/>
  </w:num>
  <w:num w:numId="19">
    <w:abstractNumId w:val="23"/>
  </w:num>
  <w:num w:numId="20">
    <w:abstractNumId w:val="11"/>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
  </w:num>
  <w:num w:numId="24">
    <w:abstractNumId w:val="26"/>
  </w:num>
  <w:num w:numId="25">
    <w:abstractNumId w:val="8"/>
  </w:num>
  <w:num w:numId="26">
    <w:abstractNumId w:val="8"/>
  </w:num>
  <w:num w:numId="27">
    <w:abstractNumId w:val="8"/>
  </w:num>
  <w:num w:numId="28">
    <w:abstractNumId w:val="17"/>
  </w:num>
  <w:num w:numId="29">
    <w:abstractNumId w:val="17"/>
  </w:num>
  <w:num w:numId="30">
    <w:abstractNumId w:val="8"/>
  </w:num>
  <w:num w:numId="31">
    <w:abstractNumId w:val="17"/>
  </w:num>
  <w:num w:numId="32">
    <w:abstractNumId w:val="17"/>
  </w:num>
  <w:num w:numId="33">
    <w:abstractNumId w:val="22"/>
  </w:num>
  <w:num w:numId="34">
    <w:abstractNumId w:val="27"/>
  </w:num>
  <w:num w:numId="35">
    <w:abstractNumId w:val="25"/>
  </w:num>
  <w:num w:numId="36">
    <w:abstractNumId w:val="7"/>
  </w:num>
  <w:num w:numId="37">
    <w:abstractNumId w:val="4"/>
  </w:num>
  <w:num w:numId="38">
    <w:abstractNumId w:val="8"/>
  </w:num>
  <w:num w:numId="39">
    <w:abstractNumId w:val="8"/>
  </w:num>
  <w:num w:numId="40">
    <w:abstractNumId w:val="15"/>
  </w:num>
  <w:num w:numId="41">
    <w:abstractNumId w:val="15"/>
  </w:num>
  <w:num w:numId="42">
    <w:abstractNumId w:val="15"/>
  </w:num>
  <w:num w:numId="43">
    <w:abstractNumId w:val="15"/>
  </w:num>
  <w:num w:numId="44">
    <w:abstractNumId w:val="15"/>
  </w:num>
  <w:num w:numId="45">
    <w:abstractNumId w:val="3"/>
  </w:num>
  <w:num w:numId="46">
    <w:abstractNumId w:val="17"/>
  </w:num>
  <w:num w:numId="47">
    <w:abstractNumId w:val="15"/>
  </w:num>
  <w:num w:numId="4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40"/>
  <w:evenAndOddHeaders/>
  <w:drawingGridHorizontalSpacing w:val="13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hild protection services"/>
    <w:docVar w:name="ShortReportTitle" w:val="Report on Government Services 2019"/>
    <w:docVar w:name="SideNote" w:val="1"/>
    <w:docVar w:name="UseShortChapter" w:val="0"/>
    <w:docVar w:name="UseShortReport" w:val="0"/>
  </w:docVars>
  <w:rsids>
    <w:rsidRoot w:val="00B35BD8"/>
    <w:rsid w:val="00000178"/>
    <w:rsid w:val="00000276"/>
    <w:rsid w:val="00000293"/>
    <w:rsid w:val="0000057F"/>
    <w:rsid w:val="00000721"/>
    <w:rsid w:val="000007C3"/>
    <w:rsid w:val="000016DD"/>
    <w:rsid w:val="000027A3"/>
    <w:rsid w:val="00002DFF"/>
    <w:rsid w:val="00004795"/>
    <w:rsid w:val="00004C0A"/>
    <w:rsid w:val="00004D06"/>
    <w:rsid w:val="00004FC9"/>
    <w:rsid w:val="00005A73"/>
    <w:rsid w:val="00005C41"/>
    <w:rsid w:val="00005E47"/>
    <w:rsid w:val="00006B2D"/>
    <w:rsid w:val="00006B6A"/>
    <w:rsid w:val="00006CC6"/>
    <w:rsid w:val="00006D6F"/>
    <w:rsid w:val="00006E1E"/>
    <w:rsid w:val="00006F10"/>
    <w:rsid w:val="000073E4"/>
    <w:rsid w:val="00007896"/>
    <w:rsid w:val="00007A34"/>
    <w:rsid w:val="00007DA8"/>
    <w:rsid w:val="00007F78"/>
    <w:rsid w:val="000104D3"/>
    <w:rsid w:val="000105BE"/>
    <w:rsid w:val="00010A23"/>
    <w:rsid w:val="00010FEE"/>
    <w:rsid w:val="0001125B"/>
    <w:rsid w:val="000112F4"/>
    <w:rsid w:val="0001183D"/>
    <w:rsid w:val="0001185B"/>
    <w:rsid w:val="00011B2A"/>
    <w:rsid w:val="000123E2"/>
    <w:rsid w:val="00012454"/>
    <w:rsid w:val="00012498"/>
    <w:rsid w:val="00012746"/>
    <w:rsid w:val="000131B8"/>
    <w:rsid w:val="000133C7"/>
    <w:rsid w:val="0001384D"/>
    <w:rsid w:val="00013B6F"/>
    <w:rsid w:val="00013F5D"/>
    <w:rsid w:val="00014105"/>
    <w:rsid w:val="000146EB"/>
    <w:rsid w:val="00015128"/>
    <w:rsid w:val="000151EF"/>
    <w:rsid w:val="00016287"/>
    <w:rsid w:val="00016929"/>
    <w:rsid w:val="00016BA3"/>
    <w:rsid w:val="0001765F"/>
    <w:rsid w:val="0001789E"/>
    <w:rsid w:val="000178D1"/>
    <w:rsid w:val="00017C08"/>
    <w:rsid w:val="000205E1"/>
    <w:rsid w:val="000206B8"/>
    <w:rsid w:val="00020903"/>
    <w:rsid w:val="00020A26"/>
    <w:rsid w:val="00020CA5"/>
    <w:rsid w:val="000216C4"/>
    <w:rsid w:val="00021FEA"/>
    <w:rsid w:val="000222B1"/>
    <w:rsid w:val="000226A8"/>
    <w:rsid w:val="000227FE"/>
    <w:rsid w:val="000228B4"/>
    <w:rsid w:val="00022953"/>
    <w:rsid w:val="00022D8D"/>
    <w:rsid w:val="00022DF7"/>
    <w:rsid w:val="000231B9"/>
    <w:rsid w:val="000234E2"/>
    <w:rsid w:val="0002361F"/>
    <w:rsid w:val="000239D2"/>
    <w:rsid w:val="00023DD4"/>
    <w:rsid w:val="00023E59"/>
    <w:rsid w:val="00023F48"/>
    <w:rsid w:val="0002414F"/>
    <w:rsid w:val="000241F1"/>
    <w:rsid w:val="000243BC"/>
    <w:rsid w:val="0002452C"/>
    <w:rsid w:val="00025044"/>
    <w:rsid w:val="000252D7"/>
    <w:rsid w:val="0002546A"/>
    <w:rsid w:val="00025E5F"/>
    <w:rsid w:val="000260ED"/>
    <w:rsid w:val="000266C7"/>
    <w:rsid w:val="000267AB"/>
    <w:rsid w:val="0002736E"/>
    <w:rsid w:val="00027A0A"/>
    <w:rsid w:val="00027B75"/>
    <w:rsid w:val="0003027E"/>
    <w:rsid w:val="000303BA"/>
    <w:rsid w:val="00030539"/>
    <w:rsid w:val="00030AF4"/>
    <w:rsid w:val="00030D9F"/>
    <w:rsid w:val="00030E45"/>
    <w:rsid w:val="00031304"/>
    <w:rsid w:val="000314F7"/>
    <w:rsid w:val="00031625"/>
    <w:rsid w:val="00031983"/>
    <w:rsid w:val="00031EDE"/>
    <w:rsid w:val="00031F27"/>
    <w:rsid w:val="00031F77"/>
    <w:rsid w:val="00032030"/>
    <w:rsid w:val="00032434"/>
    <w:rsid w:val="00032889"/>
    <w:rsid w:val="00032C5B"/>
    <w:rsid w:val="000334C0"/>
    <w:rsid w:val="00033816"/>
    <w:rsid w:val="00034096"/>
    <w:rsid w:val="00034137"/>
    <w:rsid w:val="00034613"/>
    <w:rsid w:val="00034B96"/>
    <w:rsid w:val="00034F5E"/>
    <w:rsid w:val="00034FD4"/>
    <w:rsid w:val="0003539D"/>
    <w:rsid w:val="00035606"/>
    <w:rsid w:val="00035739"/>
    <w:rsid w:val="00035B88"/>
    <w:rsid w:val="00035FFD"/>
    <w:rsid w:val="000362FE"/>
    <w:rsid w:val="00036581"/>
    <w:rsid w:val="000365EB"/>
    <w:rsid w:val="00036FFF"/>
    <w:rsid w:val="000374C0"/>
    <w:rsid w:val="00037A05"/>
    <w:rsid w:val="00037B93"/>
    <w:rsid w:val="00040188"/>
    <w:rsid w:val="00040340"/>
    <w:rsid w:val="000405B6"/>
    <w:rsid w:val="000405C9"/>
    <w:rsid w:val="00040759"/>
    <w:rsid w:val="00041B71"/>
    <w:rsid w:val="00041CCB"/>
    <w:rsid w:val="000427E2"/>
    <w:rsid w:val="000429F9"/>
    <w:rsid w:val="00042C0F"/>
    <w:rsid w:val="00042E95"/>
    <w:rsid w:val="00043253"/>
    <w:rsid w:val="0004335B"/>
    <w:rsid w:val="00043698"/>
    <w:rsid w:val="0004371C"/>
    <w:rsid w:val="00043734"/>
    <w:rsid w:val="00043D99"/>
    <w:rsid w:val="00043DA6"/>
    <w:rsid w:val="00043F2D"/>
    <w:rsid w:val="00044036"/>
    <w:rsid w:val="000443E2"/>
    <w:rsid w:val="00044474"/>
    <w:rsid w:val="00045302"/>
    <w:rsid w:val="00045B10"/>
    <w:rsid w:val="00045D4B"/>
    <w:rsid w:val="00045E1D"/>
    <w:rsid w:val="00046738"/>
    <w:rsid w:val="00047189"/>
    <w:rsid w:val="00047511"/>
    <w:rsid w:val="00047D24"/>
    <w:rsid w:val="00050001"/>
    <w:rsid w:val="0005057E"/>
    <w:rsid w:val="00050F56"/>
    <w:rsid w:val="00051184"/>
    <w:rsid w:val="000511DB"/>
    <w:rsid w:val="00051257"/>
    <w:rsid w:val="0005140F"/>
    <w:rsid w:val="00051439"/>
    <w:rsid w:val="000514F7"/>
    <w:rsid w:val="0005187A"/>
    <w:rsid w:val="00051B7B"/>
    <w:rsid w:val="00051C06"/>
    <w:rsid w:val="00051F32"/>
    <w:rsid w:val="00051FD6"/>
    <w:rsid w:val="0005274B"/>
    <w:rsid w:val="00053B07"/>
    <w:rsid w:val="00053B3B"/>
    <w:rsid w:val="00053CCF"/>
    <w:rsid w:val="00054B91"/>
    <w:rsid w:val="00054C95"/>
    <w:rsid w:val="00054DEE"/>
    <w:rsid w:val="00054FA3"/>
    <w:rsid w:val="000554F4"/>
    <w:rsid w:val="0005571E"/>
    <w:rsid w:val="00055791"/>
    <w:rsid w:val="00055E8C"/>
    <w:rsid w:val="00055E96"/>
    <w:rsid w:val="00056C30"/>
    <w:rsid w:val="00057050"/>
    <w:rsid w:val="00057250"/>
    <w:rsid w:val="000575B5"/>
    <w:rsid w:val="00057B85"/>
    <w:rsid w:val="00060103"/>
    <w:rsid w:val="0006029A"/>
    <w:rsid w:val="0006071C"/>
    <w:rsid w:val="00060894"/>
    <w:rsid w:val="00061021"/>
    <w:rsid w:val="00061157"/>
    <w:rsid w:val="00061391"/>
    <w:rsid w:val="000617EB"/>
    <w:rsid w:val="00061E16"/>
    <w:rsid w:val="00062382"/>
    <w:rsid w:val="00062470"/>
    <w:rsid w:val="00062CEE"/>
    <w:rsid w:val="000636CB"/>
    <w:rsid w:val="00063AA8"/>
    <w:rsid w:val="0006449E"/>
    <w:rsid w:val="00064867"/>
    <w:rsid w:val="000650C6"/>
    <w:rsid w:val="00065332"/>
    <w:rsid w:val="00065647"/>
    <w:rsid w:val="0006568D"/>
    <w:rsid w:val="000658F0"/>
    <w:rsid w:val="00066049"/>
    <w:rsid w:val="0006650C"/>
    <w:rsid w:val="00066DCD"/>
    <w:rsid w:val="00066F15"/>
    <w:rsid w:val="00067133"/>
    <w:rsid w:val="000676A9"/>
    <w:rsid w:val="00067753"/>
    <w:rsid w:val="00067765"/>
    <w:rsid w:val="00067CEE"/>
    <w:rsid w:val="00067D5F"/>
    <w:rsid w:val="00070407"/>
    <w:rsid w:val="00070AE3"/>
    <w:rsid w:val="00070B19"/>
    <w:rsid w:val="000712E6"/>
    <w:rsid w:val="000713CB"/>
    <w:rsid w:val="00071490"/>
    <w:rsid w:val="000717C1"/>
    <w:rsid w:val="00071807"/>
    <w:rsid w:val="00071A45"/>
    <w:rsid w:val="00071C25"/>
    <w:rsid w:val="00071D02"/>
    <w:rsid w:val="00072DFE"/>
    <w:rsid w:val="0007305C"/>
    <w:rsid w:val="000733EA"/>
    <w:rsid w:val="000734B9"/>
    <w:rsid w:val="000735B1"/>
    <w:rsid w:val="000742A2"/>
    <w:rsid w:val="00074E81"/>
    <w:rsid w:val="00074F43"/>
    <w:rsid w:val="000753E6"/>
    <w:rsid w:val="000754DD"/>
    <w:rsid w:val="00075CE5"/>
    <w:rsid w:val="000762CC"/>
    <w:rsid w:val="00076454"/>
    <w:rsid w:val="000769FB"/>
    <w:rsid w:val="00076A21"/>
    <w:rsid w:val="00077DA5"/>
    <w:rsid w:val="00080120"/>
    <w:rsid w:val="000802CC"/>
    <w:rsid w:val="0008047A"/>
    <w:rsid w:val="000804DC"/>
    <w:rsid w:val="00080586"/>
    <w:rsid w:val="0008063F"/>
    <w:rsid w:val="000809AE"/>
    <w:rsid w:val="00080B5A"/>
    <w:rsid w:val="00081079"/>
    <w:rsid w:val="00081861"/>
    <w:rsid w:val="00081A6A"/>
    <w:rsid w:val="00081AEF"/>
    <w:rsid w:val="0008236F"/>
    <w:rsid w:val="00082709"/>
    <w:rsid w:val="00083453"/>
    <w:rsid w:val="00083A29"/>
    <w:rsid w:val="00083B14"/>
    <w:rsid w:val="00083DF7"/>
    <w:rsid w:val="000845B4"/>
    <w:rsid w:val="00084B24"/>
    <w:rsid w:val="00085B79"/>
    <w:rsid w:val="00085DD1"/>
    <w:rsid w:val="00086927"/>
    <w:rsid w:val="00086A96"/>
    <w:rsid w:val="00086B73"/>
    <w:rsid w:val="00086DA0"/>
    <w:rsid w:val="000877B8"/>
    <w:rsid w:val="00087C0F"/>
    <w:rsid w:val="00087CFE"/>
    <w:rsid w:val="00090D51"/>
    <w:rsid w:val="00090F60"/>
    <w:rsid w:val="00092064"/>
    <w:rsid w:val="00092241"/>
    <w:rsid w:val="00092351"/>
    <w:rsid w:val="00092592"/>
    <w:rsid w:val="00092A3C"/>
    <w:rsid w:val="00092E3C"/>
    <w:rsid w:val="00093016"/>
    <w:rsid w:val="00093657"/>
    <w:rsid w:val="0009368B"/>
    <w:rsid w:val="00093C5D"/>
    <w:rsid w:val="00093D30"/>
    <w:rsid w:val="00094BB7"/>
    <w:rsid w:val="00094CE1"/>
    <w:rsid w:val="00095543"/>
    <w:rsid w:val="00095CDA"/>
    <w:rsid w:val="00095E93"/>
    <w:rsid w:val="000961FD"/>
    <w:rsid w:val="000966D9"/>
    <w:rsid w:val="00096993"/>
    <w:rsid w:val="00096F7B"/>
    <w:rsid w:val="000975DF"/>
    <w:rsid w:val="00097A6C"/>
    <w:rsid w:val="00097D6E"/>
    <w:rsid w:val="000A038A"/>
    <w:rsid w:val="000A0753"/>
    <w:rsid w:val="000A0769"/>
    <w:rsid w:val="000A0821"/>
    <w:rsid w:val="000A0A71"/>
    <w:rsid w:val="000A0E0E"/>
    <w:rsid w:val="000A1C8F"/>
    <w:rsid w:val="000A2020"/>
    <w:rsid w:val="000A22AF"/>
    <w:rsid w:val="000A23F4"/>
    <w:rsid w:val="000A2CA8"/>
    <w:rsid w:val="000A2D86"/>
    <w:rsid w:val="000A2E34"/>
    <w:rsid w:val="000A3071"/>
    <w:rsid w:val="000A3157"/>
    <w:rsid w:val="000A3346"/>
    <w:rsid w:val="000A3AF3"/>
    <w:rsid w:val="000A3F12"/>
    <w:rsid w:val="000A3FB4"/>
    <w:rsid w:val="000A52AA"/>
    <w:rsid w:val="000A5C99"/>
    <w:rsid w:val="000A5E9B"/>
    <w:rsid w:val="000A5EAD"/>
    <w:rsid w:val="000A5FFB"/>
    <w:rsid w:val="000A6662"/>
    <w:rsid w:val="000A6BB4"/>
    <w:rsid w:val="000A6C2D"/>
    <w:rsid w:val="000A6CA2"/>
    <w:rsid w:val="000A7FD2"/>
    <w:rsid w:val="000B0C4F"/>
    <w:rsid w:val="000B0E72"/>
    <w:rsid w:val="000B13FE"/>
    <w:rsid w:val="000B150E"/>
    <w:rsid w:val="000B17C5"/>
    <w:rsid w:val="000B217E"/>
    <w:rsid w:val="000B24D9"/>
    <w:rsid w:val="000B2636"/>
    <w:rsid w:val="000B2681"/>
    <w:rsid w:val="000B29DF"/>
    <w:rsid w:val="000B2B66"/>
    <w:rsid w:val="000B2CBD"/>
    <w:rsid w:val="000B30CC"/>
    <w:rsid w:val="000B35FC"/>
    <w:rsid w:val="000B3919"/>
    <w:rsid w:val="000B3A57"/>
    <w:rsid w:val="000B3AE3"/>
    <w:rsid w:val="000B3F02"/>
    <w:rsid w:val="000B42D9"/>
    <w:rsid w:val="000B46A9"/>
    <w:rsid w:val="000B48A6"/>
    <w:rsid w:val="000B5BCC"/>
    <w:rsid w:val="000B62AD"/>
    <w:rsid w:val="000B7545"/>
    <w:rsid w:val="000B7C97"/>
    <w:rsid w:val="000B7E20"/>
    <w:rsid w:val="000C0140"/>
    <w:rsid w:val="000C02E2"/>
    <w:rsid w:val="000C050F"/>
    <w:rsid w:val="000C095F"/>
    <w:rsid w:val="000C0E53"/>
    <w:rsid w:val="000C1F40"/>
    <w:rsid w:val="000C2475"/>
    <w:rsid w:val="000C29D1"/>
    <w:rsid w:val="000C2F45"/>
    <w:rsid w:val="000C3224"/>
    <w:rsid w:val="000C3C3A"/>
    <w:rsid w:val="000C3E37"/>
    <w:rsid w:val="000C3EE8"/>
    <w:rsid w:val="000C4037"/>
    <w:rsid w:val="000C431C"/>
    <w:rsid w:val="000C4429"/>
    <w:rsid w:val="000C4611"/>
    <w:rsid w:val="000C465C"/>
    <w:rsid w:val="000C4CCB"/>
    <w:rsid w:val="000C5B84"/>
    <w:rsid w:val="000C5DE2"/>
    <w:rsid w:val="000C5F11"/>
    <w:rsid w:val="000C651A"/>
    <w:rsid w:val="000C6638"/>
    <w:rsid w:val="000C6BE5"/>
    <w:rsid w:val="000C7359"/>
    <w:rsid w:val="000C7373"/>
    <w:rsid w:val="000C76D4"/>
    <w:rsid w:val="000C78D9"/>
    <w:rsid w:val="000C79EF"/>
    <w:rsid w:val="000C7B6E"/>
    <w:rsid w:val="000C7CEC"/>
    <w:rsid w:val="000D0248"/>
    <w:rsid w:val="000D039A"/>
    <w:rsid w:val="000D0848"/>
    <w:rsid w:val="000D118A"/>
    <w:rsid w:val="000D1952"/>
    <w:rsid w:val="000D1A7B"/>
    <w:rsid w:val="000D1CAD"/>
    <w:rsid w:val="000D1D88"/>
    <w:rsid w:val="000D2318"/>
    <w:rsid w:val="000D285E"/>
    <w:rsid w:val="000D2D92"/>
    <w:rsid w:val="000D2F6C"/>
    <w:rsid w:val="000D3C6C"/>
    <w:rsid w:val="000D3E70"/>
    <w:rsid w:val="000D3EFA"/>
    <w:rsid w:val="000D40EE"/>
    <w:rsid w:val="000D446B"/>
    <w:rsid w:val="000D448F"/>
    <w:rsid w:val="000D4526"/>
    <w:rsid w:val="000D4577"/>
    <w:rsid w:val="000D46E6"/>
    <w:rsid w:val="000D4D6C"/>
    <w:rsid w:val="000D579E"/>
    <w:rsid w:val="000D5A0F"/>
    <w:rsid w:val="000D5A53"/>
    <w:rsid w:val="000D5B72"/>
    <w:rsid w:val="000D5C46"/>
    <w:rsid w:val="000D5E6A"/>
    <w:rsid w:val="000D605F"/>
    <w:rsid w:val="000D619B"/>
    <w:rsid w:val="000D6295"/>
    <w:rsid w:val="000D6500"/>
    <w:rsid w:val="000D6A0D"/>
    <w:rsid w:val="000D73CC"/>
    <w:rsid w:val="000D7A3D"/>
    <w:rsid w:val="000D7A7D"/>
    <w:rsid w:val="000D7E95"/>
    <w:rsid w:val="000E0093"/>
    <w:rsid w:val="000E0555"/>
    <w:rsid w:val="000E07BF"/>
    <w:rsid w:val="000E0A3E"/>
    <w:rsid w:val="000E0C6B"/>
    <w:rsid w:val="000E0D68"/>
    <w:rsid w:val="000E0D89"/>
    <w:rsid w:val="000E0E22"/>
    <w:rsid w:val="000E115A"/>
    <w:rsid w:val="000E14BA"/>
    <w:rsid w:val="000E152F"/>
    <w:rsid w:val="000E1687"/>
    <w:rsid w:val="000E1A49"/>
    <w:rsid w:val="000E1BE1"/>
    <w:rsid w:val="000E1DDC"/>
    <w:rsid w:val="000E29AF"/>
    <w:rsid w:val="000E3472"/>
    <w:rsid w:val="000E3502"/>
    <w:rsid w:val="000E35E4"/>
    <w:rsid w:val="000E3891"/>
    <w:rsid w:val="000E4248"/>
    <w:rsid w:val="000E437F"/>
    <w:rsid w:val="000E439E"/>
    <w:rsid w:val="000E4D62"/>
    <w:rsid w:val="000E4DD8"/>
    <w:rsid w:val="000E50CA"/>
    <w:rsid w:val="000E5301"/>
    <w:rsid w:val="000E5799"/>
    <w:rsid w:val="000E5C3D"/>
    <w:rsid w:val="000E603D"/>
    <w:rsid w:val="000E6177"/>
    <w:rsid w:val="000E64E1"/>
    <w:rsid w:val="000E7703"/>
    <w:rsid w:val="000F0643"/>
    <w:rsid w:val="000F0C18"/>
    <w:rsid w:val="000F0C78"/>
    <w:rsid w:val="000F0CDF"/>
    <w:rsid w:val="000F0F68"/>
    <w:rsid w:val="000F178F"/>
    <w:rsid w:val="000F21B7"/>
    <w:rsid w:val="000F2749"/>
    <w:rsid w:val="000F27A4"/>
    <w:rsid w:val="000F2B54"/>
    <w:rsid w:val="000F2BC0"/>
    <w:rsid w:val="000F3114"/>
    <w:rsid w:val="000F3192"/>
    <w:rsid w:val="000F3652"/>
    <w:rsid w:val="000F370E"/>
    <w:rsid w:val="000F3866"/>
    <w:rsid w:val="000F3ABB"/>
    <w:rsid w:val="000F3F21"/>
    <w:rsid w:val="000F41AF"/>
    <w:rsid w:val="000F46F1"/>
    <w:rsid w:val="000F4BFC"/>
    <w:rsid w:val="000F4D93"/>
    <w:rsid w:val="000F582D"/>
    <w:rsid w:val="000F61BD"/>
    <w:rsid w:val="000F65BB"/>
    <w:rsid w:val="000F65C4"/>
    <w:rsid w:val="000F6660"/>
    <w:rsid w:val="000F6895"/>
    <w:rsid w:val="000F6D51"/>
    <w:rsid w:val="000F6E42"/>
    <w:rsid w:val="000F74ED"/>
    <w:rsid w:val="000F78CE"/>
    <w:rsid w:val="000F7A2F"/>
    <w:rsid w:val="000F7A3A"/>
    <w:rsid w:val="000F7EB1"/>
    <w:rsid w:val="00100003"/>
    <w:rsid w:val="001007C0"/>
    <w:rsid w:val="00100EDA"/>
    <w:rsid w:val="00101315"/>
    <w:rsid w:val="00101B43"/>
    <w:rsid w:val="0010206B"/>
    <w:rsid w:val="0010216A"/>
    <w:rsid w:val="00102488"/>
    <w:rsid w:val="00102EBF"/>
    <w:rsid w:val="00102F87"/>
    <w:rsid w:val="00103540"/>
    <w:rsid w:val="00103658"/>
    <w:rsid w:val="00103830"/>
    <w:rsid w:val="00105503"/>
    <w:rsid w:val="00105547"/>
    <w:rsid w:val="001056FC"/>
    <w:rsid w:val="001066B6"/>
    <w:rsid w:val="00107514"/>
    <w:rsid w:val="0010762A"/>
    <w:rsid w:val="0010799F"/>
    <w:rsid w:val="00107A9C"/>
    <w:rsid w:val="001103B9"/>
    <w:rsid w:val="0011063C"/>
    <w:rsid w:val="00110D20"/>
    <w:rsid w:val="001114CA"/>
    <w:rsid w:val="00111A6D"/>
    <w:rsid w:val="00111D00"/>
    <w:rsid w:val="0011201F"/>
    <w:rsid w:val="0011220D"/>
    <w:rsid w:val="00112542"/>
    <w:rsid w:val="0011276B"/>
    <w:rsid w:val="00112992"/>
    <w:rsid w:val="0011337B"/>
    <w:rsid w:val="0011372F"/>
    <w:rsid w:val="001137B5"/>
    <w:rsid w:val="001139DD"/>
    <w:rsid w:val="00113ABB"/>
    <w:rsid w:val="00113DAE"/>
    <w:rsid w:val="001143B4"/>
    <w:rsid w:val="00114417"/>
    <w:rsid w:val="00114638"/>
    <w:rsid w:val="00114C48"/>
    <w:rsid w:val="00115C34"/>
    <w:rsid w:val="001162A3"/>
    <w:rsid w:val="00116344"/>
    <w:rsid w:val="001165AC"/>
    <w:rsid w:val="00116F37"/>
    <w:rsid w:val="001171AA"/>
    <w:rsid w:val="0011798E"/>
    <w:rsid w:val="00117DF5"/>
    <w:rsid w:val="001200F4"/>
    <w:rsid w:val="001209D8"/>
    <w:rsid w:val="001209FB"/>
    <w:rsid w:val="00120AC2"/>
    <w:rsid w:val="00120EB8"/>
    <w:rsid w:val="00121055"/>
    <w:rsid w:val="0012127E"/>
    <w:rsid w:val="0012207F"/>
    <w:rsid w:val="00122478"/>
    <w:rsid w:val="0012281D"/>
    <w:rsid w:val="00122B7A"/>
    <w:rsid w:val="001231B7"/>
    <w:rsid w:val="001234F1"/>
    <w:rsid w:val="001235A0"/>
    <w:rsid w:val="001237DF"/>
    <w:rsid w:val="00123ADF"/>
    <w:rsid w:val="00123DDD"/>
    <w:rsid w:val="00123EF3"/>
    <w:rsid w:val="001246EE"/>
    <w:rsid w:val="00124855"/>
    <w:rsid w:val="001249A6"/>
    <w:rsid w:val="00124AB3"/>
    <w:rsid w:val="00124AC5"/>
    <w:rsid w:val="00124C6C"/>
    <w:rsid w:val="00124DB9"/>
    <w:rsid w:val="00124F09"/>
    <w:rsid w:val="0012504B"/>
    <w:rsid w:val="00125061"/>
    <w:rsid w:val="00125118"/>
    <w:rsid w:val="001252A7"/>
    <w:rsid w:val="0012548B"/>
    <w:rsid w:val="00125746"/>
    <w:rsid w:val="00125B61"/>
    <w:rsid w:val="00125EED"/>
    <w:rsid w:val="0012665F"/>
    <w:rsid w:val="00126680"/>
    <w:rsid w:val="00127946"/>
    <w:rsid w:val="00127AD0"/>
    <w:rsid w:val="00127E28"/>
    <w:rsid w:val="0013009A"/>
    <w:rsid w:val="00130A3E"/>
    <w:rsid w:val="00131242"/>
    <w:rsid w:val="00131347"/>
    <w:rsid w:val="001315CB"/>
    <w:rsid w:val="00131677"/>
    <w:rsid w:val="001316F9"/>
    <w:rsid w:val="001318C4"/>
    <w:rsid w:val="001319CA"/>
    <w:rsid w:val="00131E54"/>
    <w:rsid w:val="0013200C"/>
    <w:rsid w:val="00132600"/>
    <w:rsid w:val="00132724"/>
    <w:rsid w:val="00133868"/>
    <w:rsid w:val="00133905"/>
    <w:rsid w:val="001339B5"/>
    <w:rsid w:val="00133A95"/>
    <w:rsid w:val="00133C67"/>
    <w:rsid w:val="00133C72"/>
    <w:rsid w:val="001346C8"/>
    <w:rsid w:val="001348BE"/>
    <w:rsid w:val="001348DA"/>
    <w:rsid w:val="00134B6A"/>
    <w:rsid w:val="00134BA6"/>
    <w:rsid w:val="00135389"/>
    <w:rsid w:val="00135476"/>
    <w:rsid w:val="00135B36"/>
    <w:rsid w:val="00136004"/>
    <w:rsid w:val="001360BD"/>
    <w:rsid w:val="00136415"/>
    <w:rsid w:val="00136695"/>
    <w:rsid w:val="00136B70"/>
    <w:rsid w:val="00136EE5"/>
    <w:rsid w:val="001378E8"/>
    <w:rsid w:val="001400DE"/>
    <w:rsid w:val="001406F7"/>
    <w:rsid w:val="00140AC4"/>
    <w:rsid w:val="00140D05"/>
    <w:rsid w:val="001414D6"/>
    <w:rsid w:val="00141B78"/>
    <w:rsid w:val="00141BBC"/>
    <w:rsid w:val="00141CAA"/>
    <w:rsid w:val="00141CD3"/>
    <w:rsid w:val="0014212F"/>
    <w:rsid w:val="001421F8"/>
    <w:rsid w:val="00142340"/>
    <w:rsid w:val="00142351"/>
    <w:rsid w:val="001424FB"/>
    <w:rsid w:val="001427E5"/>
    <w:rsid w:val="00142AA1"/>
    <w:rsid w:val="00143638"/>
    <w:rsid w:val="001436FA"/>
    <w:rsid w:val="001437A3"/>
    <w:rsid w:val="00143B1A"/>
    <w:rsid w:val="001443E6"/>
    <w:rsid w:val="00144509"/>
    <w:rsid w:val="001448E9"/>
    <w:rsid w:val="001452A1"/>
    <w:rsid w:val="00145345"/>
    <w:rsid w:val="001457CC"/>
    <w:rsid w:val="00145FA1"/>
    <w:rsid w:val="00146107"/>
    <w:rsid w:val="001462C7"/>
    <w:rsid w:val="0014697E"/>
    <w:rsid w:val="00146D93"/>
    <w:rsid w:val="00147206"/>
    <w:rsid w:val="00147F6D"/>
    <w:rsid w:val="00147FE0"/>
    <w:rsid w:val="0015038F"/>
    <w:rsid w:val="001507C9"/>
    <w:rsid w:val="001512BA"/>
    <w:rsid w:val="0015162E"/>
    <w:rsid w:val="00151905"/>
    <w:rsid w:val="00151931"/>
    <w:rsid w:val="001521DE"/>
    <w:rsid w:val="001522BF"/>
    <w:rsid w:val="001525C6"/>
    <w:rsid w:val="00152715"/>
    <w:rsid w:val="001528FF"/>
    <w:rsid w:val="00152F6B"/>
    <w:rsid w:val="00154492"/>
    <w:rsid w:val="0015494F"/>
    <w:rsid w:val="00154984"/>
    <w:rsid w:val="00154D9A"/>
    <w:rsid w:val="00154DCC"/>
    <w:rsid w:val="00154F10"/>
    <w:rsid w:val="0015554C"/>
    <w:rsid w:val="0015565F"/>
    <w:rsid w:val="00155B4D"/>
    <w:rsid w:val="00155D73"/>
    <w:rsid w:val="00155FDE"/>
    <w:rsid w:val="001561DE"/>
    <w:rsid w:val="00156C1A"/>
    <w:rsid w:val="00156D55"/>
    <w:rsid w:val="001570DC"/>
    <w:rsid w:val="001575AA"/>
    <w:rsid w:val="001577B1"/>
    <w:rsid w:val="00157DB3"/>
    <w:rsid w:val="0016096B"/>
    <w:rsid w:val="00160CFB"/>
    <w:rsid w:val="00160D83"/>
    <w:rsid w:val="0016100A"/>
    <w:rsid w:val="00161873"/>
    <w:rsid w:val="00161B30"/>
    <w:rsid w:val="00161CC1"/>
    <w:rsid w:val="0016209C"/>
    <w:rsid w:val="0016294C"/>
    <w:rsid w:val="00162D91"/>
    <w:rsid w:val="00163115"/>
    <w:rsid w:val="001631ED"/>
    <w:rsid w:val="00163654"/>
    <w:rsid w:val="001636B6"/>
    <w:rsid w:val="001636CC"/>
    <w:rsid w:val="0016384A"/>
    <w:rsid w:val="00163B6B"/>
    <w:rsid w:val="00163EA1"/>
    <w:rsid w:val="00163FF6"/>
    <w:rsid w:val="0016419B"/>
    <w:rsid w:val="001648EC"/>
    <w:rsid w:val="00165248"/>
    <w:rsid w:val="001656BB"/>
    <w:rsid w:val="001656FB"/>
    <w:rsid w:val="00165938"/>
    <w:rsid w:val="00165B37"/>
    <w:rsid w:val="001660E9"/>
    <w:rsid w:val="00166891"/>
    <w:rsid w:val="00166C84"/>
    <w:rsid w:val="00166F88"/>
    <w:rsid w:val="00166F9B"/>
    <w:rsid w:val="00166FC6"/>
    <w:rsid w:val="0017034C"/>
    <w:rsid w:val="0017069C"/>
    <w:rsid w:val="00171029"/>
    <w:rsid w:val="00171397"/>
    <w:rsid w:val="0017145D"/>
    <w:rsid w:val="00171859"/>
    <w:rsid w:val="00171B2A"/>
    <w:rsid w:val="00171D16"/>
    <w:rsid w:val="00171E41"/>
    <w:rsid w:val="0017206D"/>
    <w:rsid w:val="00172430"/>
    <w:rsid w:val="00172A5F"/>
    <w:rsid w:val="00172B95"/>
    <w:rsid w:val="00172E13"/>
    <w:rsid w:val="001730BC"/>
    <w:rsid w:val="001738C6"/>
    <w:rsid w:val="00173CAC"/>
    <w:rsid w:val="00173F92"/>
    <w:rsid w:val="001745A4"/>
    <w:rsid w:val="00174AF5"/>
    <w:rsid w:val="00174F2C"/>
    <w:rsid w:val="00175869"/>
    <w:rsid w:val="00175892"/>
    <w:rsid w:val="00175A37"/>
    <w:rsid w:val="00175E03"/>
    <w:rsid w:val="00175FD9"/>
    <w:rsid w:val="001761B5"/>
    <w:rsid w:val="001764CA"/>
    <w:rsid w:val="00176A50"/>
    <w:rsid w:val="00176DD9"/>
    <w:rsid w:val="0017757C"/>
    <w:rsid w:val="00180578"/>
    <w:rsid w:val="0018070A"/>
    <w:rsid w:val="00180B10"/>
    <w:rsid w:val="001811E1"/>
    <w:rsid w:val="00181EC3"/>
    <w:rsid w:val="00182395"/>
    <w:rsid w:val="001824B9"/>
    <w:rsid w:val="001826FC"/>
    <w:rsid w:val="0018366F"/>
    <w:rsid w:val="00184436"/>
    <w:rsid w:val="001846EE"/>
    <w:rsid w:val="001851FE"/>
    <w:rsid w:val="001857F6"/>
    <w:rsid w:val="0018594C"/>
    <w:rsid w:val="00185C1F"/>
    <w:rsid w:val="001861EC"/>
    <w:rsid w:val="00186508"/>
    <w:rsid w:val="0018697D"/>
    <w:rsid w:val="00186B84"/>
    <w:rsid w:val="00186C07"/>
    <w:rsid w:val="00187352"/>
    <w:rsid w:val="00187683"/>
    <w:rsid w:val="0018769E"/>
    <w:rsid w:val="0018778C"/>
    <w:rsid w:val="001878B0"/>
    <w:rsid w:val="00187908"/>
    <w:rsid w:val="00187DDF"/>
    <w:rsid w:val="001908FF"/>
    <w:rsid w:val="00190B16"/>
    <w:rsid w:val="00190C25"/>
    <w:rsid w:val="00191322"/>
    <w:rsid w:val="0019135D"/>
    <w:rsid w:val="00191DF6"/>
    <w:rsid w:val="00191E38"/>
    <w:rsid w:val="0019223F"/>
    <w:rsid w:val="0019262A"/>
    <w:rsid w:val="00192BE4"/>
    <w:rsid w:val="00192CAF"/>
    <w:rsid w:val="00192FCB"/>
    <w:rsid w:val="00193189"/>
    <w:rsid w:val="0019333F"/>
    <w:rsid w:val="00193518"/>
    <w:rsid w:val="001937E8"/>
    <w:rsid w:val="00193AC3"/>
    <w:rsid w:val="00193DC0"/>
    <w:rsid w:val="00193E22"/>
    <w:rsid w:val="00194030"/>
    <w:rsid w:val="00196F7B"/>
    <w:rsid w:val="0019737E"/>
    <w:rsid w:val="00197914"/>
    <w:rsid w:val="001979FB"/>
    <w:rsid w:val="00197AB7"/>
    <w:rsid w:val="00197B1F"/>
    <w:rsid w:val="00197DCE"/>
    <w:rsid w:val="001A0446"/>
    <w:rsid w:val="001A0561"/>
    <w:rsid w:val="001A0A00"/>
    <w:rsid w:val="001A0B4B"/>
    <w:rsid w:val="001A0F72"/>
    <w:rsid w:val="001A12D5"/>
    <w:rsid w:val="001A1367"/>
    <w:rsid w:val="001A14A4"/>
    <w:rsid w:val="001A1BD0"/>
    <w:rsid w:val="001A1FA5"/>
    <w:rsid w:val="001A266E"/>
    <w:rsid w:val="001A2672"/>
    <w:rsid w:val="001A27A7"/>
    <w:rsid w:val="001A2953"/>
    <w:rsid w:val="001A2BDB"/>
    <w:rsid w:val="001A3260"/>
    <w:rsid w:val="001A32EA"/>
    <w:rsid w:val="001A3B4E"/>
    <w:rsid w:val="001A3B92"/>
    <w:rsid w:val="001A4290"/>
    <w:rsid w:val="001A45DB"/>
    <w:rsid w:val="001A4608"/>
    <w:rsid w:val="001A49E1"/>
    <w:rsid w:val="001A4A68"/>
    <w:rsid w:val="001A4D5B"/>
    <w:rsid w:val="001A5430"/>
    <w:rsid w:val="001A5978"/>
    <w:rsid w:val="001A5D45"/>
    <w:rsid w:val="001A632A"/>
    <w:rsid w:val="001A70D8"/>
    <w:rsid w:val="001A725F"/>
    <w:rsid w:val="001A7351"/>
    <w:rsid w:val="001B0565"/>
    <w:rsid w:val="001B1154"/>
    <w:rsid w:val="001B1784"/>
    <w:rsid w:val="001B2125"/>
    <w:rsid w:val="001B275C"/>
    <w:rsid w:val="001B2DFC"/>
    <w:rsid w:val="001B2FDC"/>
    <w:rsid w:val="001B3213"/>
    <w:rsid w:val="001B3556"/>
    <w:rsid w:val="001B373A"/>
    <w:rsid w:val="001B3BA8"/>
    <w:rsid w:val="001B3D3A"/>
    <w:rsid w:val="001B43DD"/>
    <w:rsid w:val="001B49D2"/>
    <w:rsid w:val="001B4A8E"/>
    <w:rsid w:val="001B4FD9"/>
    <w:rsid w:val="001B5322"/>
    <w:rsid w:val="001B592F"/>
    <w:rsid w:val="001B5B95"/>
    <w:rsid w:val="001B5C9A"/>
    <w:rsid w:val="001B68EA"/>
    <w:rsid w:val="001B6D13"/>
    <w:rsid w:val="001B713F"/>
    <w:rsid w:val="001B71A4"/>
    <w:rsid w:val="001B7504"/>
    <w:rsid w:val="001B7BFD"/>
    <w:rsid w:val="001B7C40"/>
    <w:rsid w:val="001B7D2B"/>
    <w:rsid w:val="001C09D7"/>
    <w:rsid w:val="001C12AE"/>
    <w:rsid w:val="001C161A"/>
    <w:rsid w:val="001C18EA"/>
    <w:rsid w:val="001C244C"/>
    <w:rsid w:val="001C2A85"/>
    <w:rsid w:val="001C30C8"/>
    <w:rsid w:val="001C36BD"/>
    <w:rsid w:val="001C3B49"/>
    <w:rsid w:val="001C432F"/>
    <w:rsid w:val="001C461A"/>
    <w:rsid w:val="001C4829"/>
    <w:rsid w:val="001C4C75"/>
    <w:rsid w:val="001C5BB2"/>
    <w:rsid w:val="001C5BEE"/>
    <w:rsid w:val="001C5E65"/>
    <w:rsid w:val="001C6086"/>
    <w:rsid w:val="001C6679"/>
    <w:rsid w:val="001C6789"/>
    <w:rsid w:val="001C68D9"/>
    <w:rsid w:val="001C68EB"/>
    <w:rsid w:val="001C700A"/>
    <w:rsid w:val="001C70B5"/>
    <w:rsid w:val="001C74E5"/>
    <w:rsid w:val="001C7549"/>
    <w:rsid w:val="001D043C"/>
    <w:rsid w:val="001D0511"/>
    <w:rsid w:val="001D0DF0"/>
    <w:rsid w:val="001D0F5C"/>
    <w:rsid w:val="001D1651"/>
    <w:rsid w:val="001D1C42"/>
    <w:rsid w:val="001D20D1"/>
    <w:rsid w:val="001D214A"/>
    <w:rsid w:val="001D2893"/>
    <w:rsid w:val="001D28B0"/>
    <w:rsid w:val="001D328B"/>
    <w:rsid w:val="001D4068"/>
    <w:rsid w:val="001D435D"/>
    <w:rsid w:val="001D43C3"/>
    <w:rsid w:val="001D446D"/>
    <w:rsid w:val="001D457E"/>
    <w:rsid w:val="001D45E6"/>
    <w:rsid w:val="001D4674"/>
    <w:rsid w:val="001D4714"/>
    <w:rsid w:val="001D49C5"/>
    <w:rsid w:val="001D4AEC"/>
    <w:rsid w:val="001D4B1F"/>
    <w:rsid w:val="001D5040"/>
    <w:rsid w:val="001D5223"/>
    <w:rsid w:val="001D5D0B"/>
    <w:rsid w:val="001D6158"/>
    <w:rsid w:val="001D6205"/>
    <w:rsid w:val="001D69D1"/>
    <w:rsid w:val="001D6A02"/>
    <w:rsid w:val="001D6A14"/>
    <w:rsid w:val="001D6A48"/>
    <w:rsid w:val="001D6D0B"/>
    <w:rsid w:val="001D717D"/>
    <w:rsid w:val="001D7A1B"/>
    <w:rsid w:val="001D7DFE"/>
    <w:rsid w:val="001D7FA1"/>
    <w:rsid w:val="001E0E97"/>
    <w:rsid w:val="001E1281"/>
    <w:rsid w:val="001E15B6"/>
    <w:rsid w:val="001E1625"/>
    <w:rsid w:val="001E1B64"/>
    <w:rsid w:val="001E1EB5"/>
    <w:rsid w:val="001E2113"/>
    <w:rsid w:val="001E216B"/>
    <w:rsid w:val="001E2339"/>
    <w:rsid w:val="001E2C58"/>
    <w:rsid w:val="001E316E"/>
    <w:rsid w:val="001E3366"/>
    <w:rsid w:val="001E3917"/>
    <w:rsid w:val="001E3B9E"/>
    <w:rsid w:val="001E47B5"/>
    <w:rsid w:val="001E4A0E"/>
    <w:rsid w:val="001E4E00"/>
    <w:rsid w:val="001E599D"/>
    <w:rsid w:val="001E60C3"/>
    <w:rsid w:val="001E61F6"/>
    <w:rsid w:val="001E6347"/>
    <w:rsid w:val="001E6D7F"/>
    <w:rsid w:val="001E6DCA"/>
    <w:rsid w:val="001E723E"/>
    <w:rsid w:val="001E75A0"/>
    <w:rsid w:val="001E77D7"/>
    <w:rsid w:val="001E7AB2"/>
    <w:rsid w:val="001E7C3D"/>
    <w:rsid w:val="001F04F2"/>
    <w:rsid w:val="001F06A8"/>
    <w:rsid w:val="001F06FF"/>
    <w:rsid w:val="001F07D0"/>
    <w:rsid w:val="001F0AAD"/>
    <w:rsid w:val="001F0CDF"/>
    <w:rsid w:val="001F0D78"/>
    <w:rsid w:val="001F103D"/>
    <w:rsid w:val="001F1511"/>
    <w:rsid w:val="001F169B"/>
    <w:rsid w:val="001F1AE2"/>
    <w:rsid w:val="001F21AD"/>
    <w:rsid w:val="001F2D2A"/>
    <w:rsid w:val="001F33B6"/>
    <w:rsid w:val="001F4992"/>
    <w:rsid w:val="001F49DD"/>
    <w:rsid w:val="001F49FD"/>
    <w:rsid w:val="001F4BD3"/>
    <w:rsid w:val="001F5799"/>
    <w:rsid w:val="001F5A8F"/>
    <w:rsid w:val="001F5BA6"/>
    <w:rsid w:val="001F63DE"/>
    <w:rsid w:val="001F6D85"/>
    <w:rsid w:val="001F6E23"/>
    <w:rsid w:val="001F758A"/>
    <w:rsid w:val="001F759A"/>
    <w:rsid w:val="001F780D"/>
    <w:rsid w:val="001F7DAE"/>
    <w:rsid w:val="002002CC"/>
    <w:rsid w:val="00200398"/>
    <w:rsid w:val="00200B19"/>
    <w:rsid w:val="00200D34"/>
    <w:rsid w:val="00200EF3"/>
    <w:rsid w:val="0020107E"/>
    <w:rsid w:val="002013F7"/>
    <w:rsid w:val="00201442"/>
    <w:rsid w:val="002014E6"/>
    <w:rsid w:val="0020154F"/>
    <w:rsid w:val="002017DB"/>
    <w:rsid w:val="00201D30"/>
    <w:rsid w:val="00201E9F"/>
    <w:rsid w:val="00201EDE"/>
    <w:rsid w:val="00202244"/>
    <w:rsid w:val="00202F39"/>
    <w:rsid w:val="00203048"/>
    <w:rsid w:val="00203229"/>
    <w:rsid w:val="0020325D"/>
    <w:rsid w:val="00203E9E"/>
    <w:rsid w:val="00204291"/>
    <w:rsid w:val="00204716"/>
    <w:rsid w:val="00204B71"/>
    <w:rsid w:val="00204DE0"/>
    <w:rsid w:val="00204F16"/>
    <w:rsid w:val="0020522B"/>
    <w:rsid w:val="00205502"/>
    <w:rsid w:val="00205D49"/>
    <w:rsid w:val="0020601B"/>
    <w:rsid w:val="0020609C"/>
    <w:rsid w:val="002062B2"/>
    <w:rsid w:val="002065E5"/>
    <w:rsid w:val="00206724"/>
    <w:rsid w:val="00210243"/>
    <w:rsid w:val="00210278"/>
    <w:rsid w:val="0021028B"/>
    <w:rsid w:val="002103E0"/>
    <w:rsid w:val="00210F99"/>
    <w:rsid w:val="0021168A"/>
    <w:rsid w:val="00211739"/>
    <w:rsid w:val="00211A8D"/>
    <w:rsid w:val="00211C2A"/>
    <w:rsid w:val="0021236C"/>
    <w:rsid w:val="002123A9"/>
    <w:rsid w:val="00212BA4"/>
    <w:rsid w:val="00213384"/>
    <w:rsid w:val="0021397A"/>
    <w:rsid w:val="00213C0E"/>
    <w:rsid w:val="00213D42"/>
    <w:rsid w:val="00214061"/>
    <w:rsid w:val="00214753"/>
    <w:rsid w:val="002147D2"/>
    <w:rsid w:val="00214929"/>
    <w:rsid w:val="00214977"/>
    <w:rsid w:val="0021530F"/>
    <w:rsid w:val="0021533F"/>
    <w:rsid w:val="002159E2"/>
    <w:rsid w:val="00215B69"/>
    <w:rsid w:val="00215CD9"/>
    <w:rsid w:val="00215D59"/>
    <w:rsid w:val="00215DA4"/>
    <w:rsid w:val="00216083"/>
    <w:rsid w:val="002160CC"/>
    <w:rsid w:val="00216375"/>
    <w:rsid w:val="0021676F"/>
    <w:rsid w:val="00216835"/>
    <w:rsid w:val="00216989"/>
    <w:rsid w:val="002174A7"/>
    <w:rsid w:val="00217E9E"/>
    <w:rsid w:val="0022002E"/>
    <w:rsid w:val="002204C5"/>
    <w:rsid w:val="0022073A"/>
    <w:rsid w:val="002207F2"/>
    <w:rsid w:val="00220859"/>
    <w:rsid w:val="00220969"/>
    <w:rsid w:val="00220FCB"/>
    <w:rsid w:val="0022163E"/>
    <w:rsid w:val="002218A1"/>
    <w:rsid w:val="0022196D"/>
    <w:rsid w:val="00221E66"/>
    <w:rsid w:val="002220E0"/>
    <w:rsid w:val="0022221F"/>
    <w:rsid w:val="00222392"/>
    <w:rsid w:val="0022304C"/>
    <w:rsid w:val="002230BE"/>
    <w:rsid w:val="00223599"/>
    <w:rsid w:val="002235ED"/>
    <w:rsid w:val="00223959"/>
    <w:rsid w:val="00223C12"/>
    <w:rsid w:val="00223D7B"/>
    <w:rsid w:val="00224015"/>
    <w:rsid w:val="00224C87"/>
    <w:rsid w:val="00224E37"/>
    <w:rsid w:val="002251BD"/>
    <w:rsid w:val="0022541F"/>
    <w:rsid w:val="002255F2"/>
    <w:rsid w:val="00225795"/>
    <w:rsid w:val="002259AC"/>
    <w:rsid w:val="00226221"/>
    <w:rsid w:val="0022695D"/>
    <w:rsid w:val="00227BAA"/>
    <w:rsid w:val="00227E83"/>
    <w:rsid w:val="002300BD"/>
    <w:rsid w:val="0023017B"/>
    <w:rsid w:val="002308FA"/>
    <w:rsid w:val="00230F64"/>
    <w:rsid w:val="00230F6D"/>
    <w:rsid w:val="00231223"/>
    <w:rsid w:val="00231268"/>
    <w:rsid w:val="00232357"/>
    <w:rsid w:val="002323AC"/>
    <w:rsid w:val="00232B89"/>
    <w:rsid w:val="002331EA"/>
    <w:rsid w:val="0023390A"/>
    <w:rsid w:val="00233DA9"/>
    <w:rsid w:val="002341BA"/>
    <w:rsid w:val="00234831"/>
    <w:rsid w:val="0023483D"/>
    <w:rsid w:val="00235076"/>
    <w:rsid w:val="002351E6"/>
    <w:rsid w:val="00235499"/>
    <w:rsid w:val="002355B3"/>
    <w:rsid w:val="00235652"/>
    <w:rsid w:val="00235744"/>
    <w:rsid w:val="00236229"/>
    <w:rsid w:val="00236278"/>
    <w:rsid w:val="00236DB9"/>
    <w:rsid w:val="002377A3"/>
    <w:rsid w:val="002378AB"/>
    <w:rsid w:val="0024013D"/>
    <w:rsid w:val="002402D8"/>
    <w:rsid w:val="00240A3E"/>
    <w:rsid w:val="00240C5E"/>
    <w:rsid w:val="00241066"/>
    <w:rsid w:val="00241361"/>
    <w:rsid w:val="0024149F"/>
    <w:rsid w:val="0024168E"/>
    <w:rsid w:val="0024188A"/>
    <w:rsid w:val="00241A07"/>
    <w:rsid w:val="00241E98"/>
    <w:rsid w:val="00242108"/>
    <w:rsid w:val="002424A7"/>
    <w:rsid w:val="00242B17"/>
    <w:rsid w:val="00242D13"/>
    <w:rsid w:val="00242E4E"/>
    <w:rsid w:val="00243028"/>
    <w:rsid w:val="00243117"/>
    <w:rsid w:val="0024317D"/>
    <w:rsid w:val="00243878"/>
    <w:rsid w:val="002439B7"/>
    <w:rsid w:val="00243A3E"/>
    <w:rsid w:val="00243FB9"/>
    <w:rsid w:val="002446E1"/>
    <w:rsid w:val="00244B8B"/>
    <w:rsid w:val="00244BE9"/>
    <w:rsid w:val="00244CF5"/>
    <w:rsid w:val="00245815"/>
    <w:rsid w:val="00245AFF"/>
    <w:rsid w:val="0024636D"/>
    <w:rsid w:val="002463FA"/>
    <w:rsid w:val="00246515"/>
    <w:rsid w:val="0024668E"/>
    <w:rsid w:val="00246C81"/>
    <w:rsid w:val="00246EE8"/>
    <w:rsid w:val="00247240"/>
    <w:rsid w:val="002501FF"/>
    <w:rsid w:val="002507A5"/>
    <w:rsid w:val="002507A8"/>
    <w:rsid w:val="00250BDB"/>
    <w:rsid w:val="002515E8"/>
    <w:rsid w:val="0025160F"/>
    <w:rsid w:val="00251837"/>
    <w:rsid w:val="00251910"/>
    <w:rsid w:val="0025264A"/>
    <w:rsid w:val="00252DAC"/>
    <w:rsid w:val="00252E68"/>
    <w:rsid w:val="002532C4"/>
    <w:rsid w:val="0025330F"/>
    <w:rsid w:val="00253557"/>
    <w:rsid w:val="00253682"/>
    <w:rsid w:val="00253D5E"/>
    <w:rsid w:val="0025418F"/>
    <w:rsid w:val="0025465E"/>
    <w:rsid w:val="00254797"/>
    <w:rsid w:val="002547CF"/>
    <w:rsid w:val="00254ECA"/>
    <w:rsid w:val="002551A2"/>
    <w:rsid w:val="00255F91"/>
    <w:rsid w:val="00256192"/>
    <w:rsid w:val="00256250"/>
    <w:rsid w:val="002563C4"/>
    <w:rsid w:val="0025666C"/>
    <w:rsid w:val="00256B92"/>
    <w:rsid w:val="00256DE9"/>
    <w:rsid w:val="00256DF8"/>
    <w:rsid w:val="002573E8"/>
    <w:rsid w:val="00257944"/>
    <w:rsid w:val="00257A98"/>
    <w:rsid w:val="00257D28"/>
    <w:rsid w:val="00257E36"/>
    <w:rsid w:val="00260117"/>
    <w:rsid w:val="0026044D"/>
    <w:rsid w:val="002605DF"/>
    <w:rsid w:val="00260760"/>
    <w:rsid w:val="00260D5E"/>
    <w:rsid w:val="00261786"/>
    <w:rsid w:val="002618B1"/>
    <w:rsid w:val="0026227C"/>
    <w:rsid w:val="0026255B"/>
    <w:rsid w:val="00262C6A"/>
    <w:rsid w:val="0026335D"/>
    <w:rsid w:val="0026343B"/>
    <w:rsid w:val="00263D70"/>
    <w:rsid w:val="002642E4"/>
    <w:rsid w:val="002643FB"/>
    <w:rsid w:val="0026474A"/>
    <w:rsid w:val="00264ABA"/>
    <w:rsid w:val="00265253"/>
    <w:rsid w:val="00265455"/>
    <w:rsid w:val="00265A15"/>
    <w:rsid w:val="002661BB"/>
    <w:rsid w:val="00266951"/>
    <w:rsid w:val="00266A1E"/>
    <w:rsid w:val="00266FC4"/>
    <w:rsid w:val="0026744E"/>
    <w:rsid w:val="00267896"/>
    <w:rsid w:val="00267D4B"/>
    <w:rsid w:val="00267EB5"/>
    <w:rsid w:val="00271240"/>
    <w:rsid w:val="0027134A"/>
    <w:rsid w:val="0027143D"/>
    <w:rsid w:val="002718A4"/>
    <w:rsid w:val="002718CE"/>
    <w:rsid w:val="00271930"/>
    <w:rsid w:val="002723B8"/>
    <w:rsid w:val="00272B68"/>
    <w:rsid w:val="00272DEB"/>
    <w:rsid w:val="002738D6"/>
    <w:rsid w:val="002741A1"/>
    <w:rsid w:val="00274307"/>
    <w:rsid w:val="00274391"/>
    <w:rsid w:val="0027472D"/>
    <w:rsid w:val="00274EA2"/>
    <w:rsid w:val="002752F0"/>
    <w:rsid w:val="00275800"/>
    <w:rsid w:val="00275A63"/>
    <w:rsid w:val="00275B35"/>
    <w:rsid w:val="00275D66"/>
    <w:rsid w:val="002769EE"/>
    <w:rsid w:val="00276A09"/>
    <w:rsid w:val="00276F52"/>
    <w:rsid w:val="00277004"/>
    <w:rsid w:val="00277C14"/>
    <w:rsid w:val="00280025"/>
    <w:rsid w:val="002800FA"/>
    <w:rsid w:val="00280597"/>
    <w:rsid w:val="00280AA4"/>
    <w:rsid w:val="00280DD1"/>
    <w:rsid w:val="0028106B"/>
    <w:rsid w:val="00281AFB"/>
    <w:rsid w:val="00281F54"/>
    <w:rsid w:val="00282075"/>
    <w:rsid w:val="002822C8"/>
    <w:rsid w:val="00282450"/>
    <w:rsid w:val="002824E1"/>
    <w:rsid w:val="00282716"/>
    <w:rsid w:val="00282971"/>
    <w:rsid w:val="00282BD1"/>
    <w:rsid w:val="00282BF1"/>
    <w:rsid w:val="00282DFB"/>
    <w:rsid w:val="00282E25"/>
    <w:rsid w:val="00283099"/>
    <w:rsid w:val="0028360E"/>
    <w:rsid w:val="00283943"/>
    <w:rsid w:val="00283B69"/>
    <w:rsid w:val="0028405E"/>
    <w:rsid w:val="0028418B"/>
    <w:rsid w:val="00284480"/>
    <w:rsid w:val="002846E0"/>
    <w:rsid w:val="0028529B"/>
    <w:rsid w:val="0028543C"/>
    <w:rsid w:val="00285AD6"/>
    <w:rsid w:val="0028639A"/>
    <w:rsid w:val="002863C7"/>
    <w:rsid w:val="002867A4"/>
    <w:rsid w:val="002869F9"/>
    <w:rsid w:val="00286E89"/>
    <w:rsid w:val="00286FF5"/>
    <w:rsid w:val="002870B8"/>
    <w:rsid w:val="002878E4"/>
    <w:rsid w:val="002879A1"/>
    <w:rsid w:val="00287D27"/>
    <w:rsid w:val="0029054D"/>
    <w:rsid w:val="0029060A"/>
    <w:rsid w:val="00290705"/>
    <w:rsid w:val="00290733"/>
    <w:rsid w:val="0029106F"/>
    <w:rsid w:val="002910B0"/>
    <w:rsid w:val="00291340"/>
    <w:rsid w:val="002917E3"/>
    <w:rsid w:val="00291C0E"/>
    <w:rsid w:val="00291F8C"/>
    <w:rsid w:val="00292116"/>
    <w:rsid w:val="00292406"/>
    <w:rsid w:val="002925BC"/>
    <w:rsid w:val="00292ABF"/>
    <w:rsid w:val="00292AC7"/>
    <w:rsid w:val="00292E1D"/>
    <w:rsid w:val="002933E2"/>
    <w:rsid w:val="00293669"/>
    <w:rsid w:val="0029385C"/>
    <w:rsid w:val="00294170"/>
    <w:rsid w:val="00294195"/>
    <w:rsid w:val="002944DF"/>
    <w:rsid w:val="00295868"/>
    <w:rsid w:val="00295A6D"/>
    <w:rsid w:val="00295CAC"/>
    <w:rsid w:val="002965E7"/>
    <w:rsid w:val="00296CED"/>
    <w:rsid w:val="00296E96"/>
    <w:rsid w:val="00297594"/>
    <w:rsid w:val="002976AD"/>
    <w:rsid w:val="0029784D"/>
    <w:rsid w:val="002979AC"/>
    <w:rsid w:val="00297AC9"/>
    <w:rsid w:val="002A004E"/>
    <w:rsid w:val="002A046A"/>
    <w:rsid w:val="002A0A9B"/>
    <w:rsid w:val="002A0D56"/>
    <w:rsid w:val="002A0EED"/>
    <w:rsid w:val="002A1787"/>
    <w:rsid w:val="002A186F"/>
    <w:rsid w:val="002A1CC2"/>
    <w:rsid w:val="002A1CCA"/>
    <w:rsid w:val="002A2344"/>
    <w:rsid w:val="002A2728"/>
    <w:rsid w:val="002A2AFE"/>
    <w:rsid w:val="002A2FDA"/>
    <w:rsid w:val="002A322B"/>
    <w:rsid w:val="002A3308"/>
    <w:rsid w:val="002A379B"/>
    <w:rsid w:val="002A44BD"/>
    <w:rsid w:val="002A44CB"/>
    <w:rsid w:val="002A472C"/>
    <w:rsid w:val="002A4903"/>
    <w:rsid w:val="002A4AD8"/>
    <w:rsid w:val="002A4EBA"/>
    <w:rsid w:val="002A51DA"/>
    <w:rsid w:val="002A548F"/>
    <w:rsid w:val="002A579E"/>
    <w:rsid w:val="002A5F50"/>
    <w:rsid w:val="002A618D"/>
    <w:rsid w:val="002A748C"/>
    <w:rsid w:val="002A749F"/>
    <w:rsid w:val="002A7811"/>
    <w:rsid w:val="002A7898"/>
    <w:rsid w:val="002B0500"/>
    <w:rsid w:val="002B05D9"/>
    <w:rsid w:val="002B0E3B"/>
    <w:rsid w:val="002B103D"/>
    <w:rsid w:val="002B1110"/>
    <w:rsid w:val="002B1423"/>
    <w:rsid w:val="002B254F"/>
    <w:rsid w:val="002B261A"/>
    <w:rsid w:val="002B274A"/>
    <w:rsid w:val="002B297D"/>
    <w:rsid w:val="002B357B"/>
    <w:rsid w:val="002B48DF"/>
    <w:rsid w:val="002B4E55"/>
    <w:rsid w:val="002B4F50"/>
    <w:rsid w:val="002B5086"/>
    <w:rsid w:val="002B531A"/>
    <w:rsid w:val="002B54B5"/>
    <w:rsid w:val="002B5CB5"/>
    <w:rsid w:val="002B5D8B"/>
    <w:rsid w:val="002B5FF7"/>
    <w:rsid w:val="002B62F7"/>
    <w:rsid w:val="002B698D"/>
    <w:rsid w:val="002B6E67"/>
    <w:rsid w:val="002B70BA"/>
    <w:rsid w:val="002B71EB"/>
    <w:rsid w:val="002B7363"/>
    <w:rsid w:val="002B74AF"/>
    <w:rsid w:val="002B767A"/>
    <w:rsid w:val="002B7A0D"/>
    <w:rsid w:val="002B7B64"/>
    <w:rsid w:val="002C09C3"/>
    <w:rsid w:val="002C0B6B"/>
    <w:rsid w:val="002C11C0"/>
    <w:rsid w:val="002C1635"/>
    <w:rsid w:val="002C1905"/>
    <w:rsid w:val="002C19F0"/>
    <w:rsid w:val="002C1C8F"/>
    <w:rsid w:val="002C289F"/>
    <w:rsid w:val="002C2ABA"/>
    <w:rsid w:val="002C2AED"/>
    <w:rsid w:val="002C2BB2"/>
    <w:rsid w:val="002C2E83"/>
    <w:rsid w:val="002C34FA"/>
    <w:rsid w:val="002C367C"/>
    <w:rsid w:val="002C4238"/>
    <w:rsid w:val="002C4296"/>
    <w:rsid w:val="002C441C"/>
    <w:rsid w:val="002C4894"/>
    <w:rsid w:val="002C4FCC"/>
    <w:rsid w:val="002C5156"/>
    <w:rsid w:val="002C5C6D"/>
    <w:rsid w:val="002C5C9F"/>
    <w:rsid w:val="002C5E26"/>
    <w:rsid w:val="002C61AD"/>
    <w:rsid w:val="002C64B7"/>
    <w:rsid w:val="002C6680"/>
    <w:rsid w:val="002C6B8F"/>
    <w:rsid w:val="002C6D6A"/>
    <w:rsid w:val="002C6FF7"/>
    <w:rsid w:val="002C721C"/>
    <w:rsid w:val="002C78B3"/>
    <w:rsid w:val="002C7EC9"/>
    <w:rsid w:val="002D05B6"/>
    <w:rsid w:val="002D067E"/>
    <w:rsid w:val="002D0778"/>
    <w:rsid w:val="002D09F2"/>
    <w:rsid w:val="002D0EC6"/>
    <w:rsid w:val="002D1EAD"/>
    <w:rsid w:val="002D1FC8"/>
    <w:rsid w:val="002D2014"/>
    <w:rsid w:val="002D2113"/>
    <w:rsid w:val="002D232F"/>
    <w:rsid w:val="002D266D"/>
    <w:rsid w:val="002D27EB"/>
    <w:rsid w:val="002D2E52"/>
    <w:rsid w:val="002D3364"/>
    <w:rsid w:val="002D38FB"/>
    <w:rsid w:val="002D3A8D"/>
    <w:rsid w:val="002D3D05"/>
    <w:rsid w:val="002D3D83"/>
    <w:rsid w:val="002D4315"/>
    <w:rsid w:val="002D43C7"/>
    <w:rsid w:val="002D4F5E"/>
    <w:rsid w:val="002D53A5"/>
    <w:rsid w:val="002D540B"/>
    <w:rsid w:val="002D6C59"/>
    <w:rsid w:val="002D6CC0"/>
    <w:rsid w:val="002D709B"/>
    <w:rsid w:val="002D7A47"/>
    <w:rsid w:val="002D7A7E"/>
    <w:rsid w:val="002D7DA0"/>
    <w:rsid w:val="002D7E2C"/>
    <w:rsid w:val="002E01C7"/>
    <w:rsid w:val="002E0332"/>
    <w:rsid w:val="002E0503"/>
    <w:rsid w:val="002E0524"/>
    <w:rsid w:val="002E0AFB"/>
    <w:rsid w:val="002E0DEF"/>
    <w:rsid w:val="002E0E13"/>
    <w:rsid w:val="002E0F2C"/>
    <w:rsid w:val="002E0FA0"/>
    <w:rsid w:val="002E1247"/>
    <w:rsid w:val="002E189F"/>
    <w:rsid w:val="002E1A4F"/>
    <w:rsid w:val="002E1C4E"/>
    <w:rsid w:val="002E25EF"/>
    <w:rsid w:val="002E2C59"/>
    <w:rsid w:val="002E2FF7"/>
    <w:rsid w:val="002E3086"/>
    <w:rsid w:val="002E30E2"/>
    <w:rsid w:val="002E3174"/>
    <w:rsid w:val="002E31A6"/>
    <w:rsid w:val="002E32A2"/>
    <w:rsid w:val="002E3331"/>
    <w:rsid w:val="002E3482"/>
    <w:rsid w:val="002E349D"/>
    <w:rsid w:val="002E3902"/>
    <w:rsid w:val="002E423D"/>
    <w:rsid w:val="002E42E0"/>
    <w:rsid w:val="002E430C"/>
    <w:rsid w:val="002E4689"/>
    <w:rsid w:val="002E46C4"/>
    <w:rsid w:val="002E4729"/>
    <w:rsid w:val="002E4755"/>
    <w:rsid w:val="002E475A"/>
    <w:rsid w:val="002E4E77"/>
    <w:rsid w:val="002E53BF"/>
    <w:rsid w:val="002E5772"/>
    <w:rsid w:val="002E5B5F"/>
    <w:rsid w:val="002E60EE"/>
    <w:rsid w:val="002E6C41"/>
    <w:rsid w:val="002E6DF6"/>
    <w:rsid w:val="002E7187"/>
    <w:rsid w:val="002E7787"/>
    <w:rsid w:val="002E7FAA"/>
    <w:rsid w:val="002F0134"/>
    <w:rsid w:val="002F068E"/>
    <w:rsid w:val="002F0C2F"/>
    <w:rsid w:val="002F0F2A"/>
    <w:rsid w:val="002F12B9"/>
    <w:rsid w:val="002F1436"/>
    <w:rsid w:val="002F190C"/>
    <w:rsid w:val="002F297D"/>
    <w:rsid w:val="002F2A35"/>
    <w:rsid w:val="002F2E82"/>
    <w:rsid w:val="002F2F34"/>
    <w:rsid w:val="002F3498"/>
    <w:rsid w:val="002F35F6"/>
    <w:rsid w:val="002F36E4"/>
    <w:rsid w:val="002F3C44"/>
    <w:rsid w:val="002F3FAC"/>
    <w:rsid w:val="002F50CE"/>
    <w:rsid w:val="002F557D"/>
    <w:rsid w:val="002F563C"/>
    <w:rsid w:val="002F5BED"/>
    <w:rsid w:val="002F5F27"/>
    <w:rsid w:val="002F60F7"/>
    <w:rsid w:val="002F6577"/>
    <w:rsid w:val="002F6F08"/>
    <w:rsid w:val="002F6FEE"/>
    <w:rsid w:val="002F715A"/>
    <w:rsid w:val="002F7540"/>
    <w:rsid w:val="002F7B59"/>
    <w:rsid w:val="00300784"/>
    <w:rsid w:val="00300BFD"/>
    <w:rsid w:val="003015D5"/>
    <w:rsid w:val="0030251B"/>
    <w:rsid w:val="00303005"/>
    <w:rsid w:val="00303B8C"/>
    <w:rsid w:val="00303E5C"/>
    <w:rsid w:val="003041AC"/>
    <w:rsid w:val="003044CA"/>
    <w:rsid w:val="003045A2"/>
    <w:rsid w:val="003045FF"/>
    <w:rsid w:val="00304E72"/>
    <w:rsid w:val="003050C8"/>
    <w:rsid w:val="003056E7"/>
    <w:rsid w:val="00305894"/>
    <w:rsid w:val="00306205"/>
    <w:rsid w:val="003065B4"/>
    <w:rsid w:val="003066BA"/>
    <w:rsid w:val="00306CD4"/>
    <w:rsid w:val="00307577"/>
    <w:rsid w:val="00307CD6"/>
    <w:rsid w:val="003101A8"/>
    <w:rsid w:val="003104AB"/>
    <w:rsid w:val="003105CF"/>
    <w:rsid w:val="003106DC"/>
    <w:rsid w:val="00310872"/>
    <w:rsid w:val="00310BE5"/>
    <w:rsid w:val="00310F75"/>
    <w:rsid w:val="00311AFA"/>
    <w:rsid w:val="00312053"/>
    <w:rsid w:val="0031229E"/>
    <w:rsid w:val="0031233B"/>
    <w:rsid w:val="00312F79"/>
    <w:rsid w:val="00312F82"/>
    <w:rsid w:val="00312F88"/>
    <w:rsid w:val="0031302B"/>
    <w:rsid w:val="003136BB"/>
    <w:rsid w:val="0031388F"/>
    <w:rsid w:val="00313A1C"/>
    <w:rsid w:val="00313CEF"/>
    <w:rsid w:val="00313DB3"/>
    <w:rsid w:val="00314A24"/>
    <w:rsid w:val="00314DBE"/>
    <w:rsid w:val="00314E68"/>
    <w:rsid w:val="00314F08"/>
    <w:rsid w:val="00315171"/>
    <w:rsid w:val="0031531D"/>
    <w:rsid w:val="00315606"/>
    <w:rsid w:val="00315815"/>
    <w:rsid w:val="00315DB6"/>
    <w:rsid w:val="0031605F"/>
    <w:rsid w:val="00316278"/>
    <w:rsid w:val="00316B15"/>
    <w:rsid w:val="00317153"/>
    <w:rsid w:val="00317749"/>
    <w:rsid w:val="003178B1"/>
    <w:rsid w:val="00317A03"/>
    <w:rsid w:val="003200FD"/>
    <w:rsid w:val="0032033C"/>
    <w:rsid w:val="00320496"/>
    <w:rsid w:val="003208A4"/>
    <w:rsid w:val="00320AD0"/>
    <w:rsid w:val="0032127A"/>
    <w:rsid w:val="00321479"/>
    <w:rsid w:val="00321DC1"/>
    <w:rsid w:val="00321EF6"/>
    <w:rsid w:val="00322503"/>
    <w:rsid w:val="00323524"/>
    <w:rsid w:val="0032375F"/>
    <w:rsid w:val="00323A07"/>
    <w:rsid w:val="00323B0F"/>
    <w:rsid w:val="00323C50"/>
    <w:rsid w:val="00323F96"/>
    <w:rsid w:val="003244AE"/>
    <w:rsid w:val="0032468B"/>
    <w:rsid w:val="00324920"/>
    <w:rsid w:val="00324B56"/>
    <w:rsid w:val="00324BC6"/>
    <w:rsid w:val="00324C8F"/>
    <w:rsid w:val="00325223"/>
    <w:rsid w:val="00325759"/>
    <w:rsid w:val="0032584D"/>
    <w:rsid w:val="00326111"/>
    <w:rsid w:val="00326215"/>
    <w:rsid w:val="0032636F"/>
    <w:rsid w:val="0032665C"/>
    <w:rsid w:val="00326868"/>
    <w:rsid w:val="00326B89"/>
    <w:rsid w:val="003279CA"/>
    <w:rsid w:val="00330209"/>
    <w:rsid w:val="00330322"/>
    <w:rsid w:val="0033037F"/>
    <w:rsid w:val="00330414"/>
    <w:rsid w:val="00330E4B"/>
    <w:rsid w:val="00330E65"/>
    <w:rsid w:val="003311B7"/>
    <w:rsid w:val="003312BB"/>
    <w:rsid w:val="0033159C"/>
    <w:rsid w:val="0033172B"/>
    <w:rsid w:val="003319E5"/>
    <w:rsid w:val="00331E95"/>
    <w:rsid w:val="00331F52"/>
    <w:rsid w:val="003321C8"/>
    <w:rsid w:val="00332CE0"/>
    <w:rsid w:val="00332E70"/>
    <w:rsid w:val="00333132"/>
    <w:rsid w:val="00333759"/>
    <w:rsid w:val="003338CB"/>
    <w:rsid w:val="00333B36"/>
    <w:rsid w:val="00333F65"/>
    <w:rsid w:val="00334102"/>
    <w:rsid w:val="0033469E"/>
    <w:rsid w:val="00334709"/>
    <w:rsid w:val="00334998"/>
    <w:rsid w:val="00334A51"/>
    <w:rsid w:val="00334E3E"/>
    <w:rsid w:val="00335B24"/>
    <w:rsid w:val="00335C99"/>
    <w:rsid w:val="00335CFB"/>
    <w:rsid w:val="00336718"/>
    <w:rsid w:val="00336731"/>
    <w:rsid w:val="00336CD7"/>
    <w:rsid w:val="00336E84"/>
    <w:rsid w:val="0033728B"/>
    <w:rsid w:val="00337902"/>
    <w:rsid w:val="00337E72"/>
    <w:rsid w:val="00337EFC"/>
    <w:rsid w:val="00337F56"/>
    <w:rsid w:val="00340058"/>
    <w:rsid w:val="003400AF"/>
    <w:rsid w:val="003404CD"/>
    <w:rsid w:val="003405DD"/>
    <w:rsid w:val="0034095B"/>
    <w:rsid w:val="00341924"/>
    <w:rsid w:val="003421BC"/>
    <w:rsid w:val="00342AF6"/>
    <w:rsid w:val="0034342E"/>
    <w:rsid w:val="003434CA"/>
    <w:rsid w:val="00343645"/>
    <w:rsid w:val="00343EB0"/>
    <w:rsid w:val="003449E4"/>
    <w:rsid w:val="00344AB7"/>
    <w:rsid w:val="00344F50"/>
    <w:rsid w:val="003450B6"/>
    <w:rsid w:val="00345299"/>
    <w:rsid w:val="003452DA"/>
    <w:rsid w:val="00345370"/>
    <w:rsid w:val="00345D00"/>
    <w:rsid w:val="00345EE1"/>
    <w:rsid w:val="003461F3"/>
    <w:rsid w:val="00346333"/>
    <w:rsid w:val="0034647A"/>
    <w:rsid w:val="0034667E"/>
    <w:rsid w:val="00346991"/>
    <w:rsid w:val="00346A47"/>
    <w:rsid w:val="00346D01"/>
    <w:rsid w:val="00346D85"/>
    <w:rsid w:val="00347C26"/>
    <w:rsid w:val="00347C65"/>
    <w:rsid w:val="00347CD3"/>
    <w:rsid w:val="00347F12"/>
    <w:rsid w:val="003500F4"/>
    <w:rsid w:val="0035060A"/>
    <w:rsid w:val="00350801"/>
    <w:rsid w:val="00350923"/>
    <w:rsid w:val="00350C41"/>
    <w:rsid w:val="00350F04"/>
    <w:rsid w:val="003511B4"/>
    <w:rsid w:val="00351641"/>
    <w:rsid w:val="003517EC"/>
    <w:rsid w:val="00351A7B"/>
    <w:rsid w:val="0035205A"/>
    <w:rsid w:val="00352178"/>
    <w:rsid w:val="003522BB"/>
    <w:rsid w:val="00352372"/>
    <w:rsid w:val="00352A9F"/>
    <w:rsid w:val="00352DB4"/>
    <w:rsid w:val="00353312"/>
    <w:rsid w:val="003538AB"/>
    <w:rsid w:val="003539C9"/>
    <w:rsid w:val="00353A86"/>
    <w:rsid w:val="00353E9F"/>
    <w:rsid w:val="00354387"/>
    <w:rsid w:val="003545E5"/>
    <w:rsid w:val="00354704"/>
    <w:rsid w:val="00354B76"/>
    <w:rsid w:val="00355F40"/>
    <w:rsid w:val="00356289"/>
    <w:rsid w:val="003563A5"/>
    <w:rsid w:val="0035678C"/>
    <w:rsid w:val="00356DAE"/>
    <w:rsid w:val="00356DF0"/>
    <w:rsid w:val="00356FD7"/>
    <w:rsid w:val="003573C5"/>
    <w:rsid w:val="0035745A"/>
    <w:rsid w:val="00357551"/>
    <w:rsid w:val="00357A68"/>
    <w:rsid w:val="00357CBE"/>
    <w:rsid w:val="00357D0B"/>
    <w:rsid w:val="003600D0"/>
    <w:rsid w:val="003607EC"/>
    <w:rsid w:val="003610BC"/>
    <w:rsid w:val="00361105"/>
    <w:rsid w:val="00361149"/>
    <w:rsid w:val="003614D4"/>
    <w:rsid w:val="0036231F"/>
    <w:rsid w:val="003623E0"/>
    <w:rsid w:val="003628FA"/>
    <w:rsid w:val="00362E19"/>
    <w:rsid w:val="00362FC6"/>
    <w:rsid w:val="003632F5"/>
    <w:rsid w:val="003634BC"/>
    <w:rsid w:val="003635A9"/>
    <w:rsid w:val="00363D96"/>
    <w:rsid w:val="00363E0E"/>
    <w:rsid w:val="00364058"/>
    <w:rsid w:val="003642CF"/>
    <w:rsid w:val="0036486F"/>
    <w:rsid w:val="00365079"/>
    <w:rsid w:val="003652C2"/>
    <w:rsid w:val="00365423"/>
    <w:rsid w:val="003658D8"/>
    <w:rsid w:val="00365A03"/>
    <w:rsid w:val="003661FF"/>
    <w:rsid w:val="00366320"/>
    <w:rsid w:val="0036636C"/>
    <w:rsid w:val="00366659"/>
    <w:rsid w:val="003666F4"/>
    <w:rsid w:val="00367113"/>
    <w:rsid w:val="003677A5"/>
    <w:rsid w:val="00367882"/>
    <w:rsid w:val="00370277"/>
    <w:rsid w:val="003702E8"/>
    <w:rsid w:val="0037099D"/>
    <w:rsid w:val="003709CC"/>
    <w:rsid w:val="00370B39"/>
    <w:rsid w:val="003711A0"/>
    <w:rsid w:val="003711E8"/>
    <w:rsid w:val="003712FC"/>
    <w:rsid w:val="003718D0"/>
    <w:rsid w:val="00372118"/>
    <w:rsid w:val="003721C7"/>
    <w:rsid w:val="003722ED"/>
    <w:rsid w:val="0037267E"/>
    <w:rsid w:val="003727C5"/>
    <w:rsid w:val="00372825"/>
    <w:rsid w:val="003729AE"/>
    <w:rsid w:val="00372FA9"/>
    <w:rsid w:val="003732F9"/>
    <w:rsid w:val="00373AD1"/>
    <w:rsid w:val="00373B2F"/>
    <w:rsid w:val="00373F2C"/>
    <w:rsid w:val="00374072"/>
    <w:rsid w:val="00374419"/>
    <w:rsid w:val="003746BD"/>
    <w:rsid w:val="00374B7A"/>
    <w:rsid w:val="00375445"/>
    <w:rsid w:val="0037553A"/>
    <w:rsid w:val="00375715"/>
    <w:rsid w:val="00375864"/>
    <w:rsid w:val="00375893"/>
    <w:rsid w:val="00375BD4"/>
    <w:rsid w:val="00375D9B"/>
    <w:rsid w:val="00376EC9"/>
    <w:rsid w:val="00376F52"/>
    <w:rsid w:val="003773ED"/>
    <w:rsid w:val="00377731"/>
    <w:rsid w:val="00377869"/>
    <w:rsid w:val="00377D4C"/>
    <w:rsid w:val="00380093"/>
    <w:rsid w:val="003800B2"/>
    <w:rsid w:val="0038097C"/>
    <w:rsid w:val="003809A6"/>
    <w:rsid w:val="00380D49"/>
    <w:rsid w:val="00380E84"/>
    <w:rsid w:val="0038107A"/>
    <w:rsid w:val="003810A0"/>
    <w:rsid w:val="0038115B"/>
    <w:rsid w:val="0038236B"/>
    <w:rsid w:val="0038259C"/>
    <w:rsid w:val="00382A18"/>
    <w:rsid w:val="00382A28"/>
    <w:rsid w:val="00382CB5"/>
    <w:rsid w:val="00383ED9"/>
    <w:rsid w:val="003841DD"/>
    <w:rsid w:val="00384251"/>
    <w:rsid w:val="00384823"/>
    <w:rsid w:val="00384C88"/>
    <w:rsid w:val="00384FF7"/>
    <w:rsid w:val="0038535F"/>
    <w:rsid w:val="003856C1"/>
    <w:rsid w:val="003859FC"/>
    <w:rsid w:val="00386185"/>
    <w:rsid w:val="0038625D"/>
    <w:rsid w:val="003865C0"/>
    <w:rsid w:val="00386A3D"/>
    <w:rsid w:val="00386DAC"/>
    <w:rsid w:val="00386DDA"/>
    <w:rsid w:val="003871D9"/>
    <w:rsid w:val="003874A6"/>
    <w:rsid w:val="003876B3"/>
    <w:rsid w:val="00387707"/>
    <w:rsid w:val="00387A47"/>
    <w:rsid w:val="00387D33"/>
    <w:rsid w:val="00387D75"/>
    <w:rsid w:val="00390321"/>
    <w:rsid w:val="00390A28"/>
    <w:rsid w:val="003910E1"/>
    <w:rsid w:val="0039131A"/>
    <w:rsid w:val="003914BF"/>
    <w:rsid w:val="003914F4"/>
    <w:rsid w:val="003916C7"/>
    <w:rsid w:val="00391C9C"/>
    <w:rsid w:val="003921F7"/>
    <w:rsid w:val="00392289"/>
    <w:rsid w:val="003924E3"/>
    <w:rsid w:val="0039302C"/>
    <w:rsid w:val="00393ECA"/>
    <w:rsid w:val="00393F94"/>
    <w:rsid w:val="00394378"/>
    <w:rsid w:val="003946C5"/>
    <w:rsid w:val="00394803"/>
    <w:rsid w:val="00394A41"/>
    <w:rsid w:val="00394F16"/>
    <w:rsid w:val="003958C4"/>
    <w:rsid w:val="00395B82"/>
    <w:rsid w:val="00396669"/>
    <w:rsid w:val="003966F8"/>
    <w:rsid w:val="00396715"/>
    <w:rsid w:val="00396891"/>
    <w:rsid w:val="003969C4"/>
    <w:rsid w:val="0039780C"/>
    <w:rsid w:val="00397940"/>
    <w:rsid w:val="00397970"/>
    <w:rsid w:val="00397C32"/>
    <w:rsid w:val="00397E6A"/>
    <w:rsid w:val="003A0213"/>
    <w:rsid w:val="003A0814"/>
    <w:rsid w:val="003A0AB0"/>
    <w:rsid w:val="003A0C21"/>
    <w:rsid w:val="003A13A6"/>
    <w:rsid w:val="003A147C"/>
    <w:rsid w:val="003A18A3"/>
    <w:rsid w:val="003A1A0A"/>
    <w:rsid w:val="003A1ACB"/>
    <w:rsid w:val="003A1C59"/>
    <w:rsid w:val="003A2924"/>
    <w:rsid w:val="003A338F"/>
    <w:rsid w:val="003A34EA"/>
    <w:rsid w:val="003A35A7"/>
    <w:rsid w:val="003A3695"/>
    <w:rsid w:val="003A37E3"/>
    <w:rsid w:val="003A3A24"/>
    <w:rsid w:val="003A3AE1"/>
    <w:rsid w:val="003A3E20"/>
    <w:rsid w:val="003A44E3"/>
    <w:rsid w:val="003A4DC6"/>
    <w:rsid w:val="003A4EAA"/>
    <w:rsid w:val="003A5025"/>
    <w:rsid w:val="003A51B5"/>
    <w:rsid w:val="003A557F"/>
    <w:rsid w:val="003A5AF2"/>
    <w:rsid w:val="003A5B21"/>
    <w:rsid w:val="003A61A9"/>
    <w:rsid w:val="003A6C0D"/>
    <w:rsid w:val="003A6FD4"/>
    <w:rsid w:val="003A70D4"/>
    <w:rsid w:val="003A721F"/>
    <w:rsid w:val="003A744A"/>
    <w:rsid w:val="003A7960"/>
    <w:rsid w:val="003A7B89"/>
    <w:rsid w:val="003A7BED"/>
    <w:rsid w:val="003B02E3"/>
    <w:rsid w:val="003B0354"/>
    <w:rsid w:val="003B0453"/>
    <w:rsid w:val="003B0454"/>
    <w:rsid w:val="003B0496"/>
    <w:rsid w:val="003B0FEC"/>
    <w:rsid w:val="003B1468"/>
    <w:rsid w:val="003B160D"/>
    <w:rsid w:val="003B229C"/>
    <w:rsid w:val="003B22AE"/>
    <w:rsid w:val="003B234A"/>
    <w:rsid w:val="003B2706"/>
    <w:rsid w:val="003B2C75"/>
    <w:rsid w:val="003B2D87"/>
    <w:rsid w:val="003B35E5"/>
    <w:rsid w:val="003B3CE4"/>
    <w:rsid w:val="003B40AA"/>
    <w:rsid w:val="003B4460"/>
    <w:rsid w:val="003B4553"/>
    <w:rsid w:val="003B46F7"/>
    <w:rsid w:val="003B4793"/>
    <w:rsid w:val="003B4819"/>
    <w:rsid w:val="003B5937"/>
    <w:rsid w:val="003B5C00"/>
    <w:rsid w:val="003B5D5E"/>
    <w:rsid w:val="003B6152"/>
    <w:rsid w:val="003B61D5"/>
    <w:rsid w:val="003B62E4"/>
    <w:rsid w:val="003B6668"/>
    <w:rsid w:val="003B68FC"/>
    <w:rsid w:val="003B6C0B"/>
    <w:rsid w:val="003B7284"/>
    <w:rsid w:val="003B736F"/>
    <w:rsid w:val="003B7BE1"/>
    <w:rsid w:val="003B7BEF"/>
    <w:rsid w:val="003C0157"/>
    <w:rsid w:val="003C01C0"/>
    <w:rsid w:val="003C06A5"/>
    <w:rsid w:val="003C11A8"/>
    <w:rsid w:val="003C14A4"/>
    <w:rsid w:val="003C154A"/>
    <w:rsid w:val="003C15C9"/>
    <w:rsid w:val="003C163A"/>
    <w:rsid w:val="003C1787"/>
    <w:rsid w:val="003C1AF2"/>
    <w:rsid w:val="003C1C08"/>
    <w:rsid w:val="003C2122"/>
    <w:rsid w:val="003C212A"/>
    <w:rsid w:val="003C22B8"/>
    <w:rsid w:val="003C2A3B"/>
    <w:rsid w:val="003C2FA6"/>
    <w:rsid w:val="003C2FF2"/>
    <w:rsid w:val="003C36FB"/>
    <w:rsid w:val="003C3B3F"/>
    <w:rsid w:val="003C4062"/>
    <w:rsid w:val="003C46EF"/>
    <w:rsid w:val="003C4DDB"/>
    <w:rsid w:val="003C4DE0"/>
    <w:rsid w:val="003C53DD"/>
    <w:rsid w:val="003C5C11"/>
    <w:rsid w:val="003C6499"/>
    <w:rsid w:val="003C6C93"/>
    <w:rsid w:val="003C6CC6"/>
    <w:rsid w:val="003C6E86"/>
    <w:rsid w:val="003C7778"/>
    <w:rsid w:val="003C786F"/>
    <w:rsid w:val="003C7A20"/>
    <w:rsid w:val="003C7A72"/>
    <w:rsid w:val="003C7D85"/>
    <w:rsid w:val="003D02C5"/>
    <w:rsid w:val="003D0462"/>
    <w:rsid w:val="003D0BE4"/>
    <w:rsid w:val="003D2417"/>
    <w:rsid w:val="003D2E3F"/>
    <w:rsid w:val="003D2E9D"/>
    <w:rsid w:val="003D35B4"/>
    <w:rsid w:val="003D36D3"/>
    <w:rsid w:val="003D374C"/>
    <w:rsid w:val="003D3778"/>
    <w:rsid w:val="003D3D0E"/>
    <w:rsid w:val="003D48F6"/>
    <w:rsid w:val="003D4C64"/>
    <w:rsid w:val="003D5E08"/>
    <w:rsid w:val="003D6164"/>
    <w:rsid w:val="003D6205"/>
    <w:rsid w:val="003D62DA"/>
    <w:rsid w:val="003D637D"/>
    <w:rsid w:val="003D6E9B"/>
    <w:rsid w:val="003D78B0"/>
    <w:rsid w:val="003D7A51"/>
    <w:rsid w:val="003D7D86"/>
    <w:rsid w:val="003E0254"/>
    <w:rsid w:val="003E025E"/>
    <w:rsid w:val="003E068E"/>
    <w:rsid w:val="003E1A8F"/>
    <w:rsid w:val="003E1AC7"/>
    <w:rsid w:val="003E1B43"/>
    <w:rsid w:val="003E1C34"/>
    <w:rsid w:val="003E1D97"/>
    <w:rsid w:val="003E2204"/>
    <w:rsid w:val="003E234A"/>
    <w:rsid w:val="003E2C5F"/>
    <w:rsid w:val="003E2EBA"/>
    <w:rsid w:val="003E2EC4"/>
    <w:rsid w:val="003E3DE8"/>
    <w:rsid w:val="003E4AC2"/>
    <w:rsid w:val="003E4EE5"/>
    <w:rsid w:val="003E4FCA"/>
    <w:rsid w:val="003E5112"/>
    <w:rsid w:val="003E5247"/>
    <w:rsid w:val="003E57CF"/>
    <w:rsid w:val="003E6389"/>
    <w:rsid w:val="003E680A"/>
    <w:rsid w:val="003E6F85"/>
    <w:rsid w:val="003E70C9"/>
    <w:rsid w:val="003E73A4"/>
    <w:rsid w:val="003E759E"/>
    <w:rsid w:val="003E7EBE"/>
    <w:rsid w:val="003E7EE1"/>
    <w:rsid w:val="003F050B"/>
    <w:rsid w:val="003F0A2F"/>
    <w:rsid w:val="003F13DF"/>
    <w:rsid w:val="003F165C"/>
    <w:rsid w:val="003F1B9F"/>
    <w:rsid w:val="003F1BA4"/>
    <w:rsid w:val="003F1D98"/>
    <w:rsid w:val="003F1E43"/>
    <w:rsid w:val="003F2766"/>
    <w:rsid w:val="003F2BBC"/>
    <w:rsid w:val="003F3249"/>
    <w:rsid w:val="003F39EC"/>
    <w:rsid w:val="003F3C0C"/>
    <w:rsid w:val="003F3FFE"/>
    <w:rsid w:val="003F49D2"/>
    <w:rsid w:val="003F4D53"/>
    <w:rsid w:val="003F4DA7"/>
    <w:rsid w:val="003F4DB5"/>
    <w:rsid w:val="003F5095"/>
    <w:rsid w:val="003F548D"/>
    <w:rsid w:val="003F560D"/>
    <w:rsid w:val="003F5630"/>
    <w:rsid w:val="003F57F9"/>
    <w:rsid w:val="003F5DEF"/>
    <w:rsid w:val="003F6103"/>
    <w:rsid w:val="003F627B"/>
    <w:rsid w:val="003F693F"/>
    <w:rsid w:val="003F6F71"/>
    <w:rsid w:val="003F7055"/>
    <w:rsid w:val="003F757B"/>
    <w:rsid w:val="003F7C22"/>
    <w:rsid w:val="003F7F4A"/>
    <w:rsid w:val="00400138"/>
    <w:rsid w:val="004004B5"/>
    <w:rsid w:val="0040068A"/>
    <w:rsid w:val="004009CE"/>
    <w:rsid w:val="00400A06"/>
    <w:rsid w:val="00401060"/>
    <w:rsid w:val="004011B8"/>
    <w:rsid w:val="004012E6"/>
    <w:rsid w:val="00401378"/>
    <w:rsid w:val="00401779"/>
    <w:rsid w:val="0040193F"/>
    <w:rsid w:val="00401C8A"/>
    <w:rsid w:val="00402033"/>
    <w:rsid w:val="004025B3"/>
    <w:rsid w:val="00402679"/>
    <w:rsid w:val="004028C8"/>
    <w:rsid w:val="004028DB"/>
    <w:rsid w:val="00402AA6"/>
    <w:rsid w:val="00402C54"/>
    <w:rsid w:val="00402E95"/>
    <w:rsid w:val="004035A5"/>
    <w:rsid w:val="00403696"/>
    <w:rsid w:val="004038D9"/>
    <w:rsid w:val="00403C55"/>
    <w:rsid w:val="00404057"/>
    <w:rsid w:val="00404509"/>
    <w:rsid w:val="00404523"/>
    <w:rsid w:val="0040459E"/>
    <w:rsid w:val="00404601"/>
    <w:rsid w:val="00404EC6"/>
    <w:rsid w:val="0040543E"/>
    <w:rsid w:val="00405DFA"/>
    <w:rsid w:val="00405FBE"/>
    <w:rsid w:val="004063C9"/>
    <w:rsid w:val="00406409"/>
    <w:rsid w:val="00406B0B"/>
    <w:rsid w:val="00407419"/>
    <w:rsid w:val="0040772F"/>
    <w:rsid w:val="0040775A"/>
    <w:rsid w:val="00410807"/>
    <w:rsid w:val="004109BE"/>
    <w:rsid w:val="00410D2C"/>
    <w:rsid w:val="004111A4"/>
    <w:rsid w:val="00411348"/>
    <w:rsid w:val="00411520"/>
    <w:rsid w:val="00411745"/>
    <w:rsid w:val="0041187A"/>
    <w:rsid w:val="00411AE9"/>
    <w:rsid w:val="00411C7A"/>
    <w:rsid w:val="00411C98"/>
    <w:rsid w:val="00412368"/>
    <w:rsid w:val="00412A21"/>
    <w:rsid w:val="00412C5F"/>
    <w:rsid w:val="004137D2"/>
    <w:rsid w:val="004138D1"/>
    <w:rsid w:val="004138F8"/>
    <w:rsid w:val="00413BB8"/>
    <w:rsid w:val="00414097"/>
    <w:rsid w:val="0041549C"/>
    <w:rsid w:val="004156BF"/>
    <w:rsid w:val="00415725"/>
    <w:rsid w:val="0041589E"/>
    <w:rsid w:val="004159F1"/>
    <w:rsid w:val="00415E45"/>
    <w:rsid w:val="00416018"/>
    <w:rsid w:val="004162B2"/>
    <w:rsid w:val="0041644E"/>
    <w:rsid w:val="004164E9"/>
    <w:rsid w:val="0041687F"/>
    <w:rsid w:val="00416E08"/>
    <w:rsid w:val="0041709D"/>
    <w:rsid w:val="004173CD"/>
    <w:rsid w:val="004173D4"/>
    <w:rsid w:val="0041757E"/>
    <w:rsid w:val="004178E2"/>
    <w:rsid w:val="00417BA0"/>
    <w:rsid w:val="00417E7D"/>
    <w:rsid w:val="00420115"/>
    <w:rsid w:val="00420212"/>
    <w:rsid w:val="0042040A"/>
    <w:rsid w:val="00420736"/>
    <w:rsid w:val="00420739"/>
    <w:rsid w:val="00420F93"/>
    <w:rsid w:val="00420FD7"/>
    <w:rsid w:val="00421069"/>
    <w:rsid w:val="004212FF"/>
    <w:rsid w:val="004216CC"/>
    <w:rsid w:val="00421728"/>
    <w:rsid w:val="004218B7"/>
    <w:rsid w:val="00421C1A"/>
    <w:rsid w:val="004220DF"/>
    <w:rsid w:val="00422316"/>
    <w:rsid w:val="00424B95"/>
    <w:rsid w:val="00424DF6"/>
    <w:rsid w:val="00424F47"/>
    <w:rsid w:val="00425709"/>
    <w:rsid w:val="004258AE"/>
    <w:rsid w:val="00425F9F"/>
    <w:rsid w:val="00426105"/>
    <w:rsid w:val="0042638C"/>
    <w:rsid w:val="00426814"/>
    <w:rsid w:val="00426DD0"/>
    <w:rsid w:val="0042761A"/>
    <w:rsid w:val="004276F9"/>
    <w:rsid w:val="00427B34"/>
    <w:rsid w:val="00427C72"/>
    <w:rsid w:val="00430150"/>
    <w:rsid w:val="00430501"/>
    <w:rsid w:val="00430D6A"/>
    <w:rsid w:val="00431066"/>
    <w:rsid w:val="00431127"/>
    <w:rsid w:val="004319A3"/>
    <w:rsid w:val="00431DED"/>
    <w:rsid w:val="0043264C"/>
    <w:rsid w:val="004333F2"/>
    <w:rsid w:val="00433476"/>
    <w:rsid w:val="004336F5"/>
    <w:rsid w:val="004336FF"/>
    <w:rsid w:val="004339C8"/>
    <w:rsid w:val="00433A37"/>
    <w:rsid w:val="00433D30"/>
    <w:rsid w:val="00433EC5"/>
    <w:rsid w:val="00434918"/>
    <w:rsid w:val="00434947"/>
    <w:rsid w:val="00434ADB"/>
    <w:rsid w:val="00434C33"/>
    <w:rsid w:val="00434CDF"/>
    <w:rsid w:val="00434D29"/>
    <w:rsid w:val="00434E26"/>
    <w:rsid w:val="00435588"/>
    <w:rsid w:val="0043586F"/>
    <w:rsid w:val="00435928"/>
    <w:rsid w:val="00435ADC"/>
    <w:rsid w:val="00435D1C"/>
    <w:rsid w:val="00435E07"/>
    <w:rsid w:val="004361D1"/>
    <w:rsid w:val="004362DA"/>
    <w:rsid w:val="00436462"/>
    <w:rsid w:val="0043699D"/>
    <w:rsid w:val="00436B31"/>
    <w:rsid w:val="00436B98"/>
    <w:rsid w:val="00436F84"/>
    <w:rsid w:val="00437473"/>
    <w:rsid w:val="00437FF8"/>
    <w:rsid w:val="004403D2"/>
    <w:rsid w:val="00440A5B"/>
    <w:rsid w:val="00440BC1"/>
    <w:rsid w:val="00440C61"/>
    <w:rsid w:val="00440ECF"/>
    <w:rsid w:val="004410C1"/>
    <w:rsid w:val="0044167F"/>
    <w:rsid w:val="004416D0"/>
    <w:rsid w:val="0044189C"/>
    <w:rsid w:val="00442142"/>
    <w:rsid w:val="00442236"/>
    <w:rsid w:val="00442266"/>
    <w:rsid w:val="00442360"/>
    <w:rsid w:val="004429B5"/>
    <w:rsid w:val="004430DF"/>
    <w:rsid w:val="0044386C"/>
    <w:rsid w:val="00443BCC"/>
    <w:rsid w:val="00443D13"/>
    <w:rsid w:val="00443EA5"/>
    <w:rsid w:val="00443F0F"/>
    <w:rsid w:val="00444477"/>
    <w:rsid w:val="004445D4"/>
    <w:rsid w:val="00444DC5"/>
    <w:rsid w:val="00444F1B"/>
    <w:rsid w:val="00444FB8"/>
    <w:rsid w:val="0044504A"/>
    <w:rsid w:val="0044549C"/>
    <w:rsid w:val="004454D9"/>
    <w:rsid w:val="0044564B"/>
    <w:rsid w:val="004458E4"/>
    <w:rsid w:val="00445940"/>
    <w:rsid w:val="00445E6F"/>
    <w:rsid w:val="00445F10"/>
    <w:rsid w:val="00446464"/>
    <w:rsid w:val="0044649C"/>
    <w:rsid w:val="00446613"/>
    <w:rsid w:val="004469BF"/>
    <w:rsid w:val="00446EDB"/>
    <w:rsid w:val="00446FF0"/>
    <w:rsid w:val="00447027"/>
    <w:rsid w:val="004473F4"/>
    <w:rsid w:val="00450168"/>
    <w:rsid w:val="00450246"/>
    <w:rsid w:val="00450A60"/>
    <w:rsid w:val="00451F9A"/>
    <w:rsid w:val="00452A4C"/>
    <w:rsid w:val="00452A78"/>
    <w:rsid w:val="00452BA5"/>
    <w:rsid w:val="00452CED"/>
    <w:rsid w:val="00452E24"/>
    <w:rsid w:val="004536CD"/>
    <w:rsid w:val="004539F7"/>
    <w:rsid w:val="0045466B"/>
    <w:rsid w:val="00454834"/>
    <w:rsid w:val="00454863"/>
    <w:rsid w:val="004550FD"/>
    <w:rsid w:val="0045530C"/>
    <w:rsid w:val="004555F9"/>
    <w:rsid w:val="00455D2D"/>
    <w:rsid w:val="00455E9A"/>
    <w:rsid w:val="0045629E"/>
    <w:rsid w:val="004562E5"/>
    <w:rsid w:val="004565DD"/>
    <w:rsid w:val="00456941"/>
    <w:rsid w:val="00456FFE"/>
    <w:rsid w:val="00457151"/>
    <w:rsid w:val="004571CE"/>
    <w:rsid w:val="0045721E"/>
    <w:rsid w:val="004574C2"/>
    <w:rsid w:val="004579D9"/>
    <w:rsid w:val="00460676"/>
    <w:rsid w:val="00460737"/>
    <w:rsid w:val="00460CFA"/>
    <w:rsid w:val="00460E64"/>
    <w:rsid w:val="0046129F"/>
    <w:rsid w:val="004612C7"/>
    <w:rsid w:val="004615B5"/>
    <w:rsid w:val="004615D2"/>
    <w:rsid w:val="00461773"/>
    <w:rsid w:val="004617BF"/>
    <w:rsid w:val="00461819"/>
    <w:rsid w:val="00461F55"/>
    <w:rsid w:val="0046209D"/>
    <w:rsid w:val="004621D7"/>
    <w:rsid w:val="004625D9"/>
    <w:rsid w:val="004635EE"/>
    <w:rsid w:val="0046385E"/>
    <w:rsid w:val="00463B10"/>
    <w:rsid w:val="00463F57"/>
    <w:rsid w:val="00464681"/>
    <w:rsid w:val="00464940"/>
    <w:rsid w:val="00464943"/>
    <w:rsid w:val="0046495D"/>
    <w:rsid w:val="00464962"/>
    <w:rsid w:val="00464BD1"/>
    <w:rsid w:val="00464C8C"/>
    <w:rsid w:val="004657B9"/>
    <w:rsid w:val="00465A4C"/>
    <w:rsid w:val="00465AF8"/>
    <w:rsid w:val="00465E1A"/>
    <w:rsid w:val="00466188"/>
    <w:rsid w:val="00466D07"/>
    <w:rsid w:val="00466F75"/>
    <w:rsid w:val="00467620"/>
    <w:rsid w:val="0046793D"/>
    <w:rsid w:val="0047013F"/>
    <w:rsid w:val="0047035F"/>
    <w:rsid w:val="00470B34"/>
    <w:rsid w:val="00470F94"/>
    <w:rsid w:val="00471268"/>
    <w:rsid w:val="00471275"/>
    <w:rsid w:val="004715E0"/>
    <w:rsid w:val="00471CFD"/>
    <w:rsid w:val="00471E34"/>
    <w:rsid w:val="0047235D"/>
    <w:rsid w:val="00472753"/>
    <w:rsid w:val="00472C06"/>
    <w:rsid w:val="00472D53"/>
    <w:rsid w:val="00474002"/>
    <w:rsid w:val="00474248"/>
    <w:rsid w:val="00474521"/>
    <w:rsid w:val="00474F62"/>
    <w:rsid w:val="00475520"/>
    <w:rsid w:val="00475B36"/>
    <w:rsid w:val="0047668A"/>
    <w:rsid w:val="00476DB5"/>
    <w:rsid w:val="00480013"/>
    <w:rsid w:val="00480029"/>
    <w:rsid w:val="004800E4"/>
    <w:rsid w:val="004803D0"/>
    <w:rsid w:val="00480AFC"/>
    <w:rsid w:val="00480BC8"/>
    <w:rsid w:val="00480C06"/>
    <w:rsid w:val="00481407"/>
    <w:rsid w:val="004814CD"/>
    <w:rsid w:val="00481887"/>
    <w:rsid w:val="00482553"/>
    <w:rsid w:val="00483003"/>
    <w:rsid w:val="00483B7E"/>
    <w:rsid w:val="00483DD2"/>
    <w:rsid w:val="00484460"/>
    <w:rsid w:val="004844D5"/>
    <w:rsid w:val="00484741"/>
    <w:rsid w:val="004857D7"/>
    <w:rsid w:val="00485836"/>
    <w:rsid w:val="00485B30"/>
    <w:rsid w:val="00485B6D"/>
    <w:rsid w:val="00485FD8"/>
    <w:rsid w:val="0048693B"/>
    <w:rsid w:val="00486A10"/>
    <w:rsid w:val="0048746C"/>
    <w:rsid w:val="00487906"/>
    <w:rsid w:val="00487986"/>
    <w:rsid w:val="00487A6F"/>
    <w:rsid w:val="00487B3C"/>
    <w:rsid w:val="00487C43"/>
    <w:rsid w:val="00487C91"/>
    <w:rsid w:val="004900B0"/>
    <w:rsid w:val="00490B8F"/>
    <w:rsid w:val="0049183D"/>
    <w:rsid w:val="00491A6F"/>
    <w:rsid w:val="00491AD8"/>
    <w:rsid w:val="00491DAB"/>
    <w:rsid w:val="00491FDA"/>
    <w:rsid w:val="0049210F"/>
    <w:rsid w:val="004921DB"/>
    <w:rsid w:val="0049229B"/>
    <w:rsid w:val="004929AA"/>
    <w:rsid w:val="00492B38"/>
    <w:rsid w:val="00492C9B"/>
    <w:rsid w:val="00493332"/>
    <w:rsid w:val="0049335B"/>
    <w:rsid w:val="00493B2F"/>
    <w:rsid w:val="00493CF6"/>
    <w:rsid w:val="00494363"/>
    <w:rsid w:val="00494459"/>
    <w:rsid w:val="0049456A"/>
    <w:rsid w:val="00494631"/>
    <w:rsid w:val="004948C5"/>
    <w:rsid w:val="00494980"/>
    <w:rsid w:val="00494D29"/>
    <w:rsid w:val="00494E6D"/>
    <w:rsid w:val="004955F8"/>
    <w:rsid w:val="00495CD8"/>
    <w:rsid w:val="00496113"/>
    <w:rsid w:val="0049645F"/>
    <w:rsid w:val="00496D52"/>
    <w:rsid w:val="004972EB"/>
    <w:rsid w:val="0049751F"/>
    <w:rsid w:val="004A0D8C"/>
    <w:rsid w:val="004A0FD4"/>
    <w:rsid w:val="004A1B2C"/>
    <w:rsid w:val="004A1DA9"/>
    <w:rsid w:val="004A2D1A"/>
    <w:rsid w:val="004A332F"/>
    <w:rsid w:val="004A34AA"/>
    <w:rsid w:val="004A3A62"/>
    <w:rsid w:val="004A41F0"/>
    <w:rsid w:val="004A4253"/>
    <w:rsid w:val="004A4A34"/>
    <w:rsid w:val="004A4DDC"/>
    <w:rsid w:val="004A524E"/>
    <w:rsid w:val="004A551E"/>
    <w:rsid w:val="004A571D"/>
    <w:rsid w:val="004A5B69"/>
    <w:rsid w:val="004A5B6E"/>
    <w:rsid w:val="004A62F2"/>
    <w:rsid w:val="004A6453"/>
    <w:rsid w:val="004A67AF"/>
    <w:rsid w:val="004A6955"/>
    <w:rsid w:val="004A6995"/>
    <w:rsid w:val="004A6A5E"/>
    <w:rsid w:val="004A6E14"/>
    <w:rsid w:val="004A7048"/>
    <w:rsid w:val="004A774E"/>
    <w:rsid w:val="004A79E6"/>
    <w:rsid w:val="004A7A06"/>
    <w:rsid w:val="004A7A70"/>
    <w:rsid w:val="004A7AD7"/>
    <w:rsid w:val="004A7D7D"/>
    <w:rsid w:val="004B00D3"/>
    <w:rsid w:val="004B077B"/>
    <w:rsid w:val="004B0BE6"/>
    <w:rsid w:val="004B1055"/>
    <w:rsid w:val="004B106F"/>
    <w:rsid w:val="004B18C9"/>
    <w:rsid w:val="004B198F"/>
    <w:rsid w:val="004B2429"/>
    <w:rsid w:val="004B259E"/>
    <w:rsid w:val="004B2B5F"/>
    <w:rsid w:val="004B2F81"/>
    <w:rsid w:val="004B31A1"/>
    <w:rsid w:val="004B353D"/>
    <w:rsid w:val="004B3771"/>
    <w:rsid w:val="004B40A1"/>
    <w:rsid w:val="004B4468"/>
    <w:rsid w:val="004B4C54"/>
    <w:rsid w:val="004B4D91"/>
    <w:rsid w:val="004B589A"/>
    <w:rsid w:val="004B5BAD"/>
    <w:rsid w:val="004B5DA0"/>
    <w:rsid w:val="004B60E2"/>
    <w:rsid w:val="004B622F"/>
    <w:rsid w:val="004B69D8"/>
    <w:rsid w:val="004B6C7E"/>
    <w:rsid w:val="004B717D"/>
    <w:rsid w:val="004B7C13"/>
    <w:rsid w:val="004B7C23"/>
    <w:rsid w:val="004B7CE2"/>
    <w:rsid w:val="004C068A"/>
    <w:rsid w:val="004C06ED"/>
    <w:rsid w:val="004C0D7D"/>
    <w:rsid w:val="004C13CC"/>
    <w:rsid w:val="004C1551"/>
    <w:rsid w:val="004C1723"/>
    <w:rsid w:val="004C19D9"/>
    <w:rsid w:val="004C1B48"/>
    <w:rsid w:val="004C1CFB"/>
    <w:rsid w:val="004C1D23"/>
    <w:rsid w:val="004C1FB9"/>
    <w:rsid w:val="004C2455"/>
    <w:rsid w:val="004C2A8D"/>
    <w:rsid w:val="004C2E21"/>
    <w:rsid w:val="004C2EA3"/>
    <w:rsid w:val="004C2FF5"/>
    <w:rsid w:val="004C319C"/>
    <w:rsid w:val="004C4309"/>
    <w:rsid w:val="004C460B"/>
    <w:rsid w:val="004C48AD"/>
    <w:rsid w:val="004C503E"/>
    <w:rsid w:val="004C565D"/>
    <w:rsid w:val="004C57A4"/>
    <w:rsid w:val="004C5B44"/>
    <w:rsid w:val="004C5F0C"/>
    <w:rsid w:val="004C6429"/>
    <w:rsid w:val="004C7006"/>
    <w:rsid w:val="004C75A0"/>
    <w:rsid w:val="004C7764"/>
    <w:rsid w:val="004C792B"/>
    <w:rsid w:val="004D0F68"/>
    <w:rsid w:val="004D1376"/>
    <w:rsid w:val="004D1534"/>
    <w:rsid w:val="004D15E0"/>
    <w:rsid w:val="004D1AF3"/>
    <w:rsid w:val="004D1C9C"/>
    <w:rsid w:val="004D23AA"/>
    <w:rsid w:val="004D2B58"/>
    <w:rsid w:val="004D2EBC"/>
    <w:rsid w:val="004D3416"/>
    <w:rsid w:val="004D375D"/>
    <w:rsid w:val="004D3780"/>
    <w:rsid w:val="004D3CF1"/>
    <w:rsid w:val="004D3F88"/>
    <w:rsid w:val="004D4D79"/>
    <w:rsid w:val="004D5556"/>
    <w:rsid w:val="004D5768"/>
    <w:rsid w:val="004D5A50"/>
    <w:rsid w:val="004D633C"/>
    <w:rsid w:val="004D636F"/>
    <w:rsid w:val="004D6591"/>
    <w:rsid w:val="004D6F56"/>
    <w:rsid w:val="004E0556"/>
    <w:rsid w:val="004E0820"/>
    <w:rsid w:val="004E09D0"/>
    <w:rsid w:val="004E0AAF"/>
    <w:rsid w:val="004E0E18"/>
    <w:rsid w:val="004E1124"/>
    <w:rsid w:val="004E14E6"/>
    <w:rsid w:val="004E19D1"/>
    <w:rsid w:val="004E1F98"/>
    <w:rsid w:val="004E22DE"/>
    <w:rsid w:val="004E241F"/>
    <w:rsid w:val="004E2C31"/>
    <w:rsid w:val="004E311D"/>
    <w:rsid w:val="004E352A"/>
    <w:rsid w:val="004E380D"/>
    <w:rsid w:val="004E4169"/>
    <w:rsid w:val="004E43B2"/>
    <w:rsid w:val="004E4960"/>
    <w:rsid w:val="004E513D"/>
    <w:rsid w:val="004E53E4"/>
    <w:rsid w:val="004E547D"/>
    <w:rsid w:val="004E566D"/>
    <w:rsid w:val="004E57B8"/>
    <w:rsid w:val="004E59A6"/>
    <w:rsid w:val="004E5F8D"/>
    <w:rsid w:val="004E628A"/>
    <w:rsid w:val="004E64B3"/>
    <w:rsid w:val="004E6891"/>
    <w:rsid w:val="004E69A6"/>
    <w:rsid w:val="004E6E39"/>
    <w:rsid w:val="004E773C"/>
    <w:rsid w:val="004E78D3"/>
    <w:rsid w:val="004E798E"/>
    <w:rsid w:val="004E7DB5"/>
    <w:rsid w:val="004E7E6F"/>
    <w:rsid w:val="004E7F04"/>
    <w:rsid w:val="004F011B"/>
    <w:rsid w:val="004F02D0"/>
    <w:rsid w:val="004F04CE"/>
    <w:rsid w:val="004F0684"/>
    <w:rsid w:val="004F0AF3"/>
    <w:rsid w:val="004F1A75"/>
    <w:rsid w:val="004F294A"/>
    <w:rsid w:val="004F2B9E"/>
    <w:rsid w:val="004F2FAD"/>
    <w:rsid w:val="004F32B5"/>
    <w:rsid w:val="004F33EA"/>
    <w:rsid w:val="004F3801"/>
    <w:rsid w:val="004F3BBF"/>
    <w:rsid w:val="004F3E4A"/>
    <w:rsid w:val="004F3F52"/>
    <w:rsid w:val="004F435C"/>
    <w:rsid w:val="004F44DF"/>
    <w:rsid w:val="004F466D"/>
    <w:rsid w:val="004F47AE"/>
    <w:rsid w:val="004F48E4"/>
    <w:rsid w:val="004F4945"/>
    <w:rsid w:val="004F497A"/>
    <w:rsid w:val="004F4A74"/>
    <w:rsid w:val="004F4CAF"/>
    <w:rsid w:val="004F52FE"/>
    <w:rsid w:val="004F571A"/>
    <w:rsid w:val="004F5A49"/>
    <w:rsid w:val="004F5A68"/>
    <w:rsid w:val="004F5D36"/>
    <w:rsid w:val="004F5EA2"/>
    <w:rsid w:val="004F6312"/>
    <w:rsid w:val="004F687F"/>
    <w:rsid w:val="004F698D"/>
    <w:rsid w:val="004F6AF9"/>
    <w:rsid w:val="004F6E3D"/>
    <w:rsid w:val="004F6EBB"/>
    <w:rsid w:val="004F70AF"/>
    <w:rsid w:val="004F78F0"/>
    <w:rsid w:val="004F795A"/>
    <w:rsid w:val="004F7CB8"/>
    <w:rsid w:val="004F7D63"/>
    <w:rsid w:val="004F7DFA"/>
    <w:rsid w:val="004F7F54"/>
    <w:rsid w:val="00500424"/>
    <w:rsid w:val="00500567"/>
    <w:rsid w:val="00500A1D"/>
    <w:rsid w:val="00501429"/>
    <w:rsid w:val="005014BA"/>
    <w:rsid w:val="00501814"/>
    <w:rsid w:val="0050188D"/>
    <w:rsid w:val="00501A12"/>
    <w:rsid w:val="00501EAE"/>
    <w:rsid w:val="00502D28"/>
    <w:rsid w:val="00502D50"/>
    <w:rsid w:val="00502F61"/>
    <w:rsid w:val="0050311D"/>
    <w:rsid w:val="0050314B"/>
    <w:rsid w:val="00503467"/>
    <w:rsid w:val="00504294"/>
    <w:rsid w:val="00504AFB"/>
    <w:rsid w:val="00505380"/>
    <w:rsid w:val="00505788"/>
    <w:rsid w:val="00505886"/>
    <w:rsid w:val="00505887"/>
    <w:rsid w:val="00506800"/>
    <w:rsid w:val="0050691F"/>
    <w:rsid w:val="00507FE8"/>
    <w:rsid w:val="005107A4"/>
    <w:rsid w:val="005111FF"/>
    <w:rsid w:val="005115FE"/>
    <w:rsid w:val="00511E37"/>
    <w:rsid w:val="00511FA1"/>
    <w:rsid w:val="005120C5"/>
    <w:rsid w:val="005121B5"/>
    <w:rsid w:val="00512B8B"/>
    <w:rsid w:val="00512E30"/>
    <w:rsid w:val="00512F42"/>
    <w:rsid w:val="00513480"/>
    <w:rsid w:val="0051360F"/>
    <w:rsid w:val="0051392B"/>
    <w:rsid w:val="00514304"/>
    <w:rsid w:val="0051442B"/>
    <w:rsid w:val="0051450E"/>
    <w:rsid w:val="0051473A"/>
    <w:rsid w:val="005149B9"/>
    <w:rsid w:val="00514B22"/>
    <w:rsid w:val="00514B89"/>
    <w:rsid w:val="0051507E"/>
    <w:rsid w:val="005154C4"/>
    <w:rsid w:val="005156CB"/>
    <w:rsid w:val="005156E6"/>
    <w:rsid w:val="00515913"/>
    <w:rsid w:val="00515E3B"/>
    <w:rsid w:val="00515EE2"/>
    <w:rsid w:val="00515FA1"/>
    <w:rsid w:val="00516707"/>
    <w:rsid w:val="00516C7D"/>
    <w:rsid w:val="00516DA8"/>
    <w:rsid w:val="00517533"/>
    <w:rsid w:val="00517658"/>
    <w:rsid w:val="0051771E"/>
    <w:rsid w:val="005179C3"/>
    <w:rsid w:val="00517F7B"/>
    <w:rsid w:val="0052017A"/>
    <w:rsid w:val="00520259"/>
    <w:rsid w:val="005205F3"/>
    <w:rsid w:val="00520979"/>
    <w:rsid w:val="00520C1E"/>
    <w:rsid w:val="00521173"/>
    <w:rsid w:val="005211D6"/>
    <w:rsid w:val="00521263"/>
    <w:rsid w:val="00521501"/>
    <w:rsid w:val="0052169C"/>
    <w:rsid w:val="005216CC"/>
    <w:rsid w:val="005217F0"/>
    <w:rsid w:val="00521C4B"/>
    <w:rsid w:val="00521C97"/>
    <w:rsid w:val="00521D09"/>
    <w:rsid w:val="0052243A"/>
    <w:rsid w:val="005226FC"/>
    <w:rsid w:val="00522701"/>
    <w:rsid w:val="005229AE"/>
    <w:rsid w:val="0052318B"/>
    <w:rsid w:val="0052320A"/>
    <w:rsid w:val="005232AE"/>
    <w:rsid w:val="0052342E"/>
    <w:rsid w:val="00523824"/>
    <w:rsid w:val="0052383E"/>
    <w:rsid w:val="00523BC6"/>
    <w:rsid w:val="00523D35"/>
    <w:rsid w:val="00523E53"/>
    <w:rsid w:val="00523F13"/>
    <w:rsid w:val="005244EA"/>
    <w:rsid w:val="005245E0"/>
    <w:rsid w:val="00524A1F"/>
    <w:rsid w:val="00524A89"/>
    <w:rsid w:val="00524D17"/>
    <w:rsid w:val="00524DB0"/>
    <w:rsid w:val="00524E0B"/>
    <w:rsid w:val="00524F25"/>
    <w:rsid w:val="00525A5B"/>
    <w:rsid w:val="00526008"/>
    <w:rsid w:val="005262F0"/>
    <w:rsid w:val="00526444"/>
    <w:rsid w:val="00526BD4"/>
    <w:rsid w:val="00526CF5"/>
    <w:rsid w:val="005273DB"/>
    <w:rsid w:val="00527C5D"/>
    <w:rsid w:val="0053027B"/>
    <w:rsid w:val="00530D79"/>
    <w:rsid w:val="00530FB1"/>
    <w:rsid w:val="00531424"/>
    <w:rsid w:val="005317B0"/>
    <w:rsid w:val="005319EF"/>
    <w:rsid w:val="0053299E"/>
    <w:rsid w:val="00532FBF"/>
    <w:rsid w:val="00533248"/>
    <w:rsid w:val="005336DF"/>
    <w:rsid w:val="00533866"/>
    <w:rsid w:val="0053399E"/>
    <w:rsid w:val="00533D25"/>
    <w:rsid w:val="00533DB8"/>
    <w:rsid w:val="005346D3"/>
    <w:rsid w:val="005347CF"/>
    <w:rsid w:val="00535410"/>
    <w:rsid w:val="005357DB"/>
    <w:rsid w:val="00535BC8"/>
    <w:rsid w:val="00536DA4"/>
    <w:rsid w:val="00537314"/>
    <w:rsid w:val="0053765E"/>
    <w:rsid w:val="00537F33"/>
    <w:rsid w:val="0054111D"/>
    <w:rsid w:val="005412C6"/>
    <w:rsid w:val="005412C7"/>
    <w:rsid w:val="0054188A"/>
    <w:rsid w:val="00541CD9"/>
    <w:rsid w:val="00541E4E"/>
    <w:rsid w:val="00541E95"/>
    <w:rsid w:val="00542118"/>
    <w:rsid w:val="005421F1"/>
    <w:rsid w:val="00542657"/>
    <w:rsid w:val="00542715"/>
    <w:rsid w:val="00542EAD"/>
    <w:rsid w:val="0054384E"/>
    <w:rsid w:val="005439E8"/>
    <w:rsid w:val="00543A77"/>
    <w:rsid w:val="00543EE6"/>
    <w:rsid w:val="00543EE7"/>
    <w:rsid w:val="00544102"/>
    <w:rsid w:val="00544156"/>
    <w:rsid w:val="00544913"/>
    <w:rsid w:val="005452FF"/>
    <w:rsid w:val="00545726"/>
    <w:rsid w:val="0054584A"/>
    <w:rsid w:val="005459C8"/>
    <w:rsid w:val="00545B4C"/>
    <w:rsid w:val="00545C72"/>
    <w:rsid w:val="00545D28"/>
    <w:rsid w:val="00545ECA"/>
    <w:rsid w:val="005461EC"/>
    <w:rsid w:val="005462EE"/>
    <w:rsid w:val="00546B4D"/>
    <w:rsid w:val="00546F4C"/>
    <w:rsid w:val="00546F71"/>
    <w:rsid w:val="0054732D"/>
    <w:rsid w:val="005473D0"/>
    <w:rsid w:val="0054792D"/>
    <w:rsid w:val="0055049F"/>
    <w:rsid w:val="005508A5"/>
    <w:rsid w:val="00550CF7"/>
    <w:rsid w:val="00550D72"/>
    <w:rsid w:val="00551269"/>
    <w:rsid w:val="00551428"/>
    <w:rsid w:val="0055216E"/>
    <w:rsid w:val="005522DF"/>
    <w:rsid w:val="005522FA"/>
    <w:rsid w:val="00552307"/>
    <w:rsid w:val="00552799"/>
    <w:rsid w:val="00552D77"/>
    <w:rsid w:val="005530E7"/>
    <w:rsid w:val="0055318F"/>
    <w:rsid w:val="00553271"/>
    <w:rsid w:val="005532ED"/>
    <w:rsid w:val="00553379"/>
    <w:rsid w:val="00554215"/>
    <w:rsid w:val="0055429D"/>
    <w:rsid w:val="005544F2"/>
    <w:rsid w:val="00554582"/>
    <w:rsid w:val="005551ED"/>
    <w:rsid w:val="0055547C"/>
    <w:rsid w:val="005559D0"/>
    <w:rsid w:val="00555D40"/>
    <w:rsid w:val="00555E0F"/>
    <w:rsid w:val="00556564"/>
    <w:rsid w:val="00556DA4"/>
    <w:rsid w:val="00556F8F"/>
    <w:rsid w:val="00557CA3"/>
    <w:rsid w:val="005600D1"/>
    <w:rsid w:val="00560336"/>
    <w:rsid w:val="00560432"/>
    <w:rsid w:val="00560A27"/>
    <w:rsid w:val="00561455"/>
    <w:rsid w:val="0056194C"/>
    <w:rsid w:val="005623A0"/>
    <w:rsid w:val="0056254E"/>
    <w:rsid w:val="005625C3"/>
    <w:rsid w:val="005625FD"/>
    <w:rsid w:val="00562734"/>
    <w:rsid w:val="00562D53"/>
    <w:rsid w:val="00563080"/>
    <w:rsid w:val="0056325B"/>
    <w:rsid w:val="00563360"/>
    <w:rsid w:val="005633BE"/>
    <w:rsid w:val="0056369E"/>
    <w:rsid w:val="0056415B"/>
    <w:rsid w:val="005641BC"/>
    <w:rsid w:val="005644BD"/>
    <w:rsid w:val="00564B2A"/>
    <w:rsid w:val="00565210"/>
    <w:rsid w:val="00565409"/>
    <w:rsid w:val="00565484"/>
    <w:rsid w:val="0056564F"/>
    <w:rsid w:val="005656B3"/>
    <w:rsid w:val="0056575B"/>
    <w:rsid w:val="00565980"/>
    <w:rsid w:val="00565C19"/>
    <w:rsid w:val="00565D5C"/>
    <w:rsid w:val="00565D9C"/>
    <w:rsid w:val="00565E11"/>
    <w:rsid w:val="00565F4D"/>
    <w:rsid w:val="00565F67"/>
    <w:rsid w:val="005661FF"/>
    <w:rsid w:val="00566455"/>
    <w:rsid w:val="0056713F"/>
    <w:rsid w:val="005671A1"/>
    <w:rsid w:val="0056734B"/>
    <w:rsid w:val="0056777A"/>
    <w:rsid w:val="00567878"/>
    <w:rsid w:val="00570F2A"/>
    <w:rsid w:val="0057126B"/>
    <w:rsid w:val="005714F2"/>
    <w:rsid w:val="005719BE"/>
    <w:rsid w:val="00571E78"/>
    <w:rsid w:val="0057201C"/>
    <w:rsid w:val="00572076"/>
    <w:rsid w:val="0057218F"/>
    <w:rsid w:val="005722D0"/>
    <w:rsid w:val="00572487"/>
    <w:rsid w:val="005732E7"/>
    <w:rsid w:val="005735A8"/>
    <w:rsid w:val="00573D2F"/>
    <w:rsid w:val="00573E62"/>
    <w:rsid w:val="005745FC"/>
    <w:rsid w:val="00574711"/>
    <w:rsid w:val="00574836"/>
    <w:rsid w:val="00574843"/>
    <w:rsid w:val="005748C6"/>
    <w:rsid w:val="00574AC8"/>
    <w:rsid w:val="00574F46"/>
    <w:rsid w:val="00575603"/>
    <w:rsid w:val="00575853"/>
    <w:rsid w:val="00576217"/>
    <w:rsid w:val="005764B4"/>
    <w:rsid w:val="00576700"/>
    <w:rsid w:val="00576789"/>
    <w:rsid w:val="00576797"/>
    <w:rsid w:val="00576D60"/>
    <w:rsid w:val="005770B3"/>
    <w:rsid w:val="00577181"/>
    <w:rsid w:val="00577476"/>
    <w:rsid w:val="005774FE"/>
    <w:rsid w:val="0057792C"/>
    <w:rsid w:val="00577E8D"/>
    <w:rsid w:val="0058058F"/>
    <w:rsid w:val="00580B73"/>
    <w:rsid w:val="00580CCE"/>
    <w:rsid w:val="00581198"/>
    <w:rsid w:val="00581797"/>
    <w:rsid w:val="00581895"/>
    <w:rsid w:val="00581BCE"/>
    <w:rsid w:val="00581E1A"/>
    <w:rsid w:val="00581F0E"/>
    <w:rsid w:val="005824FF"/>
    <w:rsid w:val="0058300A"/>
    <w:rsid w:val="00583113"/>
    <w:rsid w:val="005832E2"/>
    <w:rsid w:val="00583509"/>
    <w:rsid w:val="005842EC"/>
    <w:rsid w:val="005848D0"/>
    <w:rsid w:val="00584D38"/>
    <w:rsid w:val="00585047"/>
    <w:rsid w:val="00585062"/>
    <w:rsid w:val="005856E5"/>
    <w:rsid w:val="00585974"/>
    <w:rsid w:val="00585B29"/>
    <w:rsid w:val="00585DF1"/>
    <w:rsid w:val="00585FDA"/>
    <w:rsid w:val="005862B7"/>
    <w:rsid w:val="0058651A"/>
    <w:rsid w:val="0058686F"/>
    <w:rsid w:val="00586F09"/>
    <w:rsid w:val="0058712D"/>
    <w:rsid w:val="005877F3"/>
    <w:rsid w:val="00587864"/>
    <w:rsid w:val="005878FB"/>
    <w:rsid w:val="00587A57"/>
    <w:rsid w:val="00587C47"/>
    <w:rsid w:val="00590149"/>
    <w:rsid w:val="00590596"/>
    <w:rsid w:val="0059063F"/>
    <w:rsid w:val="0059081B"/>
    <w:rsid w:val="00591669"/>
    <w:rsid w:val="0059181B"/>
    <w:rsid w:val="00591BEA"/>
    <w:rsid w:val="00591F57"/>
    <w:rsid w:val="00591F96"/>
    <w:rsid w:val="00591FA9"/>
    <w:rsid w:val="0059215C"/>
    <w:rsid w:val="005922CB"/>
    <w:rsid w:val="005923C6"/>
    <w:rsid w:val="0059248B"/>
    <w:rsid w:val="005926D8"/>
    <w:rsid w:val="00592C25"/>
    <w:rsid w:val="00592E22"/>
    <w:rsid w:val="00592EAE"/>
    <w:rsid w:val="00592EE0"/>
    <w:rsid w:val="00592FB7"/>
    <w:rsid w:val="00593056"/>
    <w:rsid w:val="00593403"/>
    <w:rsid w:val="005935C9"/>
    <w:rsid w:val="005936DC"/>
    <w:rsid w:val="005937B0"/>
    <w:rsid w:val="005937D3"/>
    <w:rsid w:val="005937F2"/>
    <w:rsid w:val="00593B9D"/>
    <w:rsid w:val="00593E65"/>
    <w:rsid w:val="00593EAE"/>
    <w:rsid w:val="0059486D"/>
    <w:rsid w:val="00594916"/>
    <w:rsid w:val="00595330"/>
    <w:rsid w:val="0059545F"/>
    <w:rsid w:val="0059563D"/>
    <w:rsid w:val="0059586E"/>
    <w:rsid w:val="00596224"/>
    <w:rsid w:val="00596896"/>
    <w:rsid w:val="0059737C"/>
    <w:rsid w:val="005974EB"/>
    <w:rsid w:val="005A00FE"/>
    <w:rsid w:val="005A01EF"/>
    <w:rsid w:val="005A027C"/>
    <w:rsid w:val="005A0B26"/>
    <w:rsid w:val="005A0DBB"/>
    <w:rsid w:val="005A1240"/>
    <w:rsid w:val="005A128A"/>
    <w:rsid w:val="005A163E"/>
    <w:rsid w:val="005A185D"/>
    <w:rsid w:val="005A2148"/>
    <w:rsid w:val="005A257E"/>
    <w:rsid w:val="005A298E"/>
    <w:rsid w:val="005A2A89"/>
    <w:rsid w:val="005A2B3E"/>
    <w:rsid w:val="005A2C50"/>
    <w:rsid w:val="005A30FF"/>
    <w:rsid w:val="005A32C8"/>
    <w:rsid w:val="005A340E"/>
    <w:rsid w:val="005A3B12"/>
    <w:rsid w:val="005A3C49"/>
    <w:rsid w:val="005A3C4D"/>
    <w:rsid w:val="005A3CD5"/>
    <w:rsid w:val="005A3DFD"/>
    <w:rsid w:val="005A3E0E"/>
    <w:rsid w:val="005A4778"/>
    <w:rsid w:val="005A480E"/>
    <w:rsid w:val="005A4964"/>
    <w:rsid w:val="005A4C95"/>
    <w:rsid w:val="005A51C5"/>
    <w:rsid w:val="005A6158"/>
    <w:rsid w:val="005A647C"/>
    <w:rsid w:val="005A709B"/>
    <w:rsid w:val="005A7124"/>
    <w:rsid w:val="005A72BA"/>
    <w:rsid w:val="005A7B62"/>
    <w:rsid w:val="005B00B7"/>
    <w:rsid w:val="005B07BC"/>
    <w:rsid w:val="005B0C07"/>
    <w:rsid w:val="005B130F"/>
    <w:rsid w:val="005B14B4"/>
    <w:rsid w:val="005B17A8"/>
    <w:rsid w:val="005B18BE"/>
    <w:rsid w:val="005B19A1"/>
    <w:rsid w:val="005B19D1"/>
    <w:rsid w:val="005B1F10"/>
    <w:rsid w:val="005B1FAC"/>
    <w:rsid w:val="005B2153"/>
    <w:rsid w:val="005B24F5"/>
    <w:rsid w:val="005B252F"/>
    <w:rsid w:val="005B263A"/>
    <w:rsid w:val="005B2C76"/>
    <w:rsid w:val="005B2DE1"/>
    <w:rsid w:val="005B2F44"/>
    <w:rsid w:val="005B32A2"/>
    <w:rsid w:val="005B346A"/>
    <w:rsid w:val="005B36CF"/>
    <w:rsid w:val="005B3E2C"/>
    <w:rsid w:val="005B4DB1"/>
    <w:rsid w:val="005B54F0"/>
    <w:rsid w:val="005B5BDB"/>
    <w:rsid w:val="005B5E1D"/>
    <w:rsid w:val="005B618C"/>
    <w:rsid w:val="005B6E0B"/>
    <w:rsid w:val="005B7088"/>
    <w:rsid w:val="005B7814"/>
    <w:rsid w:val="005B7872"/>
    <w:rsid w:val="005B7A41"/>
    <w:rsid w:val="005B7BDC"/>
    <w:rsid w:val="005C03D0"/>
    <w:rsid w:val="005C0AD9"/>
    <w:rsid w:val="005C0C54"/>
    <w:rsid w:val="005C1112"/>
    <w:rsid w:val="005C1498"/>
    <w:rsid w:val="005C190F"/>
    <w:rsid w:val="005C19A8"/>
    <w:rsid w:val="005C1BEA"/>
    <w:rsid w:val="005C1CAE"/>
    <w:rsid w:val="005C1E97"/>
    <w:rsid w:val="005C1F8B"/>
    <w:rsid w:val="005C1FE6"/>
    <w:rsid w:val="005C32F9"/>
    <w:rsid w:val="005C3A11"/>
    <w:rsid w:val="005C3CB4"/>
    <w:rsid w:val="005C43FA"/>
    <w:rsid w:val="005C4932"/>
    <w:rsid w:val="005C49AF"/>
    <w:rsid w:val="005C5A0F"/>
    <w:rsid w:val="005C5A20"/>
    <w:rsid w:val="005C5E96"/>
    <w:rsid w:val="005C63C4"/>
    <w:rsid w:val="005C6863"/>
    <w:rsid w:val="005C6C70"/>
    <w:rsid w:val="005C7FBF"/>
    <w:rsid w:val="005D0149"/>
    <w:rsid w:val="005D05DB"/>
    <w:rsid w:val="005D0614"/>
    <w:rsid w:val="005D0A67"/>
    <w:rsid w:val="005D0B97"/>
    <w:rsid w:val="005D0BB8"/>
    <w:rsid w:val="005D1B18"/>
    <w:rsid w:val="005D1D84"/>
    <w:rsid w:val="005D1E6F"/>
    <w:rsid w:val="005D1EB0"/>
    <w:rsid w:val="005D2242"/>
    <w:rsid w:val="005D2494"/>
    <w:rsid w:val="005D309B"/>
    <w:rsid w:val="005D319C"/>
    <w:rsid w:val="005D375E"/>
    <w:rsid w:val="005D438E"/>
    <w:rsid w:val="005D43E9"/>
    <w:rsid w:val="005D4899"/>
    <w:rsid w:val="005D4B35"/>
    <w:rsid w:val="005D4C52"/>
    <w:rsid w:val="005D4CF6"/>
    <w:rsid w:val="005D50FF"/>
    <w:rsid w:val="005D5304"/>
    <w:rsid w:val="005D5AAD"/>
    <w:rsid w:val="005D5B5E"/>
    <w:rsid w:val="005D6064"/>
    <w:rsid w:val="005D6305"/>
    <w:rsid w:val="005D66DC"/>
    <w:rsid w:val="005D6A90"/>
    <w:rsid w:val="005D6B0C"/>
    <w:rsid w:val="005D6B46"/>
    <w:rsid w:val="005D6DEC"/>
    <w:rsid w:val="005D71AC"/>
    <w:rsid w:val="005D7309"/>
    <w:rsid w:val="005D797E"/>
    <w:rsid w:val="005D7D32"/>
    <w:rsid w:val="005E0C21"/>
    <w:rsid w:val="005E0C56"/>
    <w:rsid w:val="005E0EDB"/>
    <w:rsid w:val="005E115E"/>
    <w:rsid w:val="005E13EA"/>
    <w:rsid w:val="005E1AA2"/>
    <w:rsid w:val="005E24D6"/>
    <w:rsid w:val="005E24F9"/>
    <w:rsid w:val="005E2776"/>
    <w:rsid w:val="005E2BB1"/>
    <w:rsid w:val="005E2EB7"/>
    <w:rsid w:val="005E3022"/>
    <w:rsid w:val="005E3115"/>
    <w:rsid w:val="005E3AA6"/>
    <w:rsid w:val="005E3DBE"/>
    <w:rsid w:val="005E3F33"/>
    <w:rsid w:val="005E4130"/>
    <w:rsid w:val="005E42F7"/>
    <w:rsid w:val="005E4528"/>
    <w:rsid w:val="005E4906"/>
    <w:rsid w:val="005E4972"/>
    <w:rsid w:val="005E4A34"/>
    <w:rsid w:val="005E4B7E"/>
    <w:rsid w:val="005E4B86"/>
    <w:rsid w:val="005E4BA9"/>
    <w:rsid w:val="005E4BB0"/>
    <w:rsid w:val="005E4EDC"/>
    <w:rsid w:val="005E4EE1"/>
    <w:rsid w:val="005E5365"/>
    <w:rsid w:val="005E5750"/>
    <w:rsid w:val="005E5BD7"/>
    <w:rsid w:val="005E76A0"/>
    <w:rsid w:val="005E7C6D"/>
    <w:rsid w:val="005F028A"/>
    <w:rsid w:val="005F0743"/>
    <w:rsid w:val="005F0C19"/>
    <w:rsid w:val="005F1181"/>
    <w:rsid w:val="005F12BB"/>
    <w:rsid w:val="005F1719"/>
    <w:rsid w:val="005F1747"/>
    <w:rsid w:val="005F1858"/>
    <w:rsid w:val="005F1B36"/>
    <w:rsid w:val="005F201A"/>
    <w:rsid w:val="005F247A"/>
    <w:rsid w:val="005F288F"/>
    <w:rsid w:val="005F28C6"/>
    <w:rsid w:val="005F2B28"/>
    <w:rsid w:val="005F42F0"/>
    <w:rsid w:val="005F4585"/>
    <w:rsid w:val="005F4FBC"/>
    <w:rsid w:val="005F5092"/>
    <w:rsid w:val="005F52E6"/>
    <w:rsid w:val="005F541F"/>
    <w:rsid w:val="005F669F"/>
    <w:rsid w:val="005F6B08"/>
    <w:rsid w:val="005F6B76"/>
    <w:rsid w:val="005F6BD1"/>
    <w:rsid w:val="005F7079"/>
    <w:rsid w:val="005F783A"/>
    <w:rsid w:val="00600C0C"/>
    <w:rsid w:val="00600F11"/>
    <w:rsid w:val="00600F7F"/>
    <w:rsid w:val="00601546"/>
    <w:rsid w:val="006019AF"/>
    <w:rsid w:val="00602033"/>
    <w:rsid w:val="00602073"/>
    <w:rsid w:val="00602485"/>
    <w:rsid w:val="006027F8"/>
    <w:rsid w:val="00602958"/>
    <w:rsid w:val="0060352B"/>
    <w:rsid w:val="006039DF"/>
    <w:rsid w:val="00603A01"/>
    <w:rsid w:val="00603EE7"/>
    <w:rsid w:val="00604185"/>
    <w:rsid w:val="00604331"/>
    <w:rsid w:val="00604AD3"/>
    <w:rsid w:val="006056B7"/>
    <w:rsid w:val="00605B10"/>
    <w:rsid w:val="006060C0"/>
    <w:rsid w:val="006060ED"/>
    <w:rsid w:val="0060684D"/>
    <w:rsid w:val="00606854"/>
    <w:rsid w:val="00606AEC"/>
    <w:rsid w:val="006077F2"/>
    <w:rsid w:val="00610011"/>
    <w:rsid w:val="00610BB2"/>
    <w:rsid w:val="00610CC3"/>
    <w:rsid w:val="00610E4F"/>
    <w:rsid w:val="00610ED8"/>
    <w:rsid w:val="00611223"/>
    <w:rsid w:val="006112D7"/>
    <w:rsid w:val="00611B3A"/>
    <w:rsid w:val="0061230C"/>
    <w:rsid w:val="00612608"/>
    <w:rsid w:val="00612E63"/>
    <w:rsid w:val="00613724"/>
    <w:rsid w:val="00613E56"/>
    <w:rsid w:val="0061492D"/>
    <w:rsid w:val="00614C33"/>
    <w:rsid w:val="00614FAA"/>
    <w:rsid w:val="006151BB"/>
    <w:rsid w:val="0061524E"/>
    <w:rsid w:val="00615808"/>
    <w:rsid w:val="006159EE"/>
    <w:rsid w:val="006165B1"/>
    <w:rsid w:val="00616607"/>
    <w:rsid w:val="0061764C"/>
    <w:rsid w:val="00617C58"/>
    <w:rsid w:val="00617D14"/>
    <w:rsid w:val="00620138"/>
    <w:rsid w:val="00620465"/>
    <w:rsid w:val="006204BF"/>
    <w:rsid w:val="006206A1"/>
    <w:rsid w:val="006209A4"/>
    <w:rsid w:val="00620A7B"/>
    <w:rsid w:val="00621622"/>
    <w:rsid w:val="006218AB"/>
    <w:rsid w:val="00621D3A"/>
    <w:rsid w:val="00622440"/>
    <w:rsid w:val="00622630"/>
    <w:rsid w:val="006229D6"/>
    <w:rsid w:val="00622B60"/>
    <w:rsid w:val="00622BBE"/>
    <w:rsid w:val="00622C54"/>
    <w:rsid w:val="00622DC4"/>
    <w:rsid w:val="006245E8"/>
    <w:rsid w:val="0062491F"/>
    <w:rsid w:val="00624DAB"/>
    <w:rsid w:val="00624F24"/>
    <w:rsid w:val="00625029"/>
    <w:rsid w:val="006252E5"/>
    <w:rsid w:val="00625741"/>
    <w:rsid w:val="0062586D"/>
    <w:rsid w:val="00625A7B"/>
    <w:rsid w:val="00625BE7"/>
    <w:rsid w:val="00625FE2"/>
    <w:rsid w:val="006260D0"/>
    <w:rsid w:val="00626DC7"/>
    <w:rsid w:val="00627C54"/>
    <w:rsid w:val="00627EBF"/>
    <w:rsid w:val="0063044F"/>
    <w:rsid w:val="00630855"/>
    <w:rsid w:val="00630D19"/>
    <w:rsid w:val="00630F42"/>
    <w:rsid w:val="006313CB"/>
    <w:rsid w:val="00631B2E"/>
    <w:rsid w:val="00632040"/>
    <w:rsid w:val="006325A3"/>
    <w:rsid w:val="00633434"/>
    <w:rsid w:val="00633772"/>
    <w:rsid w:val="0063445D"/>
    <w:rsid w:val="00634697"/>
    <w:rsid w:val="006347EF"/>
    <w:rsid w:val="0063497F"/>
    <w:rsid w:val="00634A7C"/>
    <w:rsid w:val="00634D17"/>
    <w:rsid w:val="00635E1C"/>
    <w:rsid w:val="00635ED2"/>
    <w:rsid w:val="006367B2"/>
    <w:rsid w:val="0063695E"/>
    <w:rsid w:val="00636CD2"/>
    <w:rsid w:val="00636F91"/>
    <w:rsid w:val="00637215"/>
    <w:rsid w:val="006372B4"/>
    <w:rsid w:val="006400E7"/>
    <w:rsid w:val="00640261"/>
    <w:rsid w:val="006404C0"/>
    <w:rsid w:val="00642023"/>
    <w:rsid w:val="00642492"/>
    <w:rsid w:val="00642563"/>
    <w:rsid w:val="00642CAF"/>
    <w:rsid w:val="00642CDA"/>
    <w:rsid w:val="0064346D"/>
    <w:rsid w:val="0064352C"/>
    <w:rsid w:val="00643B61"/>
    <w:rsid w:val="00643E74"/>
    <w:rsid w:val="00644B6D"/>
    <w:rsid w:val="00644CE3"/>
    <w:rsid w:val="00644CF1"/>
    <w:rsid w:val="0064577C"/>
    <w:rsid w:val="00645A94"/>
    <w:rsid w:val="00645E83"/>
    <w:rsid w:val="006460C9"/>
    <w:rsid w:val="00646100"/>
    <w:rsid w:val="00646267"/>
    <w:rsid w:val="00646276"/>
    <w:rsid w:val="00646B57"/>
    <w:rsid w:val="00646C1C"/>
    <w:rsid w:val="00646C46"/>
    <w:rsid w:val="006471A2"/>
    <w:rsid w:val="006472AC"/>
    <w:rsid w:val="00647D12"/>
    <w:rsid w:val="0065095D"/>
    <w:rsid w:val="00650B8D"/>
    <w:rsid w:val="00650F04"/>
    <w:rsid w:val="00652878"/>
    <w:rsid w:val="00652A03"/>
    <w:rsid w:val="00652D1D"/>
    <w:rsid w:val="00653942"/>
    <w:rsid w:val="00653DEF"/>
    <w:rsid w:val="00653E41"/>
    <w:rsid w:val="00654719"/>
    <w:rsid w:val="00654B00"/>
    <w:rsid w:val="00655573"/>
    <w:rsid w:val="00655A37"/>
    <w:rsid w:val="00655A47"/>
    <w:rsid w:val="00655C7C"/>
    <w:rsid w:val="00655FAC"/>
    <w:rsid w:val="00656180"/>
    <w:rsid w:val="00656691"/>
    <w:rsid w:val="00656A14"/>
    <w:rsid w:val="0065799E"/>
    <w:rsid w:val="006606D6"/>
    <w:rsid w:val="00660741"/>
    <w:rsid w:val="00661223"/>
    <w:rsid w:val="00661A5D"/>
    <w:rsid w:val="006620D1"/>
    <w:rsid w:val="0066235F"/>
    <w:rsid w:val="00662636"/>
    <w:rsid w:val="00662C86"/>
    <w:rsid w:val="00662E70"/>
    <w:rsid w:val="00663096"/>
    <w:rsid w:val="006637E3"/>
    <w:rsid w:val="00663F10"/>
    <w:rsid w:val="00663F92"/>
    <w:rsid w:val="00664118"/>
    <w:rsid w:val="00664335"/>
    <w:rsid w:val="0066459E"/>
    <w:rsid w:val="00664C64"/>
    <w:rsid w:val="006650BB"/>
    <w:rsid w:val="0066520D"/>
    <w:rsid w:val="006652CE"/>
    <w:rsid w:val="006653E4"/>
    <w:rsid w:val="006653E9"/>
    <w:rsid w:val="0066690E"/>
    <w:rsid w:val="00666C49"/>
    <w:rsid w:val="006672C7"/>
    <w:rsid w:val="006704F8"/>
    <w:rsid w:val="00670C90"/>
    <w:rsid w:val="00670E5F"/>
    <w:rsid w:val="00670F9D"/>
    <w:rsid w:val="006716D6"/>
    <w:rsid w:val="00671F3F"/>
    <w:rsid w:val="00672041"/>
    <w:rsid w:val="00673455"/>
    <w:rsid w:val="00673FD0"/>
    <w:rsid w:val="006740E7"/>
    <w:rsid w:val="00674612"/>
    <w:rsid w:val="0067475C"/>
    <w:rsid w:val="00674784"/>
    <w:rsid w:val="00675137"/>
    <w:rsid w:val="0067519C"/>
    <w:rsid w:val="00675A92"/>
    <w:rsid w:val="00675AD0"/>
    <w:rsid w:val="006760AA"/>
    <w:rsid w:val="006760BA"/>
    <w:rsid w:val="0067672B"/>
    <w:rsid w:val="00676A37"/>
    <w:rsid w:val="00676C20"/>
    <w:rsid w:val="00676D08"/>
    <w:rsid w:val="00677099"/>
    <w:rsid w:val="00677AC8"/>
    <w:rsid w:val="0068050F"/>
    <w:rsid w:val="006808CB"/>
    <w:rsid w:val="00681598"/>
    <w:rsid w:val="00681881"/>
    <w:rsid w:val="00681911"/>
    <w:rsid w:val="0068237F"/>
    <w:rsid w:val="006826AA"/>
    <w:rsid w:val="00682D80"/>
    <w:rsid w:val="0068352C"/>
    <w:rsid w:val="006837DA"/>
    <w:rsid w:val="006842D6"/>
    <w:rsid w:val="00684678"/>
    <w:rsid w:val="00684C30"/>
    <w:rsid w:val="00684CE6"/>
    <w:rsid w:val="00684E94"/>
    <w:rsid w:val="006850E7"/>
    <w:rsid w:val="0068552E"/>
    <w:rsid w:val="006855E2"/>
    <w:rsid w:val="00685717"/>
    <w:rsid w:val="00685AC6"/>
    <w:rsid w:val="00685D9D"/>
    <w:rsid w:val="006860E5"/>
    <w:rsid w:val="006862F7"/>
    <w:rsid w:val="00686359"/>
    <w:rsid w:val="006866DE"/>
    <w:rsid w:val="00686A62"/>
    <w:rsid w:val="00686E7C"/>
    <w:rsid w:val="00686F86"/>
    <w:rsid w:val="0068703A"/>
    <w:rsid w:val="00687229"/>
    <w:rsid w:val="0068751A"/>
    <w:rsid w:val="006877DF"/>
    <w:rsid w:val="00687D6E"/>
    <w:rsid w:val="00687D85"/>
    <w:rsid w:val="006901AD"/>
    <w:rsid w:val="00690674"/>
    <w:rsid w:val="0069096B"/>
    <w:rsid w:val="00690ED9"/>
    <w:rsid w:val="00690F1F"/>
    <w:rsid w:val="0069137D"/>
    <w:rsid w:val="0069184A"/>
    <w:rsid w:val="00692091"/>
    <w:rsid w:val="006923D0"/>
    <w:rsid w:val="00692412"/>
    <w:rsid w:val="0069286B"/>
    <w:rsid w:val="00692A42"/>
    <w:rsid w:val="00692A90"/>
    <w:rsid w:val="00692FBC"/>
    <w:rsid w:val="006935D6"/>
    <w:rsid w:val="006936EA"/>
    <w:rsid w:val="0069383F"/>
    <w:rsid w:val="0069418D"/>
    <w:rsid w:val="0069491C"/>
    <w:rsid w:val="00694BE7"/>
    <w:rsid w:val="00694DF6"/>
    <w:rsid w:val="0069583B"/>
    <w:rsid w:val="006958B9"/>
    <w:rsid w:val="00695DD5"/>
    <w:rsid w:val="00695F1A"/>
    <w:rsid w:val="0069608E"/>
    <w:rsid w:val="00696310"/>
    <w:rsid w:val="006964A3"/>
    <w:rsid w:val="006966FC"/>
    <w:rsid w:val="00697344"/>
    <w:rsid w:val="006975C8"/>
    <w:rsid w:val="006975E7"/>
    <w:rsid w:val="00697601"/>
    <w:rsid w:val="00697BC2"/>
    <w:rsid w:val="006A02AB"/>
    <w:rsid w:val="006A0A14"/>
    <w:rsid w:val="006A0BE9"/>
    <w:rsid w:val="006A0F23"/>
    <w:rsid w:val="006A165D"/>
    <w:rsid w:val="006A1726"/>
    <w:rsid w:val="006A19C0"/>
    <w:rsid w:val="006A1A76"/>
    <w:rsid w:val="006A1AAC"/>
    <w:rsid w:val="006A1CCC"/>
    <w:rsid w:val="006A1DC1"/>
    <w:rsid w:val="006A1E6A"/>
    <w:rsid w:val="006A272C"/>
    <w:rsid w:val="006A2DFC"/>
    <w:rsid w:val="006A2F24"/>
    <w:rsid w:val="006A31B9"/>
    <w:rsid w:val="006A3B8A"/>
    <w:rsid w:val="006A3C2C"/>
    <w:rsid w:val="006A3F6E"/>
    <w:rsid w:val="006A4408"/>
    <w:rsid w:val="006A45BF"/>
    <w:rsid w:val="006A4910"/>
    <w:rsid w:val="006A4AE3"/>
    <w:rsid w:val="006A4FAA"/>
    <w:rsid w:val="006A5264"/>
    <w:rsid w:val="006A6A78"/>
    <w:rsid w:val="006A7385"/>
    <w:rsid w:val="006A7771"/>
    <w:rsid w:val="006A77DE"/>
    <w:rsid w:val="006B0652"/>
    <w:rsid w:val="006B0720"/>
    <w:rsid w:val="006B08C4"/>
    <w:rsid w:val="006B0943"/>
    <w:rsid w:val="006B0C11"/>
    <w:rsid w:val="006B0ED1"/>
    <w:rsid w:val="006B0EE9"/>
    <w:rsid w:val="006B13A4"/>
    <w:rsid w:val="006B190E"/>
    <w:rsid w:val="006B1F12"/>
    <w:rsid w:val="006B1F4F"/>
    <w:rsid w:val="006B2627"/>
    <w:rsid w:val="006B2665"/>
    <w:rsid w:val="006B2748"/>
    <w:rsid w:val="006B2C36"/>
    <w:rsid w:val="006B2E83"/>
    <w:rsid w:val="006B36B3"/>
    <w:rsid w:val="006B3C90"/>
    <w:rsid w:val="006B3EDA"/>
    <w:rsid w:val="006B416A"/>
    <w:rsid w:val="006B43E6"/>
    <w:rsid w:val="006B4696"/>
    <w:rsid w:val="006B46D2"/>
    <w:rsid w:val="006B498B"/>
    <w:rsid w:val="006B4B42"/>
    <w:rsid w:val="006B4F7E"/>
    <w:rsid w:val="006B4FBA"/>
    <w:rsid w:val="006B5349"/>
    <w:rsid w:val="006B5B9C"/>
    <w:rsid w:val="006B5BD7"/>
    <w:rsid w:val="006B5BEF"/>
    <w:rsid w:val="006B5D57"/>
    <w:rsid w:val="006B5DC1"/>
    <w:rsid w:val="006B5DD1"/>
    <w:rsid w:val="006B5F02"/>
    <w:rsid w:val="006B6161"/>
    <w:rsid w:val="006B6264"/>
    <w:rsid w:val="006B70C8"/>
    <w:rsid w:val="006B73E9"/>
    <w:rsid w:val="006B768F"/>
    <w:rsid w:val="006B77F8"/>
    <w:rsid w:val="006B78AE"/>
    <w:rsid w:val="006B7957"/>
    <w:rsid w:val="006C0AF4"/>
    <w:rsid w:val="006C0B56"/>
    <w:rsid w:val="006C0FD7"/>
    <w:rsid w:val="006C178F"/>
    <w:rsid w:val="006C17A3"/>
    <w:rsid w:val="006C20F6"/>
    <w:rsid w:val="006C2172"/>
    <w:rsid w:val="006C23A6"/>
    <w:rsid w:val="006C240D"/>
    <w:rsid w:val="006C2E13"/>
    <w:rsid w:val="006C2EAB"/>
    <w:rsid w:val="006C320D"/>
    <w:rsid w:val="006C3338"/>
    <w:rsid w:val="006C349B"/>
    <w:rsid w:val="006C3D78"/>
    <w:rsid w:val="006C3EB0"/>
    <w:rsid w:val="006C3FB4"/>
    <w:rsid w:val="006C4652"/>
    <w:rsid w:val="006C48F4"/>
    <w:rsid w:val="006C4E62"/>
    <w:rsid w:val="006C5362"/>
    <w:rsid w:val="006C53FC"/>
    <w:rsid w:val="006C5666"/>
    <w:rsid w:val="006C56FE"/>
    <w:rsid w:val="006C57D4"/>
    <w:rsid w:val="006C596C"/>
    <w:rsid w:val="006C5A74"/>
    <w:rsid w:val="006C5E0F"/>
    <w:rsid w:val="006C5E29"/>
    <w:rsid w:val="006C6F1A"/>
    <w:rsid w:val="006C722D"/>
    <w:rsid w:val="006C74BA"/>
    <w:rsid w:val="006C79EB"/>
    <w:rsid w:val="006C7C08"/>
    <w:rsid w:val="006C7C0C"/>
    <w:rsid w:val="006D0274"/>
    <w:rsid w:val="006D0613"/>
    <w:rsid w:val="006D0704"/>
    <w:rsid w:val="006D07EA"/>
    <w:rsid w:val="006D09BD"/>
    <w:rsid w:val="006D0A24"/>
    <w:rsid w:val="006D0E9A"/>
    <w:rsid w:val="006D17F3"/>
    <w:rsid w:val="006D19C6"/>
    <w:rsid w:val="006D2044"/>
    <w:rsid w:val="006D272C"/>
    <w:rsid w:val="006D2ACA"/>
    <w:rsid w:val="006D2F39"/>
    <w:rsid w:val="006D3129"/>
    <w:rsid w:val="006D34AD"/>
    <w:rsid w:val="006D38F8"/>
    <w:rsid w:val="006D3A4B"/>
    <w:rsid w:val="006D3BDC"/>
    <w:rsid w:val="006D4746"/>
    <w:rsid w:val="006D4BF9"/>
    <w:rsid w:val="006D4F02"/>
    <w:rsid w:val="006D5312"/>
    <w:rsid w:val="006D5489"/>
    <w:rsid w:val="006D5C9B"/>
    <w:rsid w:val="006D61E6"/>
    <w:rsid w:val="006D63B1"/>
    <w:rsid w:val="006D6400"/>
    <w:rsid w:val="006D657C"/>
    <w:rsid w:val="006D68FC"/>
    <w:rsid w:val="006D69D1"/>
    <w:rsid w:val="006D7428"/>
    <w:rsid w:val="006D7552"/>
    <w:rsid w:val="006D7AE6"/>
    <w:rsid w:val="006E021B"/>
    <w:rsid w:val="006E0277"/>
    <w:rsid w:val="006E0C87"/>
    <w:rsid w:val="006E0CF9"/>
    <w:rsid w:val="006E14D6"/>
    <w:rsid w:val="006E2628"/>
    <w:rsid w:val="006E272E"/>
    <w:rsid w:val="006E34AE"/>
    <w:rsid w:val="006E4070"/>
    <w:rsid w:val="006E4229"/>
    <w:rsid w:val="006E44EA"/>
    <w:rsid w:val="006E47AE"/>
    <w:rsid w:val="006E47FA"/>
    <w:rsid w:val="006E48FA"/>
    <w:rsid w:val="006E4AE2"/>
    <w:rsid w:val="006E4E3B"/>
    <w:rsid w:val="006E5594"/>
    <w:rsid w:val="006E5596"/>
    <w:rsid w:val="006E5EED"/>
    <w:rsid w:val="006E64C7"/>
    <w:rsid w:val="006E66EF"/>
    <w:rsid w:val="006E6A9F"/>
    <w:rsid w:val="006E6D23"/>
    <w:rsid w:val="006E754A"/>
    <w:rsid w:val="006E7B27"/>
    <w:rsid w:val="006E7C3C"/>
    <w:rsid w:val="006F05FF"/>
    <w:rsid w:val="006F0904"/>
    <w:rsid w:val="006F09D2"/>
    <w:rsid w:val="006F0CE5"/>
    <w:rsid w:val="006F215C"/>
    <w:rsid w:val="006F2605"/>
    <w:rsid w:val="006F3315"/>
    <w:rsid w:val="006F33C7"/>
    <w:rsid w:val="006F3527"/>
    <w:rsid w:val="006F3FB9"/>
    <w:rsid w:val="006F4003"/>
    <w:rsid w:val="006F4428"/>
    <w:rsid w:val="006F4759"/>
    <w:rsid w:val="006F5894"/>
    <w:rsid w:val="006F5D6B"/>
    <w:rsid w:val="006F6168"/>
    <w:rsid w:val="006F61C5"/>
    <w:rsid w:val="006F6338"/>
    <w:rsid w:val="006F6E76"/>
    <w:rsid w:val="006F71F5"/>
    <w:rsid w:val="006F7D27"/>
    <w:rsid w:val="007000B0"/>
    <w:rsid w:val="00700367"/>
    <w:rsid w:val="007005F6"/>
    <w:rsid w:val="00700B2A"/>
    <w:rsid w:val="00700FBF"/>
    <w:rsid w:val="00701204"/>
    <w:rsid w:val="007016EB"/>
    <w:rsid w:val="007017E2"/>
    <w:rsid w:val="007019C6"/>
    <w:rsid w:val="00701CA8"/>
    <w:rsid w:val="00701CB9"/>
    <w:rsid w:val="00701FE1"/>
    <w:rsid w:val="007023FA"/>
    <w:rsid w:val="00702681"/>
    <w:rsid w:val="0070272D"/>
    <w:rsid w:val="00702784"/>
    <w:rsid w:val="0070280A"/>
    <w:rsid w:val="00702BE0"/>
    <w:rsid w:val="00702CE5"/>
    <w:rsid w:val="00702DBC"/>
    <w:rsid w:val="00702E7B"/>
    <w:rsid w:val="007033E2"/>
    <w:rsid w:val="00704784"/>
    <w:rsid w:val="0070493A"/>
    <w:rsid w:val="00704D6E"/>
    <w:rsid w:val="00705072"/>
    <w:rsid w:val="0070562C"/>
    <w:rsid w:val="00705CEF"/>
    <w:rsid w:val="00705E5B"/>
    <w:rsid w:val="00706509"/>
    <w:rsid w:val="00706683"/>
    <w:rsid w:val="00706A9E"/>
    <w:rsid w:val="007073EF"/>
    <w:rsid w:val="00707432"/>
    <w:rsid w:val="007074A7"/>
    <w:rsid w:val="00707637"/>
    <w:rsid w:val="007076D7"/>
    <w:rsid w:val="007079E7"/>
    <w:rsid w:val="007103A4"/>
    <w:rsid w:val="00710655"/>
    <w:rsid w:val="0071085B"/>
    <w:rsid w:val="00710929"/>
    <w:rsid w:val="00710C8D"/>
    <w:rsid w:val="00710DBA"/>
    <w:rsid w:val="00711073"/>
    <w:rsid w:val="00711291"/>
    <w:rsid w:val="00711357"/>
    <w:rsid w:val="00711AF3"/>
    <w:rsid w:val="00711F20"/>
    <w:rsid w:val="007121B8"/>
    <w:rsid w:val="007124F1"/>
    <w:rsid w:val="00712650"/>
    <w:rsid w:val="007126FD"/>
    <w:rsid w:val="0071270A"/>
    <w:rsid w:val="00712D87"/>
    <w:rsid w:val="00712F72"/>
    <w:rsid w:val="00713432"/>
    <w:rsid w:val="007135DB"/>
    <w:rsid w:val="00713880"/>
    <w:rsid w:val="0071396E"/>
    <w:rsid w:val="00713FF4"/>
    <w:rsid w:val="00714780"/>
    <w:rsid w:val="00714CEE"/>
    <w:rsid w:val="0071584A"/>
    <w:rsid w:val="00715C10"/>
    <w:rsid w:val="00716EA1"/>
    <w:rsid w:val="007172B6"/>
    <w:rsid w:val="0071751F"/>
    <w:rsid w:val="00717BEB"/>
    <w:rsid w:val="00717DAE"/>
    <w:rsid w:val="00720029"/>
    <w:rsid w:val="00720092"/>
    <w:rsid w:val="007203CD"/>
    <w:rsid w:val="00720442"/>
    <w:rsid w:val="0072053A"/>
    <w:rsid w:val="00720D24"/>
    <w:rsid w:val="007210C5"/>
    <w:rsid w:val="0072120D"/>
    <w:rsid w:val="00721A0E"/>
    <w:rsid w:val="00721B45"/>
    <w:rsid w:val="00721C0C"/>
    <w:rsid w:val="0072264D"/>
    <w:rsid w:val="007229F1"/>
    <w:rsid w:val="00722DF1"/>
    <w:rsid w:val="007238A1"/>
    <w:rsid w:val="00723DD5"/>
    <w:rsid w:val="00723EAE"/>
    <w:rsid w:val="00723F7C"/>
    <w:rsid w:val="0072425A"/>
    <w:rsid w:val="007244BF"/>
    <w:rsid w:val="007244C7"/>
    <w:rsid w:val="007249FF"/>
    <w:rsid w:val="00724CAF"/>
    <w:rsid w:val="0072502D"/>
    <w:rsid w:val="00725739"/>
    <w:rsid w:val="00725FCD"/>
    <w:rsid w:val="0072617B"/>
    <w:rsid w:val="007261CB"/>
    <w:rsid w:val="00726A51"/>
    <w:rsid w:val="0072708E"/>
    <w:rsid w:val="00727AC4"/>
    <w:rsid w:val="007302F6"/>
    <w:rsid w:val="00730369"/>
    <w:rsid w:val="0073081A"/>
    <w:rsid w:val="00730BC6"/>
    <w:rsid w:val="0073110C"/>
    <w:rsid w:val="00731720"/>
    <w:rsid w:val="00732510"/>
    <w:rsid w:val="007325C0"/>
    <w:rsid w:val="00732C8B"/>
    <w:rsid w:val="007330FF"/>
    <w:rsid w:val="00733481"/>
    <w:rsid w:val="00733801"/>
    <w:rsid w:val="00733A08"/>
    <w:rsid w:val="00733B76"/>
    <w:rsid w:val="00733B8E"/>
    <w:rsid w:val="00733ECE"/>
    <w:rsid w:val="00734176"/>
    <w:rsid w:val="0073454A"/>
    <w:rsid w:val="00734785"/>
    <w:rsid w:val="007347D1"/>
    <w:rsid w:val="007348DB"/>
    <w:rsid w:val="007362C4"/>
    <w:rsid w:val="00736332"/>
    <w:rsid w:val="0073658C"/>
    <w:rsid w:val="007366A5"/>
    <w:rsid w:val="00737209"/>
    <w:rsid w:val="00737321"/>
    <w:rsid w:val="00737DE4"/>
    <w:rsid w:val="007400AA"/>
    <w:rsid w:val="00740A27"/>
    <w:rsid w:val="007414BD"/>
    <w:rsid w:val="0074189D"/>
    <w:rsid w:val="007418F1"/>
    <w:rsid w:val="00741CB5"/>
    <w:rsid w:val="00742034"/>
    <w:rsid w:val="0074223A"/>
    <w:rsid w:val="0074322E"/>
    <w:rsid w:val="0074362B"/>
    <w:rsid w:val="00743744"/>
    <w:rsid w:val="00744055"/>
    <w:rsid w:val="007442DD"/>
    <w:rsid w:val="0074442A"/>
    <w:rsid w:val="00744D35"/>
    <w:rsid w:val="00745137"/>
    <w:rsid w:val="0074524C"/>
    <w:rsid w:val="0074571F"/>
    <w:rsid w:val="00745BC9"/>
    <w:rsid w:val="00745CB3"/>
    <w:rsid w:val="00745F11"/>
    <w:rsid w:val="00746192"/>
    <w:rsid w:val="00746496"/>
    <w:rsid w:val="00746537"/>
    <w:rsid w:val="007466D3"/>
    <w:rsid w:val="00746853"/>
    <w:rsid w:val="00746CA7"/>
    <w:rsid w:val="007470C9"/>
    <w:rsid w:val="007470E3"/>
    <w:rsid w:val="00747348"/>
    <w:rsid w:val="007473F8"/>
    <w:rsid w:val="0074753F"/>
    <w:rsid w:val="0074764C"/>
    <w:rsid w:val="00747A2D"/>
    <w:rsid w:val="0075073E"/>
    <w:rsid w:val="0075091B"/>
    <w:rsid w:val="007509A1"/>
    <w:rsid w:val="00750A7E"/>
    <w:rsid w:val="00750CE9"/>
    <w:rsid w:val="00750DA8"/>
    <w:rsid w:val="00750EA5"/>
    <w:rsid w:val="00751661"/>
    <w:rsid w:val="007516E8"/>
    <w:rsid w:val="00751AC1"/>
    <w:rsid w:val="00752092"/>
    <w:rsid w:val="007522DE"/>
    <w:rsid w:val="007524E8"/>
    <w:rsid w:val="00752684"/>
    <w:rsid w:val="00752A72"/>
    <w:rsid w:val="00752B44"/>
    <w:rsid w:val="0075317F"/>
    <w:rsid w:val="007536A6"/>
    <w:rsid w:val="00754309"/>
    <w:rsid w:val="0075469F"/>
    <w:rsid w:val="0075480D"/>
    <w:rsid w:val="00754A1C"/>
    <w:rsid w:val="00754B24"/>
    <w:rsid w:val="00754FF6"/>
    <w:rsid w:val="00755AEF"/>
    <w:rsid w:val="00755B71"/>
    <w:rsid w:val="00755B8B"/>
    <w:rsid w:val="00755D1B"/>
    <w:rsid w:val="007560CA"/>
    <w:rsid w:val="00756469"/>
    <w:rsid w:val="00756764"/>
    <w:rsid w:val="00756A26"/>
    <w:rsid w:val="00756C86"/>
    <w:rsid w:val="00756FA2"/>
    <w:rsid w:val="00757452"/>
    <w:rsid w:val="00757766"/>
    <w:rsid w:val="007579E8"/>
    <w:rsid w:val="007603AA"/>
    <w:rsid w:val="007603D0"/>
    <w:rsid w:val="00760D54"/>
    <w:rsid w:val="00760E8D"/>
    <w:rsid w:val="00760EF5"/>
    <w:rsid w:val="00760F0F"/>
    <w:rsid w:val="007612EB"/>
    <w:rsid w:val="007613FF"/>
    <w:rsid w:val="0076177D"/>
    <w:rsid w:val="007617D8"/>
    <w:rsid w:val="00761981"/>
    <w:rsid w:val="00761B70"/>
    <w:rsid w:val="00761D61"/>
    <w:rsid w:val="00761F76"/>
    <w:rsid w:val="00761FC5"/>
    <w:rsid w:val="007623FC"/>
    <w:rsid w:val="007624DF"/>
    <w:rsid w:val="007624F3"/>
    <w:rsid w:val="00762B0B"/>
    <w:rsid w:val="00762F3C"/>
    <w:rsid w:val="00763827"/>
    <w:rsid w:val="007651AA"/>
    <w:rsid w:val="00765AB2"/>
    <w:rsid w:val="00766CD7"/>
    <w:rsid w:val="00767AFC"/>
    <w:rsid w:val="00767DA5"/>
    <w:rsid w:val="007701B4"/>
    <w:rsid w:val="00770430"/>
    <w:rsid w:val="007705CC"/>
    <w:rsid w:val="007705DA"/>
    <w:rsid w:val="00770865"/>
    <w:rsid w:val="00770C35"/>
    <w:rsid w:val="00770C7E"/>
    <w:rsid w:val="00770D5E"/>
    <w:rsid w:val="007710B7"/>
    <w:rsid w:val="00771116"/>
    <w:rsid w:val="0077158B"/>
    <w:rsid w:val="0077163E"/>
    <w:rsid w:val="00771A04"/>
    <w:rsid w:val="007720CD"/>
    <w:rsid w:val="00772CAF"/>
    <w:rsid w:val="00772FE7"/>
    <w:rsid w:val="0077302E"/>
    <w:rsid w:val="00773074"/>
    <w:rsid w:val="00773777"/>
    <w:rsid w:val="00773F84"/>
    <w:rsid w:val="00774067"/>
    <w:rsid w:val="007742C9"/>
    <w:rsid w:val="00774355"/>
    <w:rsid w:val="007745B8"/>
    <w:rsid w:val="007753BE"/>
    <w:rsid w:val="00775502"/>
    <w:rsid w:val="0077571A"/>
    <w:rsid w:val="00776A37"/>
    <w:rsid w:val="00777647"/>
    <w:rsid w:val="0077771C"/>
    <w:rsid w:val="007777AA"/>
    <w:rsid w:val="0077783A"/>
    <w:rsid w:val="007778B7"/>
    <w:rsid w:val="00780638"/>
    <w:rsid w:val="00780758"/>
    <w:rsid w:val="00780870"/>
    <w:rsid w:val="007808FD"/>
    <w:rsid w:val="00780ECB"/>
    <w:rsid w:val="007816E1"/>
    <w:rsid w:val="0078172D"/>
    <w:rsid w:val="00781B24"/>
    <w:rsid w:val="00782744"/>
    <w:rsid w:val="00782C11"/>
    <w:rsid w:val="00782F0E"/>
    <w:rsid w:val="007831A1"/>
    <w:rsid w:val="00783285"/>
    <w:rsid w:val="007832AB"/>
    <w:rsid w:val="00783676"/>
    <w:rsid w:val="007839AD"/>
    <w:rsid w:val="007844D3"/>
    <w:rsid w:val="0078478D"/>
    <w:rsid w:val="00784AA9"/>
    <w:rsid w:val="00784E67"/>
    <w:rsid w:val="007851C9"/>
    <w:rsid w:val="00785264"/>
    <w:rsid w:val="007852E9"/>
    <w:rsid w:val="007853AA"/>
    <w:rsid w:val="00785635"/>
    <w:rsid w:val="0078566C"/>
    <w:rsid w:val="0078570F"/>
    <w:rsid w:val="007858B8"/>
    <w:rsid w:val="007858E5"/>
    <w:rsid w:val="007861B1"/>
    <w:rsid w:val="00786240"/>
    <w:rsid w:val="00786A00"/>
    <w:rsid w:val="00786A91"/>
    <w:rsid w:val="00786F49"/>
    <w:rsid w:val="007874E1"/>
    <w:rsid w:val="0078756F"/>
    <w:rsid w:val="00787A5E"/>
    <w:rsid w:val="00787AF6"/>
    <w:rsid w:val="007902D2"/>
    <w:rsid w:val="0079034F"/>
    <w:rsid w:val="0079055C"/>
    <w:rsid w:val="007914C4"/>
    <w:rsid w:val="007915F7"/>
    <w:rsid w:val="00791827"/>
    <w:rsid w:val="00791A7D"/>
    <w:rsid w:val="00791ACB"/>
    <w:rsid w:val="00791CB8"/>
    <w:rsid w:val="00791F8C"/>
    <w:rsid w:val="00791FC6"/>
    <w:rsid w:val="0079263B"/>
    <w:rsid w:val="00792722"/>
    <w:rsid w:val="00792C70"/>
    <w:rsid w:val="007930D9"/>
    <w:rsid w:val="00793629"/>
    <w:rsid w:val="00793646"/>
    <w:rsid w:val="007936FC"/>
    <w:rsid w:val="00793AC8"/>
    <w:rsid w:val="00793BEF"/>
    <w:rsid w:val="007940B8"/>
    <w:rsid w:val="00794141"/>
    <w:rsid w:val="007946D0"/>
    <w:rsid w:val="00794EB6"/>
    <w:rsid w:val="00794FF9"/>
    <w:rsid w:val="007956A3"/>
    <w:rsid w:val="00795827"/>
    <w:rsid w:val="007958D1"/>
    <w:rsid w:val="007959D7"/>
    <w:rsid w:val="00795ADA"/>
    <w:rsid w:val="00795DB5"/>
    <w:rsid w:val="00795FFA"/>
    <w:rsid w:val="007969DA"/>
    <w:rsid w:val="00796D7D"/>
    <w:rsid w:val="00796F46"/>
    <w:rsid w:val="007974B9"/>
    <w:rsid w:val="007A04AA"/>
    <w:rsid w:val="007A0C18"/>
    <w:rsid w:val="007A0C7F"/>
    <w:rsid w:val="007A0D80"/>
    <w:rsid w:val="007A0F22"/>
    <w:rsid w:val="007A0F7A"/>
    <w:rsid w:val="007A16BC"/>
    <w:rsid w:val="007A173B"/>
    <w:rsid w:val="007A1C08"/>
    <w:rsid w:val="007A1C30"/>
    <w:rsid w:val="007A1EC5"/>
    <w:rsid w:val="007A29BB"/>
    <w:rsid w:val="007A2A0F"/>
    <w:rsid w:val="007A2A80"/>
    <w:rsid w:val="007A2BA6"/>
    <w:rsid w:val="007A2E1A"/>
    <w:rsid w:val="007A3293"/>
    <w:rsid w:val="007A3365"/>
    <w:rsid w:val="007A3552"/>
    <w:rsid w:val="007A35C7"/>
    <w:rsid w:val="007A3A2F"/>
    <w:rsid w:val="007A3C9A"/>
    <w:rsid w:val="007A3FF6"/>
    <w:rsid w:val="007A3FFC"/>
    <w:rsid w:val="007A42A5"/>
    <w:rsid w:val="007A485C"/>
    <w:rsid w:val="007A48B5"/>
    <w:rsid w:val="007A4F95"/>
    <w:rsid w:val="007A500F"/>
    <w:rsid w:val="007A532D"/>
    <w:rsid w:val="007A53F4"/>
    <w:rsid w:val="007A54CB"/>
    <w:rsid w:val="007A5A08"/>
    <w:rsid w:val="007A6194"/>
    <w:rsid w:val="007A64CC"/>
    <w:rsid w:val="007A67E1"/>
    <w:rsid w:val="007A6D86"/>
    <w:rsid w:val="007A7049"/>
    <w:rsid w:val="007A71BD"/>
    <w:rsid w:val="007A7766"/>
    <w:rsid w:val="007A7988"/>
    <w:rsid w:val="007A7D47"/>
    <w:rsid w:val="007A7F35"/>
    <w:rsid w:val="007B016E"/>
    <w:rsid w:val="007B0C25"/>
    <w:rsid w:val="007B1070"/>
    <w:rsid w:val="007B1140"/>
    <w:rsid w:val="007B1345"/>
    <w:rsid w:val="007B13BA"/>
    <w:rsid w:val="007B23A8"/>
    <w:rsid w:val="007B32BD"/>
    <w:rsid w:val="007B3B12"/>
    <w:rsid w:val="007B413D"/>
    <w:rsid w:val="007B49B3"/>
    <w:rsid w:val="007B4E97"/>
    <w:rsid w:val="007B503B"/>
    <w:rsid w:val="007B5070"/>
    <w:rsid w:val="007B5428"/>
    <w:rsid w:val="007B546E"/>
    <w:rsid w:val="007B56B7"/>
    <w:rsid w:val="007B581F"/>
    <w:rsid w:val="007B59B3"/>
    <w:rsid w:val="007B5AE1"/>
    <w:rsid w:val="007B5CB6"/>
    <w:rsid w:val="007B5E5A"/>
    <w:rsid w:val="007B6060"/>
    <w:rsid w:val="007B60AC"/>
    <w:rsid w:val="007B63BA"/>
    <w:rsid w:val="007B689A"/>
    <w:rsid w:val="007B6960"/>
    <w:rsid w:val="007B72F7"/>
    <w:rsid w:val="007B7BCC"/>
    <w:rsid w:val="007B7DDE"/>
    <w:rsid w:val="007B7FF4"/>
    <w:rsid w:val="007C03ED"/>
    <w:rsid w:val="007C05A5"/>
    <w:rsid w:val="007C0783"/>
    <w:rsid w:val="007C0AC1"/>
    <w:rsid w:val="007C0B43"/>
    <w:rsid w:val="007C0FE1"/>
    <w:rsid w:val="007C100F"/>
    <w:rsid w:val="007C1047"/>
    <w:rsid w:val="007C1547"/>
    <w:rsid w:val="007C1D46"/>
    <w:rsid w:val="007C1D9C"/>
    <w:rsid w:val="007C24F3"/>
    <w:rsid w:val="007C2E05"/>
    <w:rsid w:val="007C311D"/>
    <w:rsid w:val="007C3D32"/>
    <w:rsid w:val="007C3FCC"/>
    <w:rsid w:val="007C4A4F"/>
    <w:rsid w:val="007C5444"/>
    <w:rsid w:val="007C55D7"/>
    <w:rsid w:val="007C56EA"/>
    <w:rsid w:val="007C6445"/>
    <w:rsid w:val="007C6C1A"/>
    <w:rsid w:val="007C6E35"/>
    <w:rsid w:val="007C6E4D"/>
    <w:rsid w:val="007C71E1"/>
    <w:rsid w:val="007C7268"/>
    <w:rsid w:val="007C757F"/>
    <w:rsid w:val="007C75CE"/>
    <w:rsid w:val="007C7684"/>
    <w:rsid w:val="007C7730"/>
    <w:rsid w:val="007C797C"/>
    <w:rsid w:val="007C7B7F"/>
    <w:rsid w:val="007C7E25"/>
    <w:rsid w:val="007D001C"/>
    <w:rsid w:val="007D00E5"/>
    <w:rsid w:val="007D055D"/>
    <w:rsid w:val="007D069A"/>
    <w:rsid w:val="007D0909"/>
    <w:rsid w:val="007D0D76"/>
    <w:rsid w:val="007D10D5"/>
    <w:rsid w:val="007D1809"/>
    <w:rsid w:val="007D1933"/>
    <w:rsid w:val="007D1CB5"/>
    <w:rsid w:val="007D1DC7"/>
    <w:rsid w:val="007D2599"/>
    <w:rsid w:val="007D2723"/>
    <w:rsid w:val="007D2D0A"/>
    <w:rsid w:val="007D3B13"/>
    <w:rsid w:val="007D3F6D"/>
    <w:rsid w:val="007D4478"/>
    <w:rsid w:val="007D4632"/>
    <w:rsid w:val="007D48C4"/>
    <w:rsid w:val="007D4E38"/>
    <w:rsid w:val="007D5257"/>
    <w:rsid w:val="007D55C2"/>
    <w:rsid w:val="007D58B6"/>
    <w:rsid w:val="007D6553"/>
    <w:rsid w:val="007D690A"/>
    <w:rsid w:val="007D6B08"/>
    <w:rsid w:val="007D6FD8"/>
    <w:rsid w:val="007D720C"/>
    <w:rsid w:val="007D7375"/>
    <w:rsid w:val="007D7BBD"/>
    <w:rsid w:val="007D7FF1"/>
    <w:rsid w:val="007E044F"/>
    <w:rsid w:val="007E0B5F"/>
    <w:rsid w:val="007E0D1E"/>
    <w:rsid w:val="007E1C5B"/>
    <w:rsid w:val="007E1C68"/>
    <w:rsid w:val="007E1DB2"/>
    <w:rsid w:val="007E1DDA"/>
    <w:rsid w:val="007E1EE1"/>
    <w:rsid w:val="007E25C0"/>
    <w:rsid w:val="007E2773"/>
    <w:rsid w:val="007E2A7B"/>
    <w:rsid w:val="007E2AB5"/>
    <w:rsid w:val="007E36A8"/>
    <w:rsid w:val="007E42BE"/>
    <w:rsid w:val="007E4343"/>
    <w:rsid w:val="007E4380"/>
    <w:rsid w:val="007E45AF"/>
    <w:rsid w:val="007E4F32"/>
    <w:rsid w:val="007E5476"/>
    <w:rsid w:val="007E56FE"/>
    <w:rsid w:val="007E64B8"/>
    <w:rsid w:val="007E7176"/>
    <w:rsid w:val="007E768F"/>
    <w:rsid w:val="007E7885"/>
    <w:rsid w:val="007E793D"/>
    <w:rsid w:val="007E7FA6"/>
    <w:rsid w:val="007E7FE9"/>
    <w:rsid w:val="007F0931"/>
    <w:rsid w:val="007F0D6A"/>
    <w:rsid w:val="007F0DFA"/>
    <w:rsid w:val="007F1264"/>
    <w:rsid w:val="007F1D46"/>
    <w:rsid w:val="007F1EA6"/>
    <w:rsid w:val="007F1F20"/>
    <w:rsid w:val="007F206A"/>
    <w:rsid w:val="007F2420"/>
    <w:rsid w:val="007F2AA3"/>
    <w:rsid w:val="007F2B2E"/>
    <w:rsid w:val="007F2C2D"/>
    <w:rsid w:val="007F330C"/>
    <w:rsid w:val="007F36CB"/>
    <w:rsid w:val="007F388E"/>
    <w:rsid w:val="007F38CD"/>
    <w:rsid w:val="007F3D66"/>
    <w:rsid w:val="007F4003"/>
    <w:rsid w:val="007F4B39"/>
    <w:rsid w:val="007F4DEE"/>
    <w:rsid w:val="007F5A48"/>
    <w:rsid w:val="007F5D8E"/>
    <w:rsid w:val="007F6376"/>
    <w:rsid w:val="007F6AD9"/>
    <w:rsid w:val="007F6ADC"/>
    <w:rsid w:val="007F6E13"/>
    <w:rsid w:val="007F6FAD"/>
    <w:rsid w:val="007F7240"/>
    <w:rsid w:val="007F7368"/>
    <w:rsid w:val="007F77A1"/>
    <w:rsid w:val="007F7D65"/>
    <w:rsid w:val="00800C5C"/>
    <w:rsid w:val="00800EC7"/>
    <w:rsid w:val="00801141"/>
    <w:rsid w:val="0080201A"/>
    <w:rsid w:val="0080239E"/>
    <w:rsid w:val="008023B0"/>
    <w:rsid w:val="008024EE"/>
    <w:rsid w:val="00802522"/>
    <w:rsid w:val="00802880"/>
    <w:rsid w:val="00802D7D"/>
    <w:rsid w:val="00803297"/>
    <w:rsid w:val="008033D8"/>
    <w:rsid w:val="0080354D"/>
    <w:rsid w:val="00803F71"/>
    <w:rsid w:val="00804677"/>
    <w:rsid w:val="008047FE"/>
    <w:rsid w:val="00804885"/>
    <w:rsid w:val="00804BDE"/>
    <w:rsid w:val="00804C75"/>
    <w:rsid w:val="00804DFB"/>
    <w:rsid w:val="00804F8F"/>
    <w:rsid w:val="0080530A"/>
    <w:rsid w:val="0080553E"/>
    <w:rsid w:val="008059EB"/>
    <w:rsid w:val="00806527"/>
    <w:rsid w:val="00806774"/>
    <w:rsid w:val="00806C02"/>
    <w:rsid w:val="00806C04"/>
    <w:rsid w:val="00806E32"/>
    <w:rsid w:val="008071F1"/>
    <w:rsid w:val="008071F9"/>
    <w:rsid w:val="0080754F"/>
    <w:rsid w:val="00807858"/>
    <w:rsid w:val="00807894"/>
    <w:rsid w:val="008100DD"/>
    <w:rsid w:val="00810764"/>
    <w:rsid w:val="00810968"/>
    <w:rsid w:val="00810D1F"/>
    <w:rsid w:val="00811024"/>
    <w:rsid w:val="00811644"/>
    <w:rsid w:val="00811712"/>
    <w:rsid w:val="00812233"/>
    <w:rsid w:val="0081224C"/>
    <w:rsid w:val="008126FA"/>
    <w:rsid w:val="00812A47"/>
    <w:rsid w:val="008136E6"/>
    <w:rsid w:val="008138D6"/>
    <w:rsid w:val="00813CF4"/>
    <w:rsid w:val="00814CC6"/>
    <w:rsid w:val="00814DE8"/>
    <w:rsid w:val="00815175"/>
    <w:rsid w:val="008155B4"/>
    <w:rsid w:val="00815BDA"/>
    <w:rsid w:val="00815EB7"/>
    <w:rsid w:val="0081600A"/>
    <w:rsid w:val="008167AC"/>
    <w:rsid w:val="00816A6A"/>
    <w:rsid w:val="008173C5"/>
    <w:rsid w:val="008175D1"/>
    <w:rsid w:val="0082005E"/>
    <w:rsid w:val="008202BB"/>
    <w:rsid w:val="00820519"/>
    <w:rsid w:val="00820A60"/>
    <w:rsid w:val="00820B59"/>
    <w:rsid w:val="00820CA2"/>
    <w:rsid w:val="00820ECE"/>
    <w:rsid w:val="00821156"/>
    <w:rsid w:val="00821B73"/>
    <w:rsid w:val="00821F73"/>
    <w:rsid w:val="00822313"/>
    <w:rsid w:val="008223E3"/>
    <w:rsid w:val="00822B84"/>
    <w:rsid w:val="0082311B"/>
    <w:rsid w:val="008231DD"/>
    <w:rsid w:val="008232C6"/>
    <w:rsid w:val="00823D47"/>
    <w:rsid w:val="00823DAD"/>
    <w:rsid w:val="0082413E"/>
    <w:rsid w:val="00824543"/>
    <w:rsid w:val="00824891"/>
    <w:rsid w:val="0082513B"/>
    <w:rsid w:val="008252F5"/>
    <w:rsid w:val="00825582"/>
    <w:rsid w:val="00825746"/>
    <w:rsid w:val="008258BE"/>
    <w:rsid w:val="00825BE2"/>
    <w:rsid w:val="00825E75"/>
    <w:rsid w:val="00826392"/>
    <w:rsid w:val="00826565"/>
    <w:rsid w:val="008270DB"/>
    <w:rsid w:val="00827329"/>
    <w:rsid w:val="00827452"/>
    <w:rsid w:val="008274B4"/>
    <w:rsid w:val="00827A16"/>
    <w:rsid w:val="00830206"/>
    <w:rsid w:val="008304DE"/>
    <w:rsid w:val="0083083B"/>
    <w:rsid w:val="00830C45"/>
    <w:rsid w:val="00831152"/>
    <w:rsid w:val="00831576"/>
    <w:rsid w:val="00831BD8"/>
    <w:rsid w:val="00832281"/>
    <w:rsid w:val="00832322"/>
    <w:rsid w:val="0083235B"/>
    <w:rsid w:val="008323A4"/>
    <w:rsid w:val="008325E4"/>
    <w:rsid w:val="00832985"/>
    <w:rsid w:val="00832A9D"/>
    <w:rsid w:val="00832B22"/>
    <w:rsid w:val="00832C39"/>
    <w:rsid w:val="00833494"/>
    <w:rsid w:val="008337B8"/>
    <w:rsid w:val="008338ED"/>
    <w:rsid w:val="00833E93"/>
    <w:rsid w:val="00833FCE"/>
    <w:rsid w:val="00834305"/>
    <w:rsid w:val="00834717"/>
    <w:rsid w:val="0083499C"/>
    <w:rsid w:val="00834E3A"/>
    <w:rsid w:val="0083555E"/>
    <w:rsid w:val="008357FC"/>
    <w:rsid w:val="00835E89"/>
    <w:rsid w:val="008365F7"/>
    <w:rsid w:val="0083661A"/>
    <w:rsid w:val="00836F09"/>
    <w:rsid w:val="008370AB"/>
    <w:rsid w:val="0083765E"/>
    <w:rsid w:val="00837AEF"/>
    <w:rsid w:val="00837C26"/>
    <w:rsid w:val="00837FE4"/>
    <w:rsid w:val="0084004F"/>
    <w:rsid w:val="00840273"/>
    <w:rsid w:val="00840A7E"/>
    <w:rsid w:val="00840D5B"/>
    <w:rsid w:val="00840F72"/>
    <w:rsid w:val="00841011"/>
    <w:rsid w:val="00841593"/>
    <w:rsid w:val="00841BF6"/>
    <w:rsid w:val="00841FFB"/>
    <w:rsid w:val="008420AF"/>
    <w:rsid w:val="008427A0"/>
    <w:rsid w:val="00843067"/>
    <w:rsid w:val="00843284"/>
    <w:rsid w:val="00843377"/>
    <w:rsid w:val="00843612"/>
    <w:rsid w:val="00843870"/>
    <w:rsid w:val="00843993"/>
    <w:rsid w:val="00843EA3"/>
    <w:rsid w:val="008440AB"/>
    <w:rsid w:val="00844660"/>
    <w:rsid w:val="00845830"/>
    <w:rsid w:val="00845872"/>
    <w:rsid w:val="00845D20"/>
    <w:rsid w:val="00846DF2"/>
    <w:rsid w:val="00847204"/>
    <w:rsid w:val="00847912"/>
    <w:rsid w:val="00847BF1"/>
    <w:rsid w:val="008502B5"/>
    <w:rsid w:val="008503CB"/>
    <w:rsid w:val="008505C2"/>
    <w:rsid w:val="00850DAB"/>
    <w:rsid w:val="00850EE7"/>
    <w:rsid w:val="00850F20"/>
    <w:rsid w:val="008511D9"/>
    <w:rsid w:val="00851305"/>
    <w:rsid w:val="00851522"/>
    <w:rsid w:val="008515F0"/>
    <w:rsid w:val="00851840"/>
    <w:rsid w:val="008519CB"/>
    <w:rsid w:val="00851AE0"/>
    <w:rsid w:val="00851DE4"/>
    <w:rsid w:val="00851F26"/>
    <w:rsid w:val="00851F4E"/>
    <w:rsid w:val="00852189"/>
    <w:rsid w:val="00852253"/>
    <w:rsid w:val="0085235D"/>
    <w:rsid w:val="00852816"/>
    <w:rsid w:val="00852D4B"/>
    <w:rsid w:val="00852DC3"/>
    <w:rsid w:val="00852F9D"/>
    <w:rsid w:val="00853505"/>
    <w:rsid w:val="00853682"/>
    <w:rsid w:val="00853730"/>
    <w:rsid w:val="00853859"/>
    <w:rsid w:val="00853B34"/>
    <w:rsid w:val="00853EA5"/>
    <w:rsid w:val="0085422B"/>
    <w:rsid w:val="008547A3"/>
    <w:rsid w:val="008557BE"/>
    <w:rsid w:val="008558B7"/>
    <w:rsid w:val="00855970"/>
    <w:rsid w:val="00855CBC"/>
    <w:rsid w:val="008560FA"/>
    <w:rsid w:val="00856226"/>
    <w:rsid w:val="008562A9"/>
    <w:rsid w:val="008563D9"/>
    <w:rsid w:val="00856484"/>
    <w:rsid w:val="00856486"/>
    <w:rsid w:val="008565F4"/>
    <w:rsid w:val="00856701"/>
    <w:rsid w:val="00856716"/>
    <w:rsid w:val="0085671A"/>
    <w:rsid w:val="008567F7"/>
    <w:rsid w:val="00856B99"/>
    <w:rsid w:val="00856DB0"/>
    <w:rsid w:val="0085703F"/>
    <w:rsid w:val="008570E1"/>
    <w:rsid w:val="0085730F"/>
    <w:rsid w:val="00857363"/>
    <w:rsid w:val="0085739A"/>
    <w:rsid w:val="00857EFB"/>
    <w:rsid w:val="00860CCA"/>
    <w:rsid w:val="00860E80"/>
    <w:rsid w:val="00861015"/>
    <w:rsid w:val="008612A9"/>
    <w:rsid w:val="008612F9"/>
    <w:rsid w:val="0086152F"/>
    <w:rsid w:val="00861934"/>
    <w:rsid w:val="008620DF"/>
    <w:rsid w:val="00862105"/>
    <w:rsid w:val="00862930"/>
    <w:rsid w:val="00862FD5"/>
    <w:rsid w:val="00863343"/>
    <w:rsid w:val="008634FA"/>
    <w:rsid w:val="008635A5"/>
    <w:rsid w:val="00863661"/>
    <w:rsid w:val="00863BE0"/>
    <w:rsid w:val="008640AF"/>
    <w:rsid w:val="00864189"/>
    <w:rsid w:val="008644B6"/>
    <w:rsid w:val="00864750"/>
    <w:rsid w:val="00864B37"/>
    <w:rsid w:val="00864DE1"/>
    <w:rsid w:val="00864DE3"/>
    <w:rsid w:val="00865567"/>
    <w:rsid w:val="00865766"/>
    <w:rsid w:val="00866658"/>
    <w:rsid w:val="00867D03"/>
    <w:rsid w:val="00867D52"/>
    <w:rsid w:val="00870732"/>
    <w:rsid w:val="00870D3C"/>
    <w:rsid w:val="00870E5F"/>
    <w:rsid w:val="008711B9"/>
    <w:rsid w:val="008712AA"/>
    <w:rsid w:val="0087146B"/>
    <w:rsid w:val="00871C98"/>
    <w:rsid w:val="008724E7"/>
    <w:rsid w:val="008726E3"/>
    <w:rsid w:val="00872991"/>
    <w:rsid w:val="008729BB"/>
    <w:rsid w:val="0087309C"/>
    <w:rsid w:val="008731F6"/>
    <w:rsid w:val="008734E4"/>
    <w:rsid w:val="0087373C"/>
    <w:rsid w:val="00873DD3"/>
    <w:rsid w:val="00873F06"/>
    <w:rsid w:val="00874248"/>
    <w:rsid w:val="0087469F"/>
    <w:rsid w:val="00874A1C"/>
    <w:rsid w:val="00874D73"/>
    <w:rsid w:val="00874F09"/>
    <w:rsid w:val="0087530F"/>
    <w:rsid w:val="0087574A"/>
    <w:rsid w:val="0087582C"/>
    <w:rsid w:val="00875D6B"/>
    <w:rsid w:val="00876294"/>
    <w:rsid w:val="008766CA"/>
    <w:rsid w:val="00876BE9"/>
    <w:rsid w:val="00876CE4"/>
    <w:rsid w:val="008770D0"/>
    <w:rsid w:val="008774A7"/>
    <w:rsid w:val="008779D0"/>
    <w:rsid w:val="00877E2A"/>
    <w:rsid w:val="008802DA"/>
    <w:rsid w:val="0088065A"/>
    <w:rsid w:val="008809D7"/>
    <w:rsid w:val="00880B28"/>
    <w:rsid w:val="00880BFF"/>
    <w:rsid w:val="00880C0C"/>
    <w:rsid w:val="008817BB"/>
    <w:rsid w:val="00882478"/>
    <w:rsid w:val="00882739"/>
    <w:rsid w:val="00882773"/>
    <w:rsid w:val="00882A04"/>
    <w:rsid w:val="0088306D"/>
    <w:rsid w:val="00883297"/>
    <w:rsid w:val="008838C7"/>
    <w:rsid w:val="00883989"/>
    <w:rsid w:val="00883A78"/>
    <w:rsid w:val="00883CB5"/>
    <w:rsid w:val="0088418A"/>
    <w:rsid w:val="00884346"/>
    <w:rsid w:val="008843D3"/>
    <w:rsid w:val="00884A0C"/>
    <w:rsid w:val="00884F31"/>
    <w:rsid w:val="00884F54"/>
    <w:rsid w:val="0088500F"/>
    <w:rsid w:val="0088525B"/>
    <w:rsid w:val="008852C0"/>
    <w:rsid w:val="008853F7"/>
    <w:rsid w:val="00885A48"/>
    <w:rsid w:val="00885A9F"/>
    <w:rsid w:val="0088688D"/>
    <w:rsid w:val="00886E3B"/>
    <w:rsid w:val="008871D0"/>
    <w:rsid w:val="00890767"/>
    <w:rsid w:val="0089096D"/>
    <w:rsid w:val="00890996"/>
    <w:rsid w:val="008911A1"/>
    <w:rsid w:val="008913DF"/>
    <w:rsid w:val="008918CC"/>
    <w:rsid w:val="00891B51"/>
    <w:rsid w:val="00891CE1"/>
    <w:rsid w:val="008921F7"/>
    <w:rsid w:val="0089227D"/>
    <w:rsid w:val="008924C2"/>
    <w:rsid w:val="00892610"/>
    <w:rsid w:val="008926B4"/>
    <w:rsid w:val="008938ED"/>
    <w:rsid w:val="00893F00"/>
    <w:rsid w:val="00893FF2"/>
    <w:rsid w:val="0089419E"/>
    <w:rsid w:val="0089442B"/>
    <w:rsid w:val="008945C6"/>
    <w:rsid w:val="00894622"/>
    <w:rsid w:val="00894805"/>
    <w:rsid w:val="00894EE0"/>
    <w:rsid w:val="008954BC"/>
    <w:rsid w:val="008955C7"/>
    <w:rsid w:val="00895B47"/>
    <w:rsid w:val="00895CE0"/>
    <w:rsid w:val="008962EF"/>
    <w:rsid w:val="00896395"/>
    <w:rsid w:val="00896E1F"/>
    <w:rsid w:val="00896FC4"/>
    <w:rsid w:val="00897091"/>
    <w:rsid w:val="00897220"/>
    <w:rsid w:val="008976AA"/>
    <w:rsid w:val="00897E15"/>
    <w:rsid w:val="008A022C"/>
    <w:rsid w:val="008A0C79"/>
    <w:rsid w:val="008A0D97"/>
    <w:rsid w:val="008A1136"/>
    <w:rsid w:val="008A1154"/>
    <w:rsid w:val="008A1F7E"/>
    <w:rsid w:val="008A2112"/>
    <w:rsid w:val="008A21B9"/>
    <w:rsid w:val="008A2238"/>
    <w:rsid w:val="008A24C3"/>
    <w:rsid w:val="008A251D"/>
    <w:rsid w:val="008A28BF"/>
    <w:rsid w:val="008A2A1E"/>
    <w:rsid w:val="008A2C20"/>
    <w:rsid w:val="008A34DF"/>
    <w:rsid w:val="008A3504"/>
    <w:rsid w:val="008A352F"/>
    <w:rsid w:val="008A36C2"/>
    <w:rsid w:val="008A3AEB"/>
    <w:rsid w:val="008A501F"/>
    <w:rsid w:val="008A535D"/>
    <w:rsid w:val="008A57DF"/>
    <w:rsid w:val="008A593F"/>
    <w:rsid w:val="008A59BF"/>
    <w:rsid w:val="008A5B56"/>
    <w:rsid w:val="008A61CF"/>
    <w:rsid w:val="008A6BFD"/>
    <w:rsid w:val="008A71BA"/>
    <w:rsid w:val="008A7570"/>
    <w:rsid w:val="008A76EE"/>
    <w:rsid w:val="008A7AC6"/>
    <w:rsid w:val="008A7BC7"/>
    <w:rsid w:val="008A7CCF"/>
    <w:rsid w:val="008B017B"/>
    <w:rsid w:val="008B0DB0"/>
    <w:rsid w:val="008B1180"/>
    <w:rsid w:val="008B16E7"/>
    <w:rsid w:val="008B173C"/>
    <w:rsid w:val="008B2242"/>
    <w:rsid w:val="008B231C"/>
    <w:rsid w:val="008B23D0"/>
    <w:rsid w:val="008B2434"/>
    <w:rsid w:val="008B2567"/>
    <w:rsid w:val="008B26E5"/>
    <w:rsid w:val="008B27BB"/>
    <w:rsid w:val="008B2844"/>
    <w:rsid w:val="008B2A20"/>
    <w:rsid w:val="008B2A7F"/>
    <w:rsid w:val="008B2BD8"/>
    <w:rsid w:val="008B2CBF"/>
    <w:rsid w:val="008B2D84"/>
    <w:rsid w:val="008B2E29"/>
    <w:rsid w:val="008B37F2"/>
    <w:rsid w:val="008B3A78"/>
    <w:rsid w:val="008B3CAA"/>
    <w:rsid w:val="008B3F8D"/>
    <w:rsid w:val="008B4271"/>
    <w:rsid w:val="008B4957"/>
    <w:rsid w:val="008B4978"/>
    <w:rsid w:val="008B51DD"/>
    <w:rsid w:val="008B5662"/>
    <w:rsid w:val="008B593F"/>
    <w:rsid w:val="008B5E86"/>
    <w:rsid w:val="008B612F"/>
    <w:rsid w:val="008B6363"/>
    <w:rsid w:val="008B6641"/>
    <w:rsid w:val="008B66B9"/>
    <w:rsid w:val="008B6764"/>
    <w:rsid w:val="008B69B3"/>
    <w:rsid w:val="008B6B4E"/>
    <w:rsid w:val="008B7966"/>
    <w:rsid w:val="008B7A9B"/>
    <w:rsid w:val="008B7BFD"/>
    <w:rsid w:val="008C014C"/>
    <w:rsid w:val="008C05BF"/>
    <w:rsid w:val="008C09D0"/>
    <w:rsid w:val="008C1236"/>
    <w:rsid w:val="008C1301"/>
    <w:rsid w:val="008C16B5"/>
    <w:rsid w:val="008C186D"/>
    <w:rsid w:val="008C1CC8"/>
    <w:rsid w:val="008C1F05"/>
    <w:rsid w:val="008C201D"/>
    <w:rsid w:val="008C2D33"/>
    <w:rsid w:val="008C3A9B"/>
    <w:rsid w:val="008C45B5"/>
    <w:rsid w:val="008C4625"/>
    <w:rsid w:val="008C4C43"/>
    <w:rsid w:val="008C4FAD"/>
    <w:rsid w:val="008C5026"/>
    <w:rsid w:val="008C53F1"/>
    <w:rsid w:val="008C6667"/>
    <w:rsid w:val="008C6DBC"/>
    <w:rsid w:val="008C702E"/>
    <w:rsid w:val="008C7051"/>
    <w:rsid w:val="008D02E2"/>
    <w:rsid w:val="008D07A2"/>
    <w:rsid w:val="008D10C8"/>
    <w:rsid w:val="008D1148"/>
    <w:rsid w:val="008D16FF"/>
    <w:rsid w:val="008D27C4"/>
    <w:rsid w:val="008D292A"/>
    <w:rsid w:val="008D3B98"/>
    <w:rsid w:val="008D3EDC"/>
    <w:rsid w:val="008D40F7"/>
    <w:rsid w:val="008D4298"/>
    <w:rsid w:val="008D4488"/>
    <w:rsid w:val="008D4532"/>
    <w:rsid w:val="008D4A69"/>
    <w:rsid w:val="008D5FB7"/>
    <w:rsid w:val="008D61E8"/>
    <w:rsid w:val="008D62FD"/>
    <w:rsid w:val="008D66D5"/>
    <w:rsid w:val="008D69B5"/>
    <w:rsid w:val="008D6C97"/>
    <w:rsid w:val="008D6F1A"/>
    <w:rsid w:val="008D7102"/>
    <w:rsid w:val="008D7C78"/>
    <w:rsid w:val="008D7CEE"/>
    <w:rsid w:val="008E1021"/>
    <w:rsid w:val="008E14C5"/>
    <w:rsid w:val="008E2341"/>
    <w:rsid w:val="008E2767"/>
    <w:rsid w:val="008E304B"/>
    <w:rsid w:val="008E370D"/>
    <w:rsid w:val="008E4110"/>
    <w:rsid w:val="008E4831"/>
    <w:rsid w:val="008E4A23"/>
    <w:rsid w:val="008E4F01"/>
    <w:rsid w:val="008E5433"/>
    <w:rsid w:val="008E5666"/>
    <w:rsid w:val="008E57C2"/>
    <w:rsid w:val="008E5975"/>
    <w:rsid w:val="008E5C20"/>
    <w:rsid w:val="008E62C7"/>
    <w:rsid w:val="008E658F"/>
    <w:rsid w:val="008E661D"/>
    <w:rsid w:val="008E6744"/>
    <w:rsid w:val="008E7015"/>
    <w:rsid w:val="008E70CD"/>
    <w:rsid w:val="008E76ED"/>
    <w:rsid w:val="008F0020"/>
    <w:rsid w:val="008F003E"/>
    <w:rsid w:val="008F01C7"/>
    <w:rsid w:val="008F0710"/>
    <w:rsid w:val="008F07C5"/>
    <w:rsid w:val="008F0B5B"/>
    <w:rsid w:val="008F156E"/>
    <w:rsid w:val="008F169B"/>
    <w:rsid w:val="008F1FC5"/>
    <w:rsid w:val="008F2285"/>
    <w:rsid w:val="008F2322"/>
    <w:rsid w:val="008F244C"/>
    <w:rsid w:val="008F2F58"/>
    <w:rsid w:val="008F318F"/>
    <w:rsid w:val="008F364D"/>
    <w:rsid w:val="008F3ABA"/>
    <w:rsid w:val="008F3C60"/>
    <w:rsid w:val="008F4100"/>
    <w:rsid w:val="008F41A7"/>
    <w:rsid w:val="008F46AE"/>
    <w:rsid w:val="008F4BBC"/>
    <w:rsid w:val="008F4BC1"/>
    <w:rsid w:val="008F4BF2"/>
    <w:rsid w:val="008F4DC6"/>
    <w:rsid w:val="008F4F40"/>
    <w:rsid w:val="008F5462"/>
    <w:rsid w:val="008F5495"/>
    <w:rsid w:val="008F5B59"/>
    <w:rsid w:val="008F5D16"/>
    <w:rsid w:val="008F619F"/>
    <w:rsid w:val="008F61CC"/>
    <w:rsid w:val="008F62F8"/>
    <w:rsid w:val="008F6354"/>
    <w:rsid w:val="008F652C"/>
    <w:rsid w:val="008F689B"/>
    <w:rsid w:val="008F6A1E"/>
    <w:rsid w:val="008F6E97"/>
    <w:rsid w:val="008F7924"/>
    <w:rsid w:val="008F799A"/>
    <w:rsid w:val="00900175"/>
    <w:rsid w:val="0090067F"/>
    <w:rsid w:val="009006C5"/>
    <w:rsid w:val="00900B3F"/>
    <w:rsid w:val="00900E02"/>
    <w:rsid w:val="00900E32"/>
    <w:rsid w:val="00900F3A"/>
    <w:rsid w:val="00900FFB"/>
    <w:rsid w:val="00901057"/>
    <w:rsid w:val="00901872"/>
    <w:rsid w:val="00901AB3"/>
    <w:rsid w:val="00902236"/>
    <w:rsid w:val="0090254A"/>
    <w:rsid w:val="0090267E"/>
    <w:rsid w:val="00903722"/>
    <w:rsid w:val="00903E58"/>
    <w:rsid w:val="00903E8E"/>
    <w:rsid w:val="00903FE0"/>
    <w:rsid w:val="00904458"/>
    <w:rsid w:val="00904B3B"/>
    <w:rsid w:val="00904EEF"/>
    <w:rsid w:val="00905035"/>
    <w:rsid w:val="0090555C"/>
    <w:rsid w:val="00906114"/>
    <w:rsid w:val="0090622D"/>
    <w:rsid w:val="00906599"/>
    <w:rsid w:val="0090687C"/>
    <w:rsid w:val="00906CCE"/>
    <w:rsid w:val="00906EBC"/>
    <w:rsid w:val="00906F76"/>
    <w:rsid w:val="009074F5"/>
    <w:rsid w:val="009100D7"/>
    <w:rsid w:val="009103F2"/>
    <w:rsid w:val="00910553"/>
    <w:rsid w:val="009109EB"/>
    <w:rsid w:val="00910AC6"/>
    <w:rsid w:val="0091164B"/>
    <w:rsid w:val="0091188B"/>
    <w:rsid w:val="0091205B"/>
    <w:rsid w:val="00912295"/>
    <w:rsid w:val="00912309"/>
    <w:rsid w:val="0091254D"/>
    <w:rsid w:val="00912900"/>
    <w:rsid w:val="00912EF3"/>
    <w:rsid w:val="0091344B"/>
    <w:rsid w:val="0091345F"/>
    <w:rsid w:val="00913942"/>
    <w:rsid w:val="00913994"/>
    <w:rsid w:val="00913AFE"/>
    <w:rsid w:val="00913F55"/>
    <w:rsid w:val="00914304"/>
    <w:rsid w:val="0091439D"/>
    <w:rsid w:val="00914564"/>
    <w:rsid w:val="00914653"/>
    <w:rsid w:val="00914840"/>
    <w:rsid w:val="00914B2F"/>
    <w:rsid w:val="0091503A"/>
    <w:rsid w:val="00915343"/>
    <w:rsid w:val="00915448"/>
    <w:rsid w:val="009155F8"/>
    <w:rsid w:val="00915ABC"/>
    <w:rsid w:val="00915D25"/>
    <w:rsid w:val="00915D9A"/>
    <w:rsid w:val="00916196"/>
    <w:rsid w:val="00917342"/>
    <w:rsid w:val="009176D2"/>
    <w:rsid w:val="009204AB"/>
    <w:rsid w:val="009208F1"/>
    <w:rsid w:val="009209C2"/>
    <w:rsid w:val="00920FA8"/>
    <w:rsid w:val="00921021"/>
    <w:rsid w:val="00921C47"/>
    <w:rsid w:val="0092233C"/>
    <w:rsid w:val="00922866"/>
    <w:rsid w:val="00922EBC"/>
    <w:rsid w:val="009236BE"/>
    <w:rsid w:val="00923747"/>
    <w:rsid w:val="00923984"/>
    <w:rsid w:val="00923C78"/>
    <w:rsid w:val="00923D6F"/>
    <w:rsid w:val="00923F2A"/>
    <w:rsid w:val="0092404E"/>
    <w:rsid w:val="009242AA"/>
    <w:rsid w:val="00924605"/>
    <w:rsid w:val="0092479F"/>
    <w:rsid w:val="00924EA2"/>
    <w:rsid w:val="009253CF"/>
    <w:rsid w:val="00925C7A"/>
    <w:rsid w:val="00925D4F"/>
    <w:rsid w:val="00925F53"/>
    <w:rsid w:val="00926156"/>
    <w:rsid w:val="00926911"/>
    <w:rsid w:val="00926AD9"/>
    <w:rsid w:val="00926CBA"/>
    <w:rsid w:val="00926EA8"/>
    <w:rsid w:val="00927090"/>
    <w:rsid w:val="009271A0"/>
    <w:rsid w:val="009272EB"/>
    <w:rsid w:val="009272F0"/>
    <w:rsid w:val="0092760A"/>
    <w:rsid w:val="0092765E"/>
    <w:rsid w:val="009277B3"/>
    <w:rsid w:val="00927918"/>
    <w:rsid w:val="00927A46"/>
    <w:rsid w:val="00927A79"/>
    <w:rsid w:val="00927AB7"/>
    <w:rsid w:val="00927CA9"/>
    <w:rsid w:val="00927D68"/>
    <w:rsid w:val="00930622"/>
    <w:rsid w:val="00930D3D"/>
    <w:rsid w:val="009310DB"/>
    <w:rsid w:val="009312EF"/>
    <w:rsid w:val="009316DB"/>
    <w:rsid w:val="00931A76"/>
    <w:rsid w:val="00931EED"/>
    <w:rsid w:val="00932F5B"/>
    <w:rsid w:val="009332E0"/>
    <w:rsid w:val="00933711"/>
    <w:rsid w:val="00933825"/>
    <w:rsid w:val="00933C53"/>
    <w:rsid w:val="00933E82"/>
    <w:rsid w:val="009340D1"/>
    <w:rsid w:val="009341BC"/>
    <w:rsid w:val="009351FB"/>
    <w:rsid w:val="0093534A"/>
    <w:rsid w:val="009353CC"/>
    <w:rsid w:val="00935598"/>
    <w:rsid w:val="0093586A"/>
    <w:rsid w:val="00935ADD"/>
    <w:rsid w:val="00935AF0"/>
    <w:rsid w:val="00935B66"/>
    <w:rsid w:val="00935C19"/>
    <w:rsid w:val="00935D90"/>
    <w:rsid w:val="00936184"/>
    <w:rsid w:val="00936379"/>
    <w:rsid w:val="0093680B"/>
    <w:rsid w:val="00936A11"/>
    <w:rsid w:val="00936D52"/>
    <w:rsid w:val="00937B29"/>
    <w:rsid w:val="00937DAB"/>
    <w:rsid w:val="00937E9E"/>
    <w:rsid w:val="00940377"/>
    <w:rsid w:val="00940607"/>
    <w:rsid w:val="00940957"/>
    <w:rsid w:val="009417D2"/>
    <w:rsid w:val="00941BBF"/>
    <w:rsid w:val="00941E27"/>
    <w:rsid w:val="0094204C"/>
    <w:rsid w:val="00942353"/>
    <w:rsid w:val="009424B4"/>
    <w:rsid w:val="00942A46"/>
    <w:rsid w:val="00942B16"/>
    <w:rsid w:val="00942E03"/>
    <w:rsid w:val="00942E4B"/>
    <w:rsid w:val="00942F92"/>
    <w:rsid w:val="00943035"/>
    <w:rsid w:val="009437CE"/>
    <w:rsid w:val="00943BE9"/>
    <w:rsid w:val="00943CA4"/>
    <w:rsid w:val="00943ECD"/>
    <w:rsid w:val="0094457E"/>
    <w:rsid w:val="00945101"/>
    <w:rsid w:val="009458BF"/>
    <w:rsid w:val="009461BA"/>
    <w:rsid w:val="00946202"/>
    <w:rsid w:val="00946521"/>
    <w:rsid w:val="009467ED"/>
    <w:rsid w:val="00946AAE"/>
    <w:rsid w:val="00947151"/>
    <w:rsid w:val="00947358"/>
    <w:rsid w:val="009473F4"/>
    <w:rsid w:val="00947736"/>
    <w:rsid w:val="00947A1A"/>
    <w:rsid w:val="009500EA"/>
    <w:rsid w:val="00950260"/>
    <w:rsid w:val="009502AB"/>
    <w:rsid w:val="0095094A"/>
    <w:rsid w:val="00950C97"/>
    <w:rsid w:val="00950EBF"/>
    <w:rsid w:val="00951E73"/>
    <w:rsid w:val="0095237A"/>
    <w:rsid w:val="009524C7"/>
    <w:rsid w:val="00953194"/>
    <w:rsid w:val="00953890"/>
    <w:rsid w:val="00954498"/>
    <w:rsid w:val="00954A65"/>
    <w:rsid w:val="00955441"/>
    <w:rsid w:val="00956037"/>
    <w:rsid w:val="00956348"/>
    <w:rsid w:val="00956686"/>
    <w:rsid w:val="009568D8"/>
    <w:rsid w:val="00956F96"/>
    <w:rsid w:val="00956FF8"/>
    <w:rsid w:val="00957023"/>
    <w:rsid w:val="009578F9"/>
    <w:rsid w:val="00957DD3"/>
    <w:rsid w:val="009603FB"/>
    <w:rsid w:val="00960687"/>
    <w:rsid w:val="0096068F"/>
    <w:rsid w:val="0096073E"/>
    <w:rsid w:val="00960D4A"/>
    <w:rsid w:val="00960F30"/>
    <w:rsid w:val="009612F1"/>
    <w:rsid w:val="009613BB"/>
    <w:rsid w:val="00961CB3"/>
    <w:rsid w:val="00961D2D"/>
    <w:rsid w:val="00961E99"/>
    <w:rsid w:val="00961FE9"/>
    <w:rsid w:val="00961FF5"/>
    <w:rsid w:val="009628EB"/>
    <w:rsid w:val="00962A95"/>
    <w:rsid w:val="00962C3A"/>
    <w:rsid w:val="00962D63"/>
    <w:rsid w:val="0096323B"/>
    <w:rsid w:val="00963A43"/>
    <w:rsid w:val="00963B0C"/>
    <w:rsid w:val="009643DD"/>
    <w:rsid w:val="009644AE"/>
    <w:rsid w:val="00964546"/>
    <w:rsid w:val="0096464D"/>
    <w:rsid w:val="009648EA"/>
    <w:rsid w:val="00964BE7"/>
    <w:rsid w:val="009654C9"/>
    <w:rsid w:val="009658C7"/>
    <w:rsid w:val="00965D0F"/>
    <w:rsid w:val="00965E74"/>
    <w:rsid w:val="00965E8A"/>
    <w:rsid w:val="009666AC"/>
    <w:rsid w:val="009667DE"/>
    <w:rsid w:val="009667F9"/>
    <w:rsid w:val="00966D85"/>
    <w:rsid w:val="00967014"/>
    <w:rsid w:val="00967134"/>
    <w:rsid w:val="00967410"/>
    <w:rsid w:val="009675AD"/>
    <w:rsid w:val="0096769F"/>
    <w:rsid w:val="009677AE"/>
    <w:rsid w:val="009678BF"/>
    <w:rsid w:val="009678E1"/>
    <w:rsid w:val="00967912"/>
    <w:rsid w:val="0096796C"/>
    <w:rsid w:val="00967B20"/>
    <w:rsid w:val="00967BA5"/>
    <w:rsid w:val="00967D02"/>
    <w:rsid w:val="0097018F"/>
    <w:rsid w:val="009706EA"/>
    <w:rsid w:val="00970C39"/>
    <w:rsid w:val="00970CFA"/>
    <w:rsid w:val="00970EA9"/>
    <w:rsid w:val="009714B8"/>
    <w:rsid w:val="00971840"/>
    <w:rsid w:val="00971BEE"/>
    <w:rsid w:val="00971E68"/>
    <w:rsid w:val="00972159"/>
    <w:rsid w:val="0097279C"/>
    <w:rsid w:val="00972D54"/>
    <w:rsid w:val="00972E72"/>
    <w:rsid w:val="00972FBE"/>
    <w:rsid w:val="00973D48"/>
    <w:rsid w:val="00974107"/>
    <w:rsid w:val="009744F6"/>
    <w:rsid w:val="009745C7"/>
    <w:rsid w:val="009745F5"/>
    <w:rsid w:val="009746A1"/>
    <w:rsid w:val="00974745"/>
    <w:rsid w:val="00974D17"/>
    <w:rsid w:val="00975394"/>
    <w:rsid w:val="009756A7"/>
    <w:rsid w:val="00975927"/>
    <w:rsid w:val="00975C68"/>
    <w:rsid w:val="00975CA5"/>
    <w:rsid w:val="009766C4"/>
    <w:rsid w:val="009769A4"/>
    <w:rsid w:val="009769FB"/>
    <w:rsid w:val="00976F95"/>
    <w:rsid w:val="0097702C"/>
    <w:rsid w:val="00977282"/>
    <w:rsid w:val="0097744E"/>
    <w:rsid w:val="009774CD"/>
    <w:rsid w:val="009774E3"/>
    <w:rsid w:val="00977657"/>
    <w:rsid w:val="00977927"/>
    <w:rsid w:val="00977B5E"/>
    <w:rsid w:val="00977FA6"/>
    <w:rsid w:val="00980122"/>
    <w:rsid w:val="009802E4"/>
    <w:rsid w:val="0098172D"/>
    <w:rsid w:val="00981786"/>
    <w:rsid w:val="00981CD7"/>
    <w:rsid w:val="00981D60"/>
    <w:rsid w:val="00982A1A"/>
    <w:rsid w:val="0098307E"/>
    <w:rsid w:val="00983F62"/>
    <w:rsid w:val="009842D9"/>
    <w:rsid w:val="009843C2"/>
    <w:rsid w:val="009845D3"/>
    <w:rsid w:val="00984675"/>
    <w:rsid w:val="00984997"/>
    <w:rsid w:val="00984A01"/>
    <w:rsid w:val="00984DFB"/>
    <w:rsid w:val="009852B2"/>
    <w:rsid w:val="009852E7"/>
    <w:rsid w:val="00985360"/>
    <w:rsid w:val="00985567"/>
    <w:rsid w:val="0098580B"/>
    <w:rsid w:val="00985922"/>
    <w:rsid w:val="00985D7C"/>
    <w:rsid w:val="00985F15"/>
    <w:rsid w:val="0098704A"/>
    <w:rsid w:val="0098781D"/>
    <w:rsid w:val="0099012C"/>
    <w:rsid w:val="009904D9"/>
    <w:rsid w:val="009906EC"/>
    <w:rsid w:val="009907C1"/>
    <w:rsid w:val="00990972"/>
    <w:rsid w:val="00990A3A"/>
    <w:rsid w:val="00990FD4"/>
    <w:rsid w:val="00991389"/>
    <w:rsid w:val="00992493"/>
    <w:rsid w:val="0099283A"/>
    <w:rsid w:val="00992DB7"/>
    <w:rsid w:val="00993088"/>
    <w:rsid w:val="0099327D"/>
    <w:rsid w:val="0099332E"/>
    <w:rsid w:val="00993708"/>
    <w:rsid w:val="0099384B"/>
    <w:rsid w:val="00993A5C"/>
    <w:rsid w:val="00993C9A"/>
    <w:rsid w:val="0099455C"/>
    <w:rsid w:val="00994AE6"/>
    <w:rsid w:val="00994C3A"/>
    <w:rsid w:val="00994FD4"/>
    <w:rsid w:val="00995037"/>
    <w:rsid w:val="00995489"/>
    <w:rsid w:val="009954FE"/>
    <w:rsid w:val="00995830"/>
    <w:rsid w:val="00995B5F"/>
    <w:rsid w:val="00995D12"/>
    <w:rsid w:val="00995DFE"/>
    <w:rsid w:val="00995FF3"/>
    <w:rsid w:val="0099601E"/>
    <w:rsid w:val="00996126"/>
    <w:rsid w:val="00996B90"/>
    <w:rsid w:val="0099714F"/>
    <w:rsid w:val="0099738D"/>
    <w:rsid w:val="00997422"/>
    <w:rsid w:val="0099766A"/>
    <w:rsid w:val="0099791F"/>
    <w:rsid w:val="00997B1E"/>
    <w:rsid w:val="00997BC2"/>
    <w:rsid w:val="009A00B3"/>
    <w:rsid w:val="009A011A"/>
    <w:rsid w:val="009A0737"/>
    <w:rsid w:val="009A0748"/>
    <w:rsid w:val="009A086A"/>
    <w:rsid w:val="009A0CCE"/>
    <w:rsid w:val="009A0D7E"/>
    <w:rsid w:val="009A0E7A"/>
    <w:rsid w:val="009A110F"/>
    <w:rsid w:val="009A153A"/>
    <w:rsid w:val="009A176D"/>
    <w:rsid w:val="009A2201"/>
    <w:rsid w:val="009A2526"/>
    <w:rsid w:val="009A25CF"/>
    <w:rsid w:val="009A2B4E"/>
    <w:rsid w:val="009A3388"/>
    <w:rsid w:val="009A3877"/>
    <w:rsid w:val="009A3B4F"/>
    <w:rsid w:val="009A3C1F"/>
    <w:rsid w:val="009A3EF4"/>
    <w:rsid w:val="009A41A2"/>
    <w:rsid w:val="009A42F3"/>
    <w:rsid w:val="009A4724"/>
    <w:rsid w:val="009A4842"/>
    <w:rsid w:val="009A4A33"/>
    <w:rsid w:val="009A4DDA"/>
    <w:rsid w:val="009A5114"/>
    <w:rsid w:val="009A5600"/>
    <w:rsid w:val="009A568B"/>
    <w:rsid w:val="009A5B81"/>
    <w:rsid w:val="009A608D"/>
    <w:rsid w:val="009A61B5"/>
    <w:rsid w:val="009A654E"/>
    <w:rsid w:val="009A723A"/>
    <w:rsid w:val="009A75DA"/>
    <w:rsid w:val="009A761E"/>
    <w:rsid w:val="009A7AAE"/>
    <w:rsid w:val="009A7D1C"/>
    <w:rsid w:val="009A7D98"/>
    <w:rsid w:val="009A7EB6"/>
    <w:rsid w:val="009B04E4"/>
    <w:rsid w:val="009B090B"/>
    <w:rsid w:val="009B0BDA"/>
    <w:rsid w:val="009B1258"/>
    <w:rsid w:val="009B15D5"/>
    <w:rsid w:val="009B1E53"/>
    <w:rsid w:val="009B2341"/>
    <w:rsid w:val="009B2CEB"/>
    <w:rsid w:val="009B365A"/>
    <w:rsid w:val="009B369C"/>
    <w:rsid w:val="009B3877"/>
    <w:rsid w:val="009B3BA1"/>
    <w:rsid w:val="009B3F6F"/>
    <w:rsid w:val="009B4278"/>
    <w:rsid w:val="009B4A7C"/>
    <w:rsid w:val="009B4C9E"/>
    <w:rsid w:val="009B5726"/>
    <w:rsid w:val="009B5BC2"/>
    <w:rsid w:val="009B6012"/>
    <w:rsid w:val="009B6271"/>
    <w:rsid w:val="009B6C83"/>
    <w:rsid w:val="009B6E25"/>
    <w:rsid w:val="009B7A4A"/>
    <w:rsid w:val="009B7C8D"/>
    <w:rsid w:val="009B7F11"/>
    <w:rsid w:val="009C074A"/>
    <w:rsid w:val="009C08B2"/>
    <w:rsid w:val="009C08CC"/>
    <w:rsid w:val="009C117F"/>
    <w:rsid w:val="009C17C7"/>
    <w:rsid w:val="009C17D9"/>
    <w:rsid w:val="009C189E"/>
    <w:rsid w:val="009C19AC"/>
    <w:rsid w:val="009C1A7F"/>
    <w:rsid w:val="009C1D96"/>
    <w:rsid w:val="009C24B1"/>
    <w:rsid w:val="009C2985"/>
    <w:rsid w:val="009C2AAB"/>
    <w:rsid w:val="009C2C95"/>
    <w:rsid w:val="009C32E3"/>
    <w:rsid w:val="009C395E"/>
    <w:rsid w:val="009C3C03"/>
    <w:rsid w:val="009C40BE"/>
    <w:rsid w:val="009C44FA"/>
    <w:rsid w:val="009C4999"/>
    <w:rsid w:val="009C4C63"/>
    <w:rsid w:val="009C4D73"/>
    <w:rsid w:val="009C4ECC"/>
    <w:rsid w:val="009C5161"/>
    <w:rsid w:val="009C5458"/>
    <w:rsid w:val="009C5C8E"/>
    <w:rsid w:val="009C625A"/>
    <w:rsid w:val="009C6401"/>
    <w:rsid w:val="009C6515"/>
    <w:rsid w:val="009C6933"/>
    <w:rsid w:val="009C6D8F"/>
    <w:rsid w:val="009C7153"/>
    <w:rsid w:val="009C75A7"/>
    <w:rsid w:val="009C7C9D"/>
    <w:rsid w:val="009C7F77"/>
    <w:rsid w:val="009C7F99"/>
    <w:rsid w:val="009D0981"/>
    <w:rsid w:val="009D124F"/>
    <w:rsid w:val="009D1546"/>
    <w:rsid w:val="009D16C3"/>
    <w:rsid w:val="009D198E"/>
    <w:rsid w:val="009D1C0D"/>
    <w:rsid w:val="009D1D02"/>
    <w:rsid w:val="009D21FD"/>
    <w:rsid w:val="009D22D8"/>
    <w:rsid w:val="009D2368"/>
    <w:rsid w:val="009D23AC"/>
    <w:rsid w:val="009D2639"/>
    <w:rsid w:val="009D2ACD"/>
    <w:rsid w:val="009D2EA5"/>
    <w:rsid w:val="009D30DB"/>
    <w:rsid w:val="009D3418"/>
    <w:rsid w:val="009D3A70"/>
    <w:rsid w:val="009D3E2A"/>
    <w:rsid w:val="009D4263"/>
    <w:rsid w:val="009D4429"/>
    <w:rsid w:val="009D4677"/>
    <w:rsid w:val="009D4A68"/>
    <w:rsid w:val="009D4D0D"/>
    <w:rsid w:val="009D4E57"/>
    <w:rsid w:val="009D4F94"/>
    <w:rsid w:val="009D54C4"/>
    <w:rsid w:val="009D5B89"/>
    <w:rsid w:val="009D5E21"/>
    <w:rsid w:val="009D64DF"/>
    <w:rsid w:val="009D6554"/>
    <w:rsid w:val="009D6847"/>
    <w:rsid w:val="009D691A"/>
    <w:rsid w:val="009D6A8D"/>
    <w:rsid w:val="009D6B74"/>
    <w:rsid w:val="009D6CF0"/>
    <w:rsid w:val="009D6D44"/>
    <w:rsid w:val="009D6F03"/>
    <w:rsid w:val="009D6FCC"/>
    <w:rsid w:val="009D728E"/>
    <w:rsid w:val="009D7594"/>
    <w:rsid w:val="009D7627"/>
    <w:rsid w:val="009D795D"/>
    <w:rsid w:val="009D7A57"/>
    <w:rsid w:val="009D7ABA"/>
    <w:rsid w:val="009D7AF6"/>
    <w:rsid w:val="009E029E"/>
    <w:rsid w:val="009E057D"/>
    <w:rsid w:val="009E08B6"/>
    <w:rsid w:val="009E0A34"/>
    <w:rsid w:val="009E0DD3"/>
    <w:rsid w:val="009E0F20"/>
    <w:rsid w:val="009E12B1"/>
    <w:rsid w:val="009E1456"/>
    <w:rsid w:val="009E1BD1"/>
    <w:rsid w:val="009E1C2F"/>
    <w:rsid w:val="009E1CB6"/>
    <w:rsid w:val="009E1DD8"/>
    <w:rsid w:val="009E1E94"/>
    <w:rsid w:val="009E2125"/>
    <w:rsid w:val="009E269F"/>
    <w:rsid w:val="009E2A69"/>
    <w:rsid w:val="009E2CCD"/>
    <w:rsid w:val="009E305E"/>
    <w:rsid w:val="009E3523"/>
    <w:rsid w:val="009E3AB9"/>
    <w:rsid w:val="009E483E"/>
    <w:rsid w:val="009E487D"/>
    <w:rsid w:val="009E4A01"/>
    <w:rsid w:val="009E50F5"/>
    <w:rsid w:val="009E53D2"/>
    <w:rsid w:val="009E5608"/>
    <w:rsid w:val="009E5AEC"/>
    <w:rsid w:val="009E5DAD"/>
    <w:rsid w:val="009E66C6"/>
    <w:rsid w:val="009E6711"/>
    <w:rsid w:val="009E6A45"/>
    <w:rsid w:val="009E6AC7"/>
    <w:rsid w:val="009E6C56"/>
    <w:rsid w:val="009E6EA1"/>
    <w:rsid w:val="009E6F08"/>
    <w:rsid w:val="009E70D4"/>
    <w:rsid w:val="009E726E"/>
    <w:rsid w:val="009E7F11"/>
    <w:rsid w:val="009E7FFE"/>
    <w:rsid w:val="009F00F0"/>
    <w:rsid w:val="009F048E"/>
    <w:rsid w:val="009F0ADB"/>
    <w:rsid w:val="009F0DCA"/>
    <w:rsid w:val="009F16BB"/>
    <w:rsid w:val="009F29F3"/>
    <w:rsid w:val="009F2B08"/>
    <w:rsid w:val="009F2B9C"/>
    <w:rsid w:val="009F30F4"/>
    <w:rsid w:val="009F31F5"/>
    <w:rsid w:val="009F3225"/>
    <w:rsid w:val="009F456F"/>
    <w:rsid w:val="009F4B44"/>
    <w:rsid w:val="009F4FF0"/>
    <w:rsid w:val="009F5383"/>
    <w:rsid w:val="009F53C6"/>
    <w:rsid w:val="009F5834"/>
    <w:rsid w:val="009F592E"/>
    <w:rsid w:val="009F5965"/>
    <w:rsid w:val="009F60A2"/>
    <w:rsid w:val="009F6235"/>
    <w:rsid w:val="009F63B3"/>
    <w:rsid w:val="009F66AB"/>
    <w:rsid w:val="009F672E"/>
    <w:rsid w:val="009F6967"/>
    <w:rsid w:val="009F69B2"/>
    <w:rsid w:val="009F6A79"/>
    <w:rsid w:val="009F754C"/>
    <w:rsid w:val="009F7719"/>
    <w:rsid w:val="009F790F"/>
    <w:rsid w:val="009F7BD3"/>
    <w:rsid w:val="009F7FFA"/>
    <w:rsid w:val="00A003BA"/>
    <w:rsid w:val="00A00889"/>
    <w:rsid w:val="00A009A8"/>
    <w:rsid w:val="00A00EAE"/>
    <w:rsid w:val="00A012D5"/>
    <w:rsid w:val="00A012D6"/>
    <w:rsid w:val="00A01332"/>
    <w:rsid w:val="00A01567"/>
    <w:rsid w:val="00A01C23"/>
    <w:rsid w:val="00A01E4D"/>
    <w:rsid w:val="00A01E8B"/>
    <w:rsid w:val="00A0212B"/>
    <w:rsid w:val="00A022FF"/>
    <w:rsid w:val="00A0295E"/>
    <w:rsid w:val="00A02F56"/>
    <w:rsid w:val="00A02FF1"/>
    <w:rsid w:val="00A03041"/>
    <w:rsid w:val="00A030D4"/>
    <w:rsid w:val="00A033A0"/>
    <w:rsid w:val="00A0394B"/>
    <w:rsid w:val="00A03998"/>
    <w:rsid w:val="00A03B65"/>
    <w:rsid w:val="00A03E86"/>
    <w:rsid w:val="00A03E94"/>
    <w:rsid w:val="00A046D7"/>
    <w:rsid w:val="00A05354"/>
    <w:rsid w:val="00A0542B"/>
    <w:rsid w:val="00A0606A"/>
    <w:rsid w:val="00A06DD7"/>
    <w:rsid w:val="00A07270"/>
    <w:rsid w:val="00A1061C"/>
    <w:rsid w:val="00A10678"/>
    <w:rsid w:val="00A106EC"/>
    <w:rsid w:val="00A10705"/>
    <w:rsid w:val="00A10A84"/>
    <w:rsid w:val="00A10C9C"/>
    <w:rsid w:val="00A10E48"/>
    <w:rsid w:val="00A10F0C"/>
    <w:rsid w:val="00A1149E"/>
    <w:rsid w:val="00A11663"/>
    <w:rsid w:val="00A117DE"/>
    <w:rsid w:val="00A118BC"/>
    <w:rsid w:val="00A11ADD"/>
    <w:rsid w:val="00A11B9A"/>
    <w:rsid w:val="00A11DCC"/>
    <w:rsid w:val="00A11EBA"/>
    <w:rsid w:val="00A12303"/>
    <w:rsid w:val="00A12588"/>
    <w:rsid w:val="00A127A1"/>
    <w:rsid w:val="00A12BE8"/>
    <w:rsid w:val="00A134DB"/>
    <w:rsid w:val="00A13C08"/>
    <w:rsid w:val="00A14479"/>
    <w:rsid w:val="00A146BE"/>
    <w:rsid w:val="00A1532C"/>
    <w:rsid w:val="00A15459"/>
    <w:rsid w:val="00A15488"/>
    <w:rsid w:val="00A15925"/>
    <w:rsid w:val="00A15959"/>
    <w:rsid w:val="00A16103"/>
    <w:rsid w:val="00A16461"/>
    <w:rsid w:val="00A16BC0"/>
    <w:rsid w:val="00A1704D"/>
    <w:rsid w:val="00A17703"/>
    <w:rsid w:val="00A1779C"/>
    <w:rsid w:val="00A17A23"/>
    <w:rsid w:val="00A17A5C"/>
    <w:rsid w:val="00A17BA9"/>
    <w:rsid w:val="00A17EF9"/>
    <w:rsid w:val="00A2135A"/>
    <w:rsid w:val="00A214B1"/>
    <w:rsid w:val="00A21538"/>
    <w:rsid w:val="00A21572"/>
    <w:rsid w:val="00A219C5"/>
    <w:rsid w:val="00A2207D"/>
    <w:rsid w:val="00A2215B"/>
    <w:rsid w:val="00A2274E"/>
    <w:rsid w:val="00A228D6"/>
    <w:rsid w:val="00A236E7"/>
    <w:rsid w:val="00A23E95"/>
    <w:rsid w:val="00A241A2"/>
    <w:rsid w:val="00A243AE"/>
    <w:rsid w:val="00A24472"/>
    <w:rsid w:val="00A24478"/>
    <w:rsid w:val="00A24712"/>
    <w:rsid w:val="00A248EB"/>
    <w:rsid w:val="00A24C3B"/>
    <w:rsid w:val="00A24F81"/>
    <w:rsid w:val="00A256AA"/>
    <w:rsid w:val="00A25779"/>
    <w:rsid w:val="00A25968"/>
    <w:rsid w:val="00A25FF8"/>
    <w:rsid w:val="00A26D7B"/>
    <w:rsid w:val="00A26DC8"/>
    <w:rsid w:val="00A270BC"/>
    <w:rsid w:val="00A2738E"/>
    <w:rsid w:val="00A27C4C"/>
    <w:rsid w:val="00A30186"/>
    <w:rsid w:val="00A30371"/>
    <w:rsid w:val="00A307E8"/>
    <w:rsid w:val="00A30814"/>
    <w:rsid w:val="00A30998"/>
    <w:rsid w:val="00A309BE"/>
    <w:rsid w:val="00A30A8D"/>
    <w:rsid w:val="00A30ADD"/>
    <w:rsid w:val="00A31CAF"/>
    <w:rsid w:val="00A31EBC"/>
    <w:rsid w:val="00A32246"/>
    <w:rsid w:val="00A3244F"/>
    <w:rsid w:val="00A32ACC"/>
    <w:rsid w:val="00A330EA"/>
    <w:rsid w:val="00A33257"/>
    <w:rsid w:val="00A33CA6"/>
    <w:rsid w:val="00A33EE2"/>
    <w:rsid w:val="00A3426B"/>
    <w:rsid w:val="00A34632"/>
    <w:rsid w:val="00A34BAE"/>
    <w:rsid w:val="00A34C4A"/>
    <w:rsid w:val="00A34C66"/>
    <w:rsid w:val="00A34DD4"/>
    <w:rsid w:val="00A356BD"/>
    <w:rsid w:val="00A35C81"/>
    <w:rsid w:val="00A35CE8"/>
    <w:rsid w:val="00A360BC"/>
    <w:rsid w:val="00A362B2"/>
    <w:rsid w:val="00A363A8"/>
    <w:rsid w:val="00A363ED"/>
    <w:rsid w:val="00A36AC5"/>
    <w:rsid w:val="00A36B35"/>
    <w:rsid w:val="00A36B45"/>
    <w:rsid w:val="00A3765C"/>
    <w:rsid w:val="00A376E5"/>
    <w:rsid w:val="00A377DC"/>
    <w:rsid w:val="00A37994"/>
    <w:rsid w:val="00A40001"/>
    <w:rsid w:val="00A40117"/>
    <w:rsid w:val="00A40437"/>
    <w:rsid w:val="00A4078F"/>
    <w:rsid w:val="00A40B1E"/>
    <w:rsid w:val="00A4176F"/>
    <w:rsid w:val="00A41940"/>
    <w:rsid w:val="00A41AFD"/>
    <w:rsid w:val="00A420E3"/>
    <w:rsid w:val="00A422AD"/>
    <w:rsid w:val="00A4245A"/>
    <w:rsid w:val="00A4254C"/>
    <w:rsid w:val="00A42679"/>
    <w:rsid w:val="00A430ED"/>
    <w:rsid w:val="00A43187"/>
    <w:rsid w:val="00A432C1"/>
    <w:rsid w:val="00A43CF4"/>
    <w:rsid w:val="00A43D28"/>
    <w:rsid w:val="00A444C7"/>
    <w:rsid w:val="00A44576"/>
    <w:rsid w:val="00A4471C"/>
    <w:rsid w:val="00A44A7C"/>
    <w:rsid w:val="00A45F88"/>
    <w:rsid w:val="00A467E4"/>
    <w:rsid w:val="00A46BA4"/>
    <w:rsid w:val="00A46E6C"/>
    <w:rsid w:val="00A47117"/>
    <w:rsid w:val="00A47533"/>
    <w:rsid w:val="00A47CEE"/>
    <w:rsid w:val="00A47F79"/>
    <w:rsid w:val="00A50B11"/>
    <w:rsid w:val="00A50CC8"/>
    <w:rsid w:val="00A51CE0"/>
    <w:rsid w:val="00A51D95"/>
    <w:rsid w:val="00A52692"/>
    <w:rsid w:val="00A527E0"/>
    <w:rsid w:val="00A52B1C"/>
    <w:rsid w:val="00A53101"/>
    <w:rsid w:val="00A5311C"/>
    <w:rsid w:val="00A53B93"/>
    <w:rsid w:val="00A54037"/>
    <w:rsid w:val="00A542B4"/>
    <w:rsid w:val="00A5440E"/>
    <w:rsid w:val="00A54BDB"/>
    <w:rsid w:val="00A54FAC"/>
    <w:rsid w:val="00A55309"/>
    <w:rsid w:val="00A5530D"/>
    <w:rsid w:val="00A55495"/>
    <w:rsid w:val="00A554CA"/>
    <w:rsid w:val="00A557AF"/>
    <w:rsid w:val="00A55958"/>
    <w:rsid w:val="00A55BDE"/>
    <w:rsid w:val="00A55E2D"/>
    <w:rsid w:val="00A55FAC"/>
    <w:rsid w:val="00A5612B"/>
    <w:rsid w:val="00A56214"/>
    <w:rsid w:val="00A562C0"/>
    <w:rsid w:val="00A56458"/>
    <w:rsid w:val="00A56BB5"/>
    <w:rsid w:val="00A56C56"/>
    <w:rsid w:val="00A56E3D"/>
    <w:rsid w:val="00A57040"/>
    <w:rsid w:val="00A57044"/>
    <w:rsid w:val="00A57E4C"/>
    <w:rsid w:val="00A57FB5"/>
    <w:rsid w:val="00A6034F"/>
    <w:rsid w:val="00A6072A"/>
    <w:rsid w:val="00A60873"/>
    <w:rsid w:val="00A60924"/>
    <w:rsid w:val="00A610B0"/>
    <w:rsid w:val="00A61BD1"/>
    <w:rsid w:val="00A62139"/>
    <w:rsid w:val="00A62542"/>
    <w:rsid w:val="00A62643"/>
    <w:rsid w:val="00A62B24"/>
    <w:rsid w:val="00A62C73"/>
    <w:rsid w:val="00A62CEE"/>
    <w:rsid w:val="00A631C9"/>
    <w:rsid w:val="00A63689"/>
    <w:rsid w:val="00A6375B"/>
    <w:rsid w:val="00A63C1A"/>
    <w:rsid w:val="00A64525"/>
    <w:rsid w:val="00A646AE"/>
    <w:rsid w:val="00A646F2"/>
    <w:rsid w:val="00A64A01"/>
    <w:rsid w:val="00A65047"/>
    <w:rsid w:val="00A65109"/>
    <w:rsid w:val="00A651B7"/>
    <w:rsid w:val="00A6552E"/>
    <w:rsid w:val="00A65739"/>
    <w:rsid w:val="00A6585D"/>
    <w:rsid w:val="00A65970"/>
    <w:rsid w:val="00A65B51"/>
    <w:rsid w:val="00A65DBB"/>
    <w:rsid w:val="00A6615A"/>
    <w:rsid w:val="00A66325"/>
    <w:rsid w:val="00A6659C"/>
    <w:rsid w:val="00A66802"/>
    <w:rsid w:val="00A66E40"/>
    <w:rsid w:val="00A670CB"/>
    <w:rsid w:val="00A67153"/>
    <w:rsid w:val="00A67220"/>
    <w:rsid w:val="00A674F3"/>
    <w:rsid w:val="00A67A38"/>
    <w:rsid w:val="00A67BB3"/>
    <w:rsid w:val="00A67F04"/>
    <w:rsid w:val="00A7003B"/>
    <w:rsid w:val="00A704E0"/>
    <w:rsid w:val="00A706FC"/>
    <w:rsid w:val="00A70963"/>
    <w:rsid w:val="00A71398"/>
    <w:rsid w:val="00A7169C"/>
    <w:rsid w:val="00A7193D"/>
    <w:rsid w:val="00A71A72"/>
    <w:rsid w:val="00A722BD"/>
    <w:rsid w:val="00A7238D"/>
    <w:rsid w:val="00A72448"/>
    <w:rsid w:val="00A72598"/>
    <w:rsid w:val="00A728BA"/>
    <w:rsid w:val="00A72D26"/>
    <w:rsid w:val="00A72D60"/>
    <w:rsid w:val="00A72DE4"/>
    <w:rsid w:val="00A72FB2"/>
    <w:rsid w:val="00A73191"/>
    <w:rsid w:val="00A73245"/>
    <w:rsid w:val="00A7378B"/>
    <w:rsid w:val="00A73836"/>
    <w:rsid w:val="00A75152"/>
    <w:rsid w:val="00A751DE"/>
    <w:rsid w:val="00A757C6"/>
    <w:rsid w:val="00A75AA0"/>
    <w:rsid w:val="00A76823"/>
    <w:rsid w:val="00A76A3F"/>
    <w:rsid w:val="00A76CA2"/>
    <w:rsid w:val="00A76E5B"/>
    <w:rsid w:val="00A772E5"/>
    <w:rsid w:val="00A7766C"/>
    <w:rsid w:val="00A77978"/>
    <w:rsid w:val="00A77CC1"/>
    <w:rsid w:val="00A77F64"/>
    <w:rsid w:val="00A77F87"/>
    <w:rsid w:val="00A800F8"/>
    <w:rsid w:val="00A81103"/>
    <w:rsid w:val="00A812D3"/>
    <w:rsid w:val="00A81556"/>
    <w:rsid w:val="00A81710"/>
    <w:rsid w:val="00A81C40"/>
    <w:rsid w:val="00A8243C"/>
    <w:rsid w:val="00A826B5"/>
    <w:rsid w:val="00A82946"/>
    <w:rsid w:val="00A82AF4"/>
    <w:rsid w:val="00A82B81"/>
    <w:rsid w:val="00A82C2B"/>
    <w:rsid w:val="00A8328A"/>
    <w:rsid w:val="00A83D11"/>
    <w:rsid w:val="00A840F9"/>
    <w:rsid w:val="00A842F7"/>
    <w:rsid w:val="00A84418"/>
    <w:rsid w:val="00A84A27"/>
    <w:rsid w:val="00A84B6C"/>
    <w:rsid w:val="00A84E1A"/>
    <w:rsid w:val="00A862B5"/>
    <w:rsid w:val="00A866B9"/>
    <w:rsid w:val="00A866C1"/>
    <w:rsid w:val="00A86CC4"/>
    <w:rsid w:val="00A871B7"/>
    <w:rsid w:val="00A87232"/>
    <w:rsid w:val="00A8790F"/>
    <w:rsid w:val="00A90C6E"/>
    <w:rsid w:val="00A910B7"/>
    <w:rsid w:val="00A9136A"/>
    <w:rsid w:val="00A9181E"/>
    <w:rsid w:val="00A926A9"/>
    <w:rsid w:val="00A930B2"/>
    <w:rsid w:val="00A938ED"/>
    <w:rsid w:val="00A93C81"/>
    <w:rsid w:val="00A9406D"/>
    <w:rsid w:val="00A94B71"/>
    <w:rsid w:val="00A94BD2"/>
    <w:rsid w:val="00A94CF5"/>
    <w:rsid w:val="00A95A1A"/>
    <w:rsid w:val="00A963E9"/>
    <w:rsid w:val="00A96536"/>
    <w:rsid w:val="00A965DE"/>
    <w:rsid w:val="00A9694E"/>
    <w:rsid w:val="00A96BFF"/>
    <w:rsid w:val="00A97237"/>
    <w:rsid w:val="00A97841"/>
    <w:rsid w:val="00A97EE6"/>
    <w:rsid w:val="00AA07FE"/>
    <w:rsid w:val="00AA0D43"/>
    <w:rsid w:val="00AA0ECB"/>
    <w:rsid w:val="00AA12FC"/>
    <w:rsid w:val="00AA1BA3"/>
    <w:rsid w:val="00AA1E8C"/>
    <w:rsid w:val="00AA2EAA"/>
    <w:rsid w:val="00AA2FF1"/>
    <w:rsid w:val="00AA303E"/>
    <w:rsid w:val="00AA35C2"/>
    <w:rsid w:val="00AA37CD"/>
    <w:rsid w:val="00AA389B"/>
    <w:rsid w:val="00AA3A4C"/>
    <w:rsid w:val="00AA3A65"/>
    <w:rsid w:val="00AA3BC0"/>
    <w:rsid w:val="00AA4027"/>
    <w:rsid w:val="00AA41B1"/>
    <w:rsid w:val="00AA4785"/>
    <w:rsid w:val="00AA48BA"/>
    <w:rsid w:val="00AA53E7"/>
    <w:rsid w:val="00AA5402"/>
    <w:rsid w:val="00AA5570"/>
    <w:rsid w:val="00AA5EE9"/>
    <w:rsid w:val="00AA5F1D"/>
    <w:rsid w:val="00AA617B"/>
    <w:rsid w:val="00AA693C"/>
    <w:rsid w:val="00AA6E6E"/>
    <w:rsid w:val="00AA7351"/>
    <w:rsid w:val="00AA7484"/>
    <w:rsid w:val="00AA78E0"/>
    <w:rsid w:val="00AA78E8"/>
    <w:rsid w:val="00AA7F65"/>
    <w:rsid w:val="00AB05B6"/>
    <w:rsid w:val="00AB05D1"/>
    <w:rsid w:val="00AB0E4D"/>
    <w:rsid w:val="00AB0FA8"/>
    <w:rsid w:val="00AB1023"/>
    <w:rsid w:val="00AB178F"/>
    <w:rsid w:val="00AB18A6"/>
    <w:rsid w:val="00AB19A6"/>
    <w:rsid w:val="00AB1AEF"/>
    <w:rsid w:val="00AB1F77"/>
    <w:rsid w:val="00AB1FD7"/>
    <w:rsid w:val="00AB2285"/>
    <w:rsid w:val="00AB22EC"/>
    <w:rsid w:val="00AB2527"/>
    <w:rsid w:val="00AB258F"/>
    <w:rsid w:val="00AB3040"/>
    <w:rsid w:val="00AB391C"/>
    <w:rsid w:val="00AB3CD7"/>
    <w:rsid w:val="00AB41D3"/>
    <w:rsid w:val="00AB4236"/>
    <w:rsid w:val="00AB477E"/>
    <w:rsid w:val="00AB5060"/>
    <w:rsid w:val="00AB5775"/>
    <w:rsid w:val="00AB5BF2"/>
    <w:rsid w:val="00AB64A0"/>
    <w:rsid w:val="00AB6BC9"/>
    <w:rsid w:val="00AB6C20"/>
    <w:rsid w:val="00AB74F0"/>
    <w:rsid w:val="00AB7CCB"/>
    <w:rsid w:val="00AB7D31"/>
    <w:rsid w:val="00AC026B"/>
    <w:rsid w:val="00AC0B0E"/>
    <w:rsid w:val="00AC0B55"/>
    <w:rsid w:val="00AC16BD"/>
    <w:rsid w:val="00AC1B70"/>
    <w:rsid w:val="00AC1DA2"/>
    <w:rsid w:val="00AC22C5"/>
    <w:rsid w:val="00AC28B6"/>
    <w:rsid w:val="00AC2CE5"/>
    <w:rsid w:val="00AC40EA"/>
    <w:rsid w:val="00AC45FC"/>
    <w:rsid w:val="00AC4E41"/>
    <w:rsid w:val="00AC52FF"/>
    <w:rsid w:val="00AC5F08"/>
    <w:rsid w:val="00AC5FA6"/>
    <w:rsid w:val="00AC60CE"/>
    <w:rsid w:val="00AC64A6"/>
    <w:rsid w:val="00AC6902"/>
    <w:rsid w:val="00AC6D5C"/>
    <w:rsid w:val="00AC6E86"/>
    <w:rsid w:val="00AC6E97"/>
    <w:rsid w:val="00AC70A3"/>
    <w:rsid w:val="00AC7BE7"/>
    <w:rsid w:val="00AC7D57"/>
    <w:rsid w:val="00AC7D85"/>
    <w:rsid w:val="00AC7DB1"/>
    <w:rsid w:val="00AD074A"/>
    <w:rsid w:val="00AD0C32"/>
    <w:rsid w:val="00AD10F2"/>
    <w:rsid w:val="00AD140E"/>
    <w:rsid w:val="00AD1810"/>
    <w:rsid w:val="00AD19CA"/>
    <w:rsid w:val="00AD1B12"/>
    <w:rsid w:val="00AD28D3"/>
    <w:rsid w:val="00AD2EF1"/>
    <w:rsid w:val="00AD2F48"/>
    <w:rsid w:val="00AD321D"/>
    <w:rsid w:val="00AD32D2"/>
    <w:rsid w:val="00AD34A2"/>
    <w:rsid w:val="00AD35AB"/>
    <w:rsid w:val="00AD3858"/>
    <w:rsid w:val="00AD3B36"/>
    <w:rsid w:val="00AD3E3A"/>
    <w:rsid w:val="00AD467A"/>
    <w:rsid w:val="00AD49E2"/>
    <w:rsid w:val="00AD54A4"/>
    <w:rsid w:val="00AD55BA"/>
    <w:rsid w:val="00AD5780"/>
    <w:rsid w:val="00AD5AE2"/>
    <w:rsid w:val="00AD6B21"/>
    <w:rsid w:val="00AD6EF3"/>
    <w:rsid w:val="00AD720F"/>
    <w:rsid w:val="00AD76F0"/>
    <w:rsid w:val="00AD7C90"/>
    <w:rsid w:val="00AE0330"/>
    <w:rsid w:val="00AE065E"/>
    <w:rsid w:val="00AE067E"/>
    <w:rsid w:val="00AE0E6D"/>
    <w:rsid w:val="00AE1012"/>
    <w:rsid w:val="00AE1C38"/>
    <w:rsid w:val="00AE20EE"/>
    <w:rsid w:val="00AE213B"/>
    <w:rsid w:val="00AE2174"/>
    <w:rsid w:val="00AE27AB"/>
    <w:rsid w:val="00AE2B8B"/>
    <w:rsid w:val="00AE3034"/>
    <w:rsid w:val="00AE30E4"/>
    <w:rsid w:val="00AE3BA4"/>
    <w:rsid w:val="00AE3E35"/>
    <w:rsid w:val="00AE3F99"/>
    <w:rsid w:val="00AE4704"/>
    <w:rsid w:val="00AE48E7"/>
    <w:rsid w:val="00AE4B2E"/>
    <w:rsid w:val="00AE543F"/>
    <w:rsid w:val="00AE5869"/>
    <w:rsid w:val="00AE5B04"/>
    <w:rsid w:val="00AE7C91"/>
    <w:rsid w:val="00AF05F1"/>
    <w:rsid w:val="00AF06A8"/>
    <w:rsid w:val="00AF0714"/>
    <w:rsid w:val="00AF0D3D"/>
    <w:rsid w:val="00AF0D50"/>
    <w:rsid w:val="00AF0E36"/>
    <w:rsid w:val="00AF1518"/>
    <w:rsid w:val="00AF1CF0"/>
    <w:rsid w:val="00AF2311"/>
    <w:rsid w:val="00AF2329"/>
    <w:rsid w:val="00AF264C"/>
    <w:rsid w:val="00AF29A6"/>
    <w:rsid w:val="00AF2BF6"/>
    <w:rsid w:val="00AF2D12"/>
    <w:rsid w:val="00AF2ECC"/>
    <w:rsid w:val="00AF31B1"/>
    <w:rsid w:val="00AF3282"/>
    <w:rsid w:val="00AF347D"/>
    <w:rsid w:val="00AF379A"/>
    <w:rsid w:val="00AF3831"/>
    <w:rsid w:val="00AF4253"/>
    <w:rsid w:val="00AF4B7E"/>
    <w:rsid w:val="00AF538B"/>
    <w:rsid w:val="00AF54F8"/>
    <w:rsid w:val="00AF58DB"/>
    <w:rsid w:val="00AF6119"/>
    <w:rsid w:val="00AF64A8"/>
    <w:rsid w:val="00AF66C4"/>
    <w:rsid w:val="00AF66C5"/>
    <w:rsid w:val="00AF696C"/>
    <w:rsid w:val="00AF6BE9"/>
    <w:rsid w:val="00AF6ECF"/>
    <w:rsid w:val="00AF7185"/>
    <w:rsid w:val="00AF74E1"/>
    <w:rsid w:val="00AF7531"/>
    <w:rsid w:val="00AF7903"/>
    <w:rsid w:val="00B000C2"/>
    <w:rsid w:val="00B00645"/>
    <w:rsid w:val="00B00A6D"/>
    <w:rsid w:val="00B00B36"/>
    <w:rsid w:val="00B00D3C"/>
    <w:rsid w:val="00B00FC8"/>
    <w:rsid w:val="00B01158"/>
    <w:rsid w:val="00B0124B"/>
    <w:rsid w:val="00B01396"/>
    <w:rsid w:val="00B01F43"/>
    <w:rsid w:val="00B0239D"/>
    <w:rsid w:val="00B0259C"/>
    <w:rsid w:val="00B025E2"/>
    <w:rsid w:val="00B0295D"/>
    <w:rsid w:val="00B02A1C"/>
    <w:rsid w:val="00B02A74"/>
    <w:rsid w:val="00B02DB9"/>
    <w:rsid w:val="00B0312A"/>
    <w:rsid w:val="00B03299"/>
    <w:rsid w:val="00B03513"/>
    <w:rsid w:val="00B038B4"/>
    <w:rsid w:val="00B03D57"/>
    <w:rsid w:val="00B03F27"/>
    <w:rsid w:val="00B03F5A"/>
    <w:rsid w:val="00B03FB0"/>
    <w:rsid w:val="00B046EA"/>
    <w:rsid w:val="00B057C7"/>
    <w:rsid w:val="00B05C20"/>
    <w:rsid w:val="00B06584"/>
    <w:rsid w:val="00B06777"/>
    <w:rsid w:val="00B068BC"/>
    <w:rsid w:val="00B06BCE"/>
    <w:rsid w:val="00B06ED2"/>
    <w:rsid w:val="00B074D0"/>
    <w:rsid w:val="00B07AE8"/>
    <w:rsid w:val="00B07C21"/>
    <w:rsid w:val="00B07EE8"/>
    <w:rsid w:val="00B10343"/>
    <w:rsid w:val="00B10421"/>
    <w:rsid w:val="00B105EB"/>
    <w:rsid w:val="00B106D8"/>
    <w:rsid w:val="00B108D0"/>
    <w:rsid w:val="00B10CE0"/>
    <w:rsid w:val="00B11383"/>
    <w:rsid w:val="00B11C79"/>
    <w:rsid w:val="00B11F2D"/>
    <w:rsid w:val="00B125A0"/>
    <w:rsid w:val="00B130D3"/>
    <w:rsid w:val="00B13354"/>
    <w:rsid w:val="00B13A3F"/>
    <w:rsid w:val="00B13A8B"/>
    <w:rsid w:val="00B144A9"/>
    <w:rsid w:val="00B144B7"/>
    <w:rsid w:val="00B144C3"/>
    <w:rsid w:val="00B145CB"/>
    <w:rsid w:val="00B14A3B"/>
    <w:rsid w:val="00B14D2E"/>
    <w:rsid w:val="00B14DF2"/>
    <w:rsid w:val="00B150F8"/>
    <w:rsid w:val="00B151D9"/>
    <w:rsid w:val="00B15E85"/>
    <w:rsid w:val="00B161E0"/>
    <w:rsid w:val="00B16BC6"/>
    <w:rsid w:val="00B179B8"/>
    <w:rsid w:val="00B17C2D"/>
    <w:rsid w:val="00B17D63"/>
    <w:rsid w:val="00B20531"/>
    <w:rsid w:val="00B20881"/>
    <w:rsid w:val="00B20EFF"/>
    <w:rsid w:val="00B21101"/>
    <w:rsid w:val="00B21AE8"/>
    <w:rsid w:val="00B21B56"/>
    <w:rsid w:val="00B21F53"/>
    <w:rsid w:val="00B22088"/>
    <w:rsid w:val="00B22227"/>
    <w:rsid w:val="00B22D41"/>
    <w:rsid w:val="00B22F2A"/>
    <w:rsid w:val="00B2318F"/>
    <w:rsid w:val="00B2436E"/>
    <w:rsid w:val="00B24655"/>
    <w:rsid w:val="00B24E44"/>
    <w:rsid w:val="00B251B2"/>
    <w:rsid w:val="00B2579A"/>
    <w:rsid w:val="00B26041"/>
    <w:rsid w:val="00B2624C"/>
    <w:rsid w:val="00B262D1"/>
    <w:rsid w:val="00B2677A"/>
    <w:rsid w:val="00B26985"/>
    <w:rsid w:val="00B26C5F"/>
    <w:rsid w:val="00B26FB1"/>
    <w:rsid w:val="00B277BF"/>
    <w:rsid w:val="00B27B25"/>
    <w:rsid w:val="00B27EC2"/>
    <w:rsid w:val="00B27F8B"/>
    <w:rsid w:val="00B30094"/>
    <w:rsid w:val="00B30533"/>
    <w:rsid w:val="00B30840"/>
    <w:rsid w:val="00B30EA8"/>
    <w:rsid w:val="00B30ECD"/>
    <w:rsid w:val="00B3131E"/>
    <w:rsid w:val="00B315A3"/>
    <w:rsid w:val="00B31764"/>
    <w:rsid w:val="00B317E4"/>
    <w:rsid w:val="00B31B98"/>
    <w:rsid w:val="00B31DEA"/>
    <w:rsid w:val="00B31E69"/>
    <w:rsid w:val="00B31F55"/>
    <w:rsid w:val="00B31FA5"/>
    <w:rsid w:val="00B3203F"/>
    <w:rsid w:val="00B3244F"/>
    <w:rsid w:val="00B329BE"/>
    <w:rsid w:val="00B32FE5"/>
    <w:rsid w:val="00B331A5"/>
    <w:rsid w:val="00B33957"/>
    <w:rsid w:val="00B33A41"/>
    <w:rsid w:val="00B3406B"/>
    <w:rsid w:val="00B340AE"/>
    <w:rsid w:val="00B34606"/>
    <w:rsid w:val="00B347C3"/>
    <w:rsid w:val="00B34A9F"/>
    <w:rsid w:val="00B34FCD"/>
    <w:rsid w:val="00B35BD8"/>
    <w:rsid w:val="00B3621F"/>
    <w:rsid w:val="00B36230"/>
    <w:rsid w:val="00B364A4"/>
    <w:rsid w:val="00B3662C"/>
    <w:rsid w:val="00B3670C"/>
    <w:rsid w:val="00B36939"/>
    <w:rsid w:val="00B36A15"/>
    <w:rsid w:val="00B36AA2"/>
    <w:rsid w:val="00B36EC7"/>
    <w:rsid w:val="00B370F7"/>
    <w:rsid w:val="00B37541"/>
    <w:rsid w:val="00B37A27"/>
    <w:rsid w:val="00B37C45"/>
    <w:rsid w:val="00B37EB4"/>
    <w:rsid w:val="00B40405"/>
    <w:rsid w:val="00B40516"/>
    <w:rsid w:val="00B40560"/>
    <w:rsid w:val="00B40565"/>
    <w:rsid w:val="00B405E7"/>
    <w:rsid w:val="00B41EFC"/>
    <w:rsid w:val="00B4249C"/>
    <w:rsid w:val="00B4265D"/>
    <w:rsid w:val="00B42FDB"/>
    <w:rsid w:val="00B432D5"/>
    <w:rsid w:val="00B43736"/>
    <w:rsid w:val="00B43B32"/>
    <w:rsid w:val="00B4443B"/>
    <w:rsid w:val="00B4457D"/>
    <w:rsid w:val="00B447ED"/>
    <w:rsid w:val="00B44AB8"/>
    <w:rsid w:val="00B44BBB"/>
    <w:rsid w:val="00B4532D"/>
    <w:rsid w:val="00B4588F"/>
    <w:rsid w:val="00B4591E"/>
    <w:rsid w:val="00B466E4"/>
    <w:rsid w:val="00B46D11"/>
    <w:rsid w:val="00B46D4B"/>
    <w:rsid w:val="00B47372"/>
    <w:rsid w:val="00B4794F"/>
    <w:rsid w:val="00B50042"/>
    <w:rsid w:val="00B504AB"/>
    <w:rsid w:val="00B5083C"/>
    <w:rsid w:val="00B50871"/>
    <w:rsid w:val="00B50A7E"/>
    <w:rsid w:val="00B51402"/>
    <w:rsid w:val="00B5186F"/>
    <w:rsid w:val="00B51D90"/>
    <w:rsid w:val="00B51EC0"/>
    <w:rsid w:val="00B521AF"/>
    <w:rsid w:val="00B52215"/>
    <w:rsid w:val="00B522B5"/>
    <w:rsid w:val="00B52547"/>
    <w:rsid w:val="00B52790"/>
    <w:rsid w:val="00B52B91"/>
    <w:rsid w:val="00B533C8"/>
    <w:rsid w:val="00B537B4"/>
    <w:rsid w:val="00B539AD"/>
    <w:rsid w:val="00B53AFC"/>
    <w:rsid w:val="00B54517"/>
    <w:rsid w:val="00B54599"/>
    <w:rsid w:val="00B54D41"/>
    <w:rsid w:val="00B54EA3"/>
    <w:rsid w:val="00B54F4D"/>
    <w:rsid w:val="00B55206"/>
    <w:rsid w:val="00B5538A"/>
    <w:rsid w:val="00B557C8"/>
    <w:rsid w:val="00B560BA"/>
    <w:rsid w:val="00B567D6"/>
    <w:rsid w:val="00B56911"/>
    <w:rsid w:val="00B569DE"/>
    <w:rsid w:val="00B56BA6"/>
    <w:rsid w:val="00B56D7F"/>
    <w:rsid w:val="00B57D08"/>
    <w:rsid w:val="00B60038"/>
    <w:rsid w:val="00B600BC"/>
    <w:rsid w:val="00B6053D"/>
    <w:rsid w:val="00B60F60"/>
    <w:rsid w:val="00B612FB"/>
    <w:rsid w:val="00B613EA"/>
    <w:rsid w:val="00B61CFC"/>
    <w:rsid w:val="00B61D86"/>
    <w:rsid w:val="00B6243C"/>
    <w:rsid w:val="00B6250E"/>
    <w:rsid w:val="00B626CA"/>
    <w:rsid w:val="00B627E3"/>
    <w:rsid w:val="00B627FE"/>
    <w:rsid w:val="00B62A93"/>
    <w:rsid w:val="00B636DC"/>
    <w:rsid w:val="00B6391A"/>
    <w:rsid w:val="00B63ABA"/>
    <w:rsid w:val="00B63B20"/>
    <w:rsid w:val="00B63D5A"/>
    <w:rsid w:val="00B63DB7"/>
    <w:rsid w:val="00B64128"/>
    <w:rsid w:val="00B6433D"/>
    <w:rsid w:val="00B6479D"/>
    <w:rsid w:val="00B652E9"/>
    <w:rsid w:val="00B65302"/>
    <w:rsid w:val="00B658CE"/>
    <w:rsid w:val="00B65C80"/>
    <w:rsid w:val="00B66215"/>
    <w:rsid w:val="00B6625B"/>
    <w:rsid w:val="00B6639C"/>
    <w:rsid w:val="00B66530"/>
    <w:rsid w:val="00B66616"/>
    <w:rsid w:val="00B66905"/>
    <w:rsid w:val="00B672FF"/>
    <w:rsid w:val="00B67A62"/>
    <w:rsid w:val="00B707A2"/>
    <w:rsid w:val="00B708FE"/>
    <w:rsid w:val="00B70909"/>
    <w:rsid w:val="00B7095B"/>
    <w:rsid w:val="00B71C1B"/>
    <w:rsid w:val="00B71D69"/>
    <w:rsid w:val="00B7232A"/>
    <w:rsid w:val="00B7310B"/>
    <w:rsid w:val="00B737B4"/>
    <w:rsid w:val="00B73BA1"/>
    <w:rsid w:val="00B73E26"/>
    <w:rsid w:val="00B73FFB"/>
    <w:rsid w:val="00B74156"/>
    <w:rsid w:val="00B74459"/>
    <w:rsid w:val="00B75984"/>
    <w:rsid w:val="00B75A19"/>
    <w:rsid w:val="00B75AB5"/>
    <w:rsid w:val="00B75C67"/>
    <w:rsid w:val="00B76190"/>
    <w:rsid w:val="00B76B06"/>
    <w:rsid w:val="00B76F00"/>
    <w:rsid w:val="00B76F49"/>
    <w:rsid w:val="00B773C9"/>
    <w:rsid w:val="00B778A3"/>
    <w:rsid w:val="00B779EA"/>
    <w:rsid w:val="00B80162"/>
    <w:rsid w:val="00B80477"/>
    <w:rsid w:val="00B80483"/>
    <w:rsid w:val="00B80640"/>
    <w:rsid w:val="00B80F06"/>
    <w:rsid w:val="00B81162"/>
    <w:rsid w:val="00B81536"/>
    <w:rsid w:val="00B817D8"/>
    <w:rsid w:val="00B81E44"/>
    <w:rsid w:val="00B8211B"/>
    <w:rsid w:val="00B8229A"/>
    <w:rsid w:val="00B823BF"/>
    <w:rsid w:val="00B8244E"/>
    <w:rsid w:val="00B8258E"/>
    <w:rsid w:val="00B833F8"/>
    <w:rsid w:val="00B836E8"/>
    <w:rsid w:val="00B83D8B"/>
    <w:rsid w:val="00B83ED5"/>
    <w:rsid w:val="00B84443"/>
    <w:rsid w:val="00B8452A"/>
    <w:rsid w:val="00B847EE"/>
    <w:rsid w:val="00B84FA0"/>
    <w:rsid w:val="00B85E8A"/>
    <w:rsid w:val="00B86096"/>
    <w:rsid w:val="00B86921"/>
    <w:rsid w:val="00B86980"/>
    <w:rsid w:val="00B87978"/>
    <w:rsid w:val="00B87C50"/>
    <w:rsid w:val="00B87D7A"/>
    <w:rsid w:val="00B87F1C"/>
    <w:rsid w:val="00B90187"/>
    <w:rsid w:val="00B90244"/>
    <w:rsid w:val="00B90354"/>
    <w:rsid w:val="00B90C10"/>
    <w:rsid w:val="00B90D61"/>
    <w:rsid w:val="00B9149F"/>
    <w:rsid w:val="00B9186B"/>
    <w:rsid w:val="00B9188D"/>
    <w:rsid w:val="00B91AE2"/>
    <w:rsid w:val="00B91E77"/>
    <w:rsid w:val="00B91F6B"/>
    <w:rsid w:val="00B9208E"/>
    <w:rsid w:val="00B920AD"/>
    <w:rsid w:val="00B92480"/>
    <w:rsid w:val="00B92559"/>
    <w:rsid w:val="00B92601"/>
    <w:rsid w:val="00B92943"/>
    <w:rsid w:val="00B92BC9"/>
    <w:rsid w:val="00B93390"/>
    <w:rsid w:val="00B93442"/>
    <w:rsid w:val="00B9349C"/>
    <w:rsid w:val="00B935C5"/>
    <w:rsid w:val="00B93667"/>
    <w:rsid w:val="00B93C70"/>
    <w:rsid w:val="00B949A0"/>
    <w:rsid w:val="00B94C66"/>
    <w:rsid w:val="00B95D64"/>
    <w:rsid w:val="00B963F2"/>
    <w:rsid w:val="00B9642E"/>
    <w:rsid w:val="00B96892"/>
    <w:rsid w:val="00B96C08"/>
    <w:rsid w:val="00B96DF8"/>
    <w:rsid w:val="00B97330"/>
    <w:rsid w:val="00B9743F"/>
    <w:rsid w:val="00B97754"/>
    <w:rsid w:val="00B97C9F"/>
    <w:rsid w:val="00B97CFC"/>
    <w:rsid w:val="00BA02AB"/>
    <w:rsid w:val="00BA0976"/>
    <w:rsid w:val="00BA0E3D"/>
    <w:rsid w:val="00BA0F4B"/>
    <w:rsid w:val="00BA11E6"/>
    <w:rsid w:val="00BA154F"/>
    <w:rsid w:val="00BA1982"/>
    <w:rsid w:val="00BA19D4"/>
    <w:rsid w:val="00BA1A01"/>
    <w:rsid w:val="00BA1D15"/>
    <w:rsid w:val="00BA2244"/>
    <w:rsid w:val="00BA2327"/>
    <w:rsid w:val="00BA2424"/>
    <w:rsid w:val="00BA26DA"/>
    <w:rsid w:val="00BA283F"/>
    <w:rsid w:val="00BA2A9A"/>
    <w:rsid w:val="00BA31B0"/>
    <w:rsid w:val="00BA358F"/>
    <w:rsid w:val="00BA3D8A"/>
    <w:rsid w:val="00BA47BE"/>
    <w:rsid w:val="00BA4E9A"/>
    <w:rsid w:val="00BA56AD"/>
    <w:rsid w:val="00BA5EA9"/>
    <w:rsid w:val="00BA5F27"/>
    <w:rsid w:val="00BA604A"/>
    <w:rsid w:val="00BA6398"/>
    <w:rsid w:val="00BA67FB"/>
    <w:rsid w:val="00BA75F1"/>
    <w:rsid w:val="00BA7738"/>
    <w:rsid w:val="00BA7BCE"/>
    <w:rsid w:val="00BA7C83"/>
    <w:rsid w:val="00BA7F5F"/>
    <w:rsid w:val="00BB01E2"/>
    <w:rsid w:val="00BB020D"/>
    <w:rsid w:val="00BB0371"/>
    <w:rsid w:val="00BB0393"/>
    <w:rsid w:val="00BB0762"/>
    <w:rsid w:val="00BB09F2"/>
    <w:rsid w:val="00BB0ACA"/>
    <w:rsid w:val="00BB0DC4"/>
    <w:rsid w:val="00BB121A"/>
    <w:rsid w:val="00BB1598"/>
    <w:rsid w:val="00BB16E1"/>
    <w:rsid w:val="00BB22DA"/>
    <w:rsid w:val="00BB290B"/>
    <w:rsid w:val="00BB2934"/>
    <w:rsid w:val="00BB2A4D"/>
    <w:rsid w:val="00BB2B7B"/>
    <w:rsid w:val="00BB3401"/>
    <w:rsid w:val="00BB3D63"/>
    <w:rsid w:val="00BB3E7A"/>
    <w:rsid w:val="00BB3F79"/>
    <w:rsid w:val="00BB42EE"/>
    <w:rsid w:val="00BB439B"/>
    <w:rsid w:val="00BB4814"/>
    <w:rsid w:val="00BB515E"/>
    <w:rsid w:val="00BB5433"/>
    <w:rsid w:val="00BB5E3C"/>
    <w:rsid w:val="00BB602C"/>
    <w:rsid w:val="00BB620D"/>
    <w:rsid w:val="00BB627B"/>
    <w:rsid w:val="00BB634D"/>
    <w:rsid w:val="00BB64EB"/>
    <w:rsid w:val="00BB6845"/>
    <w:rsid w:val="00BB6DAC"/>
    <w:rsid w:val="00BB6E33"/>
    <w:rsid w:val="00BB6EB7"/>
    <w:rsid w:val="00BB72B1"/>
    <w:rsid w:val="00BB745C"/>
    <w:rsid w:val="00BB7580"/>
    <w:rsid w:val="00BB76B8"/>
    <w:rsid w:val="00BC0099"/>
    <w:rsid w:val="00BC02FF"/>
    <w:rsid w:val="00BC0328"/>
    <w:rsid w:val="00BC04AB"/>
    <w:rsid w:val="00BC0C40"/>
    <w:rsid w:val="00BC0D66"/>
    <w:rsid w:val="00BC1313"/>
    <w:rsid w:val="00BC1400"/>
    <w:rsid w:val="00BC1885"/>
    <w:rsid w:val="00BC2395"/>
    <w:rsid w:val="00BC2986"/>
    <w:rsid w:val="00BC2B45"/>
    <w:rsid w:val="00BC2C82"/>
    <w:rsid w:val="00BC31FC"/>
    <w:rsid w:val="00BC3C44"/>
    <w:rsid w:val="00BC3C4A"/>
    <w:rsid w:val="00BC44EF"/>
    <w:rsid w:val="00BC4538"/>
    <w:rsid w:val="00BC4845"/>
    <w:rsid w:val="00BC4AEA"/>
    <w:rsid w:val="00BC4C3B"/>
    <w:rsid w:val="00BC4E7C"/>
    <w:rsid w:val="00BC4ED2"/>
    <w:rsid w:val="00BC5E10"/>
    <w:rsid w:val="00BC62BE"/>
    <w:rsid w:val="00BC68D7"/>
    <w:rsid w:val="00BC7674"/>
    <w:rsid w:val="00BC78BC"/>
    <w:rsid w:val="00BC78F7"/>
    <w:rsid w:val="00BD05F6"/>
    <w:rsid w:val="00BD0668"/>
    <w:rsid w:val="00BD06AD"/>
    <w:rsid w:val="00BD07B9"/>
    <w:rsid w:val="00BD091D"/>
    <w:rsid w:val="00BD0ADA"/>
    <w:rsid w:val="00BD0D42"/>
    <w:rsid w:val="00BD158B"/>
    <w:rsid w:val="00BD15D4"/>
    <w:rsid w:val="00BD17FB"/>
    <w:rsid w:val="00BD1EED"/>
    <w:rsid w:val="00BD234B"/>
    <w:rsid w:val="00BD285E"/>
    <w:rsid w:val="00BD29B8"/>
    <w:rsid w:val="00BD2F1A"/>
    <w:rsid w:val="00BD2F40"/>
    <w:rsid w:val="00BD3560"/>
    <w:rsid w:val="00BD3669"/>
    <w:rsid w:val="00BD388D"/>
    <w:rsid w:val="00BD3A40"/>
    <w:rsid w:val="00BD3F5C"/>
    <w:rsid w:val="00BD4440"/>
    <w:rsid w:val="00BD4851"/>
    <w:rsid w:val="00BD5808"/>
    <w:rsid w:val="00BD60F9"/>
    <w:rsid w:val="00BD62E3"/>
    <w:rsid w:val="00BD62EF"/>
    <w:rsid w:val="00BD637B"/>
    <w:rsid w:val="00BD655B"/>
    <w:rsid w:val="00BD6C58"/>
    <w:rsid w:val="00BD6C61"/>
    <w:rsid w:val="00BD6E30"/>
    <w:rsid w:val="00BD7080"/>
    <w:rsid w:val="00BD7094"/>
    <w:rsid w:val="00BD7557"/>
    <w:rsid w:val="00BD76FB"/>
    <w:rsid w:val="00BD7D81"/>
    <w:rsid w:val="00BD7D82"/>
    <w:rsid w:val="00BE0897"/>
    <w:rsid w:val="00BE0980"/>
    <w:rsid w:val="00BE0AD0"/>
    <w:rsid w:val="00BE0C10"/>
    <w:rsid w:val="00BE0F3D"/>
    <w:rsid w:val="00BE0FC4"/>
    <w:rsid w:val="00BE1E54"/>
    <w:rsid w:val="00BE2040"/>
    <w:rsid w:val="00BE26F2"/>
    <w:rsid w:val="00BE2A39"/>
    <w:rsid w:val="00BE2BAD"/>
    <w:rsid w:val="00BE2E58"/>
    <w:rsid w:val="00BE2E93"/>
    <w:rsid w:val="00BE3516"/>
    <w:rsid w:val="00BE385B"/>
    <w:rsid w:val="00BE39CF"/>
    <w:rsid w:val="00BE3C5D"/>
    <w:rsid w:val="00BE42DF"/>
    <w:rsid w:val="00BE45CB"/>
    <w:rsid w:val="00BE47F4"/>
    <w:rsid w:val="00BE505A"/>
    <w:rsid w:val="00BE54AC"/>
    <w:rsid w:val="00BE54F9"/>
    <w:rsid w:val="00BE568F"/>
    <w:rsid w:val="00BE636D"/>
    <w:rsid w:val="00BE697D"/>
    <w:rsid w:val="00BE6C39"/>
    <w:rsid w:val="00BE70A9"/>
    <w:rsid w:val="00BE75F3"/>
    <w:rsid w:val="00BE7F3C"/>
    <w:rsid w:val="00BF0D9C"/>
    <w:rsid w:val="00BF0EBA"/>
    <w:rsid w:val="00BF1705"/>
    <w:rsid w:val="00BF17B5"/>
    <w:rsid w:val="00BF1802"/>
    <w:rsid w:val="00BF2458"/>
    <w:rsid w:val="00BF2651"/>
    <w:rsid w:val="00BF2CD2"/>
    <w:rsid w:val="00BF31B3"/>
    <w:rsid w:val="00BF3430"/>
    <w:rsid w:val="00BF355F"/>
    <w:rsid w:val="00BF386F"/>
    <w:rsid w:val="00BF3E77"/>
    <w:rsid w:val="00BF4392"/>
    <w:rsid w:val="00BF43B9"/>
    <w:rsid w:val="00BF4427"/>
    <w:rsid w:val="00BF4EAE"/>
    <w:rsid w:val="00BF50E2"/>
    <w:rsid w:val="00BF57AF"/>
    <w:rsid w:val="00BF57EA"/>
    <w:rsid w:val="00BF581D"/>
    <w:rsid w:val="00BF5920"/>
    <w:rsid w:val="00BF5EBF"/>
    <w:rsid w:val="00BF5F13"/>
    <w:rsid w:val="00BF67E1"/>
    <w:rsid w:val="00BF6B9C"/>
    <w:rsid w:val="00BF70CD"/>
    <w:rsid w:val="00BF75FA"/>
    <w:rsid w:val="00BF7BAB"/>
    <w:rsid w:val="00BF7DCA"/>
    <w:rsid w:val="00C000E4"/>
    <w:rsid w:val="00C001A0"/>
    <w:rsid w:val="00C001FC"/>
    <w:rsid w:val="00C00735"/>
    <w:rsid w:val="00C00BC4"/>
    <w:rsid w:val="00C00BEB"/>
    <w:rsid w:val="00C00F7A"/>
    <w:rsid w:val="00C0101C"/>
    <w:rsid w:val="00C01666"/>
    <w:rsid w:val="00C01D01"/>
    <w:rsid w:val="00C02197"/>
    <w:rsid w:val="00C02A60"/>
    <w:rsid w:val="00C031A8"/>
    <w:rsid w:val="00C03442"/>
    <w:rsid w:val="00C034BD"/>
    <w:rsid w:val="00C035C1"/>
    <w:rsid w:val="00C038DB"/>
    <w:rsid w:val="00C0394E"/>
    <w:rsid w:val="00C03D79"/>
    <w:rsid w:val="00C046DF"/>
    <w:rsid w:val="00C047D2"/>
    <w:rsid w:val="00C04975"/>
    <w:rsid w:val="00C05336"/>
    <w:rsid w:val="00C055AC"/>
    <w:rsid w:val="00C05C39"/>
    <w:rsid w:val="00C05D1A"/>
    <w:rsid w:val="00C05DFC"/>
    <w:rsid w:val="00C061B7"/>
    <w:rsid w:val="00C064F6"/>
    <w:rsid w:val="00C0694A"/>
    <w:rsid w:val="00C0791F"/>
    <w:rsid w:val="00C105CB"/>
    <w:rsid w:val="00C10B5C"/>
    <w:rsid w:val="00C10B65"/>
    <w:rsid w:val="00C10ED3"/>
    <w:rsid w:val="00C10FCA"/>
    <w:rsid w:val="00C1120B"/>
    <w:rsid w:val="00C114A1"/>
    <w:rsid w:val="00C118E4"/>
    <w:rsid w:val="00C11928"/>
    <w:rsid w:val="00C11E7B"/>
    <w:rsid w:val="00C121AF"/>
    <w:rsid w:val="00C12D98"/>
    <w:rsid w:val="00C12D99"/>
    <w:rsid w:val="00C139DC"/>
    <w:rsid w:val="00C14032"/>
    <w:rsid w:val="00C14451"/>
    <w:rsid w:val="00C145C2"/>
    <w:rsid w:val="00C1463A"/>
    <w:rsid w:val="00C14C98"/>
    <w:rsid w:val="00C15638"/>
    <w:rsid w:val="00C15755"/>
    <w:rsid w:val="00C15BAC"/>
    <w:rsid w:val="00C15CF2"/>
    <w:rsid w:val="00C16226"/>
    <w:rsid w:val="00C162C1"/>
    <w:rsid w:val="00C16398"/>
    <w:rsid w:val="00C16CDD"/>
    <w:rsid w:val="00C16E9F"/>
    <w:rsid w:val="00C1738B"/>
    <w:rsid w:val="00C2005E"/>
    <w:rsid w:val="00C204C7"/>
    <w:rsid w:val="00C210F7"/>
    <w:rsid w:val="00C21237"/>
    <w:rsid w:val="00C21280"/>
    <w:rsid w:val="00C21461"/>
    <w:rsid w:val="00C21D26"/>
    <w:rsid w:val="00C22814"/>
    <w:rsid w:val="00C22B24"/>
    <w:rsid w:val="00C23243"/>
    <w:rsid w:val="00C234D7"/>
    <w:rsid w:val="00C23742"/>
    <w:rsid w:val="00C23E46"/>
    <w:rsid w:val="00C24126"/>
    <w:rsid w:val="00C24294"/>
    <w:rsid w:val="00C243CA"/>
    <w:rsid w:val="00C247E5"/>
    <w:rsid w:val="00C24937"/>
    <w:rsid w:val="00C24A42"/>
    <w:rsid w:val="00C24B97"/>
    <w:rsid w:val="00C24C5E"/>
    <w:rsid w:val="00C250CF"/>
    <w:rsid w:val="00C25426"/>
    <w:rsid w:val="00C25607"/>
    <w:rsid w:val="00C2596F"/>
    <w:rsid w:val="00C25EB5"/>
    <w:rsid w:val="00C25EC8"/>
    <w:rsid w:val="00C264EF"/>
    <w:rsid w:val="00C26E89"/>
    <w:rsid w:val="00C26FE9"/>
    <w:rsid w:val="00C27201"/>
    <w:rsid w:val="00C276E8"/>
    <w:rsid w:val="00C27B93"/>
    <w:rsid w:val="00C27FEC"/>
    <w:rsid w:val="00C3055A"/>
    <w:rsid w:val="00C30ED3"/>
    <w:rsid w:val="00C317EB"/>
    <w:rsid w:val="00C3187B"/>
    <w:rsid w:val="00C31B34"/>
    <w:rsid w:val="00C31E56"/>
    <w:rsid w:val="00C321E6"/>
    <w:rsid w:val="00C32544"/>
    <w:rsid w:val="00C325BA"/>
    <w:rsid w:val="00C325E5"/>
    <w:rsid w:val="00C32AF0"/>
    <w:rsid w:val="00C32B4B"/>
    <w:rsid w:val="00C32C3B"/>
    <w:rsid w:val="00C32F38"/>
    <w:rsid w:val="00C32F6A"/>
    <w:rsid w:val="00C33305"/>
    <w:rsid w:val="00C334D0"/>
    <w:rsid w:val="00C334D7"/>
    <w:rsid w:val="00C33558"/>
    <w:rsid w:val="00C33E1A"/>
    <w:rsid w:val="00C33EE8"/>
    <w:rsid w:val="00C3423F"/>
    <w:rsid w:val="00C349AC"/>
    <w:rsid w:val="00C34FFF"/>
    <w:rsid w:val="00C362A9"/>
    <w:rsid w:val="00C366D1"/>
    <w:rsid w:val="00C36C38"/>
    <w:rsid w:val="00C36C4B"/>
    <w:rsid w:val="00C36D44"/>
    <w:rsid w:val="00C371BB"/>
    <w:rsid w:val="00C376A9"/>
    <w:rsid w:val="00C37BA2"/>
    <w:rsid w:val="00C37EDF"/>
    <w:rsid w:val="00C404EE"/>
    <w:rsid w:val="00C40551"/>
    <w:rsid w:val="00C4056B"/>
    <w:rsid w:val="00C407AD"/>
    <w:rsid w:val="00C40CDB"/>
    <w:rsid w:val="00C4110B"/>
    <w:rsid w:val="00C4143D"/>
    <w:rsid w:val="00C414D0"/>
    <w:rsid w:val="00C41509"/>
    <w:rsid w:val="00C416BF"/>
    <w:rsid w:val="00C41CCA"/>
    <w:rsid w:val="00C4212F"/>
    <w:rsid w:val="00C42439"/>
    <w:rsid w:val="00C42616"/>
    <w:rsid w:val="00C42969"/>
    <w:rsid w:val="00C429A1"/>
    <w:rsid w:val="00C429F8"/>
    <w:rsid w:val="00C42EF1"/>
    <w:rsid w:val="00C43928"/>
    <w:rsid w:val="00C43944"/>
    <w:rsid w:val="00C44083"/>
    <w:rsid w:val="00C441D9"/>
    <w:rsid w:val="00C44352"/>
    <w:rsid w:val="00C44400"/>
    <w:rsid w:val="00C44619"/>
    <w:rsid w:val="00C446FA"/>
    <w:rsid w:val="00C45448"/>
    <w:rsid w:val="00C45D96"/>
    <w:rsid w:val="00C463CA"/>
    <w:rsid w:val="00C46C40"/>
    <w:rsid w:val="00C46C68"/>
    <w:rsid w:val="00C46E1D"/>
    <w:rsid w:val="00C46F66"/>
    <w:rsid w:val="00C47063"/>
    <w:rsid w:val="00C47100"/>
    <w:rsid w:val="00C4719C"/>
    <w:rsid w:val="00C472E6"/>
    <w:rsid w:val="00C4747F"/>
    <w:rsid w:val="00C47C6A"/>
    <w:rsid w:val="00C50697"/>
    <w:rsid w:val="00C50750"/>
    <w:rsid w:val="00C50C7E"/>
    <w:rsid w:val="00C50DB0"/>
    <w:rsid w:val="00C50E00"/>
    <w:rsid w:val="00C50E67"/>
    <w:rsid w:val="00C50F63"/>
    <w:rsid w:val="00C51308"/>
    <w:rsid w:val="00C51C73"/>
    <w:rsid w:val="00C51D46"/>
    <w:rsid w:val="00C521A1"/>
    <w:rsid w:val="00C5252A"/>
    <w:rsid w:val="00C525BA"/>
    <w:rsid w:val="00C52C91"/>
    <w:rsid w:val="00C53381"/>
    <w:rsid w:val="00C543F0"/>
    <w:rsid w:val="00C54DEA"/>
    <w:rsid w:val="00C550D8"/>
    <w:rsid w:val="00C55668"/>
    <w:rsid w:val="00C563C3"/>
    <w:rsid w:val="00C565F1"/>
    <w:rsid w:val="00C565FE"/>
    <w:rsid w:val="00C5668C"/>
    <w:rsid w:val="00C567FF"/>
    <w:rsid w:val="00C56B68"/>
    <w:rsid w:val="00C57676"/>
    <w:rsid w:val="00C57C44"/>
    <w:rsid w:val="00C57F4D"/>
    <w:rsid w:val="00C6046A"/>
    <w:rsid w:val="00C613EE"/>
    <w:rsid w:val="00C615E8"/>
    <w:rsid w:val="00C61CA9"/>
    <w:rsid w:val="00C61D13"/>
    <w:rsid w:val="00C61E7A"/>
    <w:rsid w:val="00C62163"/>
    <w:rsid w:val="00C6218D"/>
    <w:rsid w:val="00C62232"/>
    <w:rsid w:val="00C62DCC"/>
    <w:rsid w:val="00C62FC2"/>
    <w:rsid w:val="00C6327E"/>
    <w:rsid w:val="00C6364D"/>
    <w:rsid w:val="00C639A5"/>
    <w:rsid w:val="00C63D35"/>
    <w:rsid w:val="00C641C8"/>
    <w:rsid w:val="00C6434E"/>
    <w:rsid w:val="00C6465D"/>
    <w:rsid w:val="00C64873"/>
    <w:rsid w:val="00C64A71"/>
    <w:rsid w:val="00C64D84"/>
    <w:rsid w:val="00C64FA6"/>
    <w:rsid w:val="00C657FB"/>
    <w:rsid w:val="00C65F09"/>
    <w:rsid w:val="00C65FFB"/>
    <w:rsid w:val="00C6630F"/>
    <w:rsid w:val="00C66963"/>
    <w:rsid w:val="00C66A3D"/>
    <w:rsid w:val="00C66F30"/>
    <w:rsid w:val="00C671D9"/>
    <w:rsid w:val="00C67473"/>
    <w:rsid w:val="00C67566"/>
    <w:rsid w:val="00C67576"/>
    <w:rsid w:val="00C67620"/>
    <w:rsid w:val="00C67840"/>
    <w:rsid w:val="00C70271"/>
    <w:rsid w:val="00C70443"/>
    <w:rsid w:val="00C70C53"/>
    <w:rsid w:val="00C70F54"/>
    <w:rsid w:val="00C71172"/>
    <w:rsid w:val="00C714FF"/>
    <w:rsid w:val="00C7180E"/>
    <w:rsid w:val="00C7188E"/>
    <w:rsid w:val="00C719AB"/>
    <w:rsid w:val="00C71A6B"/>
    <w:rsid w:val="00C72079"/>
    <w:rsid w:val="00C72285"/>
    <w:rsid w:val="00C7272C"/>
    <w:rsid w:val="00C7278A"/>
    <w:rsid w:val="00C73121"/>
    <w:rsid w:val="00C73403"/>
    <w:rsid w:val="00C7371A"/>
    <w:rsid w:val="00C73AF9"/>
    <w:rsid w:val="00C74776"/>
    <w:rsid w:val="00C75127"/>
    <w:rsid w:val="00C75179"/>
    <w:rsid w:val="00C75307"/>
    <w:rsid w:val="00C753C5"/>
    <w:rsid w:val="00C759E3"/>
    <w:rsid w:val="00C75A4E"/>
    <w:rsid w:val="00C76381"/>
    <w:rsid w:val="00C7665D"/>
    <w:rsid w:val="00C76712"/>
    <w:rsid w:val="00C76CE1"/>
    <w:rsid w:val="00C76EF9"/>
    <w:rsid w:val="00C770FC"/>
    <w:rsid w:val="00C774F0"/>
    <w:rsid w:val="00C778E8"/>
    <w:rsid w:val="00C800E1"/>
    <w:rsid w:val="00C807D0"/>
    <w:rsid w:val="00C80F15"/>
    <w:rsid w:val="00C81362"/>
    <w:rsid w:val="00C81725"/>
    <w:rsid w:val="00C81916"/>
    <w:rsid w:val="00C81B4A"/>
    <w:rsid w:val="00C823E1"/>
    <w:rsid w:val="00C8250C"/>
    <w:rsid w:val="00C829F9"/>
    <w:rsid w:val="00C82CE0"/>
    <w:rsid w:val="00C83ABF"/>
    <w:rsid w:val="00C83D98"/>
    <w:rsid w:val="00C84040"/>
    <w:rsid w:val="00C84999"/>
    <w:rsid w:val="00C849CE"/>
    <w:rsid w:val="00C84B31"/>
    <w:rsid w:val="00C85936"/>
    <w:rsid w:val="00C85DDB"/>
    <w:rsid w:val="00C85E98"/>
    <w:rsid w:val="00C85F19"/>
    <w:rsid w:val="00C86BDF"/>
    <w:rsid w:val="00C86E49"/>
    <w:rsid w:val="00C86E4A"/>
    <w:rsid w:val="00C86F62"/>
    <w:rsid w:val="00C8782A"/>
    <w:rsid w:val="00C87BA1"/>
    <w:rsid w:val="00C90088"/>
    <w:rsid w:val="00C90321"/>
    <w:rsid w:val="00C90AA7"/>
    <w:rsid w:val="00C91296"/>
    <w:rsid w:val="00C9246A"/>
    <w:rsid w:val="00C926DD"/>
    <w:rsid w:val="00C92932"/>
    <w:rsid w:val="00C92ACB"/>
    <w:rsid w:val="00C92C15"/>
    <w:rsid w:val="00C92E6E"/>
    <w:rsid w:val="00C92E7E"/>
    <w:rsid w:val="00C9383C"/>
    <w:rsid w:val="00C9388D"/>
    <w:rsid w:val="00C93993"/>
    <w:rsid w:val="00C93AAE"/>
    <w:rsid w:val="00C94008"/>
    <w:rsid w:val="00C94A28"/>
    <w:rsid w:val="00C94AED"/>
    <w:rsid w:val="00C94B03"/>
    <w:rsid w:val="00C94D85"/>
    <w:rsid w:val="00C95B33"/>
    <w:rsid w:val="00C96BB6"/>
    <w:rsid w:val="00C96EC4"/>
    <w:rsid w:val="00C9722C"/>
    <w:rsid w:val="00C973E3"/>
    <w:rsid w:val="00C975C8"/>
    <w:rsid w:val="00C97680"/>
    <w:rsid w:val="00C9776B"/>
    <w:rsid w:val="00C979BA"/>
    <w:rsid w:val="00C97C12"/>
    <w:rsid w:val="00C97DD4"/>
    <w:rsid w:val="00C97F3E"/>
    <w:rsid w:val="00CA0011"/>
    <w:rsid w:val="00CA09A3"/>
    <w:rsid w:val="00CA0F5C"/>
    <w:rsid w:val="00CA1ED2"/>
    <w:rsid w:val="00CA2019"/>
    <w:rsid w:val="00CA249B"/>
    <w:rsid w:val="00CA24EA"/>
    <w:rsid w:val="00CA25F7"/>
    <w:rsid w:val="00CA26D0"/>
    <w:rsid w:val="00CA29A4"/>
    <w:rsid w:val="00CA2F3A"/>
    <w:rsid w:val="00CA3396"/>
    <w:rsid w:val="00CA3477"/>
    <w:rsid w:val="00CA38EF"/>
    <w:rsid w:val="00CA399E"/>
    <w:rsid w:val="00CA3B21"/>
    <w:rsid w:val="00CA3B31"/>
    <w:rsid w:val="00CA3E83"/>
    <w:rsid w:val="00CA407F"/>
    <w:rsid w:val="00CA4556"/>
    <w:rsid w:val="00CA47A5"/>
    <w:rsid w:val="00CA4EB4"/>
    <w:rsid w:val="00CA4EF3"/>
    <w:rsid w:val="00CA551F"/>
    <w:rsid w:val="00CA552A"/>
    <w:rsid w:val="00CA585E"/>
    <w:rsid w:val="00CA6793"/>
    <w:rsid w:val="00CA6C8D"/>
    <w:rsid w:val="00CA6D9B"/>
    <w:rsid w:val="00CA6E20"/>
    <w:rsid w:val="00CA7044"/>
    <w:rsid w:val="00CA710B"/>
    <w:rsid w:val="00CA749E"/>
    <w:rsid w:val="00CA74C6"/>
    <w:rsid w:val="00CA7787"/>
    <w:rsid w:val="00CA78C8"/>
    <w:rsid w:val="00CB0BAF"/>
    <w:rsid w:val="00CB14A1"/>
    <w:rsid w:val="00CB1515"/>
    <w:rsid w:val="00CB1B03"/>
    <w:rsid w:val="00CB2121"/>
    <w:rsid w:val="00CB234D"/>
    <w:rsid w:val="00CB27D0"/>
    <w:rsid w:val="00CB2AE9"/>
    <w:rsid w:val="00CB2DB5"/>
    <w:rsid w:val="00CB3057"/>
    <w:rsid w:val="00CB3435"/>
    <w:rsid w:val="00CB37C0"/>
    <w:rsid w:val="00CB3B4A"/>
    <w:rsid w:val="00CB3E6F"/>
    <w:rsid w:val="00CB43A6"/>
    <w:rsid w:val="00CB4AF1"/>
    <w:rsid w:val="00CB4D98"/>
    <w:rsid w:val="00CB50D3"/>
    <w:rsid w:val="00CB54DD"/>
    <w:rsid w:val="00CB57AA"/>
    <w:rsid w:val="00CB59A8"/>
    <w:rsid w:val="00CB5AB1"/>
    <w:rsid w:val="00CB5CAF"/>
    <w:rsid w:val="00CB634C"/>
    <w:rsid w:val="00CB6B6F"/>
    <w:rsid w:val="00CB6F8E"/>
    <w:rsid w:val="00CB721E"/>
    <w:rsid w:val="00CB743A"/>
    <w:rsid w:val="00CB75E8"/>
    <w:rsid w:val="00CB7F74"/>
    <w:rsid w:val="00CB7FD2"/>
    <w:rsid w:val="00CC0121"/>
    <w:rsid w:val="00CC02DA"/>
    <w:rsid w:val="00CC03BD"/>
    <w:rsid w:val="00CC08DD"/>
    <w:rsid w:val="00CC0D18"/>
    <w:rsid w:val="00CC0E05"/>
    <w:rsid w:val="00CC1172"/>
    <w:rsid w:val="00CC1973"/>
    <w:rsid w:val="00CC1DC2"/>
    <w:rsid w:val="00CC1F96"/>
    <w:rsid w:val="00CC27BE"/>
    <w:rsid w:val="00CC29CB"/>
    <w:rsid w:val="00CC29FF"/>
    <w:rsid w:val="00CC2AE8"/>
    <w:rsid w:val="00CC3C4B"/>
    <w:rsid w:val="00CC3DDF"/>
    <w:rsid w:val="00CC3E38"/>
    <w:rsid w:val="00CC40C8"/>
    <w:rsid w:val="00CC4639"/>
    <w:rsid w:val="00CC4F27"/>
    <w:rsid w:val="00CC6443"/>
    <w:rsid w:val="00CC65C3"/>
    <w:rsid w:val="00CC68A9"/>
    <w:rsid w:val="00CC6AFD"/>
    <w:rsid w:val="00CC6B46"/>
    <w:rsid w:val="00CC7500"/>
    <w:rsid w:val="00CC7A53"/>
    <w:rsid w:val="00CC7C7D"/>
    <w:rsid w:val="00CD00A5"/>
    <w:rsid w:val="00CD0200"/>
    <w:rsid w:val="00CD0CF8"/>
    <w:rsid w:val="00CD125C"/>
    <w:rsid w:val="00CD18E2"/>
    <w:rsid w:val="00CD19F1"/>
    <w:rsid w:val="00CD1AE6"/>
    <w:rsid w:val="00CD2175"/>
    <w:rsid w:val="00CD219F"/>
    <w:rsid w:val="00CD2536"/>
    <w:rsid w:val="00CD2566"/>
    <w:rsid w:val="00CD2799"/>
    <w:rsid w:val="00CD2D2D"/>
    <w:rsid w:val="00CD3310"/>
    <w:rsid w:val="00CD36BF"/>
    <w:rsid w:val="00CD38E0"/>
    <w:rsid w:val="00CD3917"/>
    <w:rsid w:val="00CD3B0C"/>
    <w:rsid w:val="00CD3B70"/>
    <w:rsid w:val="00CD4215"/>
    <w:rsid w:val="00CD4298"/>
    <w:rsid w:val="00CD42BD"/>
    <w:rsid w:val="00CD4359"/>
    <w:rsid w:val="00CD44B0"/>
    <w:rsid w:val="00CD45C6"/>
    <w:rsid w:val="00CD47FB"/>
    <w:rsid w:val="00CD4B09"/>
    <w:rsid w:val="00CD53FF"/>
    <w:rsid w:val="00CD597E"/>
    <w:rsid w:val="00CD5A16"/>
    <w:rsid w:val="00CD5CE7"/>
    <w:rsid w:val="00CD65AC"/>
    <w:rsid w:val="00CD6665"/>
    <w:rsid w:val="00CD6781"/>
    <w:rsid w:val="00CD6DA3"/>
    <w:rsid w:val="00CD7505"/>
    <w:rsid w:val="00CD765B"/>
    <w:rsid w:val="00CD76EF"/>
    <w:rsid w:val="00CD77FB"/>
    <w:rsid w:val="00CE01AF"/>
    <w:rsid w:val="00CE06FA"/>
    <w:rsid w:val="00CE0B34"/>
    <w:rsid w:val="00CE0EEF"/>
    <w:rsid w:val="00CE1228"/>
    <w:rsid w:val="00CE147F"/>
    <w:rsid w:val="00CE16B0"/>
    <w:rsid w:val="00CE1DF8"/>
    <w:rsid w:val="00CE1F58"/>
    <w:rsid w:val="00CE201F"/>
    <w:rsid w:val="00CE26CC"/>
    <w:rsid w:val="00CE2E87"/>
    <w:rsid w:val="00CE3490"/>
    <w:rsid w:val="00CE359E"/>
    <w:rsid w:val="00CE361A"/>
    <w:rsid w:val="00CE3AB9"/>
    <w:rsid w:val="00CE3AC7"/>
    <w:rsid w:val="00CE3BA2"/>
    <w:rsid w:val="00CE420E"/>
    <w:rsid w:val="00CE45D2"/>
    <w:rsid w:val="00CE4D20"/>
    <w:rsid w:val="00CE515C"/>
    <w:rsid w:val="00CE51E2"/>
    <w:rsid w:val="00CE5760"/>
    <w:rsid w:val="00CE5AB3"/>
    <w:rsid w:val="00CE5BA4"/>
    <w:rsid w:val="00CE5E78"/>
    <w:rsid w:val="00CE617E"/>
    <w:rsid w:val="00CE6192"/>
    <w:rsid w:val="00CE6384"/>
    <w:rsid w:val="00CE68D7"/>
    <w:rsid w:val="00CE69CA"/>
    <w:rsid w:val="00CE6F99"/>
    <w:rsid w:val="00CE73E5"/>
    <w:rsid w:val="00CE7943"/>
    <w:rsid w:val="00CE7CF3"/>
    <w:rsid w:val="00CE7DC4"/>
    <w:rsid w:val="00CE7E5D"/>
    <w:rsid w:val="00CF0319"/>
    <w:rsid w:val="00CF06B7"/>
    <w:rsid w:val="00CF0BE5"/>
    <w:rsid w:val="00CF0DED"/>
    <w:rsid w:val="00CF0F7A"/>
    <w:rsid w:val="00CF13B6"/>
    <w:rsid w:val="00CF191B"/>
    <w:rsid w:val="00CF1BCF"/>
    <w:rsid w:val="00CF328C"/>
    <w:rsid w:val="00CF3623"/>
    <w:rsid w:val="00CF37F5"/>
    <w:rsid w:val="00CF395C"/>
    <w:rsid w:val="00CF39CF"/>
    <w:rsid w:val="00CF3DBB"/>
    <w:rsid w:val="00CF3E6D"/>
    <w:rsid w:val="00CF428E"/>
    <w:rsid w:val="00CF4777"/>
    <w:rsid w:val="00CF4B83"/>
    <w:rsid w:val="00CF52BB"/>
    <w:rsid w:val="00CF52ED"/>
    <w:rsid w:val="00CF552B"/>
    <w:rsid w:val="00CF55A1"/>
    <w:rsid w:val="00CF5F0B"/>
    <w:rsid w:val="00CF724E"/>
    <w:rsid w:val="00CF73E8"/>
    <w:rsid w:val="00CF74F8"/>
    <w:rsid w:val="00CF76EE"/>
    <w:rsid w:val="00CF7AC9"/>
    <w:rsid w:val="00D003B4"/>
    <w:rsid w:val="00D003F4"/>
    <w:rsid w:val="00D0064E"/>
    <w:rsid w:val="00D00AC6"/>
    <w:rsid w:val="00D00BD7"/>
    <w:rsid w:val="00D0115B"/>
    <w:rsid w:val="00D011EC"/>
    <w:rsid w:val="00D011FE"/>
    <w:rsid w:val="00D015E4"/>
    <w:rsid w:val="00D018AA"/>
    <w:rsid w:val="00D01E24"/>
    <w:rsid w:val="00D01F19"/>
    <w:rsid w:val="00D026E0"/>
    <w:rsid w:val="00D02BF0"/>
    <w:rsid w:val="00D03214"/>
    <w:rsid w:val="00D03828"/>
    <w:rsid w:val="00D03E05"/>
    <w:rsid w:val="00D04009"/>
    <w:rsid w:val="00D04166"/>
    <w:rsid w:val="00D041D6"/>
    <w:rsid w:val="00D04218"/>
    <w:rsid w:val="00D042C4"/>
    <w:rsid w:val="00D043B7"/>
    <w:rsid w:val="00D049BB"/>
    <w:rsid w:val="00D049E4"/>
    <w:rsid w:val="00D04D95"/>
    <w:rsid w:val="00D050CC"/>
    <w:rsid w:val="00D0576B"/>
    <w:rsid w:val="00D057A8"/>
    <w:rsid w:val="00D05AB7"/>
    <w:rsid w:val="00D05F15"/>
    <w:rsid w:val="00D06687"/>
    <w:rsid w:val="00D06ADE"/>
    <w:rsid w:val="00D073D8"/>
    <w:rsid w:val="00D076D8"/>
    <w:rsid w:val="00D07D91"/>
    <w:rsid w:val="00D101FD"/>
    <w:rsid w:val="00D103DF"/>
    <w:rsid w:val="00D1093D"/>
    <w:rsid w:val="00D10A4A"/>
    <w:rsid w:val="00D1121B"/>
    <w:rsid w:val="00D11409"/>
    <w:rsid w:val="00D115F7"/>
    <w:rsid w:val="00D11A95"/>
    <w:rsid w:val="00D11CD4"/>
    <w:rsid w:val="00D11E39"/>
    <w:rsid w:val="00D11FB0"/>
    <w:rsid w:val="00D1332A"/>
    <w:rsid w:val="00D13470"/>
    <w:rsid w:val="00D13A9E"/>
    <w:rsid w:val="00D13E21"/>
    <w:rsid w:val="00D141F7"/>
    <w:rsid w:val="00D142FE"/>
    <w:rsid w:val="00D14B13"/>
    <w:rsid w:val="00D14D3E"/>
    <w:rsid w:val="00D152FD"/>
    <w:rsid w:val="00D1574B"/>
    <w:rsid w:val="00D16196"/>
    <w:rsid w:val="00D16AA6"/>
    <w:rsid w:val="00D16F6A"/>
    <w:rsid w:val="00D1735D"/>
    <w:rsid w:val="00D174B6"/>
    <w:rsid w:val="00D17729"/>
    <w:rsid w:val="00D177EE"/>
    <w:rsid w:val="00D17B47"/>
    <w:rsid w:val="00D17E3E"/>
    <w:rsid w:val="00D17F33"/>
    <w:rsid w:val="00D20E6A"/>
    <w:rsid w:val="00D21BEC"/>
    <w:rsid w:val="00D222D3"/>
    <w:rsid w:val="00D2268B"/>
    <w:rsid w:val="00D23023"/>
    <w:rsid w:val="00D2317A"/>
    <w:rsid w:val="00D23378"/>
    <w:rsid w:val="00D234DF"/>
    <w:rsid w:val="00D242E3"/>
    <w:rsid w:val="00D24AD2"/>
    <w:rsid w:val="00D24C8B"/>
    <w:rsid w:val="00D2511A"/>
    <w:rsid w:val="00D25FEF"/>
    <w:rsid w:val="00D26320"/>
    <w:rsid w:val="00D26520"/>
    <w:rsid w:val="00D26771"/>
    <w:rsid w:val="00D26A4C"/>
    <w:rsid w:val="00D26BAB"/>
    <w:rsid w:val="00D27369"/>
    <w:rsid w:val="00D27BD5"/>
    <w:rsid w:val="00D27C81"/>
    <w:rsid w:val="00D27CD6"/>
    <w:rsid w:val="00D302F2"/>
    <w:rsid w:val="00D30694"/>
    <w:rsid w:val="00D309C1"/>
    <w:rsid w:val="00D3143A"/>
    <w:rsid w:val="00D316F3"/>
    <w:rsid w:val="00D31772"/>
    <w:rsid w:val="00D31A02"/>
    <w:rsid w:val="00D31E6F"/>
    <w:rsid w:val="00D31E74"/>
    <w:rsid w:val="00D32A72"/>
    <w:rsid w:val="00D33395"/>
    <w:rsid w:val="00D333E7"/>
    <w:rsid w:val="00D338D6"/>
    <w:rsid w:val="00D33CFD"/>
    <w:rsid w:val="00D33F85"/>
    <w:rsid w:val="00D3477F"/>
    <w:rsid w:val="00D3484B"/>
    <w:rsid w:val="00D34A23"/>
    <w:rsid w:val="00D34ABF"/>
    <w:rsid w:val="00D3521F"/>
    <w:rsid w:val="00D35268"/>
    <w:rsid w:val="00D3579E"/>
    <w:rsid w:val="00D35A36"/>
    <w:rsid w:val="00D35CE8"/>
    <w:rsid w:val="00D35F81"/>
    <w:rsid w:val="00D36BCF"/>
    <w:rsid w:val="00D36CFB"/>
    <w:rsid w:val="00D3732B"/>
    <w:rsid w:val="00D375D3"/>
    <w:rsid w:val="00D37D19"/>
    <w:rsid w:val="00D401DC"/>
    <w:rsid w:val="00D40E0E"/>
    <w:rsid w:val="00D40E56"/>
    <w:rsid w:val="00D40F65"/>
    <w:rsid w:val="00D41AF6"/>
    <w:rsid w:val="00D42363"/>
    <w:rsid w:val="00D423FD"/>
    <w:rsid w:val="00D42746"/>
    <w:rsid w:val="00D42F31"/>
    <w:rsid w:val="00D434CB"/>
    <w:rsid w:val="00D43625"/>
    <w:rsid w:val="00D436B0"/>
    <w:rsid w:val="00D4397B"/>
    <w:rsid w:val="00D43982"/>
    <w:rsid w:val="00D442E7"/>
    <w:rsid w:val="00D448B3"/>
    <w:rsid w:val="00D44970"/>
    <w:rsid w:val="00D44C25"/>
    <w:rsid w:val="00D45D21"/>
    <w:rsid w:val="00D4633D"/>
    <w:rsid w:val="00D4757D"/>
    <w:rsid w:val="00D475C1"/>
    <w:rsid w:val="00D4761A"/>
    <w:rsid w:val="00D50531"/>
    <w:rsid w:val="00D50742"/>
    <w:rsid w:val="00D50C05"/>
    <w:rsid w:val="00D5108E"/>
    <w:rsid w:val="00D510FC"/>
    <w:rsid w:val="00D5120B"/>
    <w:rsid w:val="00D513FF"/>
    <w:rsid w:val="00D51623"/>
    <w:rsid w:val="00D51B36"/>
    <w:rsid w:val="00D51E2C"/>
    <w:rsid w:val="00D51E81"/>
    <w:rsid w:val="00D51FB5"/>
    <w:rsid w:val="00D52178"/>
    <w:rsid w:val="00D524A4"/>
    <w:rsid w:val="00D52506"/>
    <w:rsid w:val="00D529FA"/>
    <w:rsid w:val="00D52DAB"/>
    <w:rsid w:val="00D52FB2"/>
    <w:rsid w:val="00D53005"/>
    <w:rsid w:val="00D532EE"/>
    <w:rsid w:val="00D5332A"/>
    <w:rsid w:val="00D536F3"/>
    <w:rsid w:val="00D539D7"/>
    <w:rsid w:val="00D53A87"/>
    <w:rsid w:val="00D53D3F"/>
    <w:rsid w:val="00D53DB3"/>
    <w:rsid w:val="00D53E00"/>
    <w:rsid w:val="00D541B9"/>
    <w:rsid w:val="00D54430"/>
    <w:rsid w:val="00D54678"/>
    <w:rsid w:val="00D548C8"/>
    <w:rsid w:val="00D54A1E"/>
    <w:rsid w:val="00D54CA9"/>
    <w:rsid w:val="00D55BEE"/>
    <w:rsid w:val="00D55F5E"/>
    <w:rsid w:val="00D563A1"/>
    <w:rsid w:val="00D56A32"/>
    <w:rsid w:val="00D5736E"/>
    <w:rsid w:val="00D57EAF"/>
    <w:rsid w:val="00D600A6"/>
    <w:rsid w:val="00D601C9"/>
    <w:rsid w:val="00D602A7"/>
    <w:rsid w:val="00D60301"/>
    <w:rsid w:val="00D6030F"/>
    <w:rsid w:val="00D608C3"/>
    <w:rsid w:val="00D60CF6"/>
    <w:rsid w:val="00D62940"/>
    <w:rsid w:val="00D62CE6"/>
    <w:rsid w:val="00D62E2C"/>
    <w:rsid w:val="00D62EC7"/>
    <w:rsid w:val="00D62FA5"/>
    <w:rsid w:val="00D6314E"/>
    <w:rsid w:val="00D6315E"/>
    <w:rsid w:val="00D63DB8"/>
    <w:rsid w:val="00D63E1B"/>
    <w:rsid w:val="00D64128"/>
    <w:rsid w:val="00D64A89"/>
    <w:rsid w:val="00D64F78"/>
    <w:rsid w:val="00D6605A"/>
    <w:rsid w:val="00D6614D"/>
    <w:rsid w:val="00D6619D"/>
    <w:rsid w:val="00D66491"/>
    <w:rsid w:val="00D665E0"/>
    <w:rsid w:val="00D6689B"/>
    <w:rsid w:val="00D66CD5"/>
    <w:rsid w:val="00D674E2"/>
    <w:rsid w:val="00D67B59"/>
    <w:rsid w:val="00D67BF7"/>
    <w:rsid w:val="00D67CF6"/>
    <w:rsid w:val="00D67FA3"/>
    <w:rsid w:val="00D7027F"/>
    <w:rsid w:val="00D704C0"/>
    <w:rsid w:val="00D709EA"/>
    <w:rsid w:val="00D714F2"/>
    <w:rsid w:val="00D7167B"/>
    <w:rsid w:val="00D717B7"/>
    <w:rsid w:val="00D718A5"/>
    <w:rsid w:val="00D71A3A"/>
    <w:rsid w:val="00D71E64"/>
    <w:rsid w:val="00D71FEE"/>
    <w:rsid w:val="00D723C3"/>
    <w:rsid w:val="00D728A8"/>
    <w:rsid w:val="00D72C77"/>
    <w:rsid w:val="00D7316D"/>
    <w:rsid w:val="00D73316"/>
    <w:rsid w:val="00D7383E"/>
    <w:rsid w:val="00D73E08"/>
    <w:rsid w:val="00D74008"/>
    <w:rsid w:val="00D741D5"/>
    <w:rsid w:val="00D74271"/>
    <w:rsid w:val="00D743F2"/>
    <w:rsid w:val="00D753E6"/>
    <w:rsid w:val="00D75460"/>
    <w:rsid w:val="00D75743"/>
    <w:rsid w:val="00D75888"/>
    <w:rsid w:val="00D75B1C"/>
    <w:rsid w:val="00D75BD2"/>
    <w:rsid w:val="00D75DFE"/>
    <w:rsid w:val="00D75E98"/>
    <w:rsid w:val="00D7632A"/>
    <w:rsid w:val="00D7657F"/>
    <w:rsid w:val="00D76EE9"/>
    <w:rsid w:val="00D771F7"/>
    <w:rsid w:val="00D77570"/>
    <w:rsid w:val="00D7772F"/>
    <w:rsid w:val="00D77A3C"/>
    <w:rsid w:val="00D77BF9"/>
    <w:rsid w:val="00D77CF5"/>
    <w:rsid w:val="00D80182"/>
    <w:rsid w:val="00D803E3"/>
    <w:rsid w:val="00D80522"/>
    <w:rsid w:val="00D80622"/>
    <w:rsid w:val="00D80D2F"/>
    <w:rsid w:val="00D80DC0"/>
    <w:rsid w:val="00D818A7"/>
    <w:rsid w:val="00D81EDC"/>
    <w:rsid w:val="00D82059"/>
    <w:rsid w:val="00D821D2"/>
    <w:rsid w:val="00D8235D"/>
    <w:rsid w:val="00D82675"/>
    <w:rsid w:val="00D8299B"/>
    <w:rsid w:val="00D82BFF"/>
    <w:rsid w:val="00D82D44"/>
    <w:rsid w:val="00D83080"/>
    <w:rsid w:val="00D8360F"/>
    <w:rsid w:val="00D8379E"/>
    <w:rsid w:val="00D83AC6"/>
    <w:rsid w:val="00D841F4"/>
    <w:rsid w:val="00D846A7"/>
    <w:rsid w:val="00D848D1"/>
    <w:rsid w:val="00D84AA4"/>
    <w:rsid w:val="00D85450"/>
    <w:rsid w:val="00D8553E"/>
    <w:rsid w:val="00D85CB1"/>
    <w:rsid w:val="00D86701"/>
    <w:rsid w:val="00D86FDC"/>
    <w:rsid w:val="00D870A0"/>
    <w:rsid w:val="00D872B3"/>
    <w:rsid w:val="00D874D8"/>
    <w:rsid w:val="00D87AAC"/>
    <w:rsid w:val="00D87AC2"/>
    <w:rsid w:val="00D87D27"/>
    <w:rsid w:val="00D87D84"/>
    <w:rsid w:val="00D87EFD"/>
    <w:rsid w:val="00D90251"/>
    <w:rsid w:val="00D90CE7"/>
    <w:rsid w:val="00D90F9B"/>
    <w:rsid w:val="00D9102E"/>
    <w:rsid w:val="00D91830"/>
    <w:rsid w:val="00D919A7"/>
    <w:rsid w:val="00D91A8A"/>
    <w:rsid w:val="00D91C43"/>
    <w:rsid w:val="00D91F6C"/>
    <w:rsid w:val="00D924CF"/>
    <w:rsid w:val="00D92685"/>
    <w:rsid w:val="00D9287A"/>
    <w:rsid w:val="00D92B03"/>
    <w:rsid w:val="00D92E39"/>
    <w:rsid w:val="00D92FCE"/>
    <w:rsid w:val="00D930A1"/>
    <w:rsid w:val="00D932E9"/>
    <w:rsid w:val="00D946D9"/>
    <w:rsid w:val="00D94E09"/>
    <w:rsid w:val="00D94E65"/>
    <w:rsid w:val="00D9503D"/>
    <w:rsid w:val="00D95085"/>
    <w:rsid w:val="00D956AE"/>
    <w:rsid w:val="00D9585A"/>
    <w:rsid w:val="00D95A4E"/>
    <w:rsid w:val="00D95D73"/>
    <w:rsid w:val="00D96151"/>
    <w:rsid w:val="00D96524"/>
    <w:rsid w:val="00D96B6A"/>
    <w:rsid w:val="00D96BDC"/>
    <w:rsid w:val="00D96CD3"/>
    <w:rsid w:val="00D971D4"/>
    <w:rsid w:val="00D97D55"/>
    <w:rsid w:val="00D97DB2"/>
    <w:rsid w:val="00DA0826"/>
    <w:rsid w:val="00DA0C08"/>
    <w:rsid w:val="00DA1055"/>
    <w:rsid w:val="00DA1F2E"/>
    <w:rsid w:val="00DA209C"/>
    <w:rsid w:val="00DA20D6"/>
    <w:rsid w:val="00DA2578"/>
    <w:rsid w:val="00DA2700"/>
    <w:rsid w:val="00DA27C5"/>
    <w:rsid w:val="00DA2CEC"/>
    <w:rsid w:val="00DA3503"/>
    <w:rsid w:val="00DA3515"/>
    <w:rsid w:val="00DA3647"/>
    <w:rsid w:val="00DA3865"/>
    <w:rsid w:val="00DA3882"/>
    <w:rsid w:val="00DA3F7E"/>
    <w:rsid w:val="00DA4090"/>
    <w:rsid w:val="00DA4742"/>
    <w:rsid w:val="00DA48E6"/>
    <w:rsid w:val="00DA4B72"/>
    <w:rsid w:val="00DA5304"/>
    <w:rsid w:val="00DA585C"/>
    <w:rsid w:val="00DA5B79"/>
    <w:rsid w:val="00DA5BD5"/>
    <w:rsid w:val="00DA62D9"/>
    <w:rsid w:val="00DA63D8"/>
    <w:rsid w:val="00DA6621"/>
    <w:rsid w:val="00DA7035"/>
    <w:rsid w:val="00DA705F"/>
    <w:rsid w:val="00DA755C"/>
    <w:rsid w:val="00DA78BB"/>
    <w:rsid w:val="00DA7BFA"/>
    <w:rsid w:val="00DB00C6"/>
    <w:rsid w:val="00DB025A"/>
    <w:rsid w:val="00DB08CE"/>
    <w:rsid w:val="00DB0C6A"/>
    <w:rsid w:val="00DB0F11"/>
    <w:rsid w:val="00DB1082"/>
    <w:rsid w:val="00DB13AC"/>
    <w:rsid w:val="00DB1931"/>
    <w:rsid w:val="00DB1AE4"/>
    <w:rsid w:val="00DB1EE0"/>
    <w:rsid w:val="00DB2044"/>
    <w:rsid w:val="00DB21AE"/>
    <w:rsid w:val="00DB2446"/>
    <w:rsid w:val="00DB2644"/>
    <w:rsid w:val="00DB2813"/>
    <w:rsid w:val="00DB3100"/>
    <w:rsid w:val="00DB3398"/>
    <w:rsid w:val="00DB34AF"/>
    <w:rsid w:val="00DB3A02"/>
    <w:rsid w:val="00DB3C39"/>
    <w:rsid w:val="00DB4177"/>
    <w:rsid w:val="00DB41BD"/>
    <w:rsid w:val="00DB43AC"/>
    <w:rsid w:val="00DB479D"/>
    <w:rsid w:val="00DB48F7"/>
    <w:rsid w:val="00DB4B09"/>
    <w:rsid w:val="00DB4B68"/>
    <w:rsid w:val="00DB5A92"/>
    <w:rsid w:val="00DB5B1B"/>
    <w:rsid w:val="00DB5B69"/>
    <w:rsid w:val="00DB5BDE"/>
    <w:rsid w:val="00DB5BE4"/>
    <w:rsid w:val="00DB5ECE"/>
    <w:rsid w:val="00DB6342"/>
    <w:rsid w:val="00DB6919"/>
    <w:rsid w:val="00DB6A45"/>
    <w:rsid w:val="00DB6B0C"/>
    <w:rsid w:val="00DB6D28"/>
    <w:rsid w:val="00DB751C"/>
    <w:rsid w:val="00DB78D6"/>
    <w:rsid w:val="00DB7A42"/>
    <w:rsid w:val="00DB7DFD"/>
    <w:rsid w:val="00DB7F0D"/>
    <w:rsid w:val="00DC040D"/>
    <w:rsid w:val="00DC07D6"/>
    <w:rsid w:val="00DC0A13"/>
    <w:rsid w:val="00DC0E08"/>
    <w:rsid w:val="00DC170E"/>
    <w:rsid w:val="00DC184B"/>
    <w:rsid w:val="00DC1898"/>
    <w:rsid w:val="00DC19CE"/>
    <w:rsid w:val="00DC20D0"/>
    <w:rsid w:val="00DC268B"/>
    <w:rsid w:val="00DC29EE"/>
    <w:rsid w:val="00DC29F0"/>
    <w:rsid w:val="00DC35A5"/>
    <w:rsid w:val="00DC383D"/>
    <w:rsid w:val="00DC3A17"/>
    <w:rsid w:val="00DC3A38"/>
    <w:rsid w:val="00DC4177"/>
    <w:rsid w:val="00DC4987"/>
    <w:rsid w:val="00DC4BA3"/>
    <w:rsid w:val="00DC530E"/>
    <w:rsid w:val="00DC5800"/>
    <w:rsid w:val="00DC6069"/>
    <w:rsid w:val="00DC6B42"/>
    <w:rsid w:val="00DC6E1F"/>
    <w:rsid w:val="00DC735F"/>
    <w:rsid w:val="00DC7A56"/>
    <w:rsid w:val="00DC7F75"/>
    <w:rsid w:val="00DD0186"/>
    <w:rsid w:val="00DD040B"/>
    <w:rsid w:val="00DD05FC"/>
    <w:rsid w:val="00DD0B04"/>
    <w:rsid w:val="00DD0F47"/>
    <w:rsid w:val="00DD11C2"/>
    <w:rsid w:val="00DD2961"/>
    <w:rsid w:val="00DD2FEB"/>
    <w:rsid w:val="00DD3035"/>
    <w:rsid w:val="00DD315E"/>
    <w:rsid w:val="00DD363B"/>
    <w:rsid w:val="00DD381A"/>
    <w:rsid w:val="00DD41A6"/>
    <w:rsid w:val="00DD5021"/>
    <w:rsid w:val="00DD597A"/>
    <w:rsid w:val="00DD5B7A"/>
    <w:rsid w:val="00DD6B6C"/>
    <w:rsid w:val="00DD6BC4"/>
    <w:rsid w:val="00DD7140"/>
    <w:rsid w:val="00DD7230"/>
    <w:rsid w:val="00DD7349"/>
    <w:rsid w:val="00DD76B8"/>
    <w:rsid w:val="00DD7BCC"/>
    <w:rsid w:val="00DD7E17"/>
    <w:rsid w:val="00DD7E23"/>
    <w:rsid w:val="00DE00F4"/>
    <w:rsid w:val="00DE0CAE"/>
    <w:rsid w:val="00DE121B"/>
    <w:rsid w:val="00DE1766"/>
    <w:rsid w:val="00DE185F"/>
    <w:rsid w:val="00DE267D"/>
    <w:rsid w:val="00DE298C"/>
    <w:rsid w:val="00DE2ACF"/>
    <w:rsid w:val="00DE2B6F"/>
    <w:rsid w:val="00DE2BBB"/>
    <w:rsid w:val="00DE2CCF"/>
    <w:rsid w:val="00DE2D3C"/>
    <w:rsid w:val="00DE3C08"/>
    <w:rsid w:val="00DE417B"/>
    <w:rsid w:val="00DE4224"/>
    <w:rsid w:val="00DE4726"/>
    <w:rsid w:val="00DE4CEE"/>
    <w:rsid w:val="00DE5714"/>
    <w:rsid w:val="00DE5E8B"/>
    <w:rsid w:val="00DE6197"/>
    <w:rsid w:val="00DE63EB"/>
    <w:rsid w:val="00DE6509"/>
    <w:rsid w:val="00DE67D9"/>
    <w:rsid w:val="00DE7618"/>
    <w:rsid w:val="00DE7782"/>
    <w:rsid w:val="00DE79AA"/>
    <w:rsid w:val="00DE7A2C"/>
    <w:rsid w:val="00DE7FDD"/>
    <w:rsid w:val="00DF003D"/>
    <w:rsid w:val="00DF1206"/>
    <w:rsid w:val="00DF1BA1"/>
    <w:rsid w:val="00DF1C42"/>
    <w:rsid w:val="00DF2181"/>
    <w:rsid w:val="00DF2A3A"/>
    <w:rsid w:val="00DF2BF4"/>
    <w:rsid w:val="00DF2D93"/>
    <w:rsid w:val="00DF330D"/>
    <w:rsid w:val="00DF3B25"/>
    <w:rsid w:val="00DF4028"/>
    <w:rsid w:val="00DF40BF"/>
    <w:rsid w:val="00DF45DC"/>
    <w:rsid w:val="00DF5434"/>
    <w:rsid w:val="00DF578B"/>
    <w:rsid w:val="00DF5ACA"/>
    <w:rsid w:val="00DF5B7E"/>
    <w:rsid w:val="00DF6D31"/>
    <w:rsid w:val="00DF722C"/>
    <w:rsid w:val="00DF76F1"/>
    <w:rsid w:val="00E00140"/>
    <w:rsid w:val="00E010FE"/>
    <w:rsid w:val="00E01320"/>
    <w:rsid w:val="00E01559"/>
    <w:rsid w:val="00E016EB"/>
    <w:rsid w:val="00E02344"/>
    <w:rsid w:val="00E02399"/>
    <w:rsid w:val="00E02A24"/>
    <w:rsid w:val="00E02AC9"/>
    <w:rsid w:val="00E0324C"/>
    <w:rsid w:val="00E036D9"/>
    <w:rsid w:val="00E0380B"/>
    <w:rsid w:val="00E039D8"/>
    <w:rsid w:val="00E03CAA"/>
    <w:rsid w:val="00E043DA"/>
    <w:rsid w:val="00E044C5"/>
    <w:rsid w:val="00E04600"/>
    <w:rsid w:val="00E04927"/>
    <w:rsid w:val="00E04A73"/>
    <w:rsid w:val="00E04C35"/>
    <w:rsid w:val="00E051E8"/>
    <w:rsid w:val="00E057F2"/>
    <w:rsid w:val="00E05D92"/>
    <w:rsid w:val="00E065B9"/>
    <w:rsid w:val="00E065BF"/>
    <w:rsid w:val="00E065C0"/>
    <w:rsid w:val="00E06765"/>
    <w:rsid w:val="00E072CF"/>
    <w:rsid w:val="00E07C26"/>
    <w:rsid w:val="00E07E1D"/>
    <w:rsid w:val="00E104BE"/>
    <w:rsid w:val="00E10987"/>
    <w:rsid w:val="00E109AB"/>
    <w:rsid w:val="00E10A10"/>
    <w:rsid w:val="00E10B81"/>
    <w:rsid w:val="00E10C66"/>
    <w:rsid w:val="00E10CD1"/>
    <w:rsid w:val="00E11031"/>
    <w:rsid w:val="00E11FDE"/>
    <w:rsid w:val="00E12217"/>
    <w:rsid w:val="00E1240F"/>
    <w:rsid w:val="00E12CDE"/>
    <w:rsid w:val="00E12D26"/>
    <w:rsid w:val="00E12E91"/>
    <w:rsid w:val="00E12EE6"/>
    <w:rsid w:val="00E132FD"/>
    <w:rsid w:val="00E13643"/>
    <w:rsid w:val="00E13C9B"/>
    <w:rsid w:val="00E141A7"/>
    <w:rsid w:val="00E1423A"/>
    <w:rsid w:val="00E146EB"/>
    <w:rsid w:val="00E14914"/>
    <w:rsid w:val="00E149D0"/>
    <w:rsid w:val="00E14B54"/>
    <w:rsid w:val="00E150C5"/>
    <w:rsid w:val="00E159BB"/>
    <w:rsid w:val="00E15CC6"/>
    <w:rsid w:val="00E15D3A"/>
    <w:rsid w:val="00E15FFD"/>
    <w:rsid w:val="00E1652D"/>
    <w:rsid w:val="00E165EB"/>
    <w:rsid w:val="00E16977"/>
    <w:rsid w:val="00E16AEC"/>
    <w:rsid w:val="00E176AA"/>
    <w:rsid w:val="00E17892"/>
    <w:rsid w:val="00E17958"/>
    <w:rsid w:val="00E17B56"/>
    <w:rsid w:val="00E17D05"/>
    <w:rsid w:val="00E17D6A"/>
    <w:rsid w:val="00E17E6D"/>
    <w:rsid w:val="00E17FF2"/>
    <w:rsid w:val="00E2050D"/>
    <w:rsid w:val="00E209F0"/>
    <w:rsid w:val="00E20EE2"/>
    <w:rsid w:val="00E2113A"/>
    <w:rsid w:val="00E216FA"/>
    <w:rsid w:val="00E22607"/>
    <w:rsid w:val="00E226C4"/>
    <w:rsid w:val="00E226CC"/>
    <w:rsid w:val="00E22EFA"/>
    <w:rsid w:val="00E22F1B"/>
    <w:rsid w:val="00E24101"/>
    <w:rsid w:val="00E2453E"/>
    <w:rsid w:val="00E24ACF"/>
    <w:rsid w:val="00E24CEE"/>
    <w:rsid w:val="00E24ED7"/>
    <w:rsid w:val="00E25C21"/>
    <w:rsid w:val="00E25D6E"/>
    <w:rsid w:val="00E26024"/>
    <w:rsid w:val="00E261D6"/>
    <w:rsid w:val="00E262D5"/>
    <w:rsid w:val="00E267C8"/>
    <w:rsid w:val="00E26D2E"/>
    <w:rsid w:val="00E26F3B"/>
    <w:rsid w:val="00E26F62"/>
    <w:rsid w:val="00E27352"/>
    <w:rsid w:val="00E27607"/>
    <w:rsid w:val="00E27704"/>
    <w:rsid w:val="00E2777D"/>
    <w:rsid w:val="00E27A91"/>
    <w:rsid w:val="00E27F17"/>
    <w:rsid w:val="00E30078"/>
    <w:rsid w:val="00E30576"/>
    <w:rsid w:val="00E312A4"/>
    <w:rsid w:val="00E31437"/>
    <w:rsid w:val="00E315CF"/>
    <w:rsid w:val="00E31FED"/>
    <w:rsid w:val="00E31FF0"/>
    <w:rsid w:val="00E33693"/>
    <w:rsid w:val="00E33A59"/>
    <w:rsid w:val="00E33EA4"/>
    <w:rsid w:val="00E347AA"/>
    <w:rsid w:val="00E34A19"/>
    <w:rsid w:val="00E34F34"/>
    <w:rsid w:val="00E350EE"/>
    <w:rsid w:val="00E35B22"/>
    <w:rsid w:val="00E36209"/>
    <w:rsid w:val="00E36259"/>
    <w:rsid w:val="00E364B3"/>
    <w:rsid w:val="00E36FD0"/>
    <w:rsid w:val="00E3712A"/>
    <w:rsid w:val="00E3765B"/>
    <w:rsid w:val="00E3780A"/>
    <w:rsid w:val="00E37E1C"/>
    <w:rsid w:val="00E37E68"/>
    <w:rsid w:val="00E405C7"/>
    <w:rsid w:val="00E407CF"/>
    <w:rsid w:val="00E40886"/>
    <w:rsid w:val="00E4137A"/>
    <w:rsid w:val="00E415DD"/>
    <w:rsid w:val="00E41BA2"/>
    <w:rsid w:val="00E428BB"/>
    <w:rsid w:val="00E42DDA"/>
    <w:rsid w:val="00E43217"/>
    <w:rsid w:val="00E4342E"/>
    <w:rsid w:val="00E434C9"/>
    <w:rsid w:val="00E436C4"/>
    <w:rsid w:val="00E43F75"/>
    <w:rsid w:val="00E44952"/>
    <w:rsid w:val="00E4504C"/>
    <w:rsid w:val="00E450AB"/>
    <w:rsid w:val="00E45473"/>
    <w:rsid w:val="00E456FE"/>
    <w:rsid w:val="00E459DC"/>
    <w:rsid w:val="00E45B30"/>
    <w:rsid w:val="00E45F67"/>
    <w:rsid w:val="00E460B2"/>
    <w:rsid w:val="00E46C8F"/>
    <w:rsid w:val="00E46EBD"/>
    <w:rsid w:val="00E47105"/>
    <w:rsid w:val="00E476CA"/>
    <w:rsid w:val="00E476F6"/>
    <w:rsid w:val="00E47E5A"/>
    <w:rsid w:val="00E50A3B"/>
    <w:rsid w:val="00E50B0E"/>
    <w:rsid w:val="00E5135D"/>
    <w:rsid w:val="00E51B3A"/>
    <w:rsid w:val="00E52534"/>
    <w:rsid w:val="00E52B09"/>
    <w:rsid w:val="00E52B9F"/>
    <w:rsid w:val="00E531B3"/>
    <w:rsid w:val="00E53684"/>
    <w:rsid w:val="00E53A9A"/>
    <w:rsid w:val="00E53C92"/>
    <w:rsid w:val="00E53D08"/>
    <w:rsid w:val="00E54307"/>
    <w:rsid w:val="00E544C2"/>
    <w:rsid w:val="00E548F3"/>
    <w:rsid w:val="00E553EC"/>
    <w:rsid w:val="00E55450"/>
    <w:rsid w:val="00E5550E"/>
    <w:rsid w:val="00E55579"/>
    <w:rsid w:val="00E55A1E"/>
    <w:rsid w:val="00E55EA8"/>
    <w:rsid w:val="00E562E1"/>
    <w:rsid w:val="00E5636E"/>
    <w:rsid w:val="00E56513"/>
    <w:rsid w:val="00E56776"/>
    <w:rsid w:val="00E56784"/>
    <w:rsid w:val="00E56876"/>
    <w:rsid w:val="00E56915"/>
    <w:rsid w:val="00E56BDE"/>
    <w:rsid w:val="00E57346"/>
    <w:rsid w:val="00E573C2"/>
    <w:rsid w:val="00E5776A"/>
    <w:rsid w:val="00E6013B"/>
    <w:rsid w:val="00E6032A"/>
    <w:rsid w:val="00E60486"/>
    <w:rsid w:val="00E604A6"/>
    <w:rsid w:val="00E60EFD"/>
    <w:rsid w:val="00E60F20"/>
    <w:rsid w:val="00E610C4"/>
    <w:rsid w:val="00E61256"/>
    <w:rsid w:val="00E612B9"/>
    <w:rsid w:val="00E61FB1"/>
    <w:rsid w:val="00E6201A"/>
    <w:rsid w:val="00E629D0"/>
    <w:rsid w:val="00E62AE3"/>
    <w:rsid w:val="00E62ED5"/>
    <w:rsid w:val="00E632DF"/>
    <w:rsid w:val="00E6336A"/>
    <w:rsid w:val="00E634AC"/>
    <w:rsid w:val="00E63526"/>
    <w:rsid w:val="00E637F3"/>
    <w:rsid w:val="00E64149"/>
    <w:rsid w:val="00E64363"/>
    <w:rsid w:val="00E64727"/>
    <w:rsid w:val="00E64878"/>
    <w:rsid w:val="00E648CC"/>
    <w:rsid w:val="00E650CF"/>
    <w:rsid w:val="00E65100"/>
    <w:rsid w:val="00E65A5B"/>
    <w:rsid w:val="00E65BE5"/>
    <w:rsid w:val="00E65D5B"/>
    <w:rsid w:val="00E65DA4"/>
    <w:rsid w:val="00E65F48"/>
    <w:rsid w:val="00E661A5"/>
    <w:rsid w:val="00E66657"/>
    <w:rsid w:val="00E667FF"/>
    <w:rsid w:val="00E66D9A"/>
    <w:rsid w:val="00E6735D"/>
    <w:rsid w:val="00E67620"/>
    <w:rsid w:val="00E6768F"/>
    <w:rsid w:val="00E677C6"/>
    <w:rsid w:val="00E67AD9"/>
    <w:rsid w:val="00E7006F"/>
    <w:rsid w:val="00E7022E"/>
    <w:rsid w:val="00E70D56"/>
    <w:rsid w:val="00E70F6C"/>
    <w:rsid w:val="00E72460"/>
    <w:rsid w:val="00E7264E"/>
    <w:rsid w:val="00E72D05"/>
    <w:rsid w:val="00E72DF5"/>
    <w:rsid w:val="00E73499"/>
    <w:rsid w:val="00E738FD"/>
    <w:rsid w:val="00E73AD5"/>
    <w:rsid w:val="00E73C67"/>
    <w:rsid w:val="00E73DCF"/>
    <w:rsid w:val="00E741FB"/>
    <w:rsid w:val="00E743D1"/>
    <w:rsid w:val="00E74778"/>
    <w:rsid w:val="00E749C9"/>
    <w:rsid w:val="00E750EA"/>
    <w:rsid w:val="00E75735"/>
    <w:rsid w:val="00E764C2"/>
    <w:rsid w:val="00E76606"/>
    <w:rsid w:val="00E77483"/>
    <w:rsid w:val="00E7748B"/>
    <w:rsid w:val="00E776FE"/>
    <w:rsid w:val="00E77983"/>
    <w:rsid w:val="00E77A5C"/>
    <w:rsid w:val="00E77F50"/>
    <w:rsid w:val="00E80643"/>
    <w:rsid w:val="00E80EA9"/>
    <w:rsid w:val="00E80F59"/>
    <w:rsid w:val="00E81FC2"/>
    <w:rsid w:val="00E82838"/>
    <w:rsid w:val="00E82848"/>
    <w:rsid w:val="00E82ACB"/>
    <w:rsid w:val="00E82E1D"/>
    <w:rsid w:val="00E82E45"/>
    <w:rsid w:val="00E82EE4"/>
    <w:rsid w:val="00E83086"/>
    <w:rsid w:val="00E8349F"/>
    <w:rsid w:val="00E83556"/>
    <w:rsid w:val="00E83912"/>
    <w:rsid w:val="00E843EF"/>
    <w:rsid w:val="00E84792"/>
    <w:rsid w:val="00E84EA8"/>
    <w:rsid w:val="00E85DB1"/>
    <w:rsid w:val="00E85E7B"/>
    <w:rsid w:val="00E863D0"/>
    <w:rsid w:val="00E8687A"/>
    <w:rsid w:val="00E86BA6"/>
    <w:rsid w:val="00E8710C"/>
    <w:rsid w:val="00E874CA"/>
    <w:rsid w:val="00E874EE"/>
    <w:rsid w:val="00E878E1"/>
    <w:rsid w:val="00E87CED"/>
    <w:rsid w:val="00E87D70"/>
    <w:rsid w:val="00E90224"/>
    <w:rsid w:val="00E91931"/>
    <w:rsid w:val="00E91B38"/>
    <w:rsid w:val="00E927B9"/>
    <w:rsid w:val="00E92AD4"/>
    <w:rsid w:val="00E92AE0"/>
    <w:rsid w:val="00E9347C"/>
    <w:rsid w:val="00E937EE"/>
    <w:rsid w:val="00E93DC1"/>
    <w:rsid w:val="00E949BF"/>
    <w:rsid w:val="00E94D9D"/>
    <w:rsid w:val="00E95059"/>
    <w:rsid w:val="00E95100"/>
    <w:rsid w:val="00E956DF"/>
    <w:rsid w:val="00E958B5"/>
    <w:rsid w:val="00E95DCA"/>
    <w:rsid w:val="00E96001"/>
    <w:rsid w:val="00E962F9"/>
    <w:rsid w:val="00E968AA"/>
    <w:rsid w:val="00E96AB3"/>
    <w:rsid w:val="00E96C1B"/>
    <w:rsid w:val="00E96D18"/>
    <w:rsid w:val="00E96E8E"/>
    <w:rsid w:val="00E96EAA"/>
    <w:rsid w:val="00E9789A"/>
    <w:rsid w:val="00E97915"/>
    <w:rsid w:val="00EA09B1"/>
    <w:rsid w:val="00EA0A38"/>
    <w:rsid w:val="00EA0B9D"/>
    <w:rsid w:val="00EA0F3D"/>
    <w:rsid w:val="00EA16D4"/>
    <w:rsid w:val="00EA2125"/>
    <w:rsid w:val="00EA22C7"/>
    <w:rsid w:val="00EA2352"/>
    <w:rsid w:val="00EA23BE"/>
    <w:rsid w:val="00EA25ED"/>
    <w:rsid w:val="00EA27F3"/>
    <w:rsid w:val="00EA2BD7"/>
    <w:rsid w:val="00EA2C28"/>
    <w:rsid w:val="00EA302F"/>
    <w:rsid w:val="00EA30F7"/>
    <w:rsid w:val="00EA3AF6"/>
    <w:rsid w:val="00EA3D6E"/>
    <w:rsid w:val="00EA43CE"/>
    <w:rsid w:val="00EA45CE"/>
    <w:rsid w:val="00EA4A8E"/>
    <w:rsid w:val="00EA4D5F"/>
    <w:rsid w:val="00EA56D5"/>
    <w:rsid w:val="00EA5792"/>
    <w:rsid w:val="00EA596C"/>
    <w:rsid w:val="00EA5B5C"/>
    <w:rsid w:val="00EA5D67"/>
    <w:rsid w:val="00EA6194"/>
    <w:rsid w:val="00EA61D0"/>
    <w:rsid w:val="00EA67DB"/>
    <w:rsid w:val="00EA6C5F"/>
    <w:rsid w:val="00EA6DA6"/>
    <w:rsid w:val="00EA7813"/>
    <w:rsid w:val="00EA7C4D"/>
    <w:rsid w:val="00EB051D"/>
    <w:rsid w:val="00EB0C06"/>
    <w:rsid w:val="00EB0E26"/>
    <w:rsid w:val="00EB0E7C"/>
    <w:rsid w:val="00EB1209"/>
    <w:rsid w:val="00EB1A6A"/>
    <w:rsid w:val="00EB1DAD"/>
    <w:rsid w:val="00EB1FAA"/>
    <w:rsid w:val="00EB2091"/>
    <w:rsid w:val="00EB2ABF"/>
    <w:rsid w:val="00EB300D"/>
    <w:rsid w:val="00EB3103"/>
    <w:rsid w:val="00EB3420"/>
    <w:rsid w:val="00EB39F2"/>
    <w:rsid w:val="00EB3AEA"/>
    <w:rsid w:val="00EB4028"/>
    <w:rsid w:val="00EB510F"/>
    <w:rsid w:val="00EB516C"/>
    <w:rsid w:val="00EB5184"/>
    <w:rsid w:val="00EB5852"/>
    <w:rsid w:val="00EB608E"/>
    <w:rsid w:val="00EB647A"/>
    <w:rsid w:val="00EB6CD8"/>
    <w:rsid w:val="00EB6F58"/>
    <w:rsid w:val="00EB6F5D"/>
    <w:rsid w:val="00EB72E0"/>
    <w:rsid w:val="00EB7338"/>
    <w:rsid w:val="00EB73AD"/>
    <w:rsid w:val="00EB73CE"/>
    <w:rsid w:val="00EB7494"/>
    <w:rsid w:val="00EB78CE"/>
    <w:rsid w:val="00EB78D6"/>
    <w:rsid w:val="00EB7BF0"/>
    <w:rsid w:val="00EB7C82"/>
    <w:rsid w:val="00EB7DE1"/>
    <w:rsid w:val="00EC0767"/>
    <w:rsid w:val="00EC09DF"/>
    <w:rsid w:val="00EC0AC7"/>
    <w:rsid w:val="00EC116B"/>
    <w:rsid w:val="00EC16C2"/>
    <w:rsid w:val="00EC16FD"/>
    <w:rsid w:val="00EC1CB7"/>
    <w:rsid w:val="00EC1D4E"/>
    <w:rsid w:val="00EC2723"/>
    <w:rsid w:val="00EC28B8"/>
    <w:rsid w:val="00EC2A78"/>
    <w:rsid w:val="00EC319D"/>
    <w:rsid w:val="00EC38FA"/>
    <w:rsid w:val="00EC398D"/>
    <w:rsid w:val="00EC3BE9"/>
    <w:rsid w:val="00EC43BE"/>
    <w:rsid w:val="00EC44DC"/>
    <w:rsid w:val="00EC4606"/>
    <w:rsid w:val="00EC4C8E"/>
    <w:rsid w:val="00EC5E2D"/>
    <w:rsid w:val="00EC604C"/>
    <w:rsid w:val="00EC6188"/>
    <w:rsid w:val="00EC62A6"/>
    <w:rsid w:val="00EC6663"/>
    <w:rsid w:val="00EC6805"/>
    <w:rsid w:val="00EC680D"/>
    <w:rsid w:val="00EC6B79"/>
    <w:rsid w:val="00EC6D39"/>
    <w:rsid w:val="00EC6E07"/>
    <w:rsid w:val="00EC7448"/>
    <w:rsid w:val="00EC76B3"/>
    <w:rsid w:val="00EC7894"/>
    <w:rsid w:val="00EC7905"/>
    <w:rsid w:val="00EC7B43"/>
    <w:rsid w:val="00EC7F26"/>
    <w:rsid w:val="00ED019C"/>
    <w:rsid w:val="00ED0401"/>
    <w:rsid w:val="00ED076B"/>
    <w:rsid w:val="00ED0C7A"/>
    <w:rsid w:val="00ED0D53"/>
    <w:rsid w:val="00ED0DA3"/>
    <w:rsid w:val="00ED1091"/>
    <w:rsid w:val="00ED123B"/>
    <w:rsid w:val="00ED14C0"/>
    <w:rsid w:val="00ED1CAB"/>
    <w:rsid w:val="00ED27F3"/>
    <w:rsid w:val="00ED280F"/>
    <w:rsid w:val="00ED2C74"/>
    <w:rsid w:val="00ED30E3"/>
    <w:rsid w:val="00ED342A"/>
    <w:rsid w:val="00ED34E7"/>
    <w:rsid w:val="00ED38E7"/>
    <w:rsid w:val="00ED3A17"/>
    <w:rsid w:val="00ED4A91"/>
    <w:rsid w:val="00ED4BD4"/>
    <w:rsid w:val="00ED4F9F"/>
    <w:rsid w:val="00ED5BF8"/>
    <w:rsid w:val="00ED6BE7"/>
    <w:rsid w:val="00ED6D4A"/>
    <w:rsid w:val="00ED726E"/>
    <w:rsid w:val="00ED7520"/>
    <w:rsid w:val="00ED7999"/>
    <w:rsid w:val="00ED7C47"/>
    <w:rsid w:val="00EE00CE"/>
    <w:rsid w:val="00EE04D0"/>
    <w:rsid w:val="00EE051A"/>
    <w:rsid w:val="00EE08EF"/>
    <w:rsid w:val="00EE16B8"/>
    <w:rsid w:val="00EE18C6"/>
    <w:rsid w:val="00EE19EE"/>
    <w:rsid w:val="00EE1D92"/>
    <w:rsid w:val="00EE1F31"/>
    <w:rsid w:val="00EE23AC"/>
    <w:rsid w:val="00EE25A9"/>
    <w:rsid w:val="00EE2760"/>
    <w:rsid w:val="00EE27F4"/>
    <w:rsid w:val="00EE2A6A"/>
    <w:rsid w:val="00EE3033"/>
    <w:rsid w:val="00EE3DA1"/>
    <w:rsid w:val="00EE4756"/>
    <w:rsid w:val="00EE48DE"/>
    <w:rsid w:val="00EE48E2"/>
    <w:rsid w:val="00EE53E0"/>
    <w:rsid w:val="00EE53E8"/>
    <w:rsid w:val="00EE547C"/>
    <w:rsid w:val="00EE5957"/>
    <w:rsid w:val="00EE5B95"/>
    <w:rsid w:val="00EE5D2E"/>
    <w:rsid w:val="00EE6633"/>
    <w:rsid w:val="00EE6CEA"/>
    <w:rsid w:val="00EE77B9"/>
    <w:rsid w:val="00EE7943"/>
    <w:rsid w:val="00EE7AFD"/>
    <w:rsid w:val="00EE7B6E"/>
    <w:rsid w:val="00EF09FA"/>
    <w:rsid w:val="00EF0BAE"/>
    <w:rsid w:val="00EF1721"/>
    <w:rsid w:val="00EF18D5"/>
    <w:rsid w:val="00EF1919"/>
    <w:rsid w:val="00EF1AC5"/>
    <w:rsid w:val="00EF1ADD"/>
    <w:rsid w:val="00EF1C42"/>
    <w:rsid w:val="00EF1E67"/>
    <w:rsid w:val="00EF2040"/>
    <w:rsid w:val="00EF22EF"/>
    <w:rsid w:val="00EF33F6"/>
    <w:rsid w:val="00EF384A"/>
    <w:rsid w:val="00EF3882"/>
    <w:rsid w:val="00EF3B80"/>
    <w:rsid w:val="00EF3BEE"/>
    <w:rsid w:val="00EF3F94"/>
    <w:rsid w:val="00EF4160"/>
    <w:rsid w:val="00EF438C"/>
    <w:rsid w:val="00EF43D2"/>
    <w:rsid w:val="00EF4449"/>
    <w:rsid w:val="00EF44F3"/>
    <w:rsid w:val="00EF4FBD"/>
    <w:rsid w:val="00EF524F"/>
    <w:rsid w:val="00EF558A"/>
    <w:rsid w:val="00EF5680"/>
    <w:rsid w:val="00EF5D58"/>
    <w:rsid w:val="00EF6C20"/>
    <w:rsid w:val="00EF6F03"/>
    <w:rsid w:val="00EF77DB"/>
    <w:rsid w:val="00F001FB"/>
    <w:rsid w:val="00F00218"/>
    <w:rsid w:val="00F006AE"/>
    <w:rsid w:val="00F00A6D"/>
    <w:rsid w:val="00F00F43"/>
    <w:rsid w:val="00F015BB"/>
    <w:rsid w:val="00F0162F"/>
    <w:rsid w:val="00F01897"/>
    <w:rsid w:val="00F01DE9"/>
    <w:rsid w:val="00F0206F"/>
    <w:rsid w:val="00F02238"/>
    <w:rsid w:val="00F023D8"/>
    <w:rsid w:val="00F0297A"/>
    <w:rsid w:val="00F02A49"/>
    <w:rsid w:val="00F02B13"/>
    <w:rsid w:val="00F02B5D"/>
    <w:rsid w:val="00F02E86"/>
    <w:rsid w:val="00F03085"/>
    <w:rsid w:val="00F030A7"/>
    <w:rsid w:val="00F033C9"/>
    <w:rsid w:val="00F03D5E"/>
    <w:rsid w:val="00F03D9E"/>
    <w:rsid w:val="00F03EAF"/>
    <w:rsid w:val="00F04128"/>
    <w:rsid w:val="00F04192"/>
    <w:rsid w:val="00F045C3"/>
    <w:rsid w:val="00F0476C"/>
    <w:rsid w:val="00F04D35"/>
    <w:rsid w:val="00F04DE3"/>
    <w:rsid w:val="00F05655"/>
    <w:rsid w:val="00F05676"/>
    <w:rsid w:val="00F063A4"/>
    <w:rsid w:val="00F0688F"/>
    <w:rsid w:val="00F06EB2"/>
    <w:rsid w:val="00F07274"/>
    <w:rsid w:val="00F07500"/>
    <w:rsid w:val="00F07848"/>
    <w:rsid w:val="00F106C8"/>
    <w:rsid w:val="00F106F6"/>
    <w:rsid w:val="00F10746"/>
    <w:rsid w:val="00F10AF7"/>
    <w:rsid w:val="00F10B1D"/>
    <w:rsid w:val="00F10D2B"/>
    <w:rsid w:val="00F10D9F"/>
    <w:rsid w:val="00F11073"/>
    <w:rsid w:val="00F11375"/>
    <w:rsid w:val="00F11A5C"/>
    <w:rsid w:val="00F12337"/>
    <w:rsid w:val="00F12D7E"/>
    <w:rsid w:val="00F1315C"/>
    <w:rsid w:val="00F137F4"/>
    <w:rsid w:val="00F13FD9"/>
    <w:rsid w:val="00F13FF7"/>
    <w:rsid w:val="00F1532B"/>
    <w:rsid w:val="00F15599"/>
    <w:rsid w:val="00F1577C"/>
    <w:rsid w:val="00F158AA"/>
    <w:rsid w:val="00F158FB"/>
    <w:rsid w:val="00F165E0"/>
    <w:rsid w:val="00F16AFB"/>
    <w:rsid w:val="00F16CA1"/>
    <w:rsid w:val="00F16CEB"/>
    <w:rsid w:val="00F1711E"/>
    <w:rsid w:val="00F1742B"/>
    <w:rsid w:val="00F174DF"/>
    <w:rsid w:val="00F17C8D"/>
    <w:rsid w:val="00F17E1D"/>
    <w:rsid w:val="00F2018F"/>
    <w:rsid w:val="00F20329"/>
    <w:rsid w:val="00F208A2"/>
    <w:rsid w:val="00F209ED"/>
    <w:rsid w:val="00F20E98"/>
    <w:rsid w:val="00F21DDC"/>
    <w:rsid w:val="00F2233E"/>
    <w:rsid w:val="00F2235B"/>
    <w:rsid w:val="00F2261A"/>
    <w:rsid w:val="00F22680"/>
    <w:rsid w:val="00F22BE5"/>
    <w:rsid w:val="00F23048"/>
    <w:rsid w:val="00F232C3"/>
    <w:rsid w:val="00F234E9"/>
    <w:rsid w:val="00F235B1"/>
    <w:rsid w:val="00F24BA3"/>
    <w:rsid w:val="00F24BB7"/>
    <w:rsid w:val="00F24BB8"/>
    <w:rsid w:val="00F2519D"/>
    <w:rsid w:val="00F257F5"/>
    <w:rsid w:val="00F25D78"/>
    <w:rsid w:val="00F260ED"/>
    <w:rsid w:val="00F26329"/>
    <w:rsid w:val="00F264E0"/>
    <w:rsid w:val="00F26B18"/>
    <w:rsid w:val="00F26B52"/>
    <w:rsid w:val="00F26E78"/>
    <w:rsid w:val="00F270E9"/>
    <w:rsid w:val="00F27101"/>
    <w:rsid w:val="00F27A43"/>
    <w:rsid w:val="00F27BD8"/>
    <w:rsid w:val="00F27C32"/>
    <w:rsid w:val="00F27D64"/>
    <w:rsid w:val="00F30701"/>
    <w:rsid w:val="00F30713"/>
    <w:rsid w:val="00F30A8C"/>
    <w:rsid w:val="00F310B0"/>
    <w:rsid w:val="00F3121E"/>
    <w:rsid w:val="00F31B6C"/>
    <w:rsid w:val="00F31BB0"/>
    <w:rsid w:val="00F31FBF"/>
    <w:rsid w:val="00F3211C"/>
    <w:rsid w:val="00F336D1"/>
    <w:rsid w:val="00F340FB"/>
    <w:rsid w:val="00F341F1"/>
    <w:rsid w:val="00F34214"/>
    <w:rsid w:val="00F347D9"/>
    <w:rsid w:val="00F34E55"/>
    <w:rsid w:val="00F353B5"/>
    <w:rsid w:val="00F35601"/>
    <w:rsid w:val="00F3594D"/>
    <w:rsid w:val="00F35C9E"/>
    <w:rsid w:val="00F35D55"/>
    <w:rsid w:val="00F36B1D"/>
    <w:rsid w:val="00F37D5F"/>
    <w:rsid w:val="00F37EF4"/>
    <w:rsid w:val="00F40288"/>
    <w:rsid w:val="00F40378"/>
    <w:rsid w:val="00F40AA1"/>
    <w:rsid w:val="00F41003"/>
    <w:rsid w:val="00F41126"/>
    <w:rsid w:val="00F4116D"/>
    <w:rsid w:val="00F41D4B"/>
    <w:rsid w:val="00F422C6"/>
    <w:rsid w:val="00F4300B"/>
    <w:rsid w:val="00F432F8"/>
    <w:rsid w:val="00F43869"/>
    <w:rsid w:val="00F4390B"/>
    <w:rsid w:val="00F43AB7"/>
    <w:rsid w:val="00F4459A"/>
    <w:rsid w:val="00F4496D"/>
    <w:rsid w:val="00F44C5F"/>
    <w:rsid w:val="00F44E68"/>
    <w:rsid w:val="00F451A0"/>
    <w:rsid w:val="00F45740"/>
    <w:rsid w:val="00F459AA"/>
    <w:rsid w:val="00F46897"/>
    <w:rsid w:val="00F46AEB"/>
    <w:rsid w:val="00F47259"/>
    <w:rsid w:val="00F474E0"/>
    <w:rsid w:val="00F476E6"/>
    <w:rsid w:val="00F47FC4"/>
    <w:rsid w:val="00F50AF5"/>
    <w:rsid w:val="00F50BA2"/>
    <w:rsid w:val="00F50D9D"/>
    <w:rsid w:val="00F51396"/>
    <w:rsid w:val="00F514DD"/>
    <w:rsid w:val="00F51AF4"/>
    <w:rsid w:val="00F51CCF"/>
    <w:rsid w:val="00F5219B"/>
    <w:rsid w:val="00F52C44"/>
    <w:rsid w:val="00F52EEF"/>
    <w:rsid w:val="00F54047"/>
    <w:rsid w:val="00F541A3"/>
    <w:rsid w:val="00F54BB1"/>
    <w:rsid w:val="00F54EE6"/>
    <w:rsid w:val="00F54F96"/>
    <w:rsid w:val="00F55475"/>
    <w:rsid w:val="00F55AC2"/>
    <w:rsid w:val="00F55F5B"/>
    <w:rsid w:val="00F55F60"/>
    <w:rsid w:val="00F56211"/>
    <w:rsid w:val="00F56549"/>
    <w:rsid w:val="00F56631"/>
    <w:rsid w:val="00F568C2"/>
    <w:rsid w:val="00F56985"/>
    <w:rsid w:val="00F56AA0"/>
    <w:rsid w:val="00F56F3C"/>
    <w:rsid w:val="00F56FAC"/>
    <w:rsid w:val="00F60268"/>
    <w:rsid w:val="00F60658"/>
    <w:rsid w:val="00F60AB4"/>
    <w:rsid w:val="00F60C00"/>
    <w:rsid w:val="00F60C99"/>
    <w:rsid w:val="00F61007"/>
    <w:rsid w:val="00F6106A"/>
    <w:rsid w:val="00F611EF"/>
    <w:rsid w:val="00F611F6"/>
    <w:rsid w:val="00F619B5"/>
    <w:rsid w:val="00F62007"/>
    <w:rsid w:val="00F62A7E"/>
    <w:rsid w:val="00F62B8D"/>
    <w:rsid w:val="00F63272"/>
    <w:rsid w:val="00F6346E"/>
    <w:rsid w:val="00F63491"/>
    <w:rsid w:val="00F634C2"/>
    <w:rsid w:val="00F63A4A"/>
    <w:rsid w:val="00F6485B"/>
    <w:rsid w:val="00F64890"/>
    <w:rsid w:val="00F64B34"/>
    <w:rsid w:val="00F64CF9"/>
    <w:rsid w:val="00F64FBA"/>
    <w:rsid w:val="00F650B4"/>
    <w:rsid w:val="00F65A32"/>
    <w:rsid w:val="00F660BC"/>
    <w:rsid w:val="00F66279"/>
    <w:rsid w:val="00F66F32"/>
    <w:rsid w:val="00F6710B"/>
    <w:rsid w:val="00F67B22"/>
    <w:rsid w:val="00F67B4F"/>
    <w:rsid w:val="00F67E96"/>
    <w:rsid w:val="00F7013B"/>
    <w:rsid w:val="00F704EE"/>
    <w:rsid w:val="00F70520"/>
    <w:rsid w:val="00F706E0"/>
    <w:rsid w:val="00F70B21"/>
    <w:rsid w:val="00F70C74"/>
    <w:rsid w:val="00F71095"/>
    <w:rsid w:val="00F71548"/>
    <w:rsid w:val="00F719BD"/>
    <w:rsid w:val="00F71A5D"/>
    <w:rsid w:val="00F71C8A"/>
    <w:rsid w:val="00F71DA6"/>
    <w:rsid w:val="00F72752"/>
    <w:rsid w:val="00F72BD4"/>
    <w:rsid w:val="00F734B0"/>
    <w:rsid w:val="00F735D1"/>
    <w:rsid w:val="00F73713"/>
    <w:rsid w:val="00F73D7C"/>
    <w:rsid w:val="00F745FE"/>
    <w:rsid w:val="00F74C96"/>
    <w:rsid w:val="00F74F1D"/>
    <w:rsid w:val="00F74FB2"/>
    <w:rsid w:val="00F750E8"/>
    <w:rsid w:val="00F75129"/>
    <w:rsid w:val="00F752CA"/>
    <w:rsid w:val="00F756B9"/>
    <w:rsid w:val="00F75B88"/>
    <w:rsid w:val="00F75BEB"/>
    <w:rsid w:val="00F765FF"/>
    <w:rsid w:val="00F767A6"/>
    <w:rsid w:val="00F76AE1"/>
    <w:rsid w:val="00F76F65"/>
    <w:rsid w:val="00F77088"/>
    <w:rsid w:val="00F775D3"/>
    <w:rsid w:val="00F77E57"/>
    <w:rsid w:val="00F8043A"/>
    <w:rsid w:val="00F80EFE"/>
    <w:rsid w:val="00F811E6"/>
    <w:rsid w:val="00F813AB"/>
    <w:rsid w:val="00F82313"/>
    <w:rsid w:val="00F82A76"/>
    <w:rsid w:val="00F82C55"/>
    <w:rsid w:val="00F830F8"/>
    <w:rsid w:val="00F831E3"/>
    <w:rsid w:val="00F83483"/>
    <w:rsid w:val="00F835AE"/>
    <w:rsid w:val="00F83D1F"/>
    <w:rsid w:val="00F84303"/>
    <w:rsid w:val="00F84B2D"/>
    <w:rsid w:val="00F85002"/>
    <w:rsid w:val="00F85D1E"/>
    <w:rsid w:val="00F8698F"/>
    <w:rsid w:val="00F86BE4"/>
    <w:rsid w:val="00F86C5F"/>
    <w:rsid w:val="00F86F6E"/>
    <w:rsid w:val="00F87242"/>
    <w:rsid w:val="00F87352"/>
    <w:rsid w:val="00F8781D"/>
    <w:rsid w:val="00F90184"/>
    <w:rsid w:val="00F90568"/>
    <w:rsid w:val="00F90868"/>
    <w:rsid w:val="00F90E75"/>
    <w:rsid w:val="00F9107C"/>
    <w:rsid w:val="00F91294"/>
    <w:rsid w:val="00F91649"/>
    <w:rsid w:val="00F91657"/>
    <w:rsid w:val="00F916EB"/>
    <w:rsid w:val="00F91942"/>
    <w:rsid w:val="00F91E4E"/>
    <w:rsid w:val="00F9214A"/>
    <w:rsid w:val="00F92DC2"/>
    <w:rsid w:val="00F9319B"/>
    <w:rsid w:val="00F93661"/>
    <w:rsid w:val="00F93B29"/>
    <w:rsid w:val="00F93C81"/>
    <w:rsid w:val="00F94263"/>
    <w:rsid w:val="00F942CF"/>
    <w:rsid w:val="00F945FA"/>
    <w:rsid w:val="00F94738"/>
    <w:rsid w:val="00F94851"/>
    <w:rsid w:val="00F94ACC"/>
    <w:rsid w:val="00F94B52"/>
    <w:rsid w:val="00F94C38"/>
    <w:rsid w:val="00F95031"/>
    <w:rsid w:val="00F955F2"/>
    <w:rsid w:val="00F9586E"/>
    <w:rsid w:val="00F95E3A"/>
    <w:rsid w:val="00F96331"/>
    <w:rsid w:val="00F97629"/>
    <w:rsid w:val="00F97650"/>
    <w:rsid w:val="00F97FC6"/>
    <w:rsid w:val="00FA02B6"/>
    <w:rsid w:val="00FA0614"/>
    <w:rsid w:val="00FA0D71"/>
    <w:rsid w:val="00FA14D3"/>
    <w:rsid w:val="00FA1897"/>
    <w:rsid w:val="00FA1F04"/>
    <w:rsid w:val="00FA2243"/>
    <w:rsid w:val="00FA226D"/>
    <w:rsid w:val="00FA2677"/>
    <w:rsid w:val="00FA2C72"/>
    <w:rsid w:val="00FA2FA3"/>
    <w:rsid w:val="00FA3AE1"/>
    <w:rsid w:val="00FA3B39"/>
    <w:rsid w:val="00FA3DB6"/>
    <w:rsid w:val="00FA3FA3"/>
    <w:rsid w:val="00FA4063"/>
    <w:rsid w:val="00FA41F2"/>
    <w:rsid w:val="00FA42E8"/>
    <w:rsid w:val="00FA4B1B"/>
    <w:rsid w:val="00FA4E28"/>
    <w:rsid w:val="00FA4E43"/>
    <w:rsid w:val="00FA4EDF"/>
    <w:rsid w:val="00FA50F6"/>
    <w:rsid w:val="00FA5B0B"/>
    <w:rsid w:val="00FA5EE2"/>
    <w:rsid w:val="00FA5FD3"/>
    <w:rsid w:val="00FA6804"/>
    <w:rsid w:val="00FA699C"/>
    <w:rsid w:val="00FA69C0"/>
    <w:rsid w:val="00FA6C95"/>
    <w:rsid w:val="00FA6CEE"/>
    <w:rsid w:val="00FA6D2A"/>
    <w:rsid w:val="00FA6E64"/>
    <w:rsid w:val="00FA6F16"/>
    <w:rsid w:val="00FA73B1"/>
    <w:rsid w:val="00FB0968"/>
    <w:rsid w:val="00FB120D"/>
    <w:rsid w:val="00FB17DE"/>
    <w:rsid w:val="00FB1CE6"/>
    <w:rsid w:val="00FB2128"/>
    <w:rsid w:val="00FB219A"/>
    <w:rsid w:val="00FB2D7D"/>
    <w:rsid w:val="00FB3977"/>
    <w:rsid w:val="00FB3C28"/>
    <w:rsid w:val="00FB3FBD"/>
    <w:rsid w:val="00FB41E0"/>
    <w:rsid w:val="00FB46FC"/>
    <w:rsid w:val="00FB4A58"/>
    <w:rsid w:val="00FB4BB5"/>
    <w:rsid w:val="00FB4C9C"/>
    <w:rsid w:val="00FB59E5"/>
    <w:rsid w:val="00FB5DB5"/>
    <w:rsid w:val="00FB611B"/>
    <w:rsid w:val="00FB6721"/>
    <w:rsid w:val="00FB68D5"/>
    <w:rsid w:val="00FB7371"/>
    <w:rsid w:val="00FB7B31"/>
    <w:rsid w:val="00FB7BF5"/>
    <w:rsid w:val="00FC0B58"/>
    <w:rsid w:val="00FC0D87"/>
    <w:rsid w:val="00FC1D89"/>
    <w:rsid w:val="00FC1FA3"/>
    <w:rsid w:val="00FC2A17"/>
    <w:rsid w:val="00FC2B43"/>
    <w:rsid w:val="00FC3565"/>
    <w:rsid w:val="00FC3940"/>
    <w:rsid w:val="00FC3A8E"/>
    <w:rsid w:val="00FC3B26"/>
    <w:rsid w:val="00FC3D38"/>
    <w:rsid w:val="00FC3E06"/>
    <w:rsid w:val="00FC420A"/>
    <w:rsid w:val="00FC45C2"/>
    <w:rsid w:val="00FC4699"/>
    <w:rsid w:val="00FC46B3"/>
    <w:rsid w:val="00FC46DE"/>
    <w:rsid w:val="00FC4FE5"/>
    <w:rsid w:val="00FC57F3"/>
    <w:rsid w:val="00FC65B2"/>
    <w:rsid w:val="00FC6A9D"/>
    <w:rsid w:val="00FC6D68"/>
    <w:rsid w:val="00FC6E69"/>
    <w:rsid w:val="00FC77AA"/>
    <w:rsid w:val="00FC7C69"/>
    <w:rsid w:val="00FD0409"/>
    <w:rsid w:val="00FD0628"/>
    <w:rsid w:val="00FD07F5"/>
    <w:rsid w:val="00FD0B2C"/>
    <w:rsid w:val="00FD0B87"/>
    <w:rsid w:val="00FD0D2D"/>
    <w:rsid w:val="00FD10D4"/>
    <w:rsid w:val="00FD1395"/>
    <w:rsid w:val="00FD1939"/>
    <w:rsid w:val="00FD1D58"/>
    <w:rsid w:val="00FD23A6"/>
    <w:rsid w:val="00FD28F6"/>
    <w:rsid w:val="00FD2DC4"/>
    <w:rsid w:val="00FD2EA2"/>
    <w:rsid w:val="00FD3A94"/>
    <w:rsid w:val="00FD3E16"/>
    <w:rsid w:val="00FD48A6"/>
    <w:rsid w:val="00FD4A67"/>
    <w:rsid w:val="00FD4D82"/>
    <w:rsid w:val="00FD4DAB"/>
    <w:rsid w:val="00FD51C0"/>
    <w:rsid w:val="00FD680B"/>
    <w:rsid w:val="00FD6CA3"/>
    <w:rsid w:val="00FD704C"/>
    <w:rsid w:val="00FD77E3"/>
    <w:rsid w:val="00FD794F"/>
    <w:rsid w:val="00FD796D"/>
    <w:rsid w:val="00FD7C55"/>
    <w:rsid w:val="00FD7F1F"/>
    <w:rsid w:val="00FE0197"/>
    <w:rsid w:val="00FE05E4"/>
    <w:rsid w:val="00FE0747"/>
    <w:rsid w:val="00FE0A32"/>
    <w:rsid w:val="00FE0B0A"/>
    <w:rsid w:val="00FE0C17"/>
    <w:rsid w:val="00FE11EC"/>
    <w:rsid w:val="00FE176E"/>
    <w:rsid w:val="00FE181F"/>
    <w:rsid w:val="00FE1B41"/>
    <w:rsid w:val="00FE291C"/>
    <w:rsid w:val="00FE2E51"/>
    <w:rsid w:val="00FE3044"/>
    <w:rsid w:val="00FE3212"/>
    <w:rsid w:val="00FE4062"/>
    <w:rsid w:val="00FE491D"/>
    <w:rsid w:val="00FE4ADF"/>
    <w:rsid w:val="00FE52E1"/>
    <w:rsid w:val="00FE55FA"/>
    <w:rsid w:val="00FE56D0"/>
    <w:rsid w:val="00FE5F66"/>
    <w:rsid w:val="00FE60B7"/>
    <w:rsid w:val="00FE621A"/>
    <w:rsid w:val="00FE6508"/>
    <w:rsid w:val="00FE713C"/>
    <w:rsid w:val="00FE7151"/>
    <w:rsid w:val="00FE7276"/>
    <w:rsid w:val="00FE76F8"/>
    <w:rsid w:val="00FE775D"/>
    <w:rsid w:val="00FF0137"/>
    <w:rsid w:val="00FF027C"/>
    <w:rsid w:val="00FF0952"/>
    <w:rsid w:val="00FF0B87"/>
    <w:rsid w:val="00FF0E4F"/>
    <w:rsid w:val="00FF2418"/>
    <w:rsid w:val="00FF2A5D"/>
    <w:rsid w:val="00FF32F6"/>
    <w:rsid w:val="00FF33BD"/>
    <w:rsid w:val="00FF37B1"/>
    <w:rsid w:val="00FF3ADF"/>
    <w:rsid w:val="00FF3C93"/>
    <w:rsid w:val="00FF44CC"/>
    <w:rsid w:val="00FF484E"/>
    <w:rsid w:val="00FF4A26"/>
    <w:rsid w:val="00FF4A65"/>
    <w:rsid w:val="00FF4E81"/>
    <w:rsid w:val="00FF5C64"/>
    <w:rsid w:val="00FF5D0E"/>
    <w:rsid w:val="00FF5DB7"/>
    <w:rsid w:val="00FF61A7"/>
    <w:rsid w:val="00FF6663"/>
    <w:rsid w:val="00FF6A41"/>
    <w:rsid w:val="00FF735B"/>
    <w:rsid w:val="00FF75F7"/>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2AAD3B2"/>
  <w15:docId w15:val="{3F837C8D-1E55-469B-9002-3513DF2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1A8F"/>
    <w:rPr>
      <w:sz w:val="24"/>
      <w:szCs w:val="24"/>
    </w:rPr>
  </w:style>
  <w:style w:type="paragraph" w:styleId="Heading1">
    <w:name w:val="heading 1"/>
    <w:basedOn w:val="BodyText"/>
    <w:next w:val="BodyText"/>
    <w:link w:val="Heading1Char"/>
    <w:rsid w:val="003E1A8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E1A8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E1A8F"/>
    <w:pPr>
      <w:spacing w:before="560" w:line="320" w:lineRule="exact"/>
      <w:ind w:left="0" w:firstLine="0"/>
      <w:outlineLvl w:val="2"/>
    </w:pPr>
    <w:rPr>
      <w:sz w:val="26"/>
    </w:rPr>
  </w:style>
  <w:style w:type="paragraph" w:styleId="Heading4">
    <w:name w:val="heading 4"/>
    <w:basedOn w:val="Heading3"/>
    <w:next w:val="BodyText"/>
    <w:link w:val="Heading4Char"/>
    <w:qFormat/>
    <w:rsid w:val="003E1A8F"/>
    <w:pPr>
      <w:spacing w:before="480"/>
      <w:outlineLvl w:val="3"/>
    </w:pPr>
    <w:rPr>
      <w:b w:val="0"/>
      <w:sz w:val="24"/>
    </w:rPr>
  </w:style>
  <w:style w:type="paragraph" w:styleId="Heading5">
    <w:name w:val="heading 5"/>
    <w:basedOn w:val="Heading4"/>
    <w:next w:val="BodyText"/>
    <w:link w:val="Heading5Char"/>
    <w:qFormat/>
    <w:rsid w:val="003E1A8F"/>
    <w:pPr>
      <w:outlineLvl w:val="4"/>
    </w:pPr>
    <w:rPr>
      <w:i/>
      <w:sz w:val="22"/>
    </w:rPr>
  </w:style>
  <w:style w:type="paragraph" w:styleId="Heading6">
    <w:name w:val="heading 6"/>
    <w:basedOn w:val="BodyText"/>
    <w:next w:val="BodyText"/>
    <w:rsid w:val="003E1A8F"/>
    <w:pPr>
      <w:spacing w:after="60"/>
      <w:jc w:val="left"/>
      <w:outlineLvl w:val="5"/>
    </w:pPr>
    <w:rPr>
      <w:i/>
      <w:sz w:val="22"/>
    </w:rPr>
  </w:style>
  <w:style w:type="paragraph" w:styleId="Heading7">
    <w:name w:val="heading 7"/>
    <w:basedOn w:val="BodyText"/>
    <w:next w:val="BodyText"/>
    <w:rsid w:val="003E1A8F"/>
    <w:pPr>
      <w:spacing w:after="60" w:line="240" w:lineRule="auto"/>
      <w:jc w:val="left"/>
      <w:outlineLvl w:val="6"/>
    </w:pPr>
    <w:rPr>
      <w:rFonts w:ascii="Arial" w:hAnsi="Arial"/>
      <w:sz w:val="20"/>
    </w:rPr>
  </w:style>
  <w:style w:type="paragraph" w:styleId="Heading8">
    <w:name w:val="heading 8"/>
    <w:basedOn w:val="BodyText"/>
    <w:next w:val="BodyText"/>
    <w:rsid w:val="003E1A8F"/>
    <w:pPr>
      <w:spacing w:after="60" w:line="240" w:lineRule="auto"/>
      <w:jc w:val="left"/>
      <w:outlineLvl w:val="7"/>
    </w:pPr>
    <w:rPr>
      <w:rFonts w:ascii="Arial" w:hAnsi="Arial"/>
      <w:i/>
      <w:sz w:val="20"/>
    </w:rPr>
  </w:style>
  <w:style w:type="paragraph" w:styleId="Heading9">
    <w:name w:val="heading 9"/>
    <w:basedOn w:val="BodyText"/>
    <w:next w:val="BodyText"/>
    <w:rsid w:val="003E1A8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E1A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1A8F"/>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3E1A8F"/>
    <w:pPr>
      <w:spacing w:before="240" w:line="300" w:lineRule="atLeast"/>
      <w:jc w:val="both"/>
    </w:pPr>
    <w:rPr>
      <w:sz w:val="24"/>
    </w:rPr>
  </w:style>
  <w:style w:type="paragraph" w:customStyle="1" w:styleId="Chapter">
    <w:name w:val="Chapter"/>
    <w:basedOn w:val="Heading1"/>
    <w:next w:val="BodyText"/>
    <w:link w:val="ChapterChar"/>
    <w:semiHidden/>
    <w:rsid w:val="003E1A8F"/>
    <w:pPr>
      <w:ind w:left="0" w:firstLine="0"/>
      <w:outlineLvl w:val="9"/>
    </w:pPr>
  </w:style>
  <w:style w:type="paragraph" w:customStyle="1" w:styleId="SequenceInfo">
    <w:name w:val="Sequence Info"/>
    <w:basedOn w:val="BodyText"/>
    <w:semiHidden/>
    <w:rsid w:val="003E1A8F"/>
    <w:rPr>
      <w:vanish/>
      <w:sz w:val="16"/>
    </w:rPr>
  </w:style>
  <w:style w:type="character" w:styleId="CommentReference">
    <w:name w:val="annotation reference"/>
    <w:basedOn w:val="DefaultParagraphFont"/>
    <w:rsid w:val="003E1A8F"/>
    <w:rPr>
      <w:b/>
      <w:vanish/>
      <w:color w:val="FF00FF"/>
      <w:sz w:val="20"/>
    </w:rPr>
  </w:style>
  <w:style w:type="paragraph" w:styleId="CommentText">
    <w:name w:val="annotation text"/>
    <w:basedOn w:val="Normal"/>
    <w:link w:val="CommentTextChar"/>
    <w:semiHidden/>
    <w:rsid w:val="003E1A8F"/>
    <w:pPr>
      <w:spacing w:before="120" w:line="240" w:lineRule="atLeast"/>
      <w:ind w:left="567" w:hanging="567"/>
    </w:pPr>
    <w:rPr>
      <w:sz w:val="20"/>
    </w:rPr>
  </w:style>
  <w:style w:type="paragraph" w:customStyle="1" w:styleId="Abbreviation">
    <w:name w:val="Abbreviation"/>
    <w:basedOn w:val="BodyText"/>
    <w:rsid w:val="003E1A8F"/>
    <w:pPr>
      <w:spacing w:before="120"/>
      <w:ind w:left="2381" w:hanging="2381"/>
      <w:jc w:val="left"/>
    </w:pPr>
  </w:style>
  <w:style w:type="paragraph" w:customStyle="1" w:styleId="Box">
    <w:name w:val="Box"/>
    <w:basedOn w:val="BodyText"/>
    <w:link w:val="BoxChar"/>
    <w:qFormat/>
    <w:rsid w:val="003E1A8F"/>
    <w:pPr>
      <w:keepNext/>
      <w:spacing w:before="120" w:line="260" w:lineRule="atLeast"/>
    </w:pPr>
    <w:rPr>
      <w:rFonts w:ascii="Arial" w:hAnsi="Arial"/>
      <w:sz w:val="20"/>
    </w:rPr>
  </w:style>
  <w:style w:type="paragraph" w:customStyle="1" w:styleId="QuoteBullet">
    <w:name w:val="Quote Bullet"/>
    <w:basedOn w:val="Quote"/>
    <w:rsid w:val="003E1A8F"/>
    <w:pPr>
      <w:numPr>
        <w:numId w:val="11"/>
      </w:numPr>
    </w:pPr>
  </w:style>
  <w:style w:type="paragraph" w:customStyle="1" w:styleId="BoxListBullet">
    <w:name w:val="Box List Bullet"/>
    <w:basedOn w:val="BodyText"/>
    <w:link w:val="BoxListBulletChar"/>
    <w:rsid w:val="003E1A8F"/>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3E1A8F"/>
    <w:pPr>
      <w:numPr>
        <w:numId w:val="3"/>
      </w:numPr>
      <w:ind w:left="568" w:hanging="284"/>
    </w:pPr>
  </w:style>
  <w:style w:type="paragraph" w:customStyle="1" w:styleId="BoxListNumber">
    <w:name w:val="Box List Number"/>
    <w:basedOn w:val="BodyText"/>
    <w:link w:val="BoxListNumberChar"/>
    <w:rsid w:val="003E1A8F"/>
    <w:pPr>
      <w:keepNext/>
      <w:numPr>
        <w:numId w:val="14"/>
      </w:numPr>
      <w:spacing w:before="100" w:line="260" w:lineRule="atLeast"/>
    </w:pPr>
    <w:rPr>
      <w:rFonts w:ascii="Arial" w:hAnsi="Arial"/>
      <w:sz w:val="20"/>
    </w:rPr>
  </w:style>
  <w:style w:type="paragraph" w:customStyle="1" w:styleId="BoxListNumber2">
    <w:name w:val="Box List Number 2"/>
    <w:basedOn w:val="BoxListNumber"/>
    <w:link w:val="BoxListNumber2Char"/>
    <w:rsid w:val="003E1A8F"/>
    <w:pPr>
      <w:numPr>
        <w:ilvl w:val="1"/>
      </w:numPr>
      <w:ind w:left="681" w:hanging="397"/>
    </w:pPr>
  </w:style>
  <w:style w:type="paragraph" w:customStyle="1" w:styleId="BoxQuote">
    <w:name w:val="Box Quote"/>
    <w:basedOn w:val="BodyText"/>
    <w:next w:val="Box"/>
    <w:qFormat/>
    <w:rsid w:val="003E1A8F"/>
    <w:pPr>
      <w:keepNext/>
      <w:spacing w:before="60" w:line="240" w:lineRule="exact"/>
      <w:ind w:left="284"/>
    </w:pPr>
    <w:rPr>
      <w:rFonts w:ascii="Arial" w:hAnsi="Arial"/>
      <w:sz w:val="18"/>
    </w:rPr>
  </w:style>
  <w:style w:type="paragraph" w:customStyle="1" w:styleId="BoxSource">
    <w:name w:val="Box Source"/>
    <w:basedOn w:val="Source"/>
    <w:next w:val="BodyText"/>
    <w:link w:val="BoxSourceChar"/>
    <w:rsid w:val="003E1A8F"/>
    <w:pPr>
      <w:spacing w:before="120"/>
    </w:pPr>
  </w:style>
  <w:style w:type="paragraph" w:customStyle="1" w:styleId="BoxSpace">
    <w:name w:val="Box Space"/>
    <w:basedOn w:val="BodyText"/>
    <w:rsid w:val="001A14A4"/>
    <w:pPr>
      <w:keepNext/>
      <w:spacing w:before="360" w:line="80" w:lineRule="exact"/>
      <w:jc w:val="left"/>
    </w:pPr>
  </w:style>
  <w:style w:type="paragraph" w:customStyle="1" w:styleId="BoxSubtitle">
    <w:name w:val="Box Subtitle"/>
    <w:basedOn w:val="BoxTitle"/>
    <w:next w:val="Normal"/>
    <w:rsid w:val="003E1A8F"/>
    <w:pPr>
      <w:spacing w:after="80" w:line="200" w:lineRule="exact"/>
      <w:ind w:firstLine="0"/>
    </w:pPr>
    <w:rPr>
      <w:b w:val="0"/>
      <w:sz w:val="20"/>
    </w:rPr>
  </w:style>
  <w:style w:type="paragraph" w:customStyle="1" w:styleId="BoxTitle">
    <w:name w:val="Box Title"/>
    <w:basedOn w:val="Caption"/>
    <w:next w:val="BoxSubtitle"/>
    <w:link w:val="BoxTitleChar"/>
    <w:rsid w:val="003E1A8F"/>
    <w:pPr>
      <w:spacing w:before="120" w:after="0"/>
    </w:pPr>
  </w:style>
  <w:style w:type="paragraph" w:styleId="Caption">
    <w:name w:val="caption"/>
    <w:basedOn w:val="Normal"/>
    <w:next w:val="BodyText"/>
    <w:link w:val="CaptionChar"/>
    <w:rsid w:val="003E1A8F"/>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3E1A8F"/>
    <w:pPr>
      <w:spacing w:line="280" w:lineRule="atLeast"/>
      <w:ind w:left="907"/>
    </w:pPr>
    <w:rPr>
      <w:rFonts w:ascii="Arial" w:hAnsi="Arial"/>
      <w:b/>
      <w:sz w:val="20"/>
    </w:rPr>
  </w:style>
  <w:style w:type="character" w:customStyle="1" w:styleId="DocumentInfo">
    <w:name w:val="Document Info"/>
    <w:basedOn w:val="DefaultParagraphFont"/>
    <w:semiHidden/>
    <w:rsid w:val="003E1A8F"/>
    <w:rPr>
      <w:rFonts w:ascii="Arial" w:hAnsi="Arial"/>
      <w:sz w:val="14"/>
    </w:rPr>
  </w:style>
  <w:style w:type="paragraph" w:styleId="Footer">
    <w:name w:val="footer"/>
    <w:basedOn w:val="BodyText"/>
    <w:link w:val="FooterChar"/>
    <w:rsid w:val="003E1A8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3E1A8F"/>
    <w:rPr>
      <w:b/>
      <w:color w:val="FF0000"/>
      <w:sz w:val="24"/>
      <w:u w:val="dotted"/>
    </w:rPr>
  </w:style>
  <w:style w:type="character" w:customStyle="1" w:styleId="SourceChar">
    <w:name w:val="Source Char"/>
    <w:basedOn w:val="NoteChar"/>
    <w:link w:val="Source"/>
    <w:rsid w:val="00CF428E"/>
    <w:rPr>
      <w:rFonts w:ascii="Arial" w:hAnsi="Arial"/>
      <w:sz w:val="18"/>
    </w:rPr>
  </w:style>
  <w:style w:type="paragraph" w:customStyle="1" w:styleId="Figure">
    <w:name w:val="Figure"/>
    <w:basedOn w:val="BodyText"/>
    <w:rsid w:val="003E1A8F"/>
    <w:pPr>
      <w:keepNext/>
      <w:spacing w:before="120" w:after="120" w:line="240" w:lineRule="atLeast"/>
      <w:jc w:val="center"/>
    </w:pPr>
  </w:style>
  <w:style w:type="paragraph" w:customStyle="1" w:styleId="FigureTitle">
    <w:name w:val="Figure Title"/>
    <w:basedOn w:val="Caption"/>
    <w:next w:val="Subtitle"/>
    <w:link w:val="FigureTitleChar"/>
    <w:rsid w:val="003E1A8F"/>
    <w:pPr>
      <w:spacing w:before="120"/>
    </w:pPr>
  </w:style>
  <w:style w:type="paragraph" w:styleId="Subtitle">
    <w:name w:val="Subtitle"/>
    <w:basedOn w:val="Caption"/>
    <w:link w:val="SubtitleChar"/>
    <w:qFormat/>
    <w:rsid w:val="003E1A8F"/>
    <w:pPr>
      <w:spacing w:before="0" w:line="200" w:lineRule="exact"/>
      <w:ind w:firstLine="0"/>
    </w:pPr>
    <w:rPr>
      <w:b w:val="0"/>
      <w:sz w:val="20"/>
    </w:rPr>
  </w:style>
  <w:style w:type="paragraph" w:customStyle="1" w:styleId="Finding">
    <w:name w:val="Finding"/>
    <w:basedOn w:val="BodyText"/>
    <w:rsid w:val="003E1A8F"/>
    <w:pPr>
      <w:keepLines/>
      <w:spacing w:before="120" w:line="280" w:lineRule="atLeast"/>
    </w:pPr>
    <w:rPr>
      <w:rFonts w:ascii="Arial" w:hAnsi="Arial"/>
      <w:sz w:val="22"/>
    </w:rPr>
  </w:style>
  <w:style w:type="paragraph" w:customStyle="1" w:styleId="FindingBullet">
    <w:name w:val="Finding Bullet"/>
    <w:basedOn w:val="Finding"/>
    <w:rsid w:val="003E1A8F"/>
    <w:pPr>
      <w:numPr>
        <w:numId w:val="7"/>
      </w:numPr>
      <w:spacing w:before="80"/>
    </w:pPr>
  </w:style>
  <w:style w:type="paragraph" w:customStyle="1" w:styleId="FindingNoTitle">
    <w:name w:val="Finding NoTitle"/>
    <w:basedOn w:val="Finding"/>
    <w:rsid w:val="003E1A8F"/>
    <w:pPr>
      <w:spacing w:before="240"/>
    </w:pPr>
  </w:style>
  <w:style w:type="paragraph" w:customStyle="1" w:styleId="FindingTitle">
    <w:name w:val="Finding Title"/>
    <w:basedOn w:val="RecTitle"/>
    <w:next w:val="Finding"/>
    <w:rsid w:val="003E1A8F"/>
  </w:style>
  <w:style w:type="paragraph" w:customStyle="1" w:styleId="FooterEnd">
    <w:name w:val="Footer End"/>
    <w:basedOn w:val="Footer"/>
    <w:rsid w:val="003E1A8F"/>
    <w:pPr>
      <w:spacing w:before="0" w:line="20" w:lineRule="exact"/>
    </w:pPr>
  </w:style>
  <w:style w:type="character" w:styleId="FootnoteReference">
    <w:name w:val="footnote reference"/>
    <w:basedOn w:val="DefaultParagraphFont"/>
    <w:semiHidden/>
    <w:rsid w:val="003E1A8F"/>
    <w:rPr>
      <w:rFonts w:ascii="Times New Roman" w:hAnsi="Times New Roman"/>
      <w:position w:val="6"/>
      <w:sz w:val="20"/>
      <w:vertAlign w:val="baseline"/>
    </w:rPr>
  </w:style>
  <w:style w:type="paragraph" w:styleId="FootnoteText">
    <w:name w:val="footnote text"/>
    <w:basedOn w:val="BodyText"/>
    <w:rsid w:val="003E1A8F"/>
    <w:pPr>
      <w:tabs>
        <w:tab w:val="left" w:pos="284"/>
      </w:tabs>
      <w:spacing w:before="80" w:line="240" w:lineRule="exact"/>
      <w:ind w:left="284" w:hanging="284"/>
    </w:pPr>
    <w:rPr>
      <w:sz w:val="20"/>
    </w:rPr>
  </w:style>
  <w:style w:type="paragraph" w:styleId="Header">
    <w:name w:val="header"/>
    <w:basedOn w:val="BodyText"/>
    <w:link w:val="HeaderChar"/>
    <w:rsid w:val="003E1A8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E1A8F"/>
    <w:pPr>
      <w:spacing w:line="20" w:lineRule="exact"/>
    </w:pPr>
    <w:rPr>
      <w:sz w:val="16"/>
    </w:rPr>
  </w:style>
  <w:style w:type="paragraph" w:customStyle="1" w:styleId="HeaderEven">
    <w:name w:val="Header Even"/>
    <w:basedOn w:val="Header"/>
    <w:rsid w:val="003E1A8F"/>
  </w:style>
  <w:style w:type="paragraph" w:customStyle="1" w:styleId="HeaderOdd">
    <w:name w:val="Header Odd"/>
    <w:basedOn w:val="Header"/>
    <w:rsid w:val="003E1A8F"/>
  </w:style>
  <w:style w:type="paragraph" w:customStyle="1" w:styleId="InformationRequest">
    <w:name w:val="Information Request"/>
    <w:basedOn w:val="Finding"/>
    <w:next w:val="BodyText"/>
    <w:rsid w:val="003E1A8F"/>
    <w:rPr>
      <w:i/>
    </w:rPr>
  </w:style>
  <w:style w:type="paragraph" w:styleId="ListBullet">
    <w:name w:val="List Bullet"/>
    <w:basedOn w:val="BodyText"/>
    <w:link w:val="ListBulletChar"/>
    <w:rsid w:val="003E1A8F"/>
    <w:pPr>
      <w:numPr>
        <w:numId w:val="5"/>
      </w:numPr>
      <w:spacing w:before="120"/>
    </w:pPr>
  </w:style>
  <w:style w:type="paragraph" w:styleId="ListBullet2">
    <w:name w:val="List Bullet 2"/>
    <w:basedOn w:val="BodyText"/>
    <w:rsid w:val="003E1A8F"/>
    <w:pPr>
      <w:numPr>
        <w:numId w:val="2"/>
      </w:numPr>
      <w:spacing w:before="120"/>
    </w:pPr>
  </w:style>
  <w:style w:type="paragraph" w:styleId="ListBullet3">
    <w:name w:val="List Bullet 3"/>
    <w:basedOn w:val="BodyText"/>
    <w:rsid w:val="003E1A8F"/>
    <w:pPr>
      <w:numPr>
        <w:numId w:val="1"/>
      </w:numPr>
      <w:spacing w:before="120"/>
      <w:ind w:left="1020" w:hanging="340"/>
    </w:pPr>
  </w:style>
  <w:style w:type="paragraph" w:styleId="ListNumber">
    <w:name w:val="List Number"/>
    <w:basedOn w:val="BodyText"/>
    <w:rsid w:val="003E1A8F"/>
    <w:pPr>
      <w:numPr>
        <w:numId w:val="13"/>
      </w:numPr>
      <w:spacing w:before="120"/>
    </w:pPr>
  </w:style>
  <w:style w:type="paragraph" w:styleId="ListNumber2">
    <w:name w:val="List Number 2"/>
    <w:basedOn w:val="ListNumber"/>
    <w:rsid w:val="003E1A8F"/>
    <w:pPr>
      <w:numPr>
        <w:ilvl w:val="1"/>
      </w:numPr>
    </w:pPr>
  </w:style>
  <w:style w:type="paragraph" w:styleId="ListNumber3">
    <w:name w:val="List Number 3"/>
    <w:basedOn w:val="ListNumber2"/>
    <w:rsid w:val="003E1A8F"/>
    <w:pPr>
      <w:numPr>
        <w:ilvl w:val="2"/>
      </w:numPr>
    </w:pPr>
  </w:style>
  <w:style w:type="paragraph" w:customStyle="1" w:styleId="Note">
    <w:name w:val="Note"/>
    <w:basedOn w:val="BodyText"/>
    <w:next w:val="BodyText"/>
    <w:link w:val="NoteChar"/>
    <w:rsid w:val="003E1A8F"/>
    <w:pPr>
      <w:keepLines/>
      <w:spacing w:before="80" w:line="220" w:lineRule="exact"/>
    </w:pPr>
    <w:rPr>
      <w:rFonts w:ascii="Arial" w:hAnsi="Arial"/>
      <w:sz w:val="18"/>
    </w:rPr>
  </w:style>
  <w:style w:type="character" w:customStyle="1" w:styleId="NoteLabel">
    <w:name w:val="Note Label"/>
    <w:basedOn w:val="DefaultParagraphFont"/>
    <w:rsid w:val="003E1A8F"/>
    <w:rPr>
      <w:rFonts w:ascii="Arial" w:hAnsi="Arial"/>
      <w:b/>
      <w:position w:val="6"/>
      <w:sz w:val="18"/>
    </w:rPr>
  </w:style>
  <w:style w:type="character" w:styleId="PageNumber">
    <w:name w:val="page number"/>
    <w:basedOn w:val="DefaultParagraphFont"/>
    <w:rsid w:val="003E1A8F"/>
    <w:rPr>
      <w:rFonts w:ascii="Arial" w:hAnsi="Arial"/>
      <w:b/>
      <w:sz w:val="16"/>
    </w:rPr>
  </w:style>
  <w:style w:type="paragraph" w:customStyle="1" w:styleId="PartDivider">
    <w:name w:val="Part Divider"/>
    <w:basedOn w:val="BodyText"/>
    <w:next w:val="BodyText"/>
    <w:semiHidden/>
    <w:rsid w:val="003E1A8F"/>
    <w:pPr>
      <w:spacing w:before="0" w:line="40" w:lineRule="exact"/>
      <w:jc w:val="right"/>
    </w:pPr>
    <w:rPr>
      <w:smallCaps/>
      <w:sz w:val="16"/>
    </w:rPr>
  </w:style>
  <w:style w:type="paragraph" w:customStyle="1" w:styleId="PartNumber">
    <w:name w:val="Part Number"/>
    <w:basedOn w:val="BodyText"/>
    <w:next w:val="BodyText"/>
    <w:semiHidden/>
    <w:rsid w:val="003E1A8F"/>
    <w:pPr>
      <w:spacing w:before="4000" w:line="320" w:lineRule="exact"/>
      <w:ind w:left="6634"/>
      <w:jc w:val="right"/>
    </w:pPr>
    <w:rPr>
      <w:smallCaps/>
      <w:spacing w:val="60"/>
      <w:sz w:val="32"/>
    </w:rPr>
  </w:style>
  <w:style w:type="paragraph" w:customStyle="1" w:styleId="PartTitle">
    <w:name w:val="Part Title"/>
    <w:basedOn w:val="BodyText"/>
    <w:semiHidden/>
    <w:rsid w:val="003E1A8F"/>
    <w:pPr>
      <w:spacing w:before="160" w:after="1360" w:line="520" w:lineRule="exact"/>
      <w:ind w:right="2381"/>
      <w:jc w:val="right"/>
    </w:pPr>
    <w:rPr>
      <w:smallCaps/>
      <w:sz w:val="52"/>
    </w:rPr>
  </w:style>
  <w:style w:type="paragraph" w:styleId="Quote">
    <w:name w:val="Quote"/>
    <w:basedOn w:val="BodyText"/>
    <w:next w:val="BodyText"/>
    <w:qFormat/>
    <w:rsid w:val="003E1A8F"/>
    <w:pPr>
      <w:spacing w:before="120" w:line="280" w:lineRule="exact"/>
      <w:ind w:left="340"/>
    </w:pPr>
    <w:rPr>
      <w:sz w:val="22"/>
    </w:rPr>
  </w:style>
  <w:style w:type="paragraph" w:customStyle="1" w:styleId="Rec">
    <w:name w:val="Rec"/>
    <w:basedOn w:val="BodyText"/>
    <w:qFormat/>
    <w:rsid w:val="003E1A8F"/>
    <w:pPr>
      <w:keepLines/>
      <w:spacing w:before="120" w:line="280" w:lineRule="atLeast"/>
    </w:pPr>
    <w:rPr>
      <w:rFonts w:ascii="Arial" w:hAnsi="Arial"/>
      <w:sz w:val="22"/>
    </w:rPr>
  </w:style>
  <w:style w:type="paragraph" w:customStyle="1" w:styleId="RecBullet">
    <w:name w:val="Rec Bullet"/>
    <w:basedOn w:val="Rec"/>
    <w:rsid w:val="003E1A8F"/>
    <w:pPr>
      <w:numPr>
        <w:numId w:val="8"/>
      </w:numPr>
      <w:spacing w:before="80"/>
    </w:pPr>
  </w:style>
  <w:style w:type="paragraph" w:customStyle="1" w:styleId="RecTitle">
    <w:name w:val="Rec Title"/>
    <w:basedOn w:val="BodyText"/>
    <w:next w:val="Rec"/>
    <w:qFormat/>
    <w:rsid w:val="003E1A8F"/>
    <w:pPr>
      <w:keepNext/>
      <w:keepLines/>
      <w:spacing w:line="280" w:lineRule="atLeast"/>
    </w:pPr>
    <w:rPr>
      <w:rFonts w:ascii="Arial" w:hAnsi="Arial"/>
      <w:caps/>
      <w:sz w:val="18"/>
    </w:rPr>
  </w:style>
  <w:style w:type="paragraph" w:customStyle="1" w:styleId="RecB">
    <w:name w:val="RecB"/>
    <w:basedOn w:val="Normal"/>
    <w:rsid w:val="003E1A8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3E1A8F"/>
    <w:pPr>
      <w:numPr>
        <w:numId w:val="9"/>
      </w:numPr>
      <w:spacing w:before="80"/>
    </w:pPr>
  </w:style>
  <w:style w:type="paragraph" w:customStyle="1" w:styleId="RecBNoTitle">
    <w:name w:val="RecB NoTitle"/>
    <w:basedOn w:val="RecB"/>
    <w:rsid w:val="003E1A8F"/>
    <w:pPr>
      <w:spacing w:before="240"/>
    </w:pPr>
  </w:style>
  <w:style w:type="paragraph" w:customStyle="1" w:styleId="Reference">
    <w:name w:val="Reference"/>
    <w:basedOn w:val="BodyText"/>
    <w:link w:val="ReferenceChar"/>
    <w:rsid w:val="003E1A8F"/>
    <w:pPr>
      <w:spacing w:before="120"/>
      <w:ind w:left="340" w:hanging="340"/>
    </w:pPr>
  </w:style>
  <w:style w:type="paragraph" w:customStyle="1" w:styleId="SideNote">
    <w:name w:val="Side Note"/>
    <w:basedOn w:val="BodyText"/>
    <w:next w:val="BodyText"/>
    <w:semiHidden/>
    <w:rsid w:val="003E1A8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E1A8F"/>
    <w:pPr>
      <w:framePr w:wrap="around"/>
      <w:numPr>
        <w:numId w:val="4"/>
      </w:numPr>
      <w:tabs>
        <w:tab w:val="left" w:pos="227"/>
      </w:tabs>
    </w:pPr>
  </w:style>
  <w:style w:type="paragraph" w:customStyle="1" w:styleId="SideNoteGraphic">
    <w:name w:val="Side Note Graphic"/>
    <w:basedOn w:val="SideNote"/>
    <w:next w:val="BodyText"/>
    <w:semiHidden/>
    <w:rsid w:val="003E1A8F"/>
    <w:pPr>
      <w:framePr w:wrap="around"/>
    </w:pPr>
  </w:style>
  <w:style w:type="paragraph" w:customStyle="1" w:styleId="Source">
    <w:name w:val="Source"/>
    <w:basedOn w:val="Normal"/>
    <w:next w:val="BodyText"/>
    <w:link w:val="SourceChar"/>
    <w:rsid w:val="003E1A8F"/>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3E1A8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3E1A8F"/>
    <w:pPr>
      <w:numPr>
        <w:numId w:val="10"/>
      </w:numPr>
      <w:jc w:val="left"/>
    </w:pPr>
  </w:style>
  <w:style w:type="paragraph" w:customStyle="1" w:styleId="TableColumnHeading">
    <w:name w:val="Table Column Heading"/>
    <w:basedOn w:val="TableBodyText"/>
    <w:rsid w:val="003E1A8F"/>
    <w:pPr>
      <w:spacing w:before="80" w:after="80"/>
    </w:pPr>
    <w:rPr>
      <w:i/>
    </w:rPr>
  </w:style>
  <w:style w:type="paragraph" w:styleId="TableofFigures">
    <w:name w:val="table of figures"/>
    <w:basedOn w:val="TOC3"/>
    <w:next w:val="BodyText"/>
    <w:semiHidden/>
    <w:rsid w:val="003E1A8F"/>
    <w:pPr>
      <w:ind w:left="737" w:hanging="737"/>
    </w:pPr>
  </w:style>
  <w:style w:type="paragraph" w:styleId="TOC3">
    <w:name w:val="toc 3"/>
    <w:basedOn w:val="TOC2"/>
    <w:rsid w:val="003E1A8F"/>
    <w:pPr>
      <w:spacing w:before="60"/>
      <w:ind w:left="1190" w:hanging="680"/>
    </w:pPr>
  </w:style>
  <w:style w:type="paragraph" w:customStyle="1" w:styleId="TableTitle">
    <w:name w:val="Table Title"/>
    <w:basedOn w:val="Caption"/>
    <w:next w:val="Subtitle"/>
    <w:qFormat/>
    <w:rsid w:val="003E1A8F"/>
    <w:pPr>
      <w:spacing w:before="120"/>
    </w:pPr>
  </w:style>
  <w:style w:type="paragraph" w:customStyle="1" w:styleId="TableUnitsRow">
    <w:name w:val="Table Units Row"/>
    <w:basedOn w:val="TableBodyText"/>
    <w:rsid w:val="003E1A8F"/>
    <w:pPr>
      <w:spacing w:before="40"/>
    </w:pPr>
  </w:style>
  <w:style w:type="paragraph" w:styleId="TOC1">
    <w:name w:val="toc 1"/>
    <w:basedOn w:val="Normal"/>
    <w:next w:val="TOC2"/>
    <w:link w:val="TOC1Char"/>
    <w:rsid w:val="003E1A8F"/>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3E1A8F"/>
    <w:pPr>
      <w:ind w:left="1134" w:hanging="624"/>
    </w:pPr>
    <w:rPr>
      <w:b w:val="0"/>
    </w:rPr>
  </w:style>
  <w:style w:type="paragraph" w:styleId="TOC4">
    <w:name w:val="toc 4"/>
    <w:basedOn w:val="TOC3"/>
    <w:semiHidden/>
    <w:rsid w:val="003E1A8F"/>
    <w:pPr>
      <w:ind w:left="1191" w:firstLine="0"/>
    </w:pPr>
  </w:style>
  <w:style w:type="paragraph" w:customStyle="1" w:styleId="BoxContinued">
    <w:name w:val="Box Continued"/>
    <w:basedOn w:val="BodyText"/>
    <w:next w:val="BodyText"/>
    <w:link w:val="BoxContinuedChar"/>
    <w:semiHidden/>
    <w:rsid w:val="003E1A8F"/>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3E1A8F"/>
  </w:style>
  <w:style w:type="paragraph" w:customStyle="1" w:styleId="BoxHeading1">
    <w:name w:val="Box Heading 1"/>
    <w:basedOn w:val="BodyText"/>
    <w:next w:val="Box"/>
    <w:link w:val="BoxHeading1Char"/>
    <w:rsid w:val="003E1A8F"/>
    <w:pPr>
      <w:keepNext/>
      <w:spacing w:before="200" w:line="280" w:lineRule="atLeast"/>
    </w:pPr>
    <w:rPr>
      <w:rFonts w:ascii="Arial" w:hAnsi="Arial"/>
      <w:b/>
      <w:sz w:val="22"/>
    </w:rPr>
  </w:style>
  <w:style w:type="paragraph" w:customStyle="1" w:styleId="BoxHeading2">
    <w:name w:val="Box Heading 2"/>
    <w:basedOn w:val="BoxHeading1"/>
    <w:next w:val="Normal"/>
    <w:rsid w:val="003E1A8F"/>
    <w:rPr>
      <w:b w:val="0"/>
      <w:i/>
    </w:rPr>
  </w:style>
  <w:style w:type="character" w:customStyle="1" w:styleId="NoteChar">
    <w:name w:val="Note Char"/>
    <w:link w:val="Note"/>
    <w:rsid w:val="00C90AA7"/>
    <w:rPr>
      <w:rFonts w:ascii="Arial" w:hAnsi="Arial"/>
      <w:sz w:val="18"/>
    </w:rPr>
  </w:style>
  <w:style w:type="character" w:customStyle="1" w:styleId="BoxContinuedChar">
    <w:name w:val="Box Continued Char"/>
    <w:link w:val="BoxContinued"/>
    <w:semiHidden/>
    <w:rsid w:val="00C4212F"/>
    <w:rPr>
      <w:rFonts w:ascii="Arial" w:hAnsi="Arial"/>
      <w:sz w:val="18"/>
    </w:rPr>
  </w:style>
  <w:style w:type="character" w:customStyle="1" w:styleId="ContinuedChar">
    <w:name w:val="Continued Char"/>
    <w:basedOn w:val="BoxContinuedChar"/>
    <w:link w:val="Continued"/>
    <w:rsid w:val="00C4212F"/>
    <w:rPr>
      <w:rFonts w:ascii="Arial" w:hAnsi="Arial"/>
      <w:sz w:val="18"/>
    </w:rPr>
  </w:style>
  <w:style w:type="character" w:customStyle="1" w:styleId="BoxChar">
    <w:name w:val="Box Char"/>
    <w:link w:val="Box"/>
    <w:rsid w:val="00C90AA7"/>
    <w:rPr>
      <w:rFonts w:ascii="Arial" w:hAnsi="Arial"/>
    </w:rPr>
  </w:style>
  <w:style w:type="character" w:customStyle="1" w:styleId="BoxListNumberChar">
    <w:name w:val="Box List Number Char"/>
    <w:basedOn w:val="BoxChar"/>
    <w:link w:val="BoxListNumber"/>
    <w:rsid w:val="000F4BFC"/>
    <w:rPr>
      <w:rFonts w:ascii="Arial" w:hAnsi="Arial"/>
    </w:rPr>
  </w:style>
  <w:style w:type="character" w:customStyle="1" w:styleId="BoxListNumber2Char">
    <w:name w:val="Box List Number 2 Char"/>
    <w:basedOn w:val="BoxListNumberChar"/>
    <w:link w:val="BoxListNumber2"/>
    <w:rsid w:val="000F4BFC"/>
    <w:rPr>
      <w:rFonts w:ascii="Arial" w:hAnsi="Arial"/>
    </w:rPr>
  </w:style>
  <w:style w:type="paragraph" w:styleId="CommentSubject">
    <w:name w:val="annotation subject"/>
    <w:basedOn w:val="CommentText"/>
    <w:next w:val="CommentText"/>
    <w:semiHidden/>
    <w:rsid w:val="0004371C"/>
    <w:pPr>
      <w:spacing w:before="0" w:line="240" w:lineRule="auto"/>
      <w:ind w:left="0" w:firstLine="0"/>
    </w:pPr>
    <w:rPr>
      <w:b/>
      <w:bCs/>
    </w:rPr>
  </w:style>
  <w:style w:type="paragraph" w:styleId="BalloonText">
    <w:name w:val="Balloon Text"/>
    <w:basedOn w:val="Normal"/>
    <w:link w:val="BalloonTextChar"/>
    <w:rsid w:val="003E1A8F"/>
    <w:rPr>
      <w:rFonts w:ascii="Tahoma" w:hAnsi="Tahoma" w:cs="Tahoma"/>
      <w:sz w:val="16"/>
      <w:szCs w:val="16"/>
    </w:rPr>
  </w:style>
  <w:style w:type="character" w:customStyle="1" w:styleId="Heading1Char">
    <w:name w:val="Heading 1 Char"/>
    <w:link w:val="Heading1"/>
    <w:rsid w:val="00E764C2"/>
    <w:rPr>
      <w:sz w:val="52"/>
    </w:rPr>
  </w:style>
  <w:style w:type="character" w:customStyle="1" w:styleId="ChapterChar">
    <w:name w:val="Chapter Char"/>
    <w:basedOn w:val="Heading1Char"/>
    <w:link w:val="Chapter"/>
    <w:semiHidden/>
    <w:rsid w:val="00E764C2"/>
    <w:rPr>
      <w:sz w:val="52"/>
    </w:rPr>
  </w:style>
  <w:style w:type="character" w:customStyle="1" w:styleId="Heading2Char">
    <w:name w:val="Heading 2 Char"/>
    <w:link w:val="Heading2"/>
    <w:rsid w:val="00E764C2"/>
    <w:rPr>
      <w:rFonts w:ascii="Arial" w:hAnsi="Arial"/>
      <w:b/>
      <w:sz w:val="32"/>
    </w:rPr>
  </w:style>
  <w:style w:type="character" w:customStyle="1" w:styleId="Heading3Char">
    <w:name w:val="Heading 3 Char"/>
    <w:link w:val="Heading3"/>
    <w:rsid w:val="00E764C2"/>
    <w:rPr>
      <w:rFonts w:ascii="Arial" w:hAnsi="Arial"/>
      <w:b/>
      <w:sz w:val="26"/>
    </w:rPr>
  </w:style>
  <w:style w:type="character" w:customStyle="1" w:styleId="BoxListBulletChar">
    <w:name w:val="Box List Bullet Char"/>
    <w:basedOn w:val="BoxChar"/>
    <w:link w:val="BoxListBullet"/>
    <w:rsid w:val="00746CA7"/>
    <w:rPr>
      <w:rFonts w:ascii="Arial" w:hAnsi="Arial"/>
    </w:rPr>
  </w:style>
  <w:style w:type="paragraph" w:styleId="DocumentMap">
    <w:name w:val="Document Map"/>
    <w:basedOn w:val="Normal"/>
    <w:semiHidden/>
    <w:rsid w:val="00025E5F"/>
    <w:pPr>
      <w:shd w:val="clear" w:color="auto" w:fill="000080"/>
    </w:pPr>
    <w:rPr>
      <w:rFonts w:ascii="Tahoma" w:hAnsi="Tahoma" w:cs="Tahoma"/>
      <w:sz w:val="20"/>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3E1A8F"/>
    <w:rPr>
      <w:sz w:val="24"/>
    </w:rPr>
  </w:style>
  <w:style w:type="character" w:customStyle="1" w:styleId="TableBodyTextChar">
    <w:name w:val="Table Body Text Char"/>
    <w:link w:val="TableBodyText"/>
    <w:rsid w:val="00FD28F6"/>
    <w:rPr>
      <w:rFonts w:ascii="Arial" w:hAnsi="Arial"/>
      <w:sz w:val="18"/>
    </w:rPr>
  </w:style>
  <w:style w:type="character" w:customStyle="1" w:styleId="TableBulletChar">
    <w:name w:val="Table Bullet Char"/>
    <w:basedOn w:val="TableBodyTextChar"/>
    <w:link w:val="TableBullet"/>
    <w:rsid w:val="00AB3040"/>
    <w:rPr>
      <w:rFonts w:ascii="Arial" w:hAnsi="Arial"/>
      <w:sz w:val="18"/>
    </w:rPr>
  </w:style>
  <w:style w:type="paragraph" w:customStyle="1" w:styleId="Jurisdictioncommentsbodytext">
    <w:name w:val="Jurisdiction comments body text"/>
    <w:link w:val="JurisdictioncommentsbodytextChar"/>
    <w:rsid w:val="003E1A8F"/>
    <w:pPr>
      <w:spacing w:after="140"/>
      <w:jc w:val="both"/>
    </w:pPr>
    <w:rPr>
      <w:rFonts w:ascii="Arial" w:hAnsi="Arial"/>
      <w:sz w:val="24"/>
      <w:lang w:eastAsia="en-US"/>
    </w:rPr>
  </w:style>
  <w:style w:type="paragraph" w:customStyle="1" w:styleId="Jurisdictioncommentsheading">
    <w:name w:val="Jurisdiction comments heading"/>
    <w:rsid w:val="003E1A8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E1A8F"/>
    <w:pPr>
      <w:numPr>
        <w:numId w:val="12"/>
      </w:numPr>
      <w:spacing w:after="140"/>
      <w:jc w:val="both"/>
    </w:pPr>
    <w:rPr>
      <w:rFonts w:ascii="Arial" w:hAnsi="Arial"/>
      <w:sz w:val="24"/>
      <w:lang w:eastAsia="en-US"/>
    </w:rPr>
  </w:style>
  <w:style w:type="character" w:customStyle="1" w:styleId="BoxHeading1Char">
    <w:name w:val="Box Heading 1 Char"/>
    <w:link w:val="BoxHeading1"/>
    <w:rsid w:val="007F6FAD"/>
    <w:rPr>
      <w:rFonts w:ascii="Arial" w:hAnsi="Arial"/>
      <w:b/>
      <w:sz w:val="22"/>
    </w:rPr>
  </w:style>
  <w:style w:type="table" w:styleId="TableGrid">
    <w:name w:val="Table Grid"/>
    <w:basedOn w:val="TableNormal"/>
    <w:rsid w:val="003E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0D66"/>
    <w:rPr>
      <w:color w:val="0000FF"/>
      <w:u w:val="single"/>
    </w:rPr>
  </w:style>
  <w:style w:type="character" w:customStyle="1" w:styleId="JurisdictioncommentsbodytextChar">
    <w:name w:val="Jurisdiction comments body text Char"/>
    <w:link w:val="Jurisdictioncommentsbodytext"/>
    <w:rsid w:val="00646C46"/>
    <w:rPr>
      <w:rFonts w:ascii="Arial" w:hAnsi="Arial"/>
      <w:sz w:val="24"/>
      <w:lang w:eastAsia="en-US"/>
    </w:rPr>
  </w:style>
  <w:style w:type="character" w:customStyle="1" w:styleId="ListBulletChar">
    <w:name w:val="List Bullet Char"/>
    <w:basedOn w:val="BodyTextChar"/>
    <w:link w:val="ListBullet"/>
    <w:rsid w:val="00F70B21"/>
    <w:rPr>
      <w:sz w:val="24"/>
    </w:rPr>
  </w:style>
  <w:style w:type="paragraph" w:customStyle="1" w:styleId="SOC">
    <w:name w:val="SOC"/>
    <w:basedOn w:val="BodyText"/>
    <w:rsid w:val="006A272C"/>
    <w:pPr>
      <w:spacing w:before="0" w:after="140" w:line="240" w:lineRule="auto"/>
    </w:pPr>
    <w:rPr>
      <w:rFonts w:ascii="Arial" w:hAnsi="Arial"/>
    </w:rPr>
  </w:style>
  <w:style w:type="character" w:styleId="FollowedHyperlink">
    <w:name w:val="FollowedHyperlink"/>
    <w:rsid w:val="00825582"/>
    <w:rPr>
      <w:color w:val="800080"/>
      <w:u w:val="single"/>
    </w:rPr>
  </w:style>
  <w:style w:type="paragraph" w:customStyle="1" w:styleId="DocInfo">
    <w:name w:val="Doc Info"/>
    <w:basedOn w:val="Normal"/>
    <w:next w:val="Normal"/>
    <w:rsid w:val="006A272C"/>
    <w:pPr>
      <w:jc w:val="center"/>
    </w:pPr>
    <w:rPr>
      <w:rFonts w:ascii="Arial" w:hAnsi="Arial"/>
      <w:sz w:val="14"/>
    </w:rPr>
  </w:style>
  <w:style w:type="paragraph" w:customStyle="1" w:styleId="Heading2NotTOC">
    <w:name w:val="Heading 2 Not TOC"/>
    <w:basedOn w:val="Heading2"/>
    <w:next w:val="BodyText"/>
    <w:rsid w:val="006A272C"/>
    <w:pPr>
      <w:outlineLvl w:val="9"/>
    </w:pPr>
  </w:style>
  <w:style w:type="paragraph" w:customStyle="1" w:styleId="indenta">
    <w:name w:val="indent(a)"/>
    <w:aliases w:val="a"/>
    <w:basedOn w:val="Normal"/>
    <w:rsid w:val="002A749F"/>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
    <w:name w:val="Subsection"/>
    <w:aliases w:val="ss"/>
    <w:basedOn w:val="Normal"/>
    <w:rsid w:val="002A749F"/>
    <w:pPr>
      <w:tabs>
        <w:tab w:val="right" w:pos="1021"/>
      </w:tabs>
      <w:autoSpaceDE w:val="0"/>
      <w:autoSpaceDN w:val="0"/>
      <w:spacing w:before="180" w:line="260" w:lineRule="atLeast"/>
      <w:ind w:left="1134" w:hanging="1134"/>
    </w:pPr>
    <w:rPr>
      <w:rFonts w:ascii="Times" w:hAnsi="Times" w:cs="Times"/>
      <w:sz w:val="22"/>
      <w:szCs w:val="22"/>
    </w:rPr>
  </w:style>
  <w:style w:type="paragraph" w:customStyle="1" w:styleId="TableFigSubtotal">
    <w:name w:val="Table/Fig: Subtotal"/>
    <w:basedOn w:val="Normal"/>
    <w:next w:val="Normal"/>
    <w:rsid w:val="001E1EB5"/>
    <w:pPr>
      <w:keepLines/>
      <w:tabs>
        <w:tab w:val="left" w:pos="198"/>
      </w:tabs>
      <w:spacing w:before="60" w:after="60" w:line="200" w:lineRule="atLeast"/>
    </w:pPr>
    <w:rPr>
      <w:rFonts w:ascii="Arial" w:hAnsi="Arial"/>
      <w:i/>
      <w:color w:val="000000"/>
      <w:sz w:val="16"/>
      <w:szCs w:val="20"/>
      <w:lang w:eastAsia="en-US"/>
    </w:rPr>
  </w:style>
  <w:style w:type="character" w:customStyle="1" w:styleId="Heading4Char">
    <w:name w:val="Heading 4 Char"/>
    <w:link w:val="Heading4"/>
    <w:rsid w:val="007A2A0F"/>
    <w:rPr>
      <w:rFonts w:ascii="Arial" w:hAnsi="Arial"/>
      <w:sz w:val="24"/>
    </w:rPr>
  </w:style>
  <w:style w:type="character" w:customStyle="1" w:styleId="Heading5Char">
    <w:name w:val="Heading 5 Char"/>
    <w:basedOn w:val="DefaultParagraphFont"/>
    <w:link w:val="Heading5"/>
    <w:rsid w:val="003E1A8F"/>
    <w:rPr>
      <w:rFonts w:ascii="Arial" w:hAnsi="Arial"/>
      <w:i/>
      <w:sz w:val="22"/>
    </w:rPr>
  </w:style>
  <w:style w:type="paragraph" w:customStyle="1" w:styleId="NoteCharCharCharChar">
    <w:name w:val="Note Char Char Char Char"/>
    <w:basedOn w:val="BodyText"/>
    <w:next w:val="Source"/>
    <w:link w:val="NoteCharCharCharCharChar"/>
    <w:rsid w:val="00511FA1"/>
    <w:pPr>
      <w:keepLines/>
      <w:spacing w:before="80" w:line="220" w:lineRule="exact"/>
    </w:pPr>
    <w:rPr>
      <w:rFonts w:ascii="Arial" w:hAnsi="Arial"/>
      <w:sz w:val="18"/>
      <w:lang w:eastAsia="en-US"/>
    </w:rPr>
  </w:style>
  <w:style w:type="character" w:customStyle="1" w:styleId="NoteCharCharCharCharChar">
    <w:name w:val="Note Char Char Char Char Char"/>
    <w:link w:val="NoteCharCharCharChar"/>
    <w:rsid w:val="00511FA1"/>
    <w:rPr>
      <w:rFonts w:ascii="Arial" w:hAnsi="Arial"/>
      <w:sz w:val="18"/>
      <w:lang w:val="en-AU" w:eastAsia="en-US" w:bidi="ar-SA"/>
    </w:rPr>
  </w:style>
  <w:style w:type="paragraph" w:customStyle="1" w:styleId="AIHWbodytext">
    <w:name w:val="AIHW body text"/>
    <w:link w:val="AIHWbodytextChar"/>
    <w:rsid w:val="00AC60CE"/>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rsid w:val="00AC60CE"/>
    <w:rPr>
      <w:rFonts w:ascii="Book Antiqua" w:hAnsi="Book Antiqua"/>
      <w:color w:val="000000"/>
      <w:sz w:val="22"/>
      <w:lang w:val="en-AU" w:eastAsia="en-US" w:bidi="ar-SA"/>
    </w:rPr>
  </w:style>
  <w:style w:type="character" w:customStyle="1" w:styleId="CaptionChar">
    <w:name w:val="Caption Char"/>
    <w:link w:val="Caption"/>
    <w:rsid w:val="00BD7D82"/>
    <w:rPr>
      <w:rFonts w:ascii="Arial" w:hAnsi="Arial"/>
      <w:b/>
      <w:sz w:val="24"/>
      <w:szCs w:val="24"/>
    </w:rPr>
  </w:style>
  <w:style w:type="character" w:customStyle="1" w:styleId="BoxTitleChar">
    <w:name w:val="Box Title Char"/>
    <w:basedOn w:val="CaptionChar"/>
    <w:link w:val="BoxTitle"/>
    <w:rsid w:val="00BD7D82"/>
    <w:rPr>
      <w:rFonts w:ascii="Arial" w:hAnsi="Arial"/>
      <w:b/>
      <w:sz w:val="24"/>
      <w:szCs w:val="24"/>
    </w:rPr>
  </w:style>
  <w:style w:type="character" w:customStyle="1" w:styleId="FigureTitleChar">
    <w:name w:val="Figure Title Char"/>
    <w:basedOn w:val="CaptionChar"/>
    <w:link w:val="FigureTitle"/>
    <w:rsid w:val="008962EF"/>
    <w:rPr>
      <w:rFonts w:ascii="Arial" w:hAnsi="Arial"/>
      <w:b/>
      <w:sz w:val="24"/>
      <w:szCs w:val="24"/>
    </w:rPr>
  </w:style>
  <w:style w:type="paragraph" w:customStyle="1" w:styleId="Bullet1">
    <w:name w:val="Bullet 1"/>
    <w:basedOn w:val="Normal"/>
    <w:link w:val="Bullet1Char"/>
    <w:rsid w:val="004028DB"/>
    <w:pPr>
      <w:numPr>
        <w:numId w:val="15"/>
      </w:numPr>
      <w:spacing w:before="40" w:after="40" w:line="260" w:lineRule="atLeast"/>
    </w:pPr>
    <w:rPr>
      <w:rFonts w:ascii="Book Antiqua" w:hAnsi="Book Antiqua"/>
      <w:color w:val="000000"/>
      <w:sz w:val="22"/>
      <w:szCs w:val="20"/>
      <w:lang w:eastAsia="en-US"/>
    </w:rPr>
  </w:style>
  <w:style w:type="character" w:customStyle="1" w:styleId="Bullet1Char">
    <w:name w:val="Bullet 1 Char"/>
    <w:link w:val="Bullet1"/>
    <w:locked/>
    <w:rsid w:val="004028DB"/>
    <w:rPr>
      <w:rFonts w:ascii="Book Antiqua" w:hAnsi="Book Antiqua"/>
      <w:color w:val="000000"/>
      <w:sz w:val="22"/>
      <w:lang w:eastAsia="en-US"/>
    </w:rPr>
  </w:style>
  <w:style w:type="paragraph" w:customStyle="1" w:styleId="Body2">
    <w:name w:val="Body 2"/>
    <w:basedOn w:val="Normal"/>
    <w:rsid w:val="003C1C08"/>
    <w:pPr>
      <w:overflowPunct w:val="0"/>
      <w:autoSpaceDE w:val="0"/>
      <w:autoSpaceDN w:val="0"/>
      <w:adjustRightInd w:val="0"/>
      <w:spacing w:after="240"/>
      <w:ind w:left="1440"/>
      <w:textAlignment w:val="baseline"/>
    </w:pPr>
    <w:rPr>
      <w:szCs w:val="20"/>
      <w:lang w:eastAsia="en-US"/>
    </w:rPr>
  </w:style>
  <w:style w:type="paragraph" w:customStyle="1" w:styleId="TableBullet2">
    <w:name w:val="Table Bullet 2"/>
    <w:basedOn w:val="TableBullet"/>
    <w:rsid w:val="00332CE0"/>
  </w:style>
  <w:style w:type="character" w:customStyle="1" w:styleId="BoxSourceChar">
    <w:name w:val="Box Source Char"/>
    <w:basedOn w:val="SourceChar"/>
    <w:link w:val="BoxSource"/>
    <w:rsid w:val="00B87D7A"/>
    <w:rPr>
      <w:rFonts w:ascii="Arial" w:hAnsi="Arial"/>
      <w:sz w:val="18"/>
    </w:rPr>
  </w:style>
  <w:style w:type="paragraph" w:customStyle="1" w:styleId="Headinglevel3">
    <w:name w:val="Heading level 3"/>
    <w:basedOn w:val="BodyText"/>
    <w:rsid w:val="00635ED2"/>
  </w:style>
  <w:style w:type="paragraph" w:customStyle="1" w:styleId="Default">
    <w:name w:val="Default"/>
    <w:rsid w:val="005F6B08"/>
    <w:pPr>
      <w:widowControl w:val="0"/>
      <w:autoSpaceDE w:val="0"/>
      <w:autoSpaceDN w:val="0"/>
      <w:adjustRightInd w:val="0"/>
    </w:pPr>
    <w:rPr>
      <w:rFonts w:ascii="Gotham" w:hAnsi="Gotham" w:cs="Gotham"/>
      <w:color w:val="000000"/>
      <w:sz w:val="24"/>
      <w:szCs w:val="24"/>
      <w:lang w:val="en-US" w:eastAsia="en-US"/>
    </w:rPr>
  </w:style>
  <w:style w:type="paragraph" w:styleId="Revision">
    <w:name w:val="Revision"/>
    <w:hidden/>
    <w:uiPriority w:val="99"/>
    <w:semiHidden/>
    <w:rsid w:val="00FB3977"/>
    <w:rPr>
      <w:sz w:val="26"/>
      <w:szCs w:val="24"/>
    </w:rPr>
  </w:style>
  <w:style w:type="paragraph" w:customStyle="1" w:styleId="RecBBullet2">
    <w:name w:val="RecB Bullet 2"/>
    <w:basedOn w:val="ListBullet2"/>
    <w:semiHidden/>
    <w:rsid w:val="003E1A8F"/>
    <w:pPr>
      <w:pBdr>
        <w:left w:val="single" w:sz="24" w:space="29" w:color="C0C0C0"/>
      </w:pBdr>
    </w:pPr>
    <w:rPr>
      <w:b/>
      <w:i/>
    </w:rPr>
  </w:style>
  <w:style w:type="character" w:customStyle="1" w:styleId="BalloonTextChar">
    <w:name w:val="Balloon Text Char"/>
    <w:basedOn w:val="DefaultParagraphFont"/>
    <w:link w:val="BalloonText"/>
    <w:rsid w:val="003E1A8F"/>
    <w:rPr>
      <w:rFonts w:ascii="Tahoma" w:hAnsi="Tahoma" w:cs="Tahoma"/>
      <w:sz w:val="16"/>
      <w:szCs w:val="16"/>
    </w:rPr>
  </w:style>
  <w:style w:type="character" w:customStyle="1" w:styleId="SubtitleChar">
    <w:name w:val="Subtitle Char"/>
    <w:basedOn w:val="DefaultParagraphFont"/>
    <w:link w:val="Subtitle"/>
    <w:rsid w:val="003E1A8F"/>
    <w:rPr>
      <w:rFonts w:ascii="Arial" w:hAnsi="Arial"/>
      <w:szCs w:val="24"/>
    </w:rPr>
  </w:style>
  <w:style w:type="paragraph" w:customStyle="1" w:styleId="BoxListBullet3">
    <w:name w:val="Box List Bullet 3"/>
    <w:basedOn w:val="ListBullet3"/>
    <w:rsid w:val="003E1A8F"/>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E1A8F"/>
    <w:rPr>
      <w:i/>
      <w:iCs/>
    </w:rPr>
  </w:style>
  <w:style w:type="paragraph" w:customStyle="1" w:styleId="BoxQuoteBullet">
    <w:name w:val="Box Quote Bullet"/>
    <w:basedOn w:val="BoxQuote"/>
    <w:next w:val="Box"/>
    <w:rsid w:val="003E1A8F"/>
    <w:pPr>
      <w:numPr>
        <w:numId w:val="16"/>
      </w:numPr>
      <w:ind w:left="568" w:hanging="284"/>
    </w:pPr>
  </w:style>
  <w:style w:type="paragraph" w:customStyle="1" w:styleId="InformationRequestBullet">
    <w:name w:val="Information Request Bullet"/>
    <w:basedOn w:val="ListBullet"/>
    <w:next w:val="BodyText"/>
    <w:rsid w:val="003E1A8F"/>
    <w:pPr>
      <w:numPr>
        <w:numId w:val="17"/>
      </w:numPr>
      <w:spacing w:before="80" w:line="280" w:lineRule="atLeast"/>
      <w:ind w:left="357" w:hanging="357"/>
    </w:pPr>
    <w:rPr>
      <w:rFonts w:ascii="Arial" w:hAnsi="Arial"/>
      <w:i/>
      <w:sz w:val="22"/>
    </w:rPr>
  </w:style>
  <w:style w:type="paragraph" w:customStyle="1" w:styleId="BoxSpaceAbove">
    <w:name w:val="Box Space Above"/>
    <w:basedOn w:val="BodyText"/>
    <w:rsid w:val="003E1A8F"/>
    <w:pPr>
      <w:keepNext/>
      <w:spacing w:before="360" w:line="80" w:lineRule="exact"/>
      <w:jc w:val="left"/>
    </w:pPr>
  </w:style>
  <w:style w:type="paragraph" w:customStyle="1" w:styleId="BoxSpaceBelow">
    <w:name w:val="Box Space Below"/>
    <w:basedOn w:val="Box"/>
    <w:rsid w:val="003E1A8F"/>
    <w:pPr>
      <w:keepNext w:val="0"/>
      <w:spacing w:before="60" w:after="60" w:line="80" w:lineRule="exact"/>
    </w:pPr>
    <w:rPr>
      <w:sz w:val="14"/>
    </w:rPr>
  </w:style>
  <w:style w:type="character" w:customStyle="1" w:styleId="HeaderChar">
    <w:name w:val="Header Char"/>
    <w:basedOn w:val="DefaultParagraphFont"/>
    <w:link w:val="Header"/>
    <w:locked/>
    <w:rsid w:val="00521C4B"/>
    <w:rPr>
      <w:rFonts w:ascii="Arial" w:hAnsi="Arial"/>
      <w:caps/>
      <w:sz w:val="24"/>
    </w:rPr>
  </w:style>
  <w:style w:type="paragraph" w:styleId="PlainText">
    <w:name w:val="Plain Text"/>
    <w:basedOn w:val="Normal"/>
    <w:link w:val="PlainTextChar"/>
    <w:uiPriority w:val="99"/>
    <w:unhideWhenUsed/>
    <w:rsid w:val="0057218F"/>
    <w:pPr>
      <w:spacing w:after="200" w:line="276" w:lineRule="auto"/>
    </w:pPr>
    <w:rPr>
      <w:rFonts w:ascii="Gill Sans MT" w:eastAsiaTheme="minorHAnsi" w:hAnsi="Gill Sans MT" w:cstheme="minorBidi"/>
      <w:sz w:val="22"/>
      <w:szCs w:val="22"/>
      <w:lang w:eastAsia="en-US"/>
    </w:rPr>
  </w:style>
  <w:style w:type="character" w:customStyle="1" w:styleId="PlainTextChar">
    <w:name w:val="Plain Text Char"/>
    <w:basedOn w:val="DefaultParagraphFont"/>
    <w:link w:val="PlainText"/>
    <w:uiPriority w:val="99"/>
    <w:rsid w:val="0057218F"/>
    <w:rPr>
      <w:rFonts w:ascii="Gill Sans MT" w:eastAsiaTheme="minorHAnsi" w:hAnsi="Gill Sans MT" w:cstheme="minorBidi"/>
      <w:sz w:val="22"/>
      <w:szCs w:val="22"/>
      <w:lang w:eastAsia="en-US"/>
    </w:rPr>
  </w:style>
  <w:style w:type="character" w:customStyle="1" w:styleId="ReferenceChar">
    <w:name w:val="Reference Char"/>
    <w:link w:val="Reference"/>
    <w:rsid w:val="00FC57F3"/>
    <w:rPr>
      <w:sz w:val="24"/>
    </w:rPr>
  </w:style>
  <w:style w:type="paragraph" w:customStyle="1" w:styleId="KeyPointsListBullet">
    <w:name w:val="Key Points List Bullet"/>
    <w:basedOn w:val="Normal"/>
    <w:qFormat/>
    <w:rsid w:val="003E1A8F"/>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E1A8F"/>
    <w:pPr>
      <w:numPr>
        <w:numId w:val="20"/>
      </w:numPr>
      <w:ind w:left="568" w:hanging="284"/>
    </w:pPr>
  </w:style>
  <w:style w:type="paragraph" w:customStyle="1" w:styleId="InformationRequestTitle">
    <w:name w:val="Information Request Title"/>
    <w:basedOn w:val="FindingTitle"/>
    <w:next w:val="InformationRequest"/>
    <w:rsid w:val="003E1A8F"/>
    <w:rPr>
      <w:i/>
    </w:rPr>
  </w:style>
  <w:style w:type="paragraph" w:customStyle="1" w:styleId="Space">
    <w:name w:val="Space"/>
    <w:basedOn w:val="Normal"/>
    <w:rsid w:val="003E1A8F"/>
    <w:pPr>
      <w:keepNext/>
      <w:spacing w:line="120" w:lineRule="exact"/>
      <w:jc w:val="both"/>
    </w:pPr>
    <w:rPr>
      <w:rFonts w:ascii="Arial" w:hAnsi="Arial"/>
      <w:sz w:val="20"/>
      <w:szCs w:val="20"/>
    </w:rPr>
  </w:style>
  <w:style w:type="paragraph" w:customStyle="1" w:styleId="Heading1nochapterno">
    <w:name w:val="Heading 1 (no chapter no.)"/>
    <w:basedOn w:val="Heading1"/>
    <w:rsid w:val="003E1A8F"/>
    <w:pPr>
      <w:spacing w:before="0"/>
      <w:ind w:left="0" w:firstLine="0"/>
    </w:pPr>
  </w:style>
  <w:style w:type="paragraph" w:customStyle="1" w:styleId="Heading2nosectionno">
    <w:name w:val="Heading 2 (no section no.)"/>
    <w:basedOn w:val="Heading2"/>
    <w:rsid w:val="003E1A8F"/>
    <w:pPr>
      <w:ind w:left="0" w:firstLine="0"/>
    </w:pPr>
  </w:style>
  <w:style w:type="paragraph" w:customStyle="1" w:styleId="Figurespace">
    <w:name w:val="Figure space"/>
    <w:basedOn w:val="Box"/>
    <w:rsid w:val="003E1A8F"/>
    <w:pPr>
      <w:spacing w:before="0" w:line="120" w:lineRule="exact"/>
    </w:pPr>
  </w:style>
  <w:style w:type="paragraph" w:customStyle="1" w:styleId="FooterDraftReport">
    <w:name w:val="FooterDraftReport"/>
    <w:basedOn w:val="Footer"/>
    <w:link w:val="FooterDraftReportChar"/>
    <w:rsid w:val="003E1A8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3E1A8F"/>
    <w:rPr>
      <w:rFonts w:ascii="Arial" w:hAnsi="Arial"/>
      <w:caps/>
      <w:spacing w:val="-4"/>
      <w:sz w:val="16"/>
    </w:rPr>
  </w:style>
  <w:style w:type="character" w:customStyle="1" w:styleId="FooterDraftReportChar">
    <w:name w:val="FooterDraftReport Char"/>
    <w:basedOn w:val="FooterChar"/>
    <w:link w:val="FooterDraftReport"/>
    <w:rsid w:val="003E1A8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E1A8F"/>
    <w:rPr>
      <w:rFonts w:ascii="Arial" w:hAnsi="Arial"/>
      <w:b/>
      <w:sz w:val="26"/>
      <w:szCs w:val="26"/>
      <w:lang w:eastAsia="en-US"/>
    </w:rPr>
  </w:style>
  <w:style w:type="paragraph" w:customStyle="1" w:styleId="Heading1NotTOC">
    <w:name w:val="Heading 1 Not TOC"/>
    <w:basedOn w:val="Heading1"/>
    <w:next w:val="BodyText"/>
    <w:rsid w:val="006C0B56"/>
    <w:rPr>
      <w:kern w:val="28"/>
      <w:szCs w:val="26"/>
      <w:lang w:eastAsia="en-US"/>
    </w:rPr>
  </w:style>
  <w:style w:type="character" w:styleId="Strong">
    <w:name w:val="Strong"/>
    <w:basedOn w:val="DefaultParagraphFont"/>
    <w:uiPriority w:val="99"/>
    <w:qFormat/>
    <w:rsid w:val="001D1651"/>
    <w:rPr>
      <w:rFonts w:cs="Times New Roman"/>
      <w:b/>
    </w:rPr>
  </w:style>
  <w:style w:type="paragraph" w:customStyle="1" w:styleId="Responselevel1">
    <w:name w:val="Response (level 1)"/>
    <w:basedOn w:val="Normal"/>
    <w:semiHidden/>
    <w:rsid w:val="00B36A15"/>
    <w:pPr>
      <w:keepLines/>
      <w:numPr>
        <w:numId w:val="36"/>
      </w:numPr>
      <w:spacing w:before="240" w:after="60"/>
    </w:pPr>
    <w:rPr>
      <w:sz w:val="32"/>
      <w:szCs w:val="32"/>
    </w:rPr>
  </w:style>
  <w:style w:type="character" w:customStyle="1" w:styleId="CommentTextChar">
    <w:name w:val="Comment Text Char"/>
    <w:basedOn w:val="DefaultParagraphFont"/>
    <w:link w:val="CommentText"/>
    <w:semiHidden/>
    <w:rsid w:val="00B36A15"/>
    <w:rPr>
      <w:szCs w:val="24"/>
    </w:rPr>
  </w:style>
  <w:style w:type="character" w:customStyle="1" w:styleId="Continuedintitle">
    <w:name w:val="Continued (in title)"/>
    <w:basedOn w:val="DefaultParagraphFont"/>
    <w:rsid w:val="003E1A8F"/>
    <w:rPr>
      <w:rFonts w:ascii="Arial" w:hAnsi="Arial"/>
      <w:b/>
      <w:sz w:val="18"/>
    </w:rPr>
  </w:style>
  <w:style w:type="paragraph" w:styleId="ListParagraph">
    <w:name w:val="List Paragraph"/>
    <w:basedOn w:val="Normal"/>
    <w:uiPriority w:val="34"/>
    <w:qFormat/>
    <w:rsid w:val="00431DED"/>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6777">
      <w:bodyDiv w:val="1"/>
      <w:marLeft w:val="0"/>
      <w:marRight w:val="0"/>
      <w:marTop w:val="0"/>
      <w:marBottom w:val="0"/>
      <w:divBdr>
        <w:top w:val="none" w:sz="0" w:space="0" w:color="auto"/>
        <w:left w:val="none" w:sz="0" w:space="0" w:color="auto"/>
        <w:bottom w:val="none" w:sz="0" w:space="0" w:color="auto"/>
        <w:right w:val="none" w:sz="0" w:space="0" w:color="auto"/>
      </w:divBdr>
    </w:div>
    <w:div w:id="96945643">
      <w:bodyDiv w:val="1"/>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 w:id="1301305095">
          <w:marLeft w:val="0"/>
          <w:marRight w:val="0"/>
          <w:marTop w:val="0"/>
          <w:marBottom w:val="0"/>
          <w:divBdr>
            <w:top w:val="none" w:sz="0" w:space="0" w:color="auto"/>
            <w:left w:val="none" w:sz="0" w:space="0" w:color="auto"/>
            <w:bottom w:val="none" w:sz="0" w:space="0" w:color="auto"/>
            <w:right w:val="none" w:sz="0" w:space="0" w:color="auto"/>
          </w:divBdr>
          <w:divsChild>
            <w:div w:id="1875997105">
              <w:marLeft w:val="0"/>
              <w:marRight w:val="0"/>
              <w:marTop w:val="0"/>
              <w:marBottom w:val="0"/>
              <w:divBdr>
                <w:top w:val="none" w:sz="0" w:space="0" w:color="auto"/>
                <w:left w:val="none" w:sz="0" w:space="0" w:color="auto"/>
                <w:bottom w:val="none" w:sz="0" w:space="0" w:color="auto"/>
                <w:right w:val="none" w:sz="0" w:space="0" w:color="auto"/>
              </w:divBdr>
              <w:divsChild>
                <w:div w:id="13830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4963">
      <w:bodyDiv w:val="1"/>
      <w:marLeft w:val="0"/>
      <w:marRight w:val="0"/>
      <w:marTop w:val="0"/>
      <w:marBottom w:val="0"/>
      <w:divBdr>
        <w:top w:val="none" w:sz="0" w:space="0" w:color="auto"/>
        <w:left w:val="none" w:sz="0" w:space="0" w:color="auto"/>
        <w:bottom w:val="none" w:sz="0" w:space="0" w:color="auto"/>
        <w:right w:val="none" w:sz="0" w:space="0" w:color="auto"/>
      </w:divBdr>
    </w:div>
    <w:div w:id="111175266">
      <w:bodyDiv w:val="1"/>
      <w:marLeft w:val="0"/>
      <w:marRight w:val="0"/>
      <w:marTop w:val="0"/>
      <w:marBottom w:val="0"/>
      <w:divBdr>
        <w:top w:val="none" w:sz="0" w:space="0" w:color="auto"/>
        <w:left w:val="none" w:sz="0" w:space="0" w:color="auto"/>
        <w:bottom w:val="none" w:sz="0" w:space="0" w:color="auto"/>
        <w:right w:val="none" w:sz="0" w:space="0" w:color="auto"/>
      </w:divBdr>
    </w:div>
    <w:div w:id="115955365">
      <w:bodyDiv w:val="1"/>
      <w:marLeft w:val="0"/>
      <w:marRight w:val="0"/>
      <w:marTop w:val="0"/>
      <w:marBottom w:val="0"/>
      <w:divBdr>
        <w:top w:val="none" w:sz="0" w:space="0" w:color="auto"/>
        <w:left w:val="none" w:sz="0" w:space="0" w:color="auto"/>
        <w:bottom w:val="none" w:sz="0" w:space="0" w:color="auto"/>
        <w:right w:val="none" w:sz="0" w:space="0" w:color="auto"/>
      </w:divBdr>
    </w:div>
    <w:div w:id="122429710">
      <w:bodyDiv w:val="1"/>
      <w:marLeft w:val="0"/>
      <w:marRight w:val="0"/>
      <w:marTop w:val="0"/>
      <w:marBottom w:val="0"/>
      <w:divBdr>
        <w:top w:val="none" w:sz="0" w:space="0" w:color="auto"/>
        <w:left w:val="none" w:sz="0" w:space="0" w:color="auto"/>
        <w:bottom w:val="none" w:sz="0" w:space="0" w:color="auto"/>
        <w:right w:val="none" w:sz="0" w:space="0" w:color="auto"/>
      </w:divBdr>
    </w:div>
    <w:div w:id="138885758">
      <w:bodyDiv w:val="1"/>
      <w:marLeft w:val="0"/>
      <w:marRight w:val="0"/>
      <w:marTop w:val="0"/>
      <w:marBottom w:val="0"/>
      <w:divBdr>
        <w:top w:val="none" w:sz="0" w:space="0" w:color="auto"/>
        <w:left w:val="none" w:sz="0" w:space="0" w:color="auto"/>
        <w:bottom w:val="none" w:sz="0" w:space="0" w:color="auto"/>
        <w:right w:val="none" w:sz="0" w:space="0" w:color="auto"/>
      </w:divBdr>
    </w:div>
    <w:div w:id="139271703">
      <w:bodyDiv w:val="1"/>
      <w:marLeft w:val="0"/>
      <w:marRight w:val="0"/>
      <w:marTop w:val="0"/>
      <w:marBottom w:val="0"/>
      <w:divBdr>
        <w:top w:val="none" w:sz="0" w:space="0" w:color="auto"/>
        <w:left w:val="none" w:sz="0" w:space="0" w:color="auto"/>
        <w:bottom w:val="none" w:sz="0" w:space="0" w:color="auto"/>
        <w:right w:val="none" w:sz="0" w:space="0" w:color="auto"/>
      </w:divBdr>
    </w:div>
    <w:div w:id="141040823">
      <w:bodyDiv w:val="1"/>
      <w:marLeft w:val="0"/>
      <w:marRight w:val="0"/>
      <w:marTop w:val="0"/>
      <w:marBottom w:val="0"/>
      <w:divBdr>
        <w:top w:val="none" w:sz="0" w:space="0" w:color="auto"/>
        <w:left w:val="none" w:sz="0" w:space="0" w:color="auto"/>
        <w:bottom w:val="none" w:sz="0" w:space="0" w:color="auto"/>
        <w:right w:val="none" w:sz="0" w:space="0" w:color="auto"/>
      </w:divBdr>
    </w:div>
    <w:div w:id="144662586">
      <w:bodyDiv w:val="1"/>
      <w:marLeft w:val="0"/>
      <w:marRight w:val="0"/>
      <w:marTop w:val="0"/>
      <w:marBottom w:val="0"/>
      <w:divBdr>
        <w:top w:val="none" w:sz="0" w:space="0" w:color="auto"/>
        <w:left w:val="none" w:sz="0" w:space="0" w:color="auto"/>
        <w:bottom w:val="none" w:sz="0" w:space="0" w:color="auto"/>
        <w:right w:val="none" w:sz="0" w:space="0" w:color="auto"/>
      </w:divBdr>
    </w:div>
    <w:div w:id="187381004">
      <w:bodyDiv w:val="1"/>
      <w:marLeft w:val="0"/>
      <w:marRight w:val="0"/>
      <w:marTop w:val="0"/>
      <w:marBottom w:val="0"/>
      <w:divBdr>
        <w:top w:val="none" w:sz="0" w:space="0" w:color="auto"/>
        <w:left w:val="none" w:sz="0" w:space="0" w:color="auto"/>
        <w:bottom w:val="none" w:sz="0" w:space="0" w:color="auto"/>
        <w:right w:val="none" w:sz="0" w:space="0" w:color="auto"/>
      </w:divBdr>
    </w:div>
    <w:div w:id="221527251">
      <w:bodyDiv w:val="1"/>
      <w:marLeft w:val="0"/>
      <w:marRight w:val="0"/>
      <w:marTop w:val="0"/>
      <w:marBottom w:val="0"/>
      <w:divBdr>
        <w:top w:val="none" w:sz="0" w:space="0" w:color="auto"/>
        <w:left w:val="none" w:sz="0" w:space="0" w:color="auto"/>
        <w:bottom w:val="none" w:sz="0" w:space="0" w:color="auto"/>
        <w:right w:val="none" w:sz="0" w:space="0" w:color="auto"/>
      </w:divBdr>
    </w:div>
    <w:div w:id="246421354">
      <w:bodyDiv w:val="1"/>
      <w:marLeft w:val="0"/>
      <w:marRight w:val="0"/>
      <w:marTop w:val="0"/>
      <w:marBottom w:val="0"/>
      <w:divBdr>
        <w:top w:val="none" w:sz="0" w:space="0" w:color="auto"/>
        <w:left w:val="none" w:sz="0" w:space="0" w:color="auto"/>
        <w:bottom w:val="none" w:sz="0" w:space="0" w:color="auto"/>
        <w:right w:val="none" w:sz="0" w:space="0" w:color="auto"/>
      </w:divBdr>
    </w:div>
    <w:div w:id="275988250">
      <w:bodyDiv w:val="1"/>
      <w:marLeft w:val="0"/>
      <w:marRight w:val="0"/>
      <w:marTop w:val="0"/>
      <w:marBottom w:val="0"/>
      <w:divBdr>
        <w:top w:val="none" w:sz="0" w:space="0" w:color="auto"/>
        <w:left w:val="none" w:sz="0" w:space="0" w:color="auto"/>
        <w:bottom w:val="none" w:sz="0" w:space="0" w:color="auto"/>
        <w:right w:val="none" w:sz="0" w:space="0" w:color="auto"/>
      </w:divBdr>
    </w:div>
    <w:div w:id="360474415">
      <w:bodyDiv w:val="1"/>
      <w:marLeft w:val="0"/>
      <w:marRight w:val="0"/>
      <w:marTop w:val="0"/>
      <w:marBottom w:val="0"/>
      <w:divBdr>
        <w:top w:val="none" w:sz="0" w:space="0" w:color="auto"/>
        <w:left w:val="none" w:sz="0" w:space="0" w:color="auto"/>
        <w:bottom w:val="none" w:sz="0" w:space="0" w:color="auto"/>
        <w:right w:val="none" w:sz="0" w:space="0" w:color="auto"/>
      </w:divBdr>
    </w:div>
    <w:div w:id="443379476">
      <w:bodyDiv w:val="1"/>
      <w:marLeft w:val="0"/>
      <w:marRight w:val="0"/>
      <w:marTop w:val="0"/>
      <w:marBottom w:val="0"/>
      <w:divBdr>
        <w:top w:val="none" w:sz="0" w:space="0" w:color="auto"/>
        <w:left w:val="none" w:sz="0" w:space="0" w:color="auto"/>
        <w:bottom w:val="none" w:sz="0" w:space="0" w:color="auto"/>
        <w:right w:val="none" w:sz="0" w:space="0" w:color="auto"/>
      </w:divBdr>
    </w:div>
    <w:div w:id="465860258">
      <w:bodyDiv w:val="1"/>
      <w:marLeft w:val="0"/>
      <w:marRight w:val="0"/>
      <w:marTop w:val="0"/>
      <w:marBottom w:val="0"/>
      <w:divBdr>
        <w:top w:val="none" w:sz="0" w:space="0" w:color="auto"/>
        <w:left w:val="none" w:sz="0" w:space="0" w:color="auto"/>
        <w:bottom w:val="none" w:sz="0" w:space="0" w:color="auto"/>
        <w:right w:val="none" w:sz="0" w:space="0" w:color="auto"/>
      </w:divBdr>
    </w:div>
    <w:div w:id="488400336">
      <w:bodyDiv w:val="1"/>
      <w:marLeft w:val="0"/>
      <w:marRight w:val="0"/>
      <w:marTop w:val="0"/>
      <w:marBottom w:val="0"/>
      <w:divBdr>
        <w:top w:val="none" w:sz="0" w:space="0" w:color="auto"/>
        <w:left w:val="none" w:sz="0" w:space="0" w:color="auto"/>
        <w:bottom w:val="none" w:sz="0" w:space="0" w:color="auto"/>
        <w:right w:val="none" w:sz="0" w:space="0" w:color="auto"/>
      </w:divBdr>
    </w:div>
    <w:div w:id="529144936">
      <w:bodyDiv w:val="1"/>
      <w:marLeft w:val="0"/>
      <w:marRight w:val="0"/>
      <w:marTop w:val="0"/>
      <w:marBottom w:val="0"/>
      <w:divBdr>
        <w:top w:val="none" w:sz="0" w:space="0" w:color="auto"/>
        <w:left w:val="none" w:sz="0" w:space="0" w:color="auto"/>
        <w:bottom w:val="none" w:sz="0" w:space="0" w:color="auto"/>
        <w:right w:val="none" w:sz="0" w:space="0" w:color="auto"/>
      </w:divBdr>
    </w:div>
    <w:div w:id="533271748">
      <w:bodyDiv w:val="1"/>
      <w:marLeft w:val="0"/>
      <w:marRight w:val="0"/>
      <w:marTop w:val="0"/>
      <w:marBottom w:val="0"/>
      <w:divBdr>
        <w:top w:val="none" w:sz="0" w:space="0" w:color="auto"/>
        <w:left w:val="none" w:sz="0" w:space="0" w:color="auto"/>
        <w:bottom w:val="none" w:sz="0" w:space="0" w:color="auto"/>
        <w:right w:val="none" w:sz="0" w:space="0" w:color="auto"/>
      </w:divBdr>
    </w:div>
    <w:div w:id="545066116">
      <w:bodyDiv w:val="1"/>
      <w:marLeft w:val="0"/>
      <w:marRight w:val="0"/>
      <w:marTop w:val="0"/>
      <w:marBottom w:val="0"/>
      <w:divBdr>
        <w:top w:val="none" w:sz="0" w:space="0" w:color="auto"/>
        <w:left w:val="none" w:sz="0" w:space="0" w:color="auto"/>
        <w:bottom w:val="none" w:sz="0" w:space="0" w:color="auto"/>
        <w:right w:val="none" w:sz="0" w:space="0" w:color="auto"/>
      </w:divBdr>
    </w:div>
    <w:div w:id="551234627">
      <w:bodyDiv w:val="1"/>
      <w:marLeft w:val="0"/>
      <w:marRight w:val="0"/>
      <w:marTop w:val="0"/>
      <w:marBottom w:val="0"/>
      <w:divBdr>
        <w:top w:val="none" w:sz="0" w:space="0" w:color="auto"/>
        <w:left w:val="none" w:sz="0" w:space="0" w:color="auto"/>
        <w:bottom w:val="none" w:sz="0" w:space="0" w:color="auto"/>
        <w:right w:val="none" w:sz="0" w:space="0" w:color="auto"/>
      </w:divBdr>
    </w:div>
    <w:div w:id="583105259">
      <w:bodyDiv w:val="1"/>
      <w:marLeft w:val="0"/>
      <w:marRight w:val="0"/>
      <w:marTop w:val="0"/>
      <w:marBottom w:val="0"/>
      <w:divBdr>
        <w:top w:val="none" w:sz="0" w:space="0" w:color="auto"/>
        <w:left w:val="none" w:sz="0" w:space="0" w:color="auto"/>
        <w:bottom w:val="none" w:sz="0" w:space="0" w:color="auto"/>
        <w:right w:val="none" w:sz="0" w:space="0" w:color="auto"/>
      </w:divBdr>
    </w:div>
    <w:div w:id="627320692">
      <w:bodyDiv w:val="1"/>
      <w:marLeft w:val="0"/>
      <w:marRight w:val="0"/>
      <w:marTop w:val="0"/>
      <w:marBottom w:val="0"/>
      <w:divBdr>
        <w:top w:val="none" w:sz="0" w:space="0" w:color="auto"/>
        <w:left w:val="none" w:sz="0" w:space="0" w:color="auto"/>
        <w:bottom w:val="none" w:sz="0" w:space="0" w:color="auto"/>
        <w:right w:val="none" w:sz="0" w:space="0" w:color="auto"/>
      </w:divBdr>
    </w:div>
    <w:div w:id="728571817">
      <w:bodyDiv w:val="1"/>
      <w:marLeft w:val="0"/>
      <w:marRight w:val="0"/>
      <w:marTop w:val="0"/>
      <w:marBottom w:val="0"/>
      <w:divBdr>
        <w:top w:val="none" w:sz="0" w:space="0" w:color="auto"/>
        <w:left w:val="none" w:sz="0" w:space="0" w:color="auto"/>
        <w:bottom w:val="none" w:sz="0" w:space="0" w:color="auto"/>
        <w:right w:val="none" w:sz="0" w:space="0" w:color="auto"/>
      </w:divBdr>
    </w:div>
    <w:div w:id="738408169">
      <w:bodyDiv w:val="1"/>
      <w:marLeft w:val="0"/>
      <w:marRight w:val="0"/>
      <w:marTop w:val="0"/>
      <w:marBottom w:val="0"/>
      <w:divBdr>
        <w:top w:val="none" w:sz="0" w:space="0" w:color="auto"/>
        <w:left w:val="none" w:sz="0" w:space="0" w:color="auto"/>
        <w:bottom w:val="none" w:sz="0" w:space="0" w:color="auto"/>
        <w:right w:val="none" w:sz="0" w:space="0" w:color="auto"/>
      </w:divBdr>
    </w:div>
    <w:div w:id="767238347">
      <w:bodyDiv w:val="1"/>
      <w:marLeft w:val="0"/>
      <w:marRight w:val="0"/>
      <w:marTop w:val="0"/>
      <w:marBottom w:val="0"/>
      <w:divBdr>
        <w:top w:val="none" w:sz="0" w:space="0" w:color="auto"/>
        <w:left w:val="none" w:sz="0" w:space="0" w:color="auto"/>
        <w:bottom w:val="none" w:sz="0" w:space="0" w:color="auto"/>
        <w:right w:val="none" w:sz="0" w:space="0" w:color="auto"/>
      </w:divBdr>
    </w:div>
    <w:div w:id="863402023">
      <w:bodyDiv w:val="1"/>
      <w:marLeft w:val="0"/>
      <w:marRight w:val="0"/>
      <w:marTop w:val="0"/>
      <w:marBottom w:val="0"/>
      <w:divBdr>
        <w:top w:val="none" w:sz="0" w:space="0" w:color="auto"/>
        <w:left w:val="none" w:sz="0" w:space="0" w:color="auto"/>
        <w:bottom w:val="none" w:sz="0" w:space="0" w:color="auto"/>
        <w:right w:val="none" w:sz="0" w:space="0" w:color="auto"/>
      </w:divBdr>
    </w:div>
    <w:div w:id="935870696">
      <w:bodyDiv w:val="1"/>
      <w:marLeft w:val="0"/>
      <w:marRight w:val="0"/>
      <w:marTop w:val="0"/>
      <w:marBottom w:val="0"/>
      <w:divBdr>
        <w:top w:val="none" w:sz="0" w:space="0" w:color="auto"/>
        <w:left w:val="none" w:sz="0" w:space="0" w:color="auto"/>
        <w:bottom w:val="none" w:sz="0" w:space="0" w:color="auto"/>
        <w:right w:val="none" w:sz="0" w:space="0" w:color="auto"/>
      </w:divBdr>
    </w:div>
    <w:div w:id="937254742">
      <w:bodyDiv w:val="1"/>
      <w:marLeft w:val="0"/>
      <w:marRight w:val="0"/>
      <w:marTop w:val="0"/>
      <w:marBottom w:val="0"/>
      <w:divBdr>
        <w:top w:val="none" w:sz="0" w:space="0" w:color="auto"/>
        <w:left w:val="none" w:sz="0" w:space="0" w:color="auto"/>
        <w:bottom w:val="none" w:sz="0" w:space="0" w:color="auto"/>
        <w:right w:val="none" w:sz="0" w:space="0" w:color="auto"/>
      </w:divBdr>
    </w:div>
    <w:div w:id="999193520">
      <w:bodyDiv w:val="1"/>
      <w:marLeft w:val="0"/>
      <w:marRight w:val="0"/>
      <w:marTop w:val="0"/>
      <w:marBottom w:val="0"/>
      <w:divBdr>
        <w:top w:val="none" w:sz="0" w:space="0" w:color="auto"/>
        <w:left w:val="none" w:sz="0" w:space="0" w:color="auto"/>
        <w:bottom w:val="none" w:sz="0" w:space="0" w:color="auto"/>
        <w:right w:val="none" w:sz="0" w:space="0" w:color="auto"/>
      </w:divBdr>
    </w:div>
    <w:div w:id="1072892950">
      <w:bodyDiv w:val="1"/>
      <w:marLeft w:val="0"/>
      <w:marRight w:val="0"/>
      <w:marTop w:val="0"/>
      <w:marBottom w:val="0"/>
      <w:divBdr>
        <w:top w:val="none" w:sz="0" w:space="0" w:color="auto"/>
        <w:left w:val="none" w:sz="0" w:space="0" w:color="auto"/>
        <w:bottom w:val="none" w:sz="0" w:space="0" w:color="auto"/>
        <w:right w:val="none" w:sz="0" w:space="0" w:color="auto"/>
      </w:divBdr>
    </w:div>
    <w:div w:id="1074622648">
      <w:bodyDiv w:val="1"/>
      <w:marLeft w:val="0"/>
      <w:marRight w:val="0"/>
      <w:marTop w:val="0"/>
      <w:marBottom w:val="0"/>
      <w:divBdr>
        <w:top w:val="none" w:sz="0" w:space="0" w:color="auto"/>
        <w:left w:val="none" w:sz="0" w:space="0" w:color="auto"/>
        <w:bottom w:val="none" w:sz="0" w:space="0" w:color="auto"/>
        <w:right w:val="none" w:sz="0" w:space="0" w:color="auto"/>
      </w:divBdr>
    </w:div>
    <w:div w:id="1106995559">
      <w:bodyDiv w:val="1"/>
      <w:marLeft w:val="0"/>
      <w:marRight w:val="0"/>
      <w:marTop w:val="0"/>
      <w:marBottom w:val="0"/>
      <w:divBdr>
        <w:top w:val="none" w:sz="0" w:space="0" w:color="auto"/>
        <w:left w:val="none" w:sz="0" w:space="0" w:color="auto"/>
        <w:bottom w:val="none" w:sz="0" w:space="0" w:color="auto"/>
        <w:right w:val="none" w:sz="0" w:space="0" w:color="auto"/>
      </w:divBdr>
    </w:div>
    <w:div w:id="1114250910">
      <w:bodyDiv w:val="1"/>
      <w:marLeft w:val="0"/>
      <w:marRight w:val="0"/>
      <w:marTop w:val="0"/>
      <w:marBottom w:val="0"/>
      <w:divBdr>
        <w:top w:val="none" w:sz="0" w:space="0" w:color="auto"/>
        <w:left w:val="none" w:sz="0" w:space="0" w:color="auto"/>
        <w:bottom w:val="none" w:sz="0" w:space="0" w:color="auto"/>
        <w:right w:val="none" w:sz="0" w:space="0" w:color="auto"/>
      </w:divBdr>
    </w:div>
    <w:div w:id="1230265312">
      <w:bodyDiv w:val="1"/>
      <w:marLeft w:val="0"/>
      <w:marRight w:val="0"/>
      <w:marTop w:val="0"/>
      <w:marBottom w:val="0"/>
      <w:divBdr>
        <w:top w:val="none" w:sz="0" w:space="0" w:color="auto"/>
        <w:left w:val="none" w:sz="0" w:space="0" w:color="auto"/>
        <w:bottom w:val="none" w:sz="0" w:space="0" w:color="auto"/>
        <w:right w:val="none" w:sz="0" w:space="0" w:color="auto"/>
      </w:divBdr>
    </w:div>
    <w:div w:id="1256205954">
      <w:bodyDiv w:val="1"/>
      <w:marLeft w:val="0"/>
      <w:marRight w:val="0"/>
      <w:marTop w:val="0"/>
      <w:marBottom w:val="0"/>
      <w:divBdr>
        <w:top w:val="none" w:sz="0" w:space="0" w:color="auto"/>
        <w:left w:val="none" w:sz="0" w:space="0" w:color="auto"/>
        <w:bottom w:val="none" w:sz="0" w:space="0" w:color="auto"/>
        <w:right w:val="none" w:sz="0" w:space="0" w:color="auto"/>
      </w:divBdr>
      <w:divsChild>
        <w:div w:id="1514607229">
          <w:marLeft w:val="0"/>
          <w:marRight w:val="0"/>
          <w:marTop w:val="0"/>
          <w:marBottom w:val="0"/>
          <w:divBdr>
            <w:top w:val="none" w:sz="0" w:space="0" w:color="auto"/>
            <w:left w:val="none" w:sz="0" w:space="0" w:color="auto"/>
            <w:bottom w:val="none" w:sz="0" w:space="0" w:color="auto"/>
            <w:right w:val="none" w:sz="0" w:space="0" w:color="auto"/>
          </w:divBdr>
          <w:divsChild>
            <w:div w:id="761755181">
              <w:marLeft w:val="0"/>
              <w:marRight w:val="0"/>
              <w:marTop w:val="0"/>
              <w:marBottom w:val="0"/>
              <w:divBdr>
                <w:top w:val="none" w:sz="0" w:space="0" w:color="auto"/>
                <w:left w:val="none" w:sz="0" w:space="0" w:color="auto"/>
                <w:bottom w:val="none" w:sz="0" w:space="0" w:color="auto"/>
                <w:right w:val="none" w:sz="0" w:space="0" w:color="auto"/>
              </w:divBdr>
              <w:divsChild>
                <w:div w:id="1656184783">
                  <w:marLeft w:val="300"/>
                  <w:marRight w:val="0"/>
                  <w:marTop w:val="0"/>
                  <w:marBottom w:val="0"/>
                  <w:divBdr>
                    <w:top w:val="none" w:sz="0" w:space="0" w:color="auto"/>
                    <w:left w:val="none" w:sz="0" w:space="0" w:color="auto"/>
                    <w:bottom w:val="none" w:sz="0" w:space="0" w:color="auto"/>
                    <w:right w:val="none" w:sz="0" w:space="0" w:color="auto"/>
                  </w:divBdr>
                  <w:divsChild>
                    <w:div w:id="2087192572">
                      <w:marLeft w:val="0"/>
                      <w:marRight w:val="0"/>
                      <w:marTop w:val="0"/>
                      <w:marBottom w:val="0"/>
                      <w:divBdr>
                        <w:top w:val="none" w:sz="0" w:space="0" w:color="auto"/>
                        <w:left w:val="none" w:sz="0" w:space="0" w:color="auto"/>
                        <w:bottom w:val="none" w:sz="0" w:space="0" w:color="auto"/>
                        <w:right w:val="none" w:sz="0" w:space="0" w:color="auto"/>
                      </w:divBdr>
                      <w:divsChild>
                        <w:div w:id="117335714">
                          <w:marLeft w:val="0"/>
                          <w:marRight w:val="0"/>
                          <w:marTop w:val="0"/>
                          <w:marBottom w:val="0"/>
                          <w:divBdr>
                            <w:top w:val="none" w:sz="0" w:space="0" w:color="auto"/>
                            <w:left w:val="none" w:sz="0" w:space="0" w:color="auto"/>
                            <w:bottom w:val="none" w:sz="0" w:space="0" w:color="auto"/>
                            <w:right w:val="none" w:sz="0" w:space="0" w:color="auto"/>
                          </w:divBdr>
                          <w:divsChild>
                            <w:div w:id="1178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4003">
      <w:bodyDiv w:val="1"/>
      <w:marLeft w:val="0"/>
      <w:marRight w:val="0"/>
      <w:marTop w:val="0"/>
      <w:marBottom w:val="0"/>
      <w:divBdr>
        <w:top w:val="none" w:sz="0" w:space="0" w:color="auto"/>
        <w:left w:val="none" w:sz="0" w:space="0" w:color="auto"/>
        <w:bottom w:val="none" w:sz="0" w:space="0" w:color="auto"/>
        <w:right w:val="none" w:sz="0" w:space="0" w:color="auto"/>
      </w:divBdr>
    </w:div>
    <w:div w:id="1337223257">
      <w:bodyDiv w:val="1"/>
      <w:marLeft w:val="0"/>
      <w:marRight w:val="0"/>
      <w:marTop w:val="0"/>
      <w:marBottom w:val="0"/>
      <w:divBdr>
        <w:top w:val="none" w:sz="0" w:space="0" w:color="auto"/>
        <w:left w:val="none" w:sz="0" w:space="0" w:color="auto"/>
        <w:bottom w:val="none" w:sz="0" w:space="0" w:color="auto"/>
        <w:right w:val="none" w:sz="0" w:space="0" w:color="auto"/>
      </w:divBdr>
      <w:divsChild>
        <w:div w:id="1042171547">
          <w:marLeft w:val="0"/>
          <w:marRight w:val="0"/>
          <w:marTop w:val="0"/>
          <w:marBottom w:val="0"/>
          <w:divBdr>
            <w:top w:val="none" w:sz="0" w:space="0" w:color="auto"/>
            <w:left w:val="none" w:sz="0" w:space="0" w:color="auto"/>
            <w:bottom w:val="none" w:sz="0" w:space="0" w:color="auto"/>
            <w:right w:val="none" w:sz="0" w:space="0" w:color="auto"/>
          </w:divBdr>
          <w:divsChild>
            <w:div w:id="1147668505">
              <w:marLeft w:val="0"/>
              <w:marRight w:val="0"/>
              <w:marTop w:val="0"/>
              <w:marBottom w:val="0"/>
              <w:divBdr>
                <w:top w:val="none" w:sz="0" w:space="0" w:color="auto"/>
                <w:left w:val="none" w:sz="0" w:space="0" w:color="auto"/>
                <w:bottom w:val="none" w:sz="0" w:space="0" w:color="auto"/>
                <w:right w:val="none" w:sz="0" w:space="0" w:color="auto"/>
              </w:divBdr>
              <w:divsChild>
                <w:div w:id="1691224773">
                  <w:marLeft w:val="0"/>
                  <w:marRight w:val="0"/>
                  <w:marTop w:val="0"/>
                  <w:marBottom w:val="0"/>
                  <w:divBdr>
                    <w:top w:val="none" w:sz="0" w:space="0" w:color="auto"/>
                    <w:left w:val="none" w:sz="0" w:space="0" w:color="auto"/>
                    <w:bottom w:val="none" w:sz="0" w:space="0" w:color="auto"/>
                    <w:right w:val="none" w:sz="0" w:space="0" w:color="auto"/>
                  </w:divBdr>
                  <w:divsChild>
                    <w:div w:id="265620750">
                      <w:marLeft w:val="2850"/>
                      <w:marRight w:val="0"/>
                      <w:marTop w:val="0"/>
                      <w:marBottom w:val="300"/>
                      <w:divBdr>
                        <w:top w:val="none" w:sz="0" w:space="0" w:color="auto"/>
                        <w:left w:val="none" w:sz="0" w:space="0" w:color="auto"/>
                        <w:bottom w:val="none" w:sz="0" w:space="0" w:color="auto"/>
                        <w:right w:val="none" w:sz="0" w:space="0" w:color="auto"/>
                      </w:divBdr>
                      <w:divsChild>
                        <w:div w:id="1447390980">
                          <w:marLeft w:val="300"/>
                          <w:marRight w:val="0"/>
                          <w:marTop w:val="0"/>
                          <w:marBottom w:val="0"/>
                          <w:divBdr>
                            <w:top w:val="none" w:sz="0" w:space="0" w:color="auto"/>
                            <w:left w:val="none" w:sz="0" w:space="0" w:color="auto"/>
                            <w:bottom w:val="none" w:sz="0" w:space="0" w:color="auto"/>
                            <w:right w:val="none" w:sz="0" w:space="0" w:color="auto"/>
                          </w:divBdr>
                          <w:divsChild>
                            <w:div w:id="1483959920">
                              <w:marLeft w:val="0"/>
                              <w:marRight w:val="0"/>
                              <w:marTop w:val="0"/>
                              <w:marBottom w:val="0"/>
                              <w:divBdr>
                                <w:top w:val="none" w:sz="0" w:space="0" w:color="auto"/>
                                <w:left w:val="none" w:sz="0" w:space="0" w:color="auto"/>
                                <w:bottom w:val="none" w:sz="0" w:space="0" w:color="auto"/>
                                <w:right w:val="none" w:sz="0" w:space="0" w:color="auto"/>
                              </w:divBdr>
                              <w:divsChild>
                                <w:div w:id="664553169">
                                  <w:marLeft w:val="0"/>
                                  <w:marRight w:val="0"/>
                                  <w:marTop w:val="0"/>
                                  <w:marBottom w:val="0"/>
                                  <w:divBdr>
                                    <w:top w:val="none" w:sz="0" w:space="0" w:color="auto"/>
                                    <w:left w:val="none" w:sz="0" w:space="0" w:color="auto"/>
                                    <w:bottom w:val="none" w:sz="0" w:space="0" w:color="auto"/>
                                    <w:right w:val="none" w:sz="0" w:space="0" w:color="auto"/>
                                  </w:divBdr>
                                  <w:divsChild>
                                    <w:div w:id="1570772688">
                                      <w:marLeft w:val="0"/>
                                      <w:marRight w:val="0"/>
                                      <w:marTop w:val="0"/>
                                      <w:marBottom w:val="0"/>
                                      <w:divBdr>
                                        <w:top w:val="none" w:sz="0" w:space="0" w:color="auto"/>
                                        <w:left w:val="none" w:sz="0" w:space="0" w:color="auto"/>
                                        <w:bottom w:val="none" w:sz="0" w:space="0" w:color="auto"/>
                                        <w:right w:val="none" w:sz="0" w:space="0" w:color="auto"/>
                                      </w:divBdr>
                                      <w:divsChild>
                                        <w:div w:id="181556456">
                                          <w:marLeft w:val="0"/>
                                          <w:marRight w:val="0"/>
                                          <w:marTop w:val="75"/>
                                          <w:marBottom w:val="0"/>
                                          <w:divBdr>
                                            <w:top w:val="none" w:sz="0" w:space="0" w:color="auto"/>
                                            <w:left w:val="none" w:sz="0" w:space="0" w:color="auto"/>
                                            <w:bottom w:val="none" w:sz="0" w:space="0" w:color="auto"/>
                                            <w:right w:val="none" w:sz="0" w:space="0" w:color="auto"/>
                                          </w:divBdr>
                                          <w:divsChild>
                                            <w:div w:id="1925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202991">
      <w:bodyDiv w:val="1"/>
      <w:marLeft w:val="0"/>
      <w:marRight w:val="0"/>
      <w:marTop w:val="0"/>
      <w:marBottom w:val="0"/>
      <w:divBdr>
        <w:top w:val="none" w:sz="0" w:space="0" w:color="auto"/>
        <w:left w:val="none" w:sz="0" w:space="0" w:color="auto"/>
        <w:bottom w:val="none" w:sz="0" w:space="0" w:color="auto"/>
        <w:right w:val="none" w:sz="0" w:space="0" w:color="auto"/>
      </w:divBdr>
    </w:div>
    <w:div w:id="1416591401">
      <w:bodyDiv w:val="1"/>
      <w:marLeft w:val="0"/>
      <w:marRight w:val="0"/>
      <w:marTop w:val="0"/>
      <w:marBottom w:val="0"/>
      <w:divBdr>
        <w:top w:val="none" w:sz="0" w:space="0" w:color="auto"/>
        <w:left w:val="none" w:sz="0" w:space="0" w:color="auto"/>
        <w:bottom w:val="none" w:sz="0" w:space="0" w:color="auto"/>
        <w:right w:val="none" w:sz="0" w:space="0" w:color="auto"/>
      </w:divBdr>
    </w:div>
    <w:div w:id="1457262415">
      <w:bodyDiv w:val="1"/>
      <w:marLeft w:val="0"/>
      <w:marRight w:val="0"/>
      <w:marTop w:val="0"/>
      <w:marBottom w:val="0"/>
      <w:divBdr>
        <w:top w:val="none" w:sz="0" w:space="0" w:color="auto"/>
        <w:left w:val="none" w:sz="0" w:space="0" w:color="auto"/>
        <w:bottom w:val="none" w:sz="0" w:space="0" w:color="auto"/>
        <w:right w:val="none" w:sz="0" w:space="0" w:color="auto"/>
      </w:divBdr>
      <w:divsChild>
        <w:div w:id="304819932">
          <w:marLeft w:val="0"/>
          <w:marRight w:val="0"/>
          <w:marTop w:val="0"/>
          <w:marBottom w:val="0"/>
          <w:divBdr>
            <w:top w:val="none" w:sz="0" w:space="0" w:color="auto"/>
            <w:left w:val="none" w:sz="0" w:space="0" w:color="auto"/>
            <w:bottom w:val="none" w:sz="0" w:space="0" w:color="auto"/>
            <w:right w:val="none" w:sz="0" w:space="0" w:color="auto"/>
          </w:divBdr>
          <w:divsChild>
            <w:div w:id="1676571169">
              <w:marLeft w:val="0"/>
              <w:marRight w:val="0"/>
              <w:marTop w:val="0"/>
              <w:marBottom w:val="0"/>
              <w:divBdr>
                <w:top w:val="none" w:sz="0" w:space="0" w:color="auto"/>
                <w:left w:val="none" w:sz="0" w:space="0" w:color="auto"/>
                <w:bottom w:val="none" w:sz="0" w:space="0" w:color="auto"/>
                <w:right w:val="none" w:sz="0" w:space="0" w:color="auto"/>
              </w:divBdr>
              <w:divsChild>
                <w:div w:id="273945704">
                  <w:marLeft w:val="0"/>
                  <w:marRight w:val="0"/>
                  <w:marTop w:val="0"/>
                  <w:marBottom w:val="0"/>
                  <w:divBdr>
                    <w:top w:val="none" w:sz="0" w:space="0" w:color="auto"/>
                    <w:left w:val="none" w:sz="0" w:space="0" w:color="auto"/>
                    <w:bottom w:val="none" w:sz="0" w:space="0" w:color="auto"/>
                    <w:right w:val="none" w:sz="0" w:space="0" w:color="auto"/>
                  </w:divBdr>
                  <w:divsChild>
                    <w:div w:id="757755045">
                      <w:marLeft w:val="0"/>
                      <w:marRight w:val="0"/>
                      <w:marTop w:val="0"/>
                      <w:marBottom w:val="0"/>
                      <w:divBdr>
                        <w:top w:val="none" w:sz="0" w:space="0" w:color="auto"/>
                        <w:left w:val="none" w:sz="0" w:space="0" w:color="auto"/>
                        <w:bottom w:val="none" w:sz="0" w:space="0" w:color="auto"/>
                        <w:right w:val="none" w:sz="0" w:space="0" w:color="auto"/>
                      </w:divBdr>
                      <w:divsChild>
                        <w:div w:id="301614636">
                          <w:marLeft w:val="0"/>
                          <w:marRight w:val="0"/>
                          <w:marTop w:val="0"/>
                          <w:marBottom w:val="0"/>
                          <w:divBdr>
                            <w:top w:val="none" w:sz="0" w:space="0" w:color="auto"/>
                            <w:left w:val="none" w:sz="0" w:space="0" w:color="auto"/>
                            <w:bottom w:val="none" w:sz="0" w:space="0" w:color="auto"/>
                            <w:right w:val="none" w:sz="0" w:space="0" w:color="auto"/>
                          </w:divBdr>
                          <w:divsChild>
                            <w:div w:id="558443270">
                              <w:marLeft w:val="0"/>
                              <w:marRight w:val="0"/>
                              <w:marTop w:val="0"/>
                              <w:marBottom w:val="0"/>
                              <w:divBdr>
                                <w:top w:val="none" w:sz="0" w:space="0" w:color="auto"/>
                                <w:left w:val="none" w:sz="0" w:space="0" w:color="auto"/>
                                <w:bottom w:val="none" w:sz="0" w:space="0" w:color="auto"/>
                                <w:right w:val="none" w:sz="0" w:space="0" w:color="auto"/>
                              </w:divBdr>
                              <w:divsChild>
                                <w:div w:id="3974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355557">
      <w:bodyDiv w:val="1"/>
      <w:marLeft w:val="0"/>
      <w:marRight w:val="0"/>
      <w:marTop w:val="0"/>
      <w:marBottom w:val="0"/>
      <w:divBdr>
        <w:top w:val="none" w:sz="0" w:space="0" w:color="auto"/>
        <w:left w:val="none" w:sz="0" w:space="0" w:color="auto"/>
        <w:bottom w:val="none" w:sz="0" w:space="0" w:color="auto"/>
        <w:right w:val="none" w:sz="0" w:space="0" w:color="auto"/>
      </w:divBdr>
    </w:div>
    <w:div w:id="1553812335">
      <w:bodyDiv w:val="1"/>
      <w:marLeft w:val="0"/>
      <w:marRight w:val="0"/>
      <w:marTop w:val="0"/>
      <w:marBottom w:val="0"/>
      <w:divBdr>
        <w:top w:val="none" w:sz="0" w:space="0" w:color="auto"/>
        <w:left w:val="none" w:sz="0" w:space="0" w:color="auto"/>
        <w:bottom w:val="none" w:sz="0" w:space="0" w:color="auto"/>
        <w:right w:val="none" w:sz="0" w:space="0" w:color="auto"/>
      </w:divBdr>
    </w:div>
    <w:div w:id="1596160643">
      <w:bodyDiv w:val="1"/>
      <w:marLeft w:val="0"/>
      <w:marRight w:val="0"/>
      <w:marTop w:val="0"/>
      <w:marBottom w:val="0"/>
      <w:divBdr>
        <w:top w:val="none" w:sz="0" w:space="0" w:color="auto"/>
        <w:left w:val="none" w:sz="0" w:space="0" w:color="auto"/>
        <w:bottom w:val="none" w:sz="0" w:space="0" w:color="auto"/>
        <w:right w:val="none" w:sz="0" w:space="0" w:color="auto"/>
      </w:divBdr>
    </w:div>
    <w:div w:id="1645815650">
      <w:bodyDiv w:val="1"/>
      <w:marLeft w:val="0"/>
      <w:marRight w:val="0"/>
      <w:marTop w:val="0"/>
      <w:marBottom w:val="0"/>
      <w:divBdr>
        <w:top w:val="none" w:sz="0" w:space="0" w:color="auto"/>
        <w:left w:val="none" w:sz="0" w:space="0" w:color="auto"/>
        <w:bottom w:val="none" w:sz="0" w:space="0" w:color="auto"/>
        <w:right w:val="none" w:sz="0" w:space="0" w:color="auto"/>
      </w:divBdr>
    </w:div>
    <w:div w:id="1661344070">
      <w:bodyDiv w:val="1"/>
      <w:marLeft w:val="0"/>
      <w:marRight w:val="0"/>
      <w:marTop w:val="0"/>
      <w:marBottom w:val="0"/>
      <w:divBdr>
        <w:top w:val="none" w:sz="0" w:space="0" w:color="auto"/>
        <w:left w:val="none" w:sz="0" w:space="0" w:color="auto"/>
        <w:bottom w:val="none" w:sz="0" w:space="0" w:color="auto"/>
        <w:right w:val="none" w:sz="0" w:space="0" w:color="auto"/>
      </w:divBdr>
    </w:div>
    <w:div w:id="1697340436">
      <w:bodyDiv w:val="1"/>
      <w:marLeft w:val="0"/>
      <w:marRight w:val="0"/>
      <w:marTop w:val="0"/>
      <w:marBottom w:val="0"/>
      <w:divBdr>
        <w:top w:val="none" w:sz="0" w:space="0" w:color="auto"/>
        <w:left w:val="none" w:sz="0" w:space="0" w:color="auto"/>
        <w:bottom w:val="none" w:sz="0" w:space="0" w:color="auto"/>
        <w:right w:val="none" w:sz="0" w:space="0" w:color="auto"/>
      </w:divBdr>
    </w:div>
    <w:div w:id="1728450452">
      <w:bodyDiv w:val="1"/>
      <w:marLeft w:val="0"/>
      <w:marRight w:val="0"/>
      <w:marTop w:val="0"/>
      <w:marBottom w:val="0"/>
      <w:divBdr>
        <w:top w:val="none" w:sz="0" w:space="0" w:color="auto"/>
        <w:left w:val="none" w:sz="0" w:space="0" w:color="auto"/>
        <w:bottom w:val="none" w:sz="0" w:space="0" w:color="auto"/>
        <w:right w:val="none" w:sz="0" w:space="0" w:color="auto"/>
      </w:divBdr>
    </w:div>
    <w:div w:id="1744327937">
      <w:bodyDiv w:val="1"/>
      <w:marLeft w:val="0"/>
      <w:marRight w:val="0"/>
      <w:marTop w:val="0"/>
      <w:marBottom w:val="0"/>
      <w:divBdr>
        <w:top w:val="none" w:sz="0" w:space="0" w:color="auto"/>
        <w:left w:val="none" w:sz="0" w:space="0" w:color="auto"/>
        <w:bottom w:val="none" w:sz="0" w:space="0" w:color="auto"/>
        <w:right w:val="none" w:sz="0" w:space="0" w:color="auto"/>
      </w:divBdr>
    </w:div>
    <w:div w:id="1798907703">
      <w:bodyDiv w:val="1"/>
      <w:marLeft w:val="0"/>
      <w:marRight w:val="0"/>
      <w:marTop w:val="0"/>
      <w:marBottom w:val="0"/>
      <w:divBdr>
        <w:top w:val="none" w:sz="0" w:space="0" w:color="auto"/>
        <w:left w:val="none" w:sz="0" w:space="0" w:color="auto"/>
        <w:bottom w:val="none" w:sz="0" w:space="0" w:color="auto"/>
        <w:right w:val="none" w:sz="0" w:space="0" w:color="auto"/>
      </w:divBdr>
    </w:div>
    <w:div w:id="1814520567">
      <w:bodyDiv w:val="1"/>
      <w:marLeft w:val="0"/>
      <w:marRight w:val="0"/>
      <w:marTop w:val="0"/>
      <w:marBottom w:val="0"/>
      <w:divBdr>
        <w:top w:val="none" w:sz="0" w:space="0" w:color="auto"/>
        <w:left w:val="none" w:sz="0" w:space="0" w:color="auto"/>
        <w:bottom w:val="none" w:sz="0" w:space="0" w:color="auto"/>
        <w:right w:val="none" w:sz="0" w:space="0" w:color="auto"/>
      </w:divBdr>
    </w:div>
    <w:div w:id="1914927004">
      <w:bodyDiv w:val="1"/>
      <w:marLeft w:val="0"/>
      <w:marRight w:val="0"/>
      <w:marTop w:val="0"/>
      <w:marBottom w:val="0"/>
      <w:divBdr>
        <w:top w:val="none" w:sz="0" w:space="0" w:color="auto"/>
        <w:left w:val="none" w:sz="0" w:space="0" w:color="auto"/>
        <w:bottom w:val="none" w:sz="0" w:space="0" w:color="auto"/>
        <w:right w:val="none" w:sz="0" w:space="0" w:color="auto"/>
      </w:divBdr>
    </w:div>
    <w:div w:id="1965648248">
      <w:bodyDiv w:val="1"/>
      <w:marLeft w:val="0"/>
      <w:marRight w:val="0"/>
      <w:marTop w:val="0"/>
      <w:marBottom w:val="0"/>
      <w:divBdr>
        <w:top w:val="none" w:sz="0" w:space="0" w:color="auto"/>
        <w:left w:val="none" w:sz="0" w:space="0" w:color="auto"/>
        <w:bottom w:val="none" w:sz="0" w:space="0" w:color="auto"/>
        <w:right w:val="none" w:sz="0" w:space="0" w:color="auto"/>
      </w:divBdr>
    </w:div>
    <w:div w:id="2017030510">
      <w:bodyDiv w:val="1"/>
      <w:marLeft w:val="0"/>
      <w:marRight w:val="0"/>
      <w:marTop w:val="0"/>
      <w:marBottom w:val="0"/>
      <w:divBdr>
        <w:top w:val="none" w:sz="0" w:space="0" w:color="auto"/>
        <w:left w:val="none" w:sz="0" w:space="0" w:color="auto"/>
        <w:bottom w:val="none" w:sz="0" w:space="0" w:color="auto"/>
        <w:right w:val="none" w:sz="0" w:space="0" w:color="auto"/>
      </w:divBdr>
    </w:div>
    <w:div w:id="2018531308">
      <w:bodyDiv w:val="1"/>
      <w:marLeft w:val="0"/>
      <w:marRight w:val="0"/>
      <w:marTop w:val="0"/>
      <w:marBottom w:val="0"/>
      <w:divBdr>
        <w:top w:val="none" w:sz="0" w:space="0" w:color="auto"/>
        <w:left w:val="none" w:sz="0" w:space="0" w:color="auto"/>
        <w:bottom w:val="none" w:sz="0" w:space="0" w:color="auto"/>
        <w:right w:val="none" w:sz="0" w:space="0" w:color="auto"/>
      </w:divBdr>
    </w:div>
    <w:div w:id="2040354512">
      <w:bodyDiv w:val="1"/>
      <w:marLeft w:val="0"/>
      <w:marRight w:val="0"/>
      <w:marTop w:val="0"/>
      <w:marBottom w:val="0"/>
      <w:divBdr>
        <w:top w:val="none" w:sz="0" w:space="0" w:color="auto"/>
        <w:left w:val="none" w:sz="0" w:space="0" w:color="auto"/>
        <w:bottom w:val="none" w:sz="0" w:space="0" w:color="auto"/>
        <w:right w:val="none" w:sz="0" w:space="0" w:color="auto"/>
      </w:divBdr>
    </w:div>
    <w:div w:id="2045867075">
      <w:bodyDiv w:val="1"/>
      <w:marLeft w:val="0"/>
      <w:marRight w:val="0"/>
      <w:marTop w:val="0"/>
      <w:marBottom w:val="0"/>
      <w:divBdr>
        <w:top w:val="none" w:sz="0" w:space="0" w:color="auto"/>
        <w:left w:val="none" w:sz="0" w:space="0" w:color="auto"/>
        <w:bottom w:val="none" w:sz="0" w:space="0" w:color="auto"/>
        <w:right w:val="none" w:sz="0" w:space="0" w:color="auto"/>
      </w:divBdr>
    </w:div>
    <w:div w:id="2081826830">
      <w:bodyDiv w:val="1"/>
      <w:marLeft w:val="0"/>
      <w:marRight w:val="0"/>
      <w:marTop w:val="0"/>
      <w:marBottom w:val="0"/>
      <w:divBdr>
        <w:top w:val="none" w:sz="0" w:space="0" w:color="auto"/>
        <w:left w:val="none" w:sz="0" w:space="0" w:color="auto"/>
        <w:bottom w:val="none" w:sz="0" w:space="0" w:color="auto"/>
        <w:right w:val="none" w:sz="0" w:space="0" w:color="auto"/>
      </w:divBdr>
    </w:div>
    <w:div w:id="2107143747">
      <w:bodyDiv w:val="1"/>
      <w:marLeft w:val="0"/>
      <w:marRight w:val="0"/>
      <w:marTop w:val="0"/>
      <w:marBottom w:val="0"/>
      <w:divBdr>
        <w:top w:val="none" w:sz="0" w:space="0" w:color="auto"/>
        <w:left w:val="none" w:sz="0" w:space="0" w:color="auto"/>
        <w:bottom w:val="none" w:sz="0" w:space="0" w:color="auto"/>
        <w:right w:val="none" w:sz="0" w:space="0" w:color="auto"/>
      </w:divBdr>
    </w:div>
    <w:div w:id="21264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chart" Target="charts/chart10.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Child%20protection%20&amp;%20youth%20justice\2.%20Data\3.%20Chart%20files\2019%20Report\Child%20protection%20charts\CP%20data%20and%20charts.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'Total $ on CP OOHC FSS'!$B$4</c:f>
              <c:strCache>
                <c:ptCount val="1"/>
                <c:pt idx="0">
                  <c:v>2013-14 to 2016-17</c:v>
                </c:pt>
              </c:strCache>
            </c:strRef>
          </c:tx>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FSS'!$C$3:$K$3</c:f>
              <c:numCache>
                <c:formatCode>0.00</c:formatCode>
                <c:ptCount val="9"/>
                <c:pt idx="0">
                  <c:v>907.69658692843677</c:v>
                </c:pt>
                <c:pt idx="1">
                  <c:v>647.49402088184274</c:v>
                </c:pt>
                <c:pt idx="2">
                  <c:v>768.93112558731309</c:v>
                </c:pt>
                <c:pt idx="3">
                  <c:v>762.42909172237216</c:v>
                </c:pt>
                <c:pt idx="4">
                  <c:v>742.33022367796093</c:v>
                </c:pt>
                <c:pt idx="5">
                  <c:v>741.5332570284819</c:v>
                </c:pt>
                <c:pt idx="6">
                  <c:v>597.41394956374313</c:v>
                </c:pt>
                <c:pt idx="7">
                  <c:v>2664.8579157046547</c:v>
                </c:pt>
                <c:pt idx="8">
                  <c:v>801.02244659606311</c:v>
                </c:pt>
              </c:numCache>
            </c:numRef>
          </c:val>
          <c:extLst xmlns:c16r2="http://schemas.microsoft.com/office/drawing/2015/06/chart">
            <c:ext xmlns:c16="http://schemas.microsoft.com/office/drawing/2014/chart" uri="{C3380CC4-5D6E-409C-BE32-E72D297353CC}">
              <c16:uniqueId val="{00000000-7DC8-4DFA-87BF-FCF5365B705D}"/>
            </c:ext>
          </c:extLst>
        </c:ser>
        <c:ser>
          <c:idx val="1"/>
          <c:order val="1"/>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FSS'!$C$4:$K$4</c:f>
              <c:numCache>
                <c:formatCode>0.00</c:formatCode>
                <c:ptCount val="9"/>
                <c:pt idx="0">
                  <c:v>949.21863262540739</c:v>
                </c:pt>
                <c:pt idx="1">
                  <c:v>685.85589594933322</c:v>
                </c:pt>
                <c:pt idx="2">
                  <c:v>792.62434106814771</c:v>
                </c:pt>
                <c:pt idx="3">
                  <c:v>787.23408877064628</c:v>
                </c:pt>
                <c:pt idx="4">
                  <c:v>838.45678814004248</c:v>
                </c:pt>
                <c:pt idx="5">
                  <c:v>719.59510063333721</c:v>
                </c:pt>
                <c:pt idx="6">
                  <c:v>621.98105330044575</c:v>
                </c:pt>
                <c:pt idx="7">
                  <c:v>2883.5408835178637</c:v>
                </c:pt>
                <c:pt idx="8">
                  <c:v>839.8253231538373</c:v>
                </c:pt>
              </c:numCache>
            </c:numRef>
          </c:val>
          <c:extLst xmlns:c16r2="http://schemas.microsoft.com/office/drawing/2015/06/chart">
            <c:ext xmlns:c16="http://schemas.microsoft.com/office/drawing/2014/chart" uri="{C3380CC4-5D6E-409C-BE32-E72D297353CC}">
              <c16:uniqueId val="{00000001-7DC8-4DFA-87BF-FCF5365B705D}"/>
            </c:ext>
          </c:extLst>
        </c:ser>
        <c:ser>
          <c:idx val="2"/>
          <c:order val="2"/>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FSS'!$C$5:$K$5</c:f>
              <c:numCache>
                <c:formatCode>0.00</c:formatCode>
                <c:ptCount val="9"/>
                <c:pt idx="0">
                  <c:v>1038.0616393706575</c:v>
                </c:pt>
                <c:pt idx="1">
                  <c:v>749.52517756676718</c:v>
                </c:pt>
                <c:pt idx="2">
                  <c:v>802.55934358375407</c:v>
                </c:pt>
                <c:pt idx="3">
                  <c:v>789.65392275739384</c:v>
                </c:pt>
                <c:pt idx="4">
                  <c:v>1103.427761282351</c:v>
                </c:pt>
                <c:pt idx="5">
                  <c:v>730.46082596032261</c:v>
                </c:pt>
                <c:pt idx="6">
                  <c:v>662.29252399350696</c:v>
                </c:pt>
                <c:pt idx="7">
                  <c:v>2966.6703402774833</c:v>
                </c:pt>
                <c:pt idx="8">
                  <c:v>905.25815795326525</c:v>
                </c:pt>
              </c:numCache>
            </c:numRef>
          </c:val>
          <c:extLst xmlns:c16r2="http://schemas.microsoft.com/office/drawing/2015/06/chart">
            <c:ext xmlns:c16="http://schemas.microsoft.com/office/drawing/2014/chart" uri="{C3380CC4-5D6E-409C-BE32-E72D297353CC}">
              <c16:uniqueId val="{00000002-7DC8-4DFA-87BF-FCF5365B705D}"/>
            </c:ext>
          </c:extLst>
        </c:ser>
        <c:ser>
          <c:idx val="3"/>
          <c:order val="3"/>
          <c:spPr>
            <a:solidFill>
              <a:srgbClr val="66BCDB"/>
            </a:solidFill>
            <a:ln>
              <a:solidFill>
                <a:srgbClr val="66BCDB"/>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FSS'!$C$6:$K$6</c:f>
              <c:numCache>
                <c:formatCode>0.00</c:formatCode>
                <c:ptCount val="9"/>
                <c:pt idx="0">
                  <c:v>1075.4676382338275</c:v>
                </c:pt>
                <c:pt idx="1">
                  <c:v>802.97132950778064</c:v>
                </c:pt>
                <c:pt idx="2">
                  <c:v>841.48634616626805</c:v>
                </c:pt>
                <c:pt idx="3">
                  <c:v>807.52673783043917</c:v>
                </c:pt>
                <c:pt idx="4">
                  <c:v>1403.9452014223525</c:v>
                </c:pt>
                <c:pt idx="5">
                  <c:v>864.73625692178337</c:v>
                </c:pt>
                <c:pt idx="6">
                  <c:v>703.92477787921734</c:v>
                </c:pt>
                <c:pt idx="7">
                  <c:v>3257.4739201696302</c:v>
                </c:pt>
                <c:pt idx="8">
                  <c:v>966.0354970637494</c:v>
                </c:pt>
              </c:numCache>
            </c:numRef>
          </c:val>
          <c:extLst xmlns:c16r2="http://schemas.microsoft.com/office/drawing/2015/06/chart">
            <c:ext xmlns:c16="http://schemas.microsoft.com/office/drawing/2014/chart" uri="{C3380CC4-5D6E-409C-BE32-E72D297353CC}">
              <c16:uniqueId val="{00000003-7DC8-4DFA-87BF-FCF5365B705D}"/>
            </c:ext>
          </c:extLst>
        </c:ser>
        <c:ser>
          <c:idx val="4"/>
          <c:order val="4"/>
          <c:tx>
            <c:strRef>
              <c:f>'Total $ on CP OOHC FSS'!$B$7</c:f>
              <c:strCache>
                <c:ptCount val="1"/>
                <c:pt idx="0">
                  <c:v>2017-18</c:v>
                </c:pt>
              </c:strCache>
            </c:strRef>
          </c:tx>
          <c:spPr>
            <a:solidFill>
              <a:srgbClr val="265A9A"/>
            </a:solidFill>
            <a:ln>
              <a:solidFill>
                <a:srgbClr val="265A9A"/>
              </a:solidFill>
            </a:ln>
          </c:spPr>
          <c:invertIfNegative val="0"/>
          <c:cat>
            <c:strRef>
              <c:f>'Total $ on CP OOHC FSS'!$C$2:$K$2</c:f>
              <c:strCache>
                <c:ptCount val="9"/>
                <c:pt idx="0">
                  <c:v>NSW</c:v>
                </c:pt>
                <c:pt idx="1">
                  <c:v>Vic</c:v>
                </c:pt>
                <c:pt idx="2">
                  <c:v>Qld</c:v>
                </c:pt>
                <c:pt idx="3">
                  <c:v>WA</c:v>
                </c:pt>
                <c:pt idx="4">
                  <c:v>SA</c:v>
                </c:pt>
                <c:pt idx="5">
                  <c:v>Tas</c:v>
                </c:pt>
                <c:pt idx="6">
                  <c:v>ACT</c:v>
                </c:pt>
                <c:pt idx="7">
                  <c:v>NT</c:v>
                </c:pt>
                <c:pt idx="8">
                  <c:v>Aust</c:v>
                </c:pt>
              </c:strCache>
            </c:strRef>
          </c:cat>
          <c:val>
            <c:numRef>
              <c:f>'Total $ on CP OOHC FSS'!$C$7:$K$7</c:f>
              <c:numCache>
                <c:formatCode>0.00</c:formatCode>
                <c:ptCount val="9"/>
                <c:pt idx="0">
                  <c:v>1159.8468260099112</c:v>
                </c:pt>
                <c:pt idx="1">
                  <c:v>929.34193463052475</c:v>
                </c:pt>
                <c:pt idx="2">
                  <c:v>924.26341776919332</c:v>
                </c:pt>
                <c:pt idx="3">
                  <c:v>831.24134872532284</c:v>
                </c:pt>
                <c:pt idx="4">
                  <c:v>1514.9690784729355</c:v>
                </c:pt>
                <c:pt idx="5">
                  <c:v>999.52779757662154</c:v>
                </c:pt>
                <c:pt idx="6">
                  <c:v>699.05097625557016</c:v>
                </c:pt>
                <c:pt idx="7">
                  <c:v>3397.4743765765193</c:v>
                </c:pt>
                <c:pt idx="8">
                  <c:v>1055.0439511164068</c:v>
                </c:pt>
              </c:numCache>
            </c:numRef>
          </c:val>
        </c:ser>
        <c:dLbls>
          <c:showLegendKey val="0"/>
          <c:showVal val="0"/>
          <c:showCatName val="0"/>
          <c:showSerName val="0"/>
          <c:showPercent val="0"/>
          <c:showBubbleSize val="0"/>
        </c:dLbls>
        <c:gapWidth val="150"/>
        <c:axId val="552715336"/>
        <c:axId val="552718472"/>
      </c:barChart>
      <c:catAx>
        <c:axId val="55271533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2718472"/>
        <c:crosses val="autoZero"/>
        <c:auto val="1"/>
        <c:lblAlgn val="ctr"/>
        <c:lblOffset val="100"/>
        <c:noMultiLvlLbl val="0"/>
      </c:catAx>
      <c:valAx>
        <c:axId val="552718472"/>
        <c:scaling>
          <c:orientation val="minMax"/>
          <c:max val="37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 aged 0-17 years</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2715336"/>
        <c:crosses val="autoZero"/>
        <c:crossBetween val="between"/>
        <c:majorUnit val="5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'OOHC expenditure per night'!$B$3</c:f>
              <c:strCache>
                <c:ptCount val="1"/>
                <c:pt idx="0">
                  <c:v>2013-14 to 2016-17</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night'!$C$3:$K$3</c:f>
              <c:numCache>
                <c:formatCode>0.0</c:formatCode>
                <c:ptCount val="9"/>
                <c:pt idx="0">
                  <c:v>128.63022501331147</c:v>
                </c:pt>
                <c:pt idx="1">
                  <c:v>158.71178978642843</c:v>
                </c:pt>
                <c:pt idx="2">
                  <c:v>149.76200068082562</c:v>
                </c:pt>
                <c:pt idx="3">
                  <c:v>182.10870483138942</c:v>
                </c:pt>
                <c:pt idx="4">
                  <c:v>197.57387056995336</c:v>
                </c:pt>
                <c:pt idx="5">
                  <c:v>127.30610836047262</c:v>
                </c:pt>
                <c:pt idx="6">
                  <c:v>164.48593006515239</c:v>
                </c:pt>
                <c:pt idx="7">
                  <c:v>292.35837731960078</c:v>
                </c:pt>
                <c:pt idx="8">
                  <c:v>150.45466163020558</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'OOHC expenditure per night'!$B$4</c:f>
              <c:strCache>
                <c:ptCount val="1"/>
                <c:pt idx="0">
                  <c:v>2014-15</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night'!$C$4:$K$4</c:f>
              <c:numCache>
                <c:formatCode>0.0</c:formatCode>
                <c:ptCount val="9"/>
                <c:pt idx="0">
                  <c:v>148.11418961382844</c:v>
                </c:pt>
                <c:pt idx="1">
                  <c:v>156.01880655042416</c:v>
                </c:pt>
                <c:pt idx="2">
                  <c:v>150.68489450813345</c:v>
                </c:pt>
                <c:pt idx="3">
                  <c:v>181.99706664334229</c:v>
                </c:pt>
                <c:pt idx="4">
                  <c:v>229.03700379111982</c:v>
                </c:pt>
                <c:pt idx="5">
                  <c:v>126.75970862703082</c:v>
                </c:pt>
                <c:pt idx="6">
                  <c:v>156.65411844302508</c:v>
                </c:pt>
                <c:pt idx="7">
                  <c:v>297.08954126188763</c:v>
                </c:pt>
                <c:pt idx="8">
                  <c:v>161.26356614237429</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'OOHC expenditure per night'!$B$5</c:f>
              <c:strCache>
                <c:ptCount val="1"/>
                <c:pt idx="0">
                  <c:v>2015-16</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night'!$C$5:$K$5</c:f>
              <c:numCache>
                <c:formatCode>0.0</c:formatCode>
                <c:ptCount val="9"/>
                <c:pt idx="0">
                  <c:v>165.92415803372234</c:v>
                </c:pt>
                <c:pt idx="1">
                  <c:v>151.89397400186954</c:v>
                </c:pt>
                <c:pt idx="2">
                  <c:v>160.31278274339104</c:v>
                </c:pt>
                <c:pt idx="3">
                  <c:v>174.22437657862039</c:v>
                </c:pt>
                <c:pt idx="4">
                  <c:v>278.41041203833373</c:v>
                </c:pt>
                <c:pt idx="5">
                  <c:v>131.06914804451682</c:v>
                </c:pt>
                <c:pt idx="6">
                  <c:v>144.53343698823613</c:v>
                </c:pt>
                <c:pt idx="7">
                  <c:v>308.07802171989067</c:v>
                </c:pt>
                <c:pt idx="8">
                  <c:v>172.40902891619717</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'OOHC expenditure per night'!$B$6</c:f>
              <c:strCache>
                <c:ptCount val="1"/>
                <c:pt idx="0">
                  <c:v>2016-17</c:v>
                </c:pt>
              </c:strCache>
            </c:strRef>
          </c:tx>
          <c:spPr>
            <a:solidFill>
              <a:srgbClr val="66BCDB"/>
            </a:solidFill>
            <a:ln>
              <a:solidFill>
                <a:srgbClr val="66BCDB"/>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night'!$C$6:$K$6</c:f>
              <c:numCache>
                <c:formatCode>0.0</c:formatCode>
                <c:ptCount val="9"/>
                <c:pt idx="0">
                  <c:v>174.6981593426195</c:v>
                </c:pt>
                <c:pt idx="1">
                  <c:v>159.92699533628129</c:v>
                </c:pt>
                <c:pt idx="2">
                  <c:v>164.3981684464172</c:v>
                </c:pt>
                <c:pt idx="3">
                  <c:v>174.75158090380742</c:v>
                </c:pt>
                <c:pt idx="4">
                  <c:v>327.5664022668559</c:v>
                </c:pt>
                <c:pt idx="5">
                  <c:v>148.98037412936367</c:v>
                </c:pt>
                <c:pt idx="6">
                  <c:v>151.07483049911067</c:v>
                </c:pt>
                <c:pt idx="7">
                  <c:v>330.23211759894014</c:v>
                </c:pt>
                <c:pt idx="8">
                  <c:v>183.0601740055794</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'OOHC expenditure per night'!$B$7</c:f>
              <c:strCache>
                <c:ptCount val="1"/>
                <c:pt idx="0">
                  <c:v>2017-18</c:v>
                </c:pt>
              </c:strCache>
            </c:strRef>
          </c:tx>
          <c:spPr>
            <a:solidFill>
              <a:srgbClr val="265A9A"/>
            </a:solidFill>
            <a:ln>
              <a:solidFill>
                <a:srgbClr val="265A9A"/>
              </a:solidFill>
            </a:ln>
          </c:spPr>
          <c:invertIfNegative val="0"/>
          <c:cat>
            <c:strRef>
              <c:f>'OOHC expenditure per night'!$C$2:$K$2</c:f>
              <c:strCache>
                <c:ptCount val="9"/>
                <c:pt idx="0">
                  <c:v>NSW</c:v>
                </c:pt>
                <c:pt idx="1">
                  <c:v>Vic</c:v>
                </c:pt>
                <c:pt idx="2">
                  <c:v>Qld</c:v>
                </c:pt>
                <c:pt idx="3">
                  <c:v>WA</c:v>
                </c:pt>
                <c:pt idx="4">
                  <c:v>SA</c:v>
                </c:pt>
                <c:pt idx="5">
                  <c:v>Tas</c:v>
                </c:pt>
                <c:pt idx="6">
                  <c:v>ACT</c:v>
                </c:pt>
                <c:pt idx="7">
                  <c:v>NT</c:v>
                </c:pt>
                <c:pt idx="8">
                  <c:v>Aust</c:v>
                </c:pt>
              </c:strCache>
            </c:strRef>
          </c:cat>
          <c:val>
            <c:numRef>
              <c:f>'OOHC expenditure per night'!$C$7:$K$7</c:f>
              <c:numCache>
                <c:formatCode>0.00</c:formatCode>
                <c:ptCount val="9"/>
                <c:pt idx="0">
                  <c:v>187.97906147757453</c:v>
                </c:pt>
                <c:pt idx="1">
                  <c:v>172.06026756763163</c:v>
                </c:pt>
                <c:pt idx="2">
                  <c:v>184.33804199957848</c:v>
                </c:pt>
                <c:pt idx="3">
                  <c:v>176.02222832487806</c:v>
                </c:pt>
                <c:pt idx="4">
                  <c:v>326.58819624061192</c:v>
                </c:pt>
                <c:pt idx="5">
                  <c:v>164.59597760068732</c:v>
                </c:pt>
                <c:pt idx="6">
                  <c:v>144.81911105226888</c:v>
                </c:pt>
                <c:pt idx="7">
                  <c:v>357.84069865265053</c:v>
                </c:pt>
                <c:pt idx="8">
                  <c:v>195.52509595192592</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555377816"/>
        <c:axId val="555380168"/>
      </c:barChart>
      <c:catAx>
        <c:axId val="55537781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5380168"/>
        <c:crosses val="autoZero"/>
        <c:auto val="1"/>
        <c:lblAlgn val="ctr"/>
        <c:lblOffset val="100"/>
        <c:noMultiLvlLbl val="0"/>
      </c:catAx>
      <c:valAx>
        <c:axId val="555380168"/>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$/placement night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5377816"/>
        <c:crosses val="autoZero"/>
        <c:crossBetween val="between"/>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commence TS '!$B$4</c:f>
              <c:strCache>
                <c:ptCount val="1"/>
                <c:pt idx="0">
                  <c:v>Up to 7 days</c:v>
                </c:pt>
              </c:strCache>
            </c:strRef>
          </c:tx>
          <c:spPr>
            <a:solidFill>
              <a:srgbClr val="66BCDB"/>
            </a:solidFill>
            <a:ln>
              <a:solidFill>
                <a:srgbClr val="66BCDB"/>
              </a:solidFill>
            </a:ln>
          </c:spPr>
          <c:invertIfNegative val="0"/>
          <c:cat>
            <c:multiLvlStrRef>
              <c:f>'Response time to commence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'!$C$4:$BC$4</c:f>
              <c:numCache>
                <c:formatCode>0.0</c:formatCode>
                <c:ptCount val="53"/>
                <c:pt idx="0">
                  <c:v>59.466762745451277</c:v>
                </c:pt>
                <c:pt idx="1">
                  <c:v>61.977063251952437</c:v>
                </c:pt>
                <c:pt idx="2">
                  <c:v>62.664057834754217</c:v>
                </c:pt>
                <c:pt idx="3">
                  <c:v>64.100610635915544</c:v>
                </c:pt>
                <c:pt idx="4">
                  <c:v>0</c:v>
                </c:pt>
                <c:pt idx="6">
                  <c:v>76.393210749646386</c:v>
                </c:pt>
                <c:pt idx="7">
                  <c:v>75.935231714126189</c:v>
                </c:pt>
                <c:pt idx="8">
                  <c:v>75.31811967609633</c:v>
                </c:pt>
                <c:pt idx="9">
                  <c:v>79.40192926045016</c:v>
                </c:pt>
                <c:pt idx="10">
                  <c:v>75.820789380111407</c:v>
                </c:pt>
                <c:pt idx="12">
                  <c:v>32.624306881192616</c:v>
                </c:pt>
                <c:pt idx="13">
                  <c:v>28.949802814158431</c:v>
                </c:pt>
                <c:pt idx="14">
                  <c:v>28.067454933126573</c:v>
                </c:pt>
                <c:pt idx="15">
                  <c:v>25.398025438050343</c:v>
                </c:pt>
                <c:pt idx="16">
                  <c:v>26.3282834822392</c:v>
                </c:pt>
                <c:pt idx="18">
                  <c:v>57.442034405385186</c:v>
                </c:pt>
                <c:pt idx="19">
                  <c:v>67.920353982300881</c:v>
                </c:pt>
                <c:pt idx="20">
                  <c:v>69.955919882453017</c:v>
                </c:pt>
                <c:pt idx="21">
                  <c:v>70.648873261946619</c:v>
                </c:pt>
                <c:pt idx="22">
                  <c:v>75.668298948382443</c:v>
                </c:pt>
                <c:pt idx="24">
                  <c:v>74.20828258221681</c:v>
                </c:pt>
                <c:pt idx="25">
                  <c:v>74.207571092193447</c:v>
                </c:pt>
                <c:pt idx="26">
                  <c:v>76.431808817470127</c:v>
                </c:pt>
                <c:pt idx="27">
                  <c:v>72.908076643220951</c:v>
                </c:pt>
                <c:pt idx="28">
                  <c:v>80.172987358616098</c:v>
                </c:pt>
                <c:pt idx="30">
                  <c:v>43.989254533243788</c:v>
                </c:pt>
                <c:pt idx="31">
                  <c:v>39.554682383759001</c:v>
                </c:pt>
                <c:pt idx="32">
                  <c:v>13.630041724617525</c:v>
                </c:pt>
                <c:pt idx="33">
                  <c:v>13.27247191011236</c:v>
                </c:pt>
                <c:pt idx="34">
                  <c:v>12.694512694512694</c:v>
                </c:pt>
                <c:pt idx="36">
                  <c:v>71.354552183567733</c:v>
                </c:pt>
                <c:pt idx="37">
                  <c:v>72.285353535353536</c:v>
                </c:pt>
                <c:pt idx="38">
                  <c:v>64.736259682773891</c:v>
                </c:pt>
                <c:pt idx="39">
                  <c:v>39.114082741328879</c:v>
                </c:pt>
                <c:pt idx="40">
                  <c:v>41.467181467181469</c:v>
                </c:pt>
                <c:pt idx="42">
                  <c:v>81.454940282301848</c:v>
                </c:pt>
                <c:pt idx="43">
                  <c:v>77.099129458017416</c:v>
                </c:pt>
                <c:pt idx="44">
                  <c:v>85.583207642031169</c:v>
                </c:pt>
                <c:pt idx="45">
                  <c:v>89.584012164657324</c:v>
                </c:pt>
                <c:pt idx="46">
                  <c:v>81.807856128726925</c:v>
                </c:pt>
                <c:pt idx="48">
                  <c:v>58.953636750319014</c:v>
                </c:pt>
                <c:pt idx="49">
                  <c:v>61.357471642281766</c:v>
                </c:pt>
                <c:pt idx="50">
                  <c:v>62.192570993914806</c:v>
                </c:pt>
                <c:pt idx="51">
                  <c:v>63.078209067683865</c:v>
                </c:pt>
                <c:pt idx="52">
                  <c:v>61.864512401001591</c:v>
                </c:pt>
              </c:numCache>
            </c:numRef>
          </c:val>
        </c:ser>
        <c:ser>
          <c:idx val="1"/>
          <c:order val="1"/>
          <c:tx>
            <c:strRef>
              <c:f>'Response time to commence TS '!$B$5</c:f>
              <c:strCache>
                <c:ptCount val="1"/>
                <c:pt idx="0">
                  <c:v>8 to 14 days</c:v>
                </c:pt>
              </c:strCache>
            </c:strRef>
          </c:tx>
          <c:spPr>
            <a:solidFill>
              <a:srgbClr val="265A9A"/>
            </a:solidFill>
            <a:ln>
              <a:solidFill>
                <a:srgbClr val="265A9A"/>
              </a:solidFill>
            </a:ln>
          </c:spPr>
          <c:invertIfNegative val="0"/>
          <c:cat>
            <c:multiLvlStrRef>
              <c:f>'Response time to commence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'!$C$5:$BC$5</c:f>
              <c:numCache>
                <c:formatCode>0.0</c:formatCode>
                <c:ptCount val="53"/>
                <c:pt idx="0">
                  <c:v>12.181261361589231</c:v>
                </c:pt>
                <c:pt idx="1">
                  <c:v>12.499824104692888</c:v>
                </c:pt>
                <c:pt idx="2">
                  <c:v>12.554156555325447</c:v>
                </c:pt>
                <c:pt idx="3">
                  <c:v>12.316607219124794</c:v>
                </c:pt>
                <c:pt idx="4">
                  <c:v>0</c:v>
                </c:pt>
                <c:pt idx="6">
                  <c:v>15.289957567185288</c:v>
                </c:pt>
                <c:pt idx="7">
                  <c:v>15.063412299593203</c:v>
                </c:pt>
                <c:pt idx="8">
                  <c:v>15.602762295369299</c:v>
                </c:pt>
                <c:pt idx="9">
                  <c:v>16.061093247588424</c:v>
                </c:pt>
                <c:pt idx="10">
                  <c:v>16.812848168780373</c:v>
                </c:pt>
                <c:pt idx="12">
                  <c:v>11.376238523770567</c:v>
                </c:pt>
                <c:pt idx="13">
                  <c:v>12.206047032474803</c:v>
                </c:pt>
                <c:pt idx="14">
                  <c:v>9.7790269432060484</c:v>
                </c:pt>
                <c:pt idx="15">
                  <c:v>10.001778884639331</c:v>
                </c:pt>
                <c:pt idx="16">
                  <c:v>11.135569079373301</c:v>
                </c:pt>
                <c:pt idx="18">
                  <c:v>9.3418100224382954</c:v>
                </c:pt>
                <c:pt idx="19">
                  <c:v>7.4041297935103252</c:v>
                </c:pt>
                <c:pt idx="20">
                  <c:v>7.1920191787178096</c:v>
                </c:pt>
                <c:pt idx="21">
                  <c:v>7.8631932235895787</c:v>
                </c:pt>
                <c:pt idx="22">
                  <c:v>5.8681865617724975</c:v>
                </c:pt>
                <c:pt idx="24">
                  <c:v>13.443970767356884</c:v>
                </c:pt>
                <c:pt idx="25">
                  <c:v>12.0268067379098</c:v>
                </c:pt>
                <c:pt idx="26">
                  <c:v>8.1994231561598685</c:v>
                </c:pt>
                <c:pt idx="27">
                  <c:v>8.1008974048023283</c:v>
                </c:pt>
                <c:pt idx="28">
                  <c:v>7.6070082058106001</c:v>
                </c:pt>
                <c:pt idx="30">
                  <c:v>13.02887844190732</c:v>
                </c:pt>
                <c:pt idx="31">
                  <c:v>14.669286182056322</c:v>
                </c:pt>
                <c:pt idx="32">
                  <c:v>8.8317107093184983</c:v>
                </c:pt>
                <c:pt idx="33">
                  <c:v>8.4971910112359552</c:v>
                </c:pt>
                <c:pt idx="34">
                  <c:v>8.1081081081081088</c:v>
                </c:pt>
                <c:pt idx="36">
                  <c:v>17.690599555884528</c:v>
                </c:pt>
                <c:pt idx="37">
                  <c:v>18.686868686868689</c:v>
                </c:pt>
                <c:pt idx="38">
                  <c:v>19.69752858723718</c:v>
                </c:pt>
                <c:pt idx="39">
                  <c:v>15.879648976180526</c:v>
                </c:pt>
                <c:pt idx="40">
                  <c:v>18.725868725868725</c:v>
                </c:pt>
                <c:pt idx="42">
                  <c:v>8.4907709011943542</c:v>
                </c:pt>
                <c:pt idx="43">
                  <c:v>7.9472058410558839</c:v>
                </c:pt>
                <c:pt idx="44">
                  <c:v>10.608345902463549</c:v>
                </c:pt>
                <c:pt idx="45">
                  <c:v>8.3740632127728905</c:v>
                </c:pt>
                <c:pt idx="46">
                  <c:v>12.23852342640795</c:v>
                </c:pt>
                <c:pt idx="48">
                  <c:v>12.259221000182293</c:v>
                </c:pt>
                <c:pt idx="49">
                  <c:v>12.275330155076992</c:v>
                </c:pt>
                <c:pt idx="50">
                  <c:v>12.15960953346856</c:v>
                </c:pt>
                <c:pt idx="51">
                  <c:v>12.069838354583878</c:v>
                </c:pt>
                <c:pt idx="52">
                  <c:v>12.695589118390194</c:v>
                </c:pt>
              </c:numCache>
            </c:numRef>
          </c:val>
        </c:ser>
        <c:ser>
          <c:idx val="2"/>
          <c:order val="2"/>
          <c:tx>
            <c:strRef>
              <c:f>'Response time to commence TS '!$B$6</c:f>
              <c:strCache>
                <c:ptCount val="1"/>
                <c:pt idx="0">
                  <c:v>15 to 21 days</c:v>
                </c:pt>
              </c:strCache>
            </c:strRef>
          </c:tx>
          <c:spPr>
            <a:solidFill>
              <a:srgbClr val="78A22F"/>
            </a:solidFill>
            <a:ln>
              <a:solidFill>
                <a:srgbClr val="78A22F"/>
              </a:solidFill>
            </a:ln>
          </c:spPr>
          <c:invertIfNegative val="0"/>
          <c:cat>
            <c:multiLvlStrRef>
              <c:f>'Response time to commence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'!$C$6:$BC$6</c:f>
              <c:numCache>
                <c:formatCode>0.0</c:formatCode>
                <c:ptCount val="53"/>
                <c:pt idx="0">
                  <c:v>5.9596141563354683</c:v>
                </c:pt>
                <c:pt idx="1">
                  <c:v>5.8031379722788996</c:v>
                </c:pt>
                <c:pt idx="2">
                  <c:v>5.8851182232838255</c:v>
                </c:pt>
                <c:pt idx="3">
                  <c:v>5.3699022289942402</c:v>
                </c:pt>
                <c:pt idx="4">
                  <c:v>0</c:v>
                </c:pt>
                <c:pt idx="6">
                  <c:v>4.7807637906647802</c:v>
                </c:pt>
                <c:pt idx="7">
                  <c:v>5.3441812235782082</c:v>
                </c:pt>
                <c:pt idx="8">
                  <c:v>5.2827146212360221</c:v>
                </c:pt>
                <c:pt idx="9">
                  <c:v>3.594855305466238</c:v>
                </c:pt>
                <c:pt idx="10">
                  <c:v>5.2151238591916558</c:v>
                </c:pt>
                <c:pt idx="12">
                  <c:v>9.0128170166348518</c:v>
                </c:pt>
                <c:pt idx="13">
                  <c:v>10.102731389064706</c:v>
                </c:pt>
                <c:pt idx="14">
                  <c:v>8.4124830393487109</c:v>
                </c:pt>
                <c:pt idx="15">
                  <c:v>7.876011740638619</c:v>
                </c:pt>
                <c:pt idx="16">
                  <c:v>8.0883939747075839</c:v>
                </c:pt>
                <c:pt idx="18">
                  <c:v>6.1630516080777857</c:v>
                </c:pt>
                <c:pt idx="19">
                  <c:v>4.4985250737463129</c:v>
                </c:pt>
                <c:pt idx="20">
                  <c:v>3.9594772252726007</c:v>
                </c:pt>
                <c:pt idx="21">
                  <c:v>4.7546747642640241</c:v>
                </c:pt>
                <c:pt idx="22">
                  <c:v>3.7970618929116156</c:v>
                </c:pt>
                <c:pt idx="24">
                  <c:v>4.3544457978075517</c:v>
                </c:pt>
                <c:pt idx="25">
                  <c:v>5.705488136207209</c:v>
                </c:pt>
                <c:pt idx="26">
                  <c:v>4.573547589616811</c:v>
                </c:pt>
                <c:pt idx="27">
                  <c:v>4.3900072762551545</c:v>
                </c:pt>
                <c:pt idx="28">
                  <c:v>4.0141938345531161</c:v>
                </c:pt>
                <c:pt idx="30">
                  <c:v>9.5366017461383485</c:v>
                </c:pt>
                <c:pt idx="31">
                  <c:v>12.508185985592664</c:v>
                </c:pt>
                <c:pt idx="32">
                  <c:v>10.778859527121002</c:v>
                </c:pt>
                <c:pt idx="33">
                  <c:v>8.3567415730337071</c:v>
                </c:pt>
                <c:pt idx="34">
                  <c:v>5.7330057330057329</c:v>
                </c:pt>
                <c:pt idx="36">
                  <c:v>6.14359733530718</c:v>
                </c:pt>
                <c:pt idx="37">
                  <c:v>5.6818181818181817</c:v>
                </c:pt>
                <c:pt idx="38">
                  <c:v>8.4470675027665081</c:v>
                </c:pt>
                <c:pt idx="39">
                  <c:v>8.6502298370246553</c:v>
                </c:pt>
                <c:pt idx="40">
                  <c:v>7.9922779922779918</c:v>
                </c:pt>
                <c:pt idx="42">
                  <c:v>3.0836047774158524</c:v>
                </c:pt>
                <c:pt idx="43">
                  <c:v>2.9205279415894414</c:v>
                </c:pt>
                <c:pt idx="44">
                  <c:v>1.2946204122674712</c:v>
                </c:pt>
                <c:pt idx="45">
                  <c:v>0.61909416748126422</c:v>
                </c:pt>
                <c:pt idx="46">
                  <c:v>2.2527212494084239</c:v>
                </c:pt>
                <c:pt idx="48">
                  <c:v>6.1622713738834536</c:v>
                </c:pt>
                <c:pt idx="49">
                  <c:v>6.1325278097430003</c:v>
                </c:pt>
                <c:pt idx="50">
                  <c:v>5.7657200811359024</c:v>
                </c:pt>
                <c:pt idx="51">
                  <c:v>5.1213223607530107</c:v>
                </c:pt>
                <c:pt idx="52">
                  <c:v>5.4419379326754207</c:v>
                </c:pt>
              </c:numCache>
            </c:numRef>
          </c:val>
        </c:ser>
        <c:ser>
          <c:idx val="3"/>
          <c:order val="3"/>
          <c:tx>
            <c:strRef>
              <c:f>'Response time to commence TS '!$B$7</c:f>
              <c:strCache>
                <c:ptCount val="1"/>
                <c:pt idx="0">
                  <c:v>22 to 28 days</c:v>
                </c:pt>
              </c:strCache>
            </c:strRef>
          </c:tx>
          <c:spPr>
            <a:solidFill>
              <a:srgbClr val="4D7028"/>
            </a:solidFill>
            <a:ln>
              <a:solidFill>
                <a:srgbClr val="4D7028"/>
              </a:solidFill>
            </a:ln>
          </c:spPr>
          <c:invertIfNegative val="0"/>
          <c:cat>
            <c:multiLvlStrRef>
              <c:f>'Response time to commence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'!$C$7:$BC$7</c:f>
              <c:numCache>
                <c:formatCode>0.0</c:formatCode>
                <c:ptCount val="53"/>
                <c:pt idx="0">
                  <c:v>4.0975418024598351</c:v>
                </c:pt>
                <c:pt idx="1">
                  <c:v>3.4011116583409557</c:v>
                </c:pt>
                <c:pt idx="2">
                  <c:v>3.6083194633260067</c:v>
                </c:pt>
                <c:pt idx="3">
                  <c:v>3.0878092137918296</c:v>
                </c:pt>
                <c:pt idx="4">
                  <c:v>0</c:v>
                </c:pt>
                <c:pt idx="6">
                  <c:v>1.933050447901933</c:v>
                </c:pt>
                <c:pt idx="7">
                  <c:v>1.9223099625109676</c:v>
                </c:pt>
                <c:pt idx="8">
                  <c:v>1.9665579976864023</c:v>
                </c:pt>
                <c:pt idx="9">
                  <c:v>0.6237942122186495</c:v>
                </c:pt>
                <c:pt idx="10">
                  <c:v>1.4104539528268341</c:v>
                </c:pt>
                <c:pt idx="12">
                  <c:v>7.5265884919552768</c:v>
                </c:pt>
                <c:pt idx="13">
                  <c:v>7.186328448317834</c:v>
                </c:pt>
                <c:pt idx="14">
                  <c:v>7.0120178329133562</c:v>
                </c:pt>
                <c:pt idx="15">
                  <c:v>6.2260962376589877</c:v>
                </c:pt>
                <c:pt idx="16">
                  <c:v>6.5734386464672623</c:v>
                </c:pt>
                <c:pt idx="18">
                  <c:v>4.2333582647718773</c:v>
                </c:pt>
                <c:pt idx="19">
                  <c:v>3.2964601769911503</c:v>
                </c:pt>
                <c:pt idx="20">
                  <c:v>2.8690743175315134</c:v>
                </c:pt>
                <c:pt idx="21">
                  <c:v>3.3882052101646161</c:v>
                </c:pt>
                <c:pt idx="22">
                  <c:v>2.8819137834149475</c:v>
                </c:pt>
                <c:pt idx="24">
                  <c:v>2.4969549330085261</c:v>
                </c:pt>
                <c:pt idx="25">
                  <c:v>2.2459699329831553</c:v>
                </c:pt>
                <c:pt idx="26">
                  <c:v>2.61639884631232</c:v>
                </c:pt>
                <c:pt idx="27">
                  <c:v>2.4011642008246423</c:v>
                </c:pt>
                <c:pt idx="28">
                  <c:v>2.173430915945886</c:v>
                </c:pt>
                <c:pt idx="30">
                  <c:v>7.9247817327065153</c:v>
                </c:pt>
                <c:pt idx="31">
                  <c:v>8.9718402095612308</c:v>
                </c:pt>
                <c:pt idx="32">
                  <c:v>7.9276773296244789</c:v>
                </c:pt>
                <c:pt idx="33">
                  <c:v>4.2837078651685392</c:v>
                </c:pt>
                <c:pt idx="34">
                  <c:v>5.1597051597051591</c:v>
                </c:pt>
                <c:pt idx="36">
                  <c:v>3.1088082901554404</c:v>
                </c:pt>
                <c:pt idx="37">
                  <c:v>1.8308080808080809</c:v>
                </c:pt>
                <c:pt idx="38">
                  <c:v>2.766506824050166</c:v>
                </c:pt>
                <c:pt idx="39">
                  <c:v>8.4830756372753857</c:v>
                </c:pt>
                <c:pt idx="40">
                  <c:v>5.5984555984555984</c:v>
                </c:pt>
                <c:pt idx="42">
                  <c:v>1.1726384364820848</c:v>
                </c:pt>
                <c:pt idx="43">
                  <c:v>2.0219039595619206</c:v>
                </c:pt>
                <c:pt idx="44">
                  <c:v>0.43991955756661638</c:v>
                </c:pt>
                <c:pt idx="45">
                  <c:v>0.19550342130987292</c:v>
                </c:pt>
                <c:pt idx="46">
                  <c:v>0.97491717936583044</c:v>
                </c:pt>
                <c:pt idx="48">
                  <c:v>4.1866682870511029</c:v>
                </c:pt>
                <c:pt idx="49">
                  <c:v>3.600197271083347</c:v>
                </c:pt>
                <c:pt idx="50">
                  <c:v>3.5306795131845843</c:v>
                </c:pt>
                <c:pt idx="51">
                  <c:v>2.9868493860299745</c:v>
                </c:pt>
                <c:pt idx="52">
                  <c:v>3.1350910388742221</c:v>
                </c:pt>
              </c:numCache>
            </c:numRef>
          </c:val>
        </c:ser>
        <c:ser>
          <c:idx val="4"/>
          <c:order val="4"/>
          <c:tx>
            <c:strRef>
              <c:f>'Response time to commence TS '!$B$8</c:f>
              <c:strCache>
                <c:ptCount val="1"/>
                <c:pt idx="0">
                  <c:v>29 days or more</c:v>
                </c:pt>
              </c:strCache>
            </c:strRef>
          </c:tx>
          <c:spPr>
            <a:solidFill>
              <a:srgbClr val="F4B123"/>
            </a:solidFill>
            <a:ln>
              <a:solidFill>
                <a:srgbClr val="F4B123"/>
              </a:solidFill>
            </a:ln>
          </c:spPr>
          <c:invertIfNegative val="0"/>
          <c:cat>
            <c:multiLvlStrRef>
              <c:f>'Response time to commence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commence TS '!$C$8:$BC$8</c:f>
              <c:numCache>
                <c:formatCode>0.0</c:formatCode>
                <c:ptCount val="53"/>
                <c:pt idx="0">
                  <c:v>18.294819934164195</c:v>
                </c:pt>
                <c:pt idx="1">
                  <c:v>16.31886301273482</c:v>
                </c:pt>
                <c:pt idx="2">
                  <c:v>15.288347923310505</c:v>
                </c:pt>
                <c:pt idx="3">
                  <c:v>15.125070702173588</c:v>
                </c:pt>
                <c:pt idx="4">
                  <c:v>0</c:v>
                </c:pt>
                <c:pt idx="6">
                  <c:v>1.603017444601603</c:v>
                </c:pt>
                <c:pt idx="7">
                  <c:v>1.7348648001914335</c:v>
                </c:pt>
                <c:pt idx="8">
                  <c:v>1.8298454096119465</c:v>
                </c:pt>
                <c:pt idx="9">
                  <c:v>0.31832797427652731</c:v>
                </c:pt>
                <c:pt idx="10">
                  <c:v>0.74078463908972381</c:v>
                </c:pt>
                <c:pt idx="12">
                  <c:v>39.460049086446688</c:v>
                </c:pt>
                <c:pt idx="13">
                  <c:v>41.555090315984231</c:v>
                </c:pt>
                <c:pt idx="14">
                  <c:v>46.729017251405317</c:v>
                </c:pt>
                <c:pt idx="15">
                  <c:v>50.498087699012714</c:v>
                </c:pt>
                <c:pt idx="16">
                  <c:v>47.874314817212657</c:v>
                </c:pt>
                <c:pt idx="18">
                  <c:v>22.804786836200449</c:v>
                </c:pt>
                <c:pt idx="19">
                  <c:v>16.880530973451329</c:v>
                </c:pt>
                <c:pt idx="20">
                  <c:v>16.023509396025055</c:v>
                </c:pt>
                <c:pt idx="21">
                  <c:v>13.34505354003516</c:v>
                </c:pt>
                <c:pt idx="22">
                  <c:v>11.784538813518504</c:v>
                </c:pt>
                <c:pt idx="24">
                  <c:v>5.4963459196102313</c:v>
                </c:pt>
                <c:pt idx="25">
                  <c:v>5.8141641007063942</c:v>
                </c:pt>
                <c:pt idx="26">
                  <c:v>8.1788215904408741</c:v>
                </c:pt>
                <c:pt idx="27">
                  <c:v>12.199854474896918</c:v>
                </c:pt>
                <c:pt idx="28">
                  <c:v>6.0323796850742966</c:v>
                </c:pt>
                <c:pt idx="30">
                  <c:v>25.52048354600403</c:v>
                </c:pt>
                <c:pt idx="31">
                  <c:v>24.29600523903078</c:v>
                </c:pt>
                <c:pt idx="32">
                  <c:v>58.8317107093185</c:v>
                </c:pt>
                <c:pt idx="33">
                  <c:v>65.589887640449433</c:v>
                </c:pt>
                <c:pt idx="34">
                  <c:v>68.304668304668297</c:v>
                </c:pt>
                <c:pt idx="36">
                  <c:v>1.7024426350851223</c:v>
                </c:pt>
                <c:pt idx="37">
                  <c:v>1.5151515151515151</c:v>
                </c:pt>
                <c:pt idx="38">
                  <c:v>4.3526374031722614</c:v>
                </c:pt>
                <c:pt idx="39">
                  <c:v>27.872962808190554</c:v>
                </c:pt>
                <c:pt idx="40">
                  <c:v>26.216216216216214</c:v>
                </c:pt>
                <c:pt idx="42">
                  <c:v>5.7980456026058631</c:v>
                </c:pt>
                <c:pt idx="43">
                  <c:v>10.011232799775344</c:v>
                </c:pt>
                <c:pt idx="44">
                  <c:v>2.0739064856711913</c:v>
                </c:pt>
                <c:pt idx="45">
                  <c:v>1.2273270337786466</c:v>
                </c:pt>
                <c:pt idx="46">
                  <c:v>2.7259820160908661</c:v>
                </c:pt>
                <c:pt idx="48">
                  <c:v>18.436683478155192</c:v>
                </c:pt>
                <c:pt idx="49">
                  <c:v>16.634473121814892</c:v>
                </c:pt>
                <c:pt idx="50">
                  <c:v>16.351419878296149</c:v>
                </c:pt>
                <c:pt idx="51">
                  <c:v>16.74378083094927</c:v>
                </c:pt>
                <c:pt idx="52">
                  <c:v>16.862869509058566</c:v>
                </c:pt>
              </c:numCache>
            </c:numRef>
          </c:val>
        </c:ser>
        <c:dLbls>
          <c:showLegendKey val="0"/>
          <c:showVal val="0"/>
          <c:showCatName val="0"/>
          <c:showSerName val="0"/>
          <c:showPercent val="0"/>
          <c:showBubbleSize val="0"/>
        </c:dLbls>
        <c:gapWidth val="5"/>
        <c:overlap val="100"/>
        <c:axId val="552712984"/>
        <c:axId val="473631160"/>
      </c:barChart>
      <c:catAx>
        <c:axId val="5527129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a:pPr>
            <a:endParaRPr lang="en-US"/>
          </a:p>
        </c:txPr>
        <c:crossAx val="473631160"/>
        <c:crosses val="autoZero"/>
        <c:auto val="1"/>
        <c:lblAlgn val="ctr"/>
        <c:lblOffset val="100"/>
        <c:noMultiLvlLbl val="0"/>
      </c:catAx>
      <c:valAx>
        <c:axId val="473631160"/>
        <c:scaling>
          <c:orientation val="minMax"/>
          <c:max val="100"/>
        </c:scaling>
        <c:delete val="0"/>
        <c:axPos val="l"/>
        <c:majorGridlines>
          <c:spPr>
            <a:ln>
              <a:noFill/>
            </a:ln>
          </c:spPr>
        </c:majorGridlines>
        <c:title>
          <c:tx>
            <c:rich>
              <a:bodyPr/>
              <a:lstStyle/>
              <a:p>
                <a:pPr>
                  <a:defRPr/>
                </a:pPr>
                <a:r>
                  <a:rPr lang="en-AU"/>
                  <a:t>Per cent</a:t>
                </a:r>
              </a:p>
            </c:rich>
          </c:tx>
          <c:layout/>
          <c:overlay val="0"/>
        </c:title>
        <c:numFmt formatCode="0" sourceLinked="0"/>
        <c:majorTickMark val="out"/>
        <c:minorTickMark val="none"/>
        <c:tickLblPos val="nextTo"/>
        <c:spPr>
          <a:ln>
            <a:solidFill>
              <a:srgbClr val="BFBFBF"/>
            </a:solidFill>
          </a:ln>
        </c:spPr>
        <c:crossAx val="552712984"/>
        <c:crosses val="autoZero"/>
        <c:crossBetween val="between"/>
        <c:majorUnit val="20"/>
      </c:valAx>
      <c:spPr>
        <a:noFill/>
        <a:ln>
          <a:noFill/>
        </a:ln>
      </c:spPr>
    </c:plotArea>
    <c:legend>
      <c:legendPos val="b"/>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'Response time to complete TS '!$B$4</c:f>
              <c:strCache>
                <c:ptCount val="1"/>
                <c:pt idx="0">
                  <c:v>28 days or less</c:v>
                </c:pt>
              </c:strCache>
            </c:strRef>
          </c:tx>
          <c:spPr>
            <a:solidFill>
              <a:srgbClr val="66BCDB"/>
            </a:solidFill>
            <a:ln>
              <a:solidFill>
                <a:srgbClr val="66BCDB"/>
              </a:solidFill>
            </a:ln>
          </c:spPr>
          <c:invertIfNegative val="0"/>
          <c:cat>
            <c:multiLvlStrRef>
              <c:f>'Response time to complete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'!$C$4:$BC$4</c:f>
              <c:numCache>
                <c:formatCode>0.0</c:formatCode>
                <c:ptCount val="53"/>
                <c:pt idx="0">
                  <c:v>62.889597123477984</c:v>
                </c:pt>
                <c:pt idx="1">
                  <c:v>48.603410673463486</c:v>
                </c:pt>
                <c:pt idx="2">
                  <c:v>54.48655136935966</c:v>
                </c:pt>
                <c:pt idx="3">
                  <c:v>51.527373636373852</c:v>
                </c:pt>
                <c:pt idx="4">
                  <c:v>0</c:v>
                </c:pt>
                <c:pt idx="6">
                  <c:v>33.609779482262702</c:v>
                </c:pt>
                <c:pt idx="7">
                  <c:v>33.377234993614302</c:v>
                </c:pt>
                <c:pt idx="8">
                  <c:v>32.15254963576632</c:v>
                </c:pt>
                <c:pt idx="9">
                  <c:v>36.681321523243035</c:v>
                </c:pt>
                <c:pt idx="10">
                  <c:v>37.89958381298149</c:v>
                </c:pt>
                <c:pt idx="12">
                  <c:v>26.468408375023163</c:v>
                </c:pt>
                <c:pt idx="13">
                  <c:v>21.310429447852762</c:v>
                </c:pt>
                <c:pt idx="14">
                  <c:v>16.057059253840528</c:v>
                </c:pt>
                <c:pt idx="15">
                  <c:v>11.602671118530884</c:v>
                </c:pt>
                <c:pt idx="16">
                  <c:v>12.832678143780218</c:v>
                </c:pt>
                <c:pt idx="18">
                  <c:v>27.571000176397952</c:v>
                </c:pt>
                <c:pt idx="19">
                  <c:v>20.691578360290016</c:v>
                </c:pt>
                <c:pt idx="20">
                  <c:v>18.143668230066652</c:v>
                </c:pt>
                <c:pt idx="21">
                  <c:v>17.063246351172047</c:v>
                </c:pt>
                <c:pt idx="22">
                  <c:v>20.603766942439712</c:v>
                </c:pt>
                <c:pt idx="24">
                  <c:v>31.650518442971272</c:v>
                </c:pt>
                <c:pt idx="25">
                  <c:v>24.228548676089986</c:v>
                </c:pt>
                <c:pt idx="26">
                  <c:v>19.500984898227184</c:v>
                </c:pt>
                <c:pt idx="27">
                  <c:v>14.917951268025858</c:v>
                </c:pt>
                <c:pt idx="28">
                  <c:v>12.668329177057355</c:v>
                </c:pt>
                <c:pt idx="30">
                  <c:v>29.225092250922508</c:v>
                </c:pt>
                <c:pt idx="31">
                  <c:v>33.70044052863436</c:v>
                </c:pt>
                <c:pt idx="32">
                  <c:v>19.597615499254843</c:v>
                </c:pt>
                <c:pt idx="33">
                  <c:v>17.032551097653293</c:v>
                </c:pt>
                <c:pt idx="34">
                  <c:v>17.056856187290968</c:v>
                </c:pt>
                <c:pt idx="36">
                  <c:v>19.459053343350863</c:v>
                </c:pt>
                <c:pt idx="37">
                  <c:v>22.190408017179671</c:v>
                </c:pt>
                <c:pt idx="38">
                  <c:v>15.869886643666831</c:v>
                </c:pt>
                <c:pt idx="39">
                  <c:v>6.7693554925010124</c:v>
                </c:pt>
                <c:pt idx="40">
                  <c:v>6.1457418788410889</c:v>
                </c:pt>
                <c:pt idx="42">
                  <c:v>37.061048082117779</c:v>
                </c:pt>
                <c:pt idx="43">
                  <c:v>37.481259370314838</c:v>
                </c:pt>
                <c:pt idx="44">
                  <c:v>45.575221238938049</c:v>
                </c:pt>
                <c:pt idx="45">
                  <c:v>41.711403936879776</c:v>
                </c:pt>
                <c:pt idx="46">
                  <c:v>38.686642397087653</c:v>
                </c:pt>
                <c:pt idx="48">
                  <c:v>45.75454645478694</c:v>
                </c:pt>
                <c:pt idx="49">
                  <c:v>38.231418207507438</c:v>
                </c:pt>
                <c:pt idx="50">
                  <c:v>40.651269341029838</c:v>
                </c:pt>
                <c:pt idx="51">
                  <c:v>39.094795795381636</c:v>
                </c:pt>
                <c:pt idx="52">
                  <c:v>26.386009414863775</c:v>
                </c:pt>
              </c:numCache>
            </c:numRef>
          </c:val>
        </c:ser>
        <c:ser>
          <c:idx val="1"/>
          <c:order val="1"/>
          <c:tx>
            <c:strRef>
              <c:f>'Response time to complete TS '!$B$5</c:f>
              <c:strCache>
                <c:ptCount val="1"/>
                <c:pt idx="0">
                  <c:v>29 to 62 days</c:v>
                </c:pt>
              </c:strCache>
            </c:strRef>
          </c:tx>
          <c:spPr>
            <a:solidFill>
              <a:srgbClr val="265A9A"/>
            </a:solidFill>
            <a:ln>
              <a:solidFill>
                <a:srgbClr val="265A9A"/>
              </a:solidFill>
            </a:ln>
          </c:spPr>
          <c:invertIfNegative val="0"/>
          <c:cat>
            <c:multiLvlStrRef>
              <c:f>'Response time to complete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'!$C$5:$BC$5</c:f>
              <c:numCache>
                <c:formatCode>0.0</c:formatCode>
                <c:ptCount val="53"/>
                <c:pt idx="0">
                  <c:v>19.208956443572774</c:v>
                </c:pt>
                <c:pt idx="1">
                  <c:v>20.826654754710038</c:v>
                </c:pt>
                <c:pt idx="2">
                  <c:v>23.128460144039977</c:v>
                </c:pt>
                <c:pt idx="3">
                  <c:v>24.080710939343213</c:v>
                </c:pt>
                <c:pt idx="4">
                  <c:v>0</c:v>
                </c:pt>
                <c:pt idx="6">
                  <c:v>29.860977948226271</c:v>
                </c:pt>
                <c:pt idx="7">
                  <c:v>29.398148148148145</c:v>
                </c:pt>
                <c:pt idx="8">
                  <c:v>30.46350521354092</c:v>
                </c:pt>
                <c:pt idx="9">
                  <c:v>31.437900045257646</c:v>
                </c:pt>
                <c:pt idx="10">
                  <c:v>32.061158829953655</c:v>
                </c:pt>
                <c:pt idx="12">
                  <c:v>35.691124698906798</c:v>
                </c:pt>
                <c:pt idx="13">
                  <c:v>36.289570552147239</c:v>
                </c:pt>
                <c:pt idx="14">
                  <c:v>32.735918068763716</c:v>
                </c:pt>
                <c:pt idx="15">
                  <c:v>28.097755518456687</c:v>
                </c:pt>
                <c:pt idx="16">
                  <c:v>29.221454068953051</c:v>
                </c:pt>
                <c:pt idx="18">
                  <c:v>27.218204268830483</c:v>
                </c:pt>
                <c:pt idx="19">
                  <c:v>25.543781372002233</c:v>
                </c:pt>
                <c:pt idx="20">
                  <c:v>23.237060808030936</c:v>
                </c:pt>
                <c:pt idx="21">
                  <c:v>27.023440955329502</c:v>
                </c:pt>
                <c:pt idx="22">
                  <c:v>27.187114944552015</c:v>
                </c:pt>
                <c:pt idx="24">
                  <c:v>32.959374468808434</c:v>
                </c:pt>
                <c:pt idx="25">
                  <c:v>30.95759506271153</c:v>
                </c:pt>
                <c:pt idx="26">
                  <c:v>24.469249288684615</c:v>
                </c:pt>
                <c:pt idx="27">
                  <c:v>22.327200397812032</c:v>
                </c:pt>
                <c:pt idx="28">
                  <c:v>24.114713216957608</c:v>
                </c:pt>
                <c:pt idx="30">
                  <c:v>31.881918819188193</c:v>
                </c:pt>
                <c:pt idx="31">
                  <c:v>34.65491923641703</c:v>
                </c:pt>
                <c:pt idx="32">
                  <c:v>26.676602086438152</c:v>
                </c:pt>
                <c:pt idx="33">
                  <c:v>17.789553368660105</c:v>
                </c:pt>
                <c:pt idx="34">
                  <c:v>20.568561872909701</c:v>
                </c:pt>
                <c:pt idx="36">
                  <c:v>44.703230653643878</c:v>
                </c:pt>
                <c:pt idx="37">
                  <c:v>57.551896921975668</c:v>
                </c:pt>
                <c:pt idx="38">
                  <c:v>57.565303104977815</c:v>
                </c:pt>
                <c:pt idx="39">
                  <c:v>26.469396027563839</c:v>
                </c:pt>
                <c:pt idx="40">
                  <c:v>39.376646180860405</c:v>
                </c:pt>
                <c:pt idx="42">
                  <c:v>27.06645056726094</c:v>
                </c:pt>
                <c:pt idx="43">
                  <c:v>24.100449775112441</c:v>
                </c:pt>
                <c:pt idx="44">
                  <c:v>29.345132743362832</c:v>
                </c:pt>
                <c:pt idx="45">
                  <c:v>27.346673173905973</c:v>
                </c:pt>
                <c:pt idx="46">
                  <c:v>28.955474656958835</c:v>
                </c:pt>
                <c:pt idx="48">
                  <c:v>25.731283695635089</c:v>
                </c:pt>
                <c:pt idx="49">
                  <c:v>25.768608963821375</c:v>
                </c:pt>
                <c:pt idx="50">
                  <c:v>26.406046761449311</c:v>
                </c:pt>
                <c:pt idx="51">
                  <c:v>26.227896071811905</c:v>
                </c:pt>
                <c:pt idx="52">
                  <c:v>29.995853557403841</c:v>
                </c:pt>
              </c:numCache>
            </c:numRef>
          </c:val>
        </c:ser>
        <c:ser>
          <c:idx val="2"/>
          <c:order val="2"/>
          <c:tx>
            <c:strRef>
              <c:f>'Response time to complete TS '!$B$6</c:f>
              <c:strCache>
                <c:ptCount val="1"/>
                <c:pt idx="0">
                  <c:v>63 to 90 days</c:v>
                </c:pt>
              </c:strCache>
            </c:strRef>
          </c:tx>
          <c:spPr>
            <a:solidFill>
              <a:srgbClr val="78A22F"/>
            </a:solidFill>
            <a:ln>
              <a:solidFill>
                <a:srgbClr val="78A22F"/>
              </a:solidFill>
            </a:ln>
          </c:spPr>
          <c:invertIfNegative val="0"/>
          <c:cat>
            <c:multiLvlStrRef>
              <c:f>'Response time to complete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'!$C$6:$BC$6</c:f>
              <c:numCache>
                <c:formatCode>0.0</c:formatCode>
                <c:ptCount val="53"/>
                <c:pt idx="0">
                  <c:v>9.6951867287733915</c:v>
                </c:pt>
                <c:pt idx="1">
                  <c:v>11.183225162256614</c:v>
                </c:pt>
                <c:pt idx="2">
                  <c:v>10.591102836705698</c:v>
                </c:pt>
                <c:pt idx="3">
                  <c:v>12.212248199620262</c:v>
                </c:pt>
                <c:pt idx="4">
                  <c:v>0</c:v>
                </c:pt>
                <c:pt idx="6">
                  <c:v>15.067114093959733</c:v>
                </c:pt>
                <c:pt idx="7">
                  <c:v>15.102171136653894</c:v>
                </c:pt>
                <c:pt idx="8">
                  <c:v>16.379802885302102</c:v>
                </c:pt>
                <c:pt idx="9">
                  <c:v>14.828344216719467</c:v>
                </c:pt>
                <c:pt idx="10">
                  <c:v>13.840432126095811</c:v>
                </c:pt>
                <c:pt idx="12">
                  <c:v>16.977024272744117</c:v>
                </c:pt>
                <c:pt idx="13">
                  <c:v>18.031901840490796</c:v>
                </c:pt>
                <c:pt idx="14">
                  <c:v>19.322813251123421</c:v>
                </c:pt>
                <c:pt idx="15">
                  <c:v>18.428862919680949</c:v>
                </c:pt>
                <c:pt idx="16">
                  <c:v>19.506574488274367</c:v>
                </c:pt>
                <c:pt idx="18">
                  <c:v>16.105133180455105</c:v>
                </c:pt>
                <c:pt idx="19">
                  <c:v>16.293522428491752</c:v>
                </c:pt>
                <c:pt idx="20">
                  <c:v>16.744836665843824</c:v>
                </c:pt>
                <c:pt idx="21">
                  <c:v>16.594427244582043</c:v>
                </c:pt>
                <c:pt idx="22">
                  <c:v>16.071114240450623</c:v>
                </c:pt>
                <c:pt idx="24">
                  <c:v>14.091449940506545</c:v>
                </c:pt>
                <c:pt idx="25">
                  <c:v>15.628110690822217</c:v>
                </c:pt>
                <c:pt idx="26">
                  <c:v>15.47384548041147</c:v>
                </c:pt>
                <c:pt idx="27">
                  <c:v>15.614122327200397</c:v>
                </c:pt>
                <c:pt idx="28">
                  <c:v>16.408977556109726</c:v>
                </c:pt>
                <c:pt idx="30">
                  <c:v>16.531365313653136</c:v>
                </c:pt>
                <c:pt idx="31">
                  <c:v>15.932452276064609</c:v>
                </c:pt>
                <c:pt idx="32">
                  <c:v>17.362146050670642</c:v>
                </c:pt>
                <c:pt idx="33">
                  <c:v>14.155942467827403</c:v>
                </c:pt>
                <c:pt idx="34">
                  <c:v>14.632107023411372</c:v>
                </c:pt>
                <c:pt idx="36">
                  <c:v>18.557475582268971</c:v>
                </c:pt>
                <c:pt idx="37">
                  <c:v>15.246957766642804</c:v>
                </c:pt>
                <c:pt idx="38">
                  <c:v>17.890586495810744</c:v>
                </c:pt>
                <c:pt idx="39">
                  <c:v>19.659505472233484</c:v>
                </c:pt>
                <c:pt idx="40">
                  <c:v>20.237050043898154</c:v>
                </c:pt>
                <c:pt idx="42">
                  <c:v>10.507833603457591</c:v>
                </c:pt>
                <c:pt idx="43">
                  <c:v>10.738380809595203</c:v>
                </c:pt>
                <c:pt idx="44">
                  <c:v>10.300884955752213</c:v>
                </c:pt>
                <c:pt idx="45">
                  <c:v>9.5168374816983903</c:v>
                </c:pt>
                <c:pt idx="46">
                  <c:v>13.721646597591711</c:v>
                </c:pt>
                <c:pt idx="48">
                  <c:v>12.774869932883796</c:v>
                </c:pt>
                <c:pt idx="49">
                  <c:v>13.451845612509681</c:v>
                </c:pt>
                <c:pt idx="50">
                  <c:v>13.493907292482318</c:v>
                </c:pt>
                <c:pt idx="51">
                  <c:v>13.906661309955687</c:v>
                </c:pt>
                <c:pt idx="52">
                  <c:v>15.983316666260153</c:v>
                </c:pt>
              </c:numCache>
            </c:numRef>
          </c:val>
        </c:ser>
        <c:ser>
          <c:idx val="3"/>
          <c:order val="3"/>
          <c:tx>
            <c:strRef>
              <c:f>'Response time to complete TS '!$B$7</c:f>
              <c:strCache>
                <c:ptCount val="1"/>
                <c:pt idx="0">
                  <c:v>More than 90 days</c:v>
                </c:pt>
              </c:strCache>
            </c:strRef>
          </c:tx>
          <c:spPr>
            <a:solidFill>
              <a:srgbClr val="4D7028"/>
            </a:solidFill>
            <a:ln>
              <a:solidFill>
                <a:srgbClr val="4D7028"/>
              </a:solidFill>
            </a:ln>
          </c:spPr>
          <c:invertIfNegative val="0"/>
          <c:cat>
            <c:multiLvlStrRef>
              <c:f>'Response time to complete TS '!$C$2:$BC$3</c:f>
              <c:multiLvlStrCache>
                <c:ptCount val="53"/>
                <c:lvl>
                  <c:pt idx="0">
                    <c:v>2013-14</c:v>
                  </c:pt>
                  <c:pt idx="1">
                    <c:v>2014-15</c:v>
                  </c:pt>
                  <c:pt idx="2">
                    <c:v>2015-16</c:v>
                  </c:pt>
                  <c:pt idx="3">
                    <c:v>2016-17</c:v>
                  </c:pt>
                  <c:pt idx="4">
                    <c:v>2017-18</c:v>
                  </c:pt>
                  <c:pt idx="6">
                    <c:v>2013-14</c:v>
                  </c:pt>
                  <c:pt idx="7">
                    <c:v>2014-15</c:v>
                  </c:pt>
                  <c:pt idx="8">
                    <c:v>2015-16</c:v>
                  </c:pt>
                  <c:pt idx="9">
                    <c:v>2016-17</c:v>
                  </c:pt>
                  <c:pt idx="10">
                    <c:v>2017-18</c:v>
                  </c:pt>
                  <c:pt idx="12">
                    <c:v>2013-14</c:v>
                  </c:pt>
                  <c:pt idx="13">
                    <c:v>2014-15</c:v>
                  </c:pt>
                  <c:pt idx="14">
                    <c:v>2015-16</c:v>
                  </c:pt>
                  <c:pt idx="15">
                    <c:v>2016-17</c:v>
                  </c:pt>
                  <c:pt idx="16">
                    <c:v>2017-18</c:v>
                  </c:pt>
                  <c:pt idx="18">
                    <c:v>2013-14</c:v>
                  </c:pt>
                  <c:pt idx="19">
                    <c:v>2014-15</c:v>
                  </c:pt>
                  <c:pt idx="20">
                    <c:v>2015-16</c:v>
                  </c:pt>
                  <c:pt idx="21">
                    <c:v>2016-17</c:v>
                  </c:pt>
                  <c:pt idx="22">
                    <c:v>2017-18</c:v>
                  </c:pt>
                  <c:pt idx="24">
                    <c:v>2013-14</c:v>
                  </c:pt>
                  <c:pt idx="25">
                    <c:v>2014-15</c:v>
                  </c:pt>
                  <c:pt idx="26">
                    <c:v>2015-16</c:v>
                  </c:pt>
                  <c:pt idx="27">
                    <c:v>2016-17</c:v>
                  </c:pt>
                  <c:pt idx="28">
                    <c:v>2017-18</c:v>
                  </c:pt>
                  <c:pt idx="30">
                    <c:v>2013-14</c:v>
                  </c:pt>
                  <c:pt idx="31">
                    <c:v>2014-15</c:v>
                  </c:pt>
                  <c:pt idx="32">
                    <c:v>2015-16</c:v>
                  </c:pt>
                  <c:pt idx="33">
                    <c:v>2016-17</c:v>
                  </c:pt>
                  <c:pt idx="34">
                    <c:v>2017-18</c:v>
                  </c:pt>
                  <c:pt idx="36">
                    <c:v>2013-14</c:v>
                  </c:pt>
                  <c:pt idx="37">
                    <c:v>2014-15</c:v>
                  </c:pt>
                  <c:pt idx="38">
                    <c:v>2015-16</c:v>
                  </c:pt>
                  <c:pt idx="39">
                    <c:v>2016-17</c:v>
                  </c:pt>
                  <c:pt idx="40">
                    <c:v>2017-18</c:v>
                  </c:pt>
                  <c:pt idx="42">
                    <c:v>2013-14</c:v>
                  </c:pt>
                  <c:pt idx="43">
                    <c:v>2014-15</c:v>
                  </c:pt>
                  <c:pt idx="44">
                    <c:v>2015-16</c:v>
                  </c:pt>
                  <c:pt idx="45">
                    <c:v>2016-17</c:v>
                  </c:pt>
                  <c:pt idx="46">
                    <c:v>2017-18</c:v>
                  </c:pt>
                  <c:pt idx="48">
                    <c:v>2013-14</c:v>
                  </c:pt>
                  <c:pt idx="49">
                    <c:v>2014-15</c:v>
                  </c:pt>
                  <c:pt idx="50">
                    <c:v>2015-16</c:v>
                  </c:pt>
                  <c:pt idx="51">
                    <c:v>2016-17</c:v>
                  </c:pt>
                  <c:pt idx="52">
                    <c:v>2017-18</c:v>
                  </c:pt>
                </c:lvl>
                <c:lvl>
                  <c:pt idx="0">
                    <c:v>NSW</c:v>
                  </c:pt>
                  <c:pt idx="6">
                    <c:v>Vic</c:v>
                  </c:pt>
                  <c:pt idx="12">
                    <c:v>Qld</c:v>
                  </c:pt>
                  <c:pt idx="18">
                    <c:v>WA</c:v>
                  </c:pt>
                  <c:pt idx="24">
                    <c:v>SA</c:v>
                  </c:pt>
                  <c:pt idx="30">
                    <c:v>Tas</c:v>
                  </c:pt>
                  <c:pt idx="36">
                    <c:v>ACT</c:v>
                  </c:pt>
                  <c:pt idx="42">
                    <c:v>NT</c:v>
                  </c:pt>
                  <c:pt idx="48">
                    <c:v>Aust</c:v>
                  </c:pt>
                </c:lvl>
              </c:multiLvlStrCache>
            </c:multiLvlStrRef>
          </c:cat>
          <c:val>
            <c:numRef>
              <c:f>'Response time to complete TS '!$C$7:$BC$7</c:f>
              <c:numCache>
                <c:formatCode>0.0</c:formatCode>
                <c:ptCount val="53"/>
                <c:pt idx="0">
                  <c:v>8.20625970417586</c:v>
                </c:pt>
                <c:pt idx="1">
                  <c:v>19.386709409569853</c:v>
                </c:pt>
                <c:pt idx="2">
                  <c:v>11.793885649894664</c:v>
                </c:pt>
                <c:pt idx="3">
                  <c:v>12.179667224662674</c:v>
                </c:pt>
                <c:pt idx="4">
                  <c:v>0</c:v>
                </c:pt>
                <c:pt idx="6">
                  <c:v>21.462128475551296</c:v>
                </c:pt>
                <c:pt idx="7">
                  <c:v>22.122445721583652</c:v>
                </c:pt>
                <c:pt idx="8">
                  <c:v>21.004142265390659</c:v>
                </c:pt>
                <c:pt idx="9">
                  <c:v>17.052434214779854</c:v>
                </c:pt>
                <c:pt idx="10">
                  <c:v>16.198825230969035</c:v>
                </c:pt>
                <c:pt idx="12">
                  <c:v>20.863442653325922</c:v>
                </c:pt>
                <c:pt idx="13">
                  <c:v>24.368098159509202</c:v>
                </c:pt>
                <c:pt idx="14">
                  <c:v>31.884209426272335</c:v>
                </c:pt>
                <c:pt idx="15">
                  <c:v>41.870710443331475</c:v>
                </c:pt>
                <c:pt idx="16">
                  <c:v>38.439293298992368</c:v>
                </c:pt>
                <c:pt idx="18">
                  <c:v>29.105662374316459</c:v>
                </c:pt>
                <c:pt idx="19">
                  <c:v>37.471117839215999</c:v>
                </c:pt>
                <c:pt idx="20">
                  <c:v>41.874434296058588</c:v>
                </c:pt>
                <c:pt idx="21">
                  <c:v>39.318885448916404</c:v>
                </c:pt>
                <c:pt idx="22">
                  <c:v>36.138003872557647</c:v>
                </c:pt>
                <c:pt idx="24">
                  <c:v>21.298657147713751</c:v>
                </c:pt>
                <c:pt idx="25">
                  <c:v>29.18574557037627</c:v>
                </c:pt>
                <c:pt idx="26">
                  <c:v>40.555920332676735</c:v>
                </c:pt>
                <c:pt idx="27">
                  <c:v>47.140726006961707</c:v>
                </c:pt>
                <c:pt idx="28">
                  <c:v>46.807980049875312</c:v>
                </c:pt>
                <c:pt idx="30">
                  <c:v>22.361623616236162</c:v>
                </c:pt>
                <c:pt idx="31">
                  <c:v>15.712187958883995</c:v>
                </c:pt>
                <c:pt idx="32">
                  <c:v>36.363636363636367</c:v>
                </c:pt>
                <c:pt idx="33">
                  <c:v>51.021953065859194</c:v>
                </c:pt>
                <c:pt idx="34">
                  <c:v>47.742474916387962</c:v>
                </c:pt>
                <c:pt idx="36">
                  <c:v>17.280240420736291</c:v>
                </c:pt>
                <c:pt idx="37">
                  <c:v>5.0107372942018618</c:v>
                </c:pt>
                <c:pt idx="38">
                  <c:v>8.6742237555446042</c:v>
                </c:pt>
                <c:pt idx="39">
                  <c:v>47.101743007701664</c:v>
                </c:pt>
                <c:pt idx="40">
                  <c:v>34.240561896400351</c:v>
                </c:pt>
                <c:pt idx="42">
                  <c:v>25.364667747163693</c:v>
                </c:pt>
                <c:pt idx="43">
                  <c:v>27.679910044977511</c:v>
                </c:pt>
                <c:pt idx="44">
                  <c:v>14.778761061946902</c:v>
                </c:pt>
                <c:pt idx="45">
                  <c:v>21.425085407515862</c:v>
                </c:pt>
                <c:pt idx="46">
                  <c:v>18.636236348361805</c:v>
                </c:pt>
                <c:pt idx="48">
                  <c:v>15.739299916694174</c:v>
                </c:pt>
                <c:pt idx="49">
                  <c:v>22.548127216161507</c:v>
                </c:pt>
                <c:pt idx="50">
                  <c:v>19.448776605038535</c:v>
                </c:pt>
                <c:pt idx="51">
                  <c:v>20.770646822850768</c:v>
                </c:pt>
                <c:pt idx="52">
                  <c:v>27.634820361472229</c:v>
                </c:pt>
              </c:numCache>
            </c:numRef>
          </c:val>
        </c:ser>
        <c:dLbls>
          <c:showLegendKey val="0"/>
          <c:showVal val="0"/>
          <c:showCatName val="0"/>
          <c:showSerName val="0"/>
          <c:showPercent val="0"/>
          <c:showBubbleSize val="0"/>
        </c:dLbls>
        <c:gapWidth val="0"/>
        <c:overlap val="100"/>
        <c:axId val="387546304"/>
        <c:axId val="387545912"/>
      </c:barChart>
      <c:catAx>
        <c:axId val="387546304"/>
        <c:scaling>
          <c:orientation val="minMax"/>
        </c:scaling>
        <c:delete val="0"/>
        <c:axPos val="b"/>
        <c:numFmt formatCode="General" sourceLinked="0"/>
        <c:majorTickMark val="none"/>
        <c:minorTickMark val="none"/>
        <c:tickLblPos val="nextTo"/>
        <c:spPr>
          <a:ln>
            <a:solidFill>
              <a:srgbClr val="BFBFBF"/>
            </a:solidFill>
          </a:ln>
        </c:spPr>
        <c:txPr>
          <a:bodyPr/>
          <a:lstStyle/>
          <a:p>
            <a:pPr>
              <a:defRPr sz="700"/>
            </a:pPr>
            <a:endParaRPr lang="en-US"/>
          </a:p>
        </c:txPr>
        <c:crossAx val="387545912"/>
        <c:crosses val="autoZero"/>
        <c:auto val="1"/>
        <c:lblAlgn val="ctr"/>
        <c:lblOffset val="100"/>
        <c:noMultiLvlLbl val="0"/>
      </c:catAx>
      <c:valAx>
        <c:axId val="387545912"/>
        <c:scaling>
          <c:orientation val="minMax"/>
          <c:max val="100"/>
        </c:scaling>
        <c:delete val="0"/>
        <c:axPos val="l"/>
        <c:majorGridlines>
          <c:spPr>
            <a:ln>
              <a:noFill/>
            </a:ln>
          </c:spPr>
        </c:majorGridlines>
        <c:title>
          <c:tx>
            <c:rich>
              <a:bodyPr/>
              <a:lstStyle/>
              <a:p>
                <a:pPr>
                  <a:defRPr/>
                </a:pPr>
                <a:r>
                  <a:rPr lang="en-AU"/>
                  <a:t>Per cent</a:t>
                </a:r>
              </a:p>
            </c:rich>
          </c:tx>
          <c:layout/>
          <c:overlay val="0"/>
        </c:title>
        <c:numFmt formatCode="0" sourceLinked="0"/>
        <c:majorTickMark val="out"/>
        <c:minorTickMark val="none"/>
        <c:tickLblPos val="nextTo"/>
        <c:spPr>
          <a:ln>
            <a:solidFill>
              <a:srgbClr val="BFBFBF"/>
            </a:solidFill>
          </a:ln>
        </c:spPr>
        <c:crossAx val="387546304"/>
        <c:crosses val="autoZero"/>
        <c:crossBetween val="between"/>
        <c:majorUnit val="20"/>
      </c:valAx>
      <c:spPr>
        <a:noFill/>
        <a:ln>
          <a:noFill/>
        </a:ln>
      </c:spPr>
    </c:plotArea>
    <c:legend>
      <c:legendPos val="b"/>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'Orders less 12 mths care_1 or 2'!$B$3</c:f>
              <c:strCache>
                <c:ptCount val="1"/>
                <c:pt idx="0">
                  <c:v>2013-14 to 2016-17</c:v>
                </c:pt>
              </c:strCache>
            </c:strRef>
          </c:tx>
          <c:spPr>
            <a:solidFill>
              <a:srgbClr val="66BCDB"/>
            </a:solidFill>
            <a:ln>
              <a:solidFill>
                <a:srgbClr val="66BCDB"/>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2'!$C$3:$K$3</c:f>
              <c:numCache>
                <c:formatCode>0.0</c:formatCode>
                <c:ptCount val="9"/>
                <c:pt idx="0">
                  <c:v>89.727463312368968</c:v>
                </c:pt>
                <c:pt idx="1">
                  <c:v>78.84615384615384</c:v>
                </c:pt>
                <c:pt idx="2">
                  <c:v>88.461538461538453</c:v>
                </c:pt>
                <c:pt idx="3">
                  <c:v>0</c:v>
                </c:pt>
                <c:pt idx="4">
                  <c:v>79.816513761467888</c:v>
                </c:pt>
                <c:pt idx="5">
                  <c:v>90.140845070422543</c:v>
                </c:pt>
                <c:pt idx="6">
                  <c:v>75.510204081632651</c:v>
                </c:pt>
                <c:pt idx="7">
                  <c:v>88.333333333333329</c:v>
                </c:pt>
                <c:pt idx="8">
                  <c:v>84.00402414486922</c:v>
                </c:pt>
              </c:numCache>
            </c:numRef>
          </c:val>
          <c:extLst xmlns:c16r2="http://schemas.microsoft.com/office/drawing/2015/06/chart">
            <c:ext xmlns:c16="http://schemas.microsoft.com/office/drawing/2014/chart" uri="{C3380CC4-5D6E-409C-BE32-E72D297353CC}">
              <c16:uniqueId val="{00000000-7557-4414-B69C-71BDFAADA166}"/>
            </c:ext>
          </c:extLst>
        </c:ser>
        <c:ser>
          <c:idx val="1"/>
          <c:order val="1"/>
          <c:tx>
            <c:strRef>
              <c:f>'Orders less 12 mths care_1 or 2'!$B$4</c:f>
              <c:strCache>
                <c:ptCount val="1"/>
                <c:pt idx="0">
                  <c:v>2014-15</c:v>
                </c:pt>
              </c:strCache>
            </c:strRef>
          </c:tx>
          <c:spPr>
            <a:solidFill>
              <a:srgbClr val="66BCDB"/>
            </a:solidFill>
            <a:ln>
              <a:solidFill>
                <a:srgbClr val="66BCDB"/>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2'!$C$4:$K$4</c:f>
              <c:numCache>
                <c:formatCode>0.0</c:formatCode>
                <c:ptCount val="9"/>
                <c:pt idx="0">
                  <c:v>89.557522123893804</c:v>
                </c:pt>
                <c:pt idx="1">
                  <c:v>89.696969696969703</c:v>
                </c:pt>
                <c:pt idx="2">
                  <c:v>84.198113207547166</c:v>
                </c:pt>
                <c:pt idx="3">
                  <c:v>82.478632478632477</c:v>
                </c:pt>
                <c:pt idx="4">
                  <c:v>87.804878048780495</c:v>
                </c:pt>
                <c:pt idx="5">
                  <c:v>94.73684210526315</c:v>
                </c:pt>
                <c:pt idx="6">
                  <c:v>95.833333333333343</c:v>
                </c:pt>
                <c:pt idx="7">
                  <c:v>77.777777777777786</c:v>
                </c:pt>
                <c:pt idx="8">
                  <c:v>87.774670395525362</c:v>
                </c:pt>
              </c:numCache>
            </c:numRef>
          </c:val>
          <c:extLst xmlns:c16r2="http://schemas.microsoft.com/office/drawing/2015/06/chart">
            <c:ext xmlns:c16="http://schemas.microsoft.com/office/drawing/2014/chart" uri="{C3380CC4-5D6E-409C-BE32-E72D297353CC}">
              <c16:uniqueId val="{00000001-7557-4414-B69C-71BDFAADA166}"/>
            </c:ext>
          </c:extLst>
        </c:ser>
        <c:ser>
          <c:idx val="2"/>
          <c:order val="2"/>
          <c:tx>
            <c:strRef>
              <c:f>'Orders less 12 mths care_1 or 2'!$B$5</c:f>
              <c:strCache>
                <c:ptCount val="1"/>
                <c:pt idx="0">
                  <c:v>2015-16</c:v>
                </c:pt>
              </c:strCache>
            </c:strRef>
          </c:tx>
          <c:spPr>
            <a:solidFill>
              <a:srgbClr val="66BCDB"/>
            </a:solidFill>
            <a:ln>
              <a:solidFill>
                <a:srgbClr val="66BCDB"/>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2'!$C$5:$K$5</c:f>
              <c:numCache>
                <c:formatCode>0.0</c:formatCode>
                <c:ptCount val="9"/>
                <c:pt idx="0">
                  <c:v>93.429487179487182</c:v>
                </c:pt>
                <c:pt idx="1">
                  <c:v>89.246401354784084</c:v>
                </c:pt>
                <c:pt idx="2">
                  <c:v>82.142857142857139</c:v>
                </c:pt>
                <c:pt idx="3">
                  <c:v>80.578512396694208</c:v>
                </c:pt>
                <c:pt idx="4">
                  <c:v>80.392156862745097</c:v>
                </c:pt>
                <c:pt idx="5">
                  <c:v>91.666666666666657</c:v>
                </c:pt>
                <c:pt idx="6">
                  <c:v>76.666666666666671</c:v>
                </c:pt>
                <c:pt idx="7">
                  <c:v>82.35294117647058</c:v>
                </c:pt>
                <c:pt idx="8">
                  <c:v>87.455325232308795</c:v>
                </c:pt>
              </c:numCache>
            </c:numRef>
          </c:val>
          <c:extLst xmlns:c16r2="http://schemas.microsoft.com/office/drawing/2015/06/chart">
            <c:ext xmlns:c16="http://schemas.microsoft.com/office/drawing/2014/chart" uri="{C3380CC4-5D6E-409C-BE32-E72D297353CC}">
              <c16:uniqueId val="{00000002-7557-4414-B69C-71BDFAADA166}"/>
            </c:ext>
          </c:extLst>
        </c:ser>
        <c:ser>
          <c:idx val="3"/>
          <c:order val="3"/>
          <c:tx>
            <c:strRef>
              <c:f>'Orders less 12 mths care_1 or 2'!$B$6</c:f>
              <c:strCache>
                <c:ptCount val="1"/>
                <c:pt idx="0">
                  <c:v>2016-17</c:v>
                </c:pt>
              </c:strCache>
            </c:strRef>
          </c:tx>
          <c:spPr>
            <a:solidFill>
              <a:srgbClr val="66BCDB"/>
            </a:solidFill>
            <a:ln>
              <a:solidFill>
                <a:srgbClr val="66BCDB"/>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2'!$C$6:$K$6</c:f>
              <c:numCache>
                <c:formatCode>0.0</c:formatCode>
                <c:ptCount val="9"/>
                <c:pt idx="0">
                  <c:v>91.011235955056179</c:v>
                </c:pt>
                <c:pt idx="1">
                  <c:v>88.407079646017692</c:v>
                </c:pt>
                <c:pt idx="2">
                  <c:v>86.230248306997751</c:v>
                </c:pt>
                <c:pt idx="3">
                  <c:v>87.336244541484717</c:v>
                </c:pt>
                <c:pt idx="4">
                  <c:v>83.544303797468359</c:v>
                </c:pt>
                <c:pt idx="5">
                  <c:v>90</c:v>
                </c:pt>
                <c:pt idx="6">
                  <c:v>92.307692307692307</c:v>
                </c:pt>
                <c:pt idx="7">
                  <c:v>66.101694915254242</c:v>
                </c:pt>
                <c:pt idx="8">
                  <c:v>87.7659574468085</c:v>
                </c:pt>
              </c:numCache>
            </c:numRef>
          </c:val>
          <c:extLst xmlns:c16r2="http://schemas.microsoft.com/office/drawing/2015/06/chart">
            <c:ext xmlns:c16="http://schemas.microsoft.com/office/drawing/2014/chart" uri="{C3380CC4-5D6E-409C-BE32-E72D297353CC}">
              <c16:uniqueId val="{00000003-7557-4414-B69C-71BDFAADA166}"/>
            </c:ext>
          </c:extLst>
        </c:ser>
        <c:ser>
          <c:idx val="4"/>
          <c:order val="4"/>
          <c:tx>
            <c:strRef>
              <c:f>'Orders less 12 mths care_1 or 2'!$B$7</c:f>
              <c:strCache>
                <c:ptCount val="1"/>
                <c:pt idx="0">
                  <c:v>2017-18</c:v>
                </c:pt>
              </c:strCache>
            </c:strRef>
          </c:tx>
          <c:spPr>
            <a:solidFill>
              <a:srgbClr val="265A9A"/>
            </a:solidFill>
            <a:ln>
              <a:solidFill>
                <a:srgbClr val="265A9A"/>
              </a:solidFill>
            </a:ln>
          </c:spPr>
          <c:invertIfNegative val="0"/>
          <c:cat>
            <c:strRef>
              <c:f>'Orders less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less 12 mths care_1 or 2'!$C$7:$K$7</c:f>
              <c:numCache>
                <c:formatCode>0.0</c:formatCode>
                <c:ptCount val="9"/>
                <c:pt idx="0">
                  <c:v>89.887640449438194</c:v>
                </c:pt>
                <c:pt idx="1">
                  <c:v>91.236691236691243</c:v>
                </c:pt>
                <c:pt idx="2">
                  <c:v>85.1528384279476</c:v>
                </c:pt>
                <c:pt idx="3">
                  <c:v>85.826771653543304</c:v>
                </c:pt>
                <c:pt idx="4">
                  <c:v>87.804878048780495</c:v>
                </c:pt>
                <c:pt idx="5">
                  <c:v>90.476190476190482</c:v>
                </c:pt>
                <c:pt idx="6">
                  <c:v>94.594594594594597</c:v>
                </c:pt>
                <c:pt idx="7">
                  <c:v>84.210526315789465</c:v>
                </c:pt>
                <c:pt idx="8">
                  <c:v>89.168207024029584</c:v>
                </c:pt>
              </c:numCache>
            </c:numRef>
          </c:val>
          <c:extLst xmlns:c16r2="http://schemas.microsoft.com/office/drawing/2015/06/chart">
            <c:ext xmlns:c16="http://schemas.microsoft.com/office/drawing/2014/chart" uri="{C3380CC4-5D6E-409C-BE32-E72D297353CC}">
              <c16:uniqueId val="{00000004-7557-4414-B69C-71BDFAADA166}"/>
            </c:ext>
          </c:extLst>
        </c:ser>
        <c:dLbls>
          <c:showLegendKey val="0"/>
          <c:showVal val="0"/>
          <c:showCatName val="0"/>
          <c:showSerName val="0"/>
          <c:showPercent val="0"/>
          <c:showBubbleSize val="0"/>
        </c:dLbls>
        <c:gapWidth val="150"/>
        <c:axId val="387545128"/>
        <c:axId val="387543168"/>
      </c:barChart>
      <c:catAx>
        <c:axId val="387545128"/>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87543168"/>
        <c:crosses val="autoZero"/>
        <c:auto val="1"/>
        <c:lblAlgn val="ctr"/>
        <c:lblOffset val="100"/>
        <c:noMultiLvlLbl val="0"/>
      </c:catAx>
      <c:valAx>
        <c:axId val="38754316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8754512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'Orders more 12 mths care_1 or 2'!$B$3</c:f>
              <c:strCache>
                <c:ptCount val="1"/>
                <c:pt idx="0">
                  <c:v>2013-14 to 2016-17</c:v>
                </c:pt>
              </c:strCache>
            </c:strRef>
          </c:tx>
          <c:spPr>
            <a:solidFill>
              <a:srgbClr val="66BCDB"/>
            </a:solidFill>
            <a:ln>
              <a:solidFill>
                <a:srgbClr val="66BCDB"/>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2'!$C$3:$K$3</c:f>
              <c:numCache>
                <c:formatCode>0.0</c:formatCode>
                <c:ptCount val="9"/>
                <c:pt idx="0">
                  <c:v>51.572847682119203</c:v>
                </c:pt>
                <c:pt idx="1">
                  <c:v>48.425196850393696</c:v>
                </c:pt>
                <c:pt idx="2">
                  <c:v>43.548387096774192</c:v>
                </c:pt>
                <c:pt idx="3">
                  <c:v>0</c:v>
                </c:pt>
                <c:pt idx="4">
                  <c:v>36.60377358490566</c:v>
                </c:pt>
                <c:pt idx="5">
                  <c:v>47.368421052631575</c:v>
                </c:pt>
                <c:pt idx="6">
                  <c:v>51.923076923076927</c:v>
                </c:pt>
                <c:pt idx="7">
                  <c:v>33.333333333333329</c:v>
                </c:pt>
                <c:pt idx="8">
                  <c:v>46.938186019641826</c:v>
                </c:pt>
              </c:numCache>
            </c:numRef>
          </c:val>
          <c:extLst xmlns:c16r2="http://schemas.microsoft.com/office/drawing/2015/06/chart">
            <c:ext xmlns:c16="http://schemas.microsoft.com/office/drawing/2014/chart" uri="{C3380CC4-5D6E-409C-BE32-E72D297353CC}">
              <c16:uniqueId val="{00000000-B1D0-4845-AA49-F7F08274AD32}"/>
            </c:ext>
          </c:extLst>
        </c:ser>
        <c:ser>
          <c:idx val="1"/>
          <c:order val="1"/>
          <c:tx>
            <c:strRef>
              <c:f>'Orders more 12 mths care_1 or 2'!$B$4</c:f>
              <c:strCache>
                <c:ptCount val="1"/>
                <c:pt idx="0">
                  <c:v>2014-15</c:v>
                </c:pt>
              </c:strCache>
            </c:strRef>
          </c:tx>
          <c:spPr>
            <a:solidFill>
              <a:srgbClr val="66BCDB"/>
            </a:solidFill>
            <a:ln>
              <a:solidFill>
                <a:srgbClr val="66BCDB"/>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2'!$C$4:$K$4</c:f>
              <c:numCache>
                <c:formatCode>0.0</c:formatCode>
                <c:ptCount val="9"/>
                <c:pt idx="0">
                  <c:v>72.76018099547511</c:v>
                </c:pt>
                <c:pt idx="1">
                  <c:v>46.041412911084045</c:v>
                </c:pt>
                <c:pt idx="2">
                  <c:v>41.138560687432872</c:v>
                </c:pt>
                <c:pt idx="3">
                  <c:v>57.407407407407405</c:v>
                </c:pt>
                <c:pt idx="4">
                  <c:v>29.249011857707508</c:v>
                </c:pt>
                <c:pt idx="5">
                  <c:v>56.488549618320619</c:v>
                </c:pt>
                <c:pt idx="6">
                  <c:v>63.414634146341463</c:v>
                </c:pt>
                <c:pt idx="7">
                  <c:v>34.090909090909086</c:v>
                </c:pt>
                <c:pt idx="8">
                  <c:v>60.296074517631403</c:v>
                </c:pt>
              </c:numCache>
            </c:numRef>
          </c:val>
          <c:extLst xmlns:c16r2="http://schemas.microsoft.com/office/drawing/2015/06/chart">
            <c:ext xmlns:c16="http://schemas.microsoft.com/office/drawing/2014/chart" uri="{C3380CC4-5D6E-409C-BE32-E72D297353CC}">
              <c16:uniqueId val="{00000001-B1D0-4845-AA49-F7F08274AD32}"/>
            </c:ext>
          </c:extLst>
        </c:ser>
        <c:ser>
          <c:idx val="2"/>
          <c:order val="2"/>
          <c:tx>
            <c:strRef>
              <c:f>'Orders more 12 mths care_1 or 2'!$B$5</c:f>
              <c:strCache>
                <c:ptCount val="1"/>
                <c:pt idx="0">
                  <c:v>2015-16</c:v>
                </c:pt>
              </c:strCache>
            </c:strRef>
          </c:tx>
          <c:spPr>
            <a:solidFill>
              <a:srgbClr val="66BCDB"/>
            </a:solidFill>
            <a:ln>
              <a:solidFill>
                <a:srgbClr val="66BCDB"/>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2'!$C$5:$K$5</c:f>
              <c:numCache>
                <c:formatCode>0.0</c:formatCode>
                <c:ptCount val="9"/>
                <c:pt idx="0">
                  <c:v>50.039777247414477</c:v>
                </c:pt>
                <c:pt idx="1">
                  <c:v>51.015801354401802</c:v>
                </c:pt>
                <c:pt idx="2">
                  <c:v>36.911487758945391</c:v>
                </c:pt>
                <c:pt idx="3">
                  <c:v>51.481481481481481</c:v>
                </c:pt>
                <c:pt idx="4">
                  <c:v>45.701357466063349</c:v>
                </c:pt>
                <c:pt idx="5">
                  <c:v>44.444444444444443</c:v>
                </c:pt>
                <c:pt idx="6">
                  <c:v>71.05263157894737</c:v>
                </c:pt>
                <c:pt idx="7">
                  <c:v>30.612244897959183</c:v>
                </c:pt>
                <c:pt idx="8">
                  <c:v>46.301948814275647</c:v>
                </c:pt>
              </c:numCache>
            </c:numRef>
          </c:val>
          <c:extLst xmlns:c16r2="http://schemas.microsoft.com/office/drawing/2015/06/chart">
            <c:ext xmlns:c16="http://schemas.microsoft.com/office/drawing/2014/chart" uri="{C3380CC4-5D6E-409C-BE32-E72D297353CC}">
              <c16:uniqueId val="{00000002-B1D0-4845-AA49-F7F08274AD32}"/>
            </c:ext>
          </c:extLst>
        </c:ser>
        <c:ser>
          <c:idx val="3"/>
          <c:order val="3"/>
          <c:tx>
            <c:strRef>
              <c:f>'Orders more 12 mths care_1 or 2'!$B$6</c:f>
              <c:strCache>
                <c:ptCount val="1"/>
                <c:pt idx="0">
                  <c:v>2016-17</c:v>
                </c:pt>
              </c:strCache>
            </c:strRef>
          </c:tx>
          <c:spPr>
            <a:solidFill>
              <a:srgbClr val="66BCDB"/>
            </a:solidFill>
            <a:ln>
              <a:solidFill>
                <a:srgbClr val="66BCDB"/>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2'!$C$6:$K$6</c:f>
              <c:numCache>
                <c:formatCode>0.0</c:formatCode>
                <c:ptCount val="9"/>
                <c:pt idx="0">
                  <c:v>52.222222222222229</c:v>
                </c:pt>
                <c:pt idx="1">
                  <c:v>52.103559870550164</c:v>
                </c:pt>
                <c:pt idx="2">
                  <c:v>38.229755178907723</c:v>
                </c:pt>
                <c:pt idx="3">
                  <c:v>60.707635009310991</c:v>
                </c:pt>
                <c:pt idx="4">
                  <c:v>41.015625</c:v>
                </c:pt>
                <c:pt idx="5">
                  <c:v>55.670103092783506</c:v>
                </c:pt>
                <c:pt idx="6">
                  <c:v>60.655737704918032</c:v>
                </c:pt>
                <c:pt idx="7">
                  <c:v>35.074626865671647</c:v>
                </c:pt>
                <c:pt idx="8">
                  <c:v>48.95879486043421</c:v>
                </c:pt>
              </c:numCache>
            </c:numRef>
          </c:val>
          <c:extLst xmlns:c16r2="http://schemas.microsoft.com/office/drawing/2015/06/chart">
            <c:ext xmlns:c16="http://schemas.microsoft.com/office/drawing/2014/chart" uri="{C3380CC4-5D6E-409C-BE32-E72D297353CC}">
              <c16:uniqueId val="{00000003-B1D0-4845-AA49-F7F08274AD32}"/>
            </c:ext>
          </c:extLst>
        </c:ser>
        <c:ser>
          <c:idx val="4"/>
          <c:order val="4"/>
          <c:tx>
            <c:strRef>
              <c:f>'Orders more 12 mths care_1 or 2'!$B$7</c:f>
              <c:strCache>
                <c:ptCount val="1"/>
                <c:pt idx="0">
                  <c:v>2017-18</c:v>
                </c:pt>
              </c:strCache>
            </c:strRef>
          </c:tx>
          <c:spPr>
            <a:solidFill>
              <a:srgbClr val="265A9A"/>
            </a:solidFill>
            <a:ln>
              <a:solidFill>
                <a:srgbClr val="265A9A"/>
              </a:solidFill>
            </a:ln>
          </c:spPr>
          <c:invertIfNegative val="0"/>
          <c:cat>
            <c:strRef>
              <c:f>'Orders more 12 mths care_1 or 2'!$C$2:$K$2</c:f>
              <c:strCache>
                <c:ptCount val="9"/>
                <c:pt idx="0">
                  <c:v>NSW</c:v>
                </c:pt>
                <c:pt idx="1">
                  <c:v>Vic</c:v>
                </c:pt>
                <c:pt idx="2">
                  <c:v>Qld</c:v>
                </c:pt>
                <c:pt idx="3">
                  <c:v>WA</c:v>
                </c:pt>
                <c:pt idx="4">
                  <c:v>SA</c:v>
                </c:pt>
                <c:pt idx="5">
                  <c:v>Tas</c:v>
                </c:pt>
                <c:pt idx="6">
                  <c:v>ACT</c:v>
                </c:pt>
                <c:pt idx="7">
                  <c:v>NT</c:v>
                </c:pt>
                <c:pt idx="8">
                  <c:v>Aust</c:v>
                </c:pt>
              </c:strCache>
            </c:strRef>
          </c:cat>
          <c:val>
            <c:numRef>
              <c:f>'Orders more 12 mths care_1 or 2'!$C$7:$K$7</c:f>
              <c:numCache>
                <c:formatCode>0.0</c:formatCode>
                <c:ptCount val="9"/>
                <c:pt idx="0">
                  <c:v>52.674638137193206</c:v>
                </c:pt>
                <c:pt idx="1">
                  <c:v>69.692307692307693</c:v>
                </c:pt>
                <c:pt idx="2">
                  <c:v>39.908256880733944</c:v>
                </c:pt>
                <c:pt idx="3">
                  <c:v>57.45967741935484</c:v>
                </c:pt>
                <c:pt idx="4">
                  <c:v>34.201954397394132</c:v>
                </c:pt>
                <c:pt idx="5">
                  <c:v>50.442477876106196</c:v>
                </c:pt>
                <c:pt idx="6">
                  <c:v>64.406779661016941</c:v>
                </c:pt>
                <c:pt idx="7">
                  <c:v>32.450331125827816</c:v>
                </c:pt>
                <c:pt idx="8">
                  <c:v>53.124387855044077</c:v>
                </c:pt>
              </c:numCache>
            </c:numRef>
          </c:val>
          <c:extLst xmlns:c16r2="http://schemas.microsoft.com/office/drawing/2015/06/chart">
            <c:ext xmlns:c16="http://schemas.microsoft.com/office/drawing/2014/chart" uri="{C3380CC4-5D6E-409C-BE32-E72D297353CC}">
              <c16:uniqueId val="{00000004-B1D0-4845-AA49-F7F08274AD32}"/>
            </c:ext>
          </c:extLst>
        </c:ser>
        <c:dLbls>
          <c:showLegendKey val="0"/>
          <c:showVal val="0"/>
          <c:showCatName val="0"/>
          <c:showSerName val="0"/>
          <c:showPercent val="0"/>
          <c:showBubbleSize val="0"/>
        </c:dLbls>
        <c:gapWidth val="150"/>
        <c:axId val="387545520"/>
        <c:axId val="387543952"/>
      </c:barChart>
      <c:catAx>
        <c:axId val="38754552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87543952"/>
        <c:crosses val="autoZero"/>
        <c:auto val="1"/>
        <c:lblAlgn val="ctr"/>
        <c:lblOffset val="100"/>
        <c:noMultiLvlLbl val="0"/>
      </c:catAx>
      <c:valAx>
        <c:axId val="387543952"/>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87545520"/>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'Chn placed with relatives_kin'!$M$3:$N$3</c:f>
              <c:strCache>
                <c:ptCount val="2"/>
                <c:pt idx="0">
                  <c:v>Aboriginal and Torres Strait Islander</c:v>
                </c:pt>
              </c:strCache>
            </c:strRef>
          </c:tx>
          <c:spPr>
            <a:solidFill>
              <a:srgbClr val="66BCDB"/>
            </a:solidFill>
            <a:ln>
              <a:solidFill>
                <a:srgbClr val="66BCDB"/>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relatives_kin'!$O$3:$W$3</c:f>
              <c:numCache>
                <c:formatCode>0.0</c:formatCode>
                <c:ptCount val="9"/>
                <c:pt idx="0">
                  <c:v>56.976056754360037</c:v>
                </c:pt>
                <c:pt idx="1">
                  <c:v>71.594936708860757</c:v>
                </c:pt>
                <c:pt idx="2">
                  <c:v>43.241127348643005</c:v>
                </c:pt>
                <c:pt idx="3">
                  <c:v>51.386623164763456</c:v>
                </c:pt>
                <c:pt idx="4">
                  <c:v>52.055921052631582</c:v>
                </c:pt>
                <c:pt idx="5">
                  <c:v>36.336336336336338</c:v>
                </c:pt>
                <c:pt idx="6">
                  <c:v>60.769230769230766</c:v>
                </c:pt>
                <c:pt idx="7">
                  <c:v>4.8268625393494222</c:v>
                </c:pt>
                <c:pt idx="8">
                  <c:v>51.408331927812448</c:v>
                </c:pt>
              </c:numCache>
            </c:numRef>
          </c:val>
          <c:extLst xmlns:c16r2="http://schemas.microsoft.com/office/drawing/2015/06/chart">
            <c:ext xmlns:c16="http://schemas.microsoft.com/office/drawing/2014/chart" uri="{C3380CC4-5D6E-409C-BE32-E72D297353CC}">
              <c16:uniqueId val="{00000000-7269-4201-951D-4A5C06F45DF8}"/>
            </c:ext>
          </c:extLst>
        </c:ser>
        <c:ser>
          <c:idx val="1"/>
          <c:order val="1"/>
          <c:tx>
            <c:strRef>
              <c:f>'Chn placed with relatives_kin'!$M$4:$N$4</c:f>
              <c:strCache>
                <c:ptCount val="2"/>
                <c:pt idx="0">
                  <c:v>Non-Indigenous</c:v>
                </c:pt>
              </c:strCache>
            </c:strRef>
          </c:tx>
          <c:spPr>
            <a:solidFill>
              <a:srgbClr val="265A9A"/>
            </a:solidFill>
            <a:ln>
              <a:solidFill>
                <a:srgbClr val="265A9A"/>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relatives_kin'!$O$4:$W$4</c:f>
              <c:numCache>
                <c:formatCode>0.0</c:formatCode>
                <c:ptCount val="9"/>
                <c:pt idx="0">
                  <c:v>49.31248822753814</c:v>
                </c:pt>
                <c:pt idx="1">
                  <c:v>68.222110720856335</c:v>
                </c:pt>
                <c:pt idx="2">
                  <c:v>46.449760765550238</c:v>
                </c:pt>
                <c:pt idx="3">
                  <c:v>45.98796389167503</c:v>
                </c:pt>
                <c:pt idx="4">
                  <c:v>42.395358474927477</c:v>
                </c:pt>
                <c:pt idx="5">
                  <c:v>40.28520499108734</c:v>
                </c:pt>
                <c:pt idx="6">
                  <c:v>54.593639575971729</c:v>
                </c:pt>
                <c:pt idx="7">
                  <c:v>7.8947368421052628</c:v>
                </c:pt>
                <c:pt idx="8">
                  <c:v>51.787404441208594</c:v>
                </c:pt>
              </c:numCache>
            </c:numRef>
          </c:val>
          <c:extLst xmlns:c16r2="http://schemas.microsoft.com/office/drawing/2015/06/chart">
            <c:ext xmlns:c16="http://schemas.microsoft.com/office/drawing/2014/chart" uri="{C3380CC4-5D6E-409C-BE32-E72D297353CC}">
              <c16:uniqueId val="{00000001-7269-4201-951D-4A5C06F45DF8}"/>
            </c:ext>
          </c:extLst>
        </c:ser>
        <c:ser>
          <c:idx val="2"/>
          <c:order val="2"/>
          <c:tx>
            <c:strRef>
              <c:f>'Chn placed with relatives_kin'!$M$5:$N$5</c:f>
              <c:strCache>
                <c:ptCount val="2"/>
                <c:pt idx="0">
                  <c:v>All children</c:v>
                </c:pt>
              </c:strCache>
            </c:strRef>
          </c:tx>
          <c:spPr>
            <a:solidFill>
              <a:srgbClr val="78A22F"/>
            </a:solidFill>
            <a:ln>
              <a:solidFill>
                <a:srgbClr val="78A22F"/>
              </a:solidFill>
            </a:ln>
          </c:spPr>
          <c:invertIfNegative val="0"/>
          <c:cat>
            <c:strRef>
              <c:f>'Chn placed with relatives_kin'!$O$2:$W$2</c:f>
              <c:strCache>
                <c:ptCount val="9"/>
                <c:pt idx="0">
                  <c:v>NSW</c:v>
                </c:pt>
                <c:pt idx="1">
                  <c:v>Vic</c:v>
                </c:pt>
                <c:pt idx="2">
                  <c:v>Qld</c:v>
                </c:pt>
                <c:pt idx="3">
                  <c:v>WA</c:v>
                </c:pt>
                <c:pt idx="4">
                  <c:v>SA</c:v>
                </c:pt>
                <c:pt idx="5">
                  <c:v>Tas</c:v>
                </c:pt>
                <c:pt idx="6">
                  <c:v>ACT</c:v>
                </c:pt>
                <c:pt idx="7">
                  <c:v>NT</c:v>
                </c:pt>
                <c:pt idx="8">
                  <c:v>Aust</c:v>
                </c:pt>
              </c:strCache>
            </c:strRef>
          </c:cat>
          <c:val>
            <c:numRef>
              <c:f>'Chn placed with relatives_kin'!$O$5:$W$5</c:f>
              <c:numCache>
                <c:formatCode>0.0</c:formatCode>
                <c:ptCount val="9"/>
                <c:pt idx="0">
                  <c:v>52.297693679185599</c:v>
                </c:pt>
                <c:pt idx="1">
                  <c:v>69.059592657782247</c:v>
                </c:pt>
                <c:pt idx="2">
                  <c:v>45.097177994948936</c:v>
                </c:pt>
                <c:pt idx="3">
                  <c:v>48.9658273381295</c:v>
                </c:pt>
                <c:pt idx="4">
                  <c:v>45.575101488497971</c:v>
                </c:pt>
                <c:pt idx="5">
                  <c:v>38.836477987421389</c:v>
                </c:pt>
                <c:pt idx="6">
                  <c:v>56.537530266343829</c:v>
                </c:pt>
                <c:pt idx="7">
                  <c:v>5.1546391752577314</c:v>
                </c:pt>
                <c:pt idx="8">
                  <c:v>51.514555468135327</c:v>
                </c:pt>
              </c:numCache>
            </c:numRef>
          </c:val>
          <c:extLst xmlns:c16r2="http://schemas.microsoft.com/office/drawing/2015/06/chart">
            <c:ext xmlns:c16="http://schemas.microsoft.com/office/drawing/2014/chart" uri="{C3380CC4-5D6E-409C-BE32-E72D297353CC}">
              <c16:uniqueId val="{00000002-7269-4201-951D-4A5C06F45DF8}"/>
            </c:ext>
          </c:extLst>
        </c:ser>
        <c:dLbls>
          <c:showLegendKey val="0"/>
          <c:showVal val="0"/>
          <c:showCatName val="0"/>
          <c:showSerName val="0"/>
          <c:showPercent val="0"/>
          <c:showBubbleSize val="0"/>
        </c:dLbls>
        <c:gapWidth val="150"/>
        <c:axId val="552712592"/>
        <c:axId val="555378600"/>
      </c:barChart>
      <c:catAx>
        <c:axId val="55271259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5378600"/>
        <c:crosses val="autoZero"/>
        <c:auto val="1"/>
        <c:lblAlgn val="ctr"/>
        <c:lblOffset val="100"/>
        <c:noMultiLvlLbl val="0"/>
      </c:catAx>
      <c:valAx>
        <c:axId val="55537860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2712592"/>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'Placement of Indigenous chn'!$B$3</c:f>
              <c:strCache>
                <c:ptCount val="1"/>
                <c:pt idx="0">
                  <c:v>Relative/Kin</c:v>
                </c:pt>
              </c:strCache>
            </c:strRef>
          </c:tx>
          <c:spPr>
            <a:solidFill>
              <a:srgbClr val="66BCDB"/>
            </a:solidFill>
            <a:ln>
              <a:solidFill>
                <a:srgbClr val="66BCDB"/>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chn'!$D$3:$L$3</c:f>
              <c:numCache>
                <c:formatCode>0.0</c:formatCode>
                <c:ptCount val="9"/>
                <c:pt idx="0">
                  <c:v>57.709580838323348</c:v>
                </c:pt>
                <c:pt idx="1">
                  <c:v>74.559341950646299</c:v>
                </c:pt>
                <c:pt idx="2">
                  <c:v>43.241127348643005</c:v>
                </c:pt>
                <c:pt idx="3">
                  <c:v>51.386623164763456</c:v>
                </c:pt>
                <c:pt idx="4">
                  <c:v>52.75</c:v>
                </c:pt>
                <c:pt idx="5">
                  <c:v>36.336336336336338</c:v>
                </c:pt>
                <c:pt idx="6">
                  <c:v>60.769230769230766</c:v>
                </c:pt>
                <c:pt idx="7">
                  <c:v>27.34952481520591</c:v>
                </c:pt>
                <c:pt idx="8">
                  <c:v>52.924278984258301</c:v>
                </c:pt>
              </c:numCache>
            </c:numRef>
          </c:val>
          <c:extLst xmlns:c16r2="http://schemas.microsoft.com/office/drawing/2015/06/chart">
            <c:ext xmlns:c16="http://schemas.microsoft.com/office/drawing/2014/chart" uri="{C3380CC4-5D6E-409C-BE32-E72D297353CC}">
              <c16:uniqueId val="{00000000-7FBF-4FDB-8EE1-D0D73EE0A850}"/>
            </c:ext>
          </c:extLst>
        </c:ser>
        <c:ser>
          <c:idx val="1"/>
          <c:order val="1"/>
          <c:tx>
            <c:strRef>
              <c:f>'Placement of Indigenous chn'!$B$4</c:f>
              <c:strCache>
                <c:ptCount val="1"/>
                <c:pt idx="0">
                  <c:v>Other Aboriginal and Torres Strait Islander</c:v>
                </c:pt>
              </c:strCache>
            </c:strRef>
          </c:tx>
          <c:spPr>
            <a:solidFill>
              <a:srgbClr val="265A9A"/>
            </a:solidFill>
            <a:ln>
              <a:solidFill>
                <a:srgbClr val="265A9A"/>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chn'!$D$4:$L$4</c:f>
              <c:numCache>
                <c:formatCode>0.0</c:formatCode>
                <c:ptCount val="9"/>
                <c:pt idx="0">
                  <c:v>16.646706586826348</c:v>
                </c:pt>
                <c:pt idx="1">
                  <c:v>4.3478260869565215</c:v>
                </c:pt>
                <c:pt idx="2">
                  <c:v>13.308977035490605</c:v>
                </c:pt>
                <c:pt idx="3">
                  <c:v>8.7275693311582394</c:v>
                </c:pt>
                <c:pt idx="4">
                  <c:v>12.25</c:v>
                </c:pt>
                <c:pt idx="5">
                  <c:v>6.3063063063063058</c:v>
                </c:pt>
                <c:pt idx="6">
                  <c:v>1.5384615384615385</c:v>
                </c:pt>
                <c:pt idx="7">
                  <c:v>5.9134107708553323</c:v>
                </c:pt>
                <c:pt idx="8">
                  <c:v>12.283120762955303</c:v>
                </c:pt>
              </c:numCache>
            </c:numRef>
          </c:val>
          <c:extLst xmlns:c16r2="http://schemas.microsoft.com/office/drawing/2015/06/chart">
            <c:ext xmlns:c16="http://schemas.microsoft.com/office/drawing/2014/chart" uri="{C3380CC4-5D6E-409C-BE32-E72D297353CC}">
              <c16:uniqueId val="{00000001-7FBF-4FDB-8EE1-D0D73EE0A850}"/>
            </c:ext>
          </c:extLst>
        </c:ser>
        <c:ser>
          <c:idx val="2"/>
          <c:order val="2"/>
          <c:tx>
            <c:strRef>
              <c:f>'Placement of Indigenous chn'!$B$5</c:f>
              <c:strCache>
                <c:ptCount val="1"/>
                <c:pt idx="0">
                  <c:v>Other</c:v>
                </c:pt>
              </c:strCache>
            </c:strRef>
          </c:tx>
          <c:spPr>
            <a:solidFill>
              <a:srgbClr val="78A22F"/>
            </a:solidFill>
            <a:ln>
              <a:solidFill>
                <a:srgbClr val="78A22F"/>
              </a:solidFill>
            </a:ln>
          </c:spPr>
          <c:invertIfNegative val="0"/>
          <c:cat>
            <c:strRef>
              <c:f>'Placement of Indigenous chn'!$D$2:$L$2</c:f>
              <c:strCache>
                <c:ptCount val="9"/>
                <c:pt idx="0">
                  <c:v>NSW</c:v>
                </c:pt>
                <c:pt idx="1">
                  <c:v>Vic</c:v>
                </c:pt>
                <c:pt idx="2">
                  <c:v>Qld</c:v>
                </c:pt>
                <c:pt idx="3">
                  <c:v>WA</c:v>
                </c:pt>
                <c:pt idx="4">
                  <c:v>SA</c:v>
                </c:pt>
                <c:pt idx="5">
                  <c:v>Tas</c:v>
                </c:pt>
                <c:pt idx="6">
                  <c:v>ACT</c:v>
                </c:pt>
                <c:pt idx="7">
                  <c:v>NT</c:v>
                </c:pt>
                <c:pt idx="8">
                  <c:v>Aust</c:v>
                </c:pt>
              </c:strCache>
            </c:strRef>
          </c:cat>
          <c:val>
            <c:numRef>
              <c:f>'Placement of Indigenous chn'!$D$5:$L$5</c:f>
              <c:numCache>
                <c:formatCode>0.0</c:formatCode>
                <c:ptCount val="9"/>
                <c:pt idx="0">
                  <c:v>25.643712574850298</c:v>
                </c:pt>
                <c:pt idx="1">
                  <c:v>21.092831962397181</c:v>
                </c:pt>
                <c:pt idx="2">
                  <c:v>43.449895615866389</c:v>
                </c:pt>
                <c:pt idx="3">
                  <c:v>39.885807504078301</c:v>
                </c:pt>
                <c:pt idx="4">
                  <c:v>35</c:v>
                </c:pt>
                <c:pt idx="5">
                  <c:v>57.357357357357351</c:v>
                </c:pt>
                <c:pt idx="6">
                  <c:v>37.692307692307693</c:v>
                </c:pt>
                <c:pt idx="7">
                  <c:v>66.737064413938754</c:v>
                </c:pt>
                <c:pt idx="8">
                  <c:v>34.792600252786393</c:v>
                </c:pt>
              </c:numCache>
            </c:numRef>
          </c:val>
          <c:extLst xmlns:c16r2="http://schemas.microsoft.com/office/drawing/2015/06/chart">
            <c:ext xmlns:c16="http://schemas.microsoft.com/office/drawing/2014/chart" uri="{C3380CC4-5D6E-409C-BE32-E72D297353CC}">
              <c16:uniqueId val="{00000002-7FBF-4FDB-8EE1-D0D73EE0A850}"/>
            </c:ext>
          </c:extLst>
        </c:ser>
        <c:dLbls>
          <c:showLegendKey val="0"/>
          <c:showVal val="0"/>
          <c:showCatName val="0"/>
          <c:showSerName val="0"/>
          <c:showPercent val="0"/>
          <c:showBubbleSize val="0"/>
        </c:dLbls>
        <c:gapWidth val="150"/>
        <c:overlap val="100"/>
        <c:axId val="555379384"/>
        <c:axId val="555384088"/>
      </c:barChart>
      <c:catAx>
        <c:axId val="555379384"/>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5384088"/>
        <c:crosses val="autoZero"/>
        <c:auto val="1"/>
        <c:lblAlgn val="ctr"/>
        <c:lblOffset val="100"/>
        <c:noMultiLvlLbl val="0"/>
      </c:catAx>
      <c:valAx>
        <c:axId val="55538408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53793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'Case plans'!$M$3:$N$3</c:f>
              <c:strCache>
                <c:ptCount val="2"/>
                <c:pt idx="0">
                  <c:v>Aboriginal and Torres Strait Islander</c:v>
                </c:pt>
              </c:strCache>
            </c:strRef>
          </c:tx>
          <c:spPr>
            <a:solidFill>
              <a:srgbClr val="66BCDB"/>
            </a:solidFill>
            <a:ln>
              <a:solidFill>
                <a:srgbClr val="66BCDB"/>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plans'!$O$3:$W$3</c:f>
              <c:numCache>
                <c:formatCode>0.0</c:formatCode>
                <c:ptCount val="9"/>
                <c:pt idx="0">
                  <c:v>0</c:v>
                </c:pt>
                <c:pt idx="1">
                  <c:v>96.554054054054049</c:v>
                </c:pt>
                <c:pt idx="2">
                  <c:v>96.5478529329217</c:v>
                </c:pt>
                <c:pt idx="3">
                  <c:v>76.945854483925544</c:v>
                </c:pt>
                <c:pt idx="4">
                  <c:v>53.539823008849567</c:v>
                </c:pt>
                <c:pt idx="5">
                  <c:v>53.696498054474709</c:v>
                </c:pt>
                <c:pt idx="6">
                  <c:v>73.443983402489636</c:v>
                </c:pt>
                <c:pt idx="7">
                  <c:v>68.801652892561975</c:v>
                </c:pt>
                <c:pt idx="8">
                  <c:v>82.715185444366696</c:v>
                </c:pt>
              </c:numCache>
            </c:numRef>
          </c:val>
          <c:extLst xmlns:c16r2="http://schemas.microsoft.com/office/drawing/2015/06/chart">
            <c:ext xmlns:c16="http://schemas.microsoft.com/office/drawing/2014/chart" uri="{C3380CC4-5D6E-409C-BE32-E72D297353CC}">
              <c16:uniqueId val="{00000000-F716-4E98-B89F-1DA62F46973C}"/>
            </c:ext>
          </c:extLst>
        </c:ser>
        <c:ser>
          <c:idx val="1"/>
          <c:order val="1"/>
          <c:tx>
            <c:strRef>
              <c:f>'Case plans'!$M$4:$N$4</c:f>
              <c:strCache>
                <c:ptCount val="2"/>
                <c:pt idx="0">
                  <c:v>Non-Indigenous</c:v>
                </c:pt>
              </c:strCache>
            </c:strRef>
          </c:tx>
          <c:spPr>
            <a:solidFill>
              <a:srgbClr val="265A9A"/>
            </a:solidFill>
            <a:ln>
              <a:solidFill>
                <a:srgbClr val="265A9A"/>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plans'!$O$4:$W$4</c:f>
              <c:numCache>
                <c:formatCode>0.0</c:formatCode>
                <c:ptCount val="9"/>
                <c:pt idx="0">
                  <c:v>0</c:v>
                </c:pt>
                <c:pt idx="1">
                  <c:v>97.809855649576903</c:v>
                </c:pt>
                <c:pt idx="2">
                  <c:v>96.023856858846926</c:v>
                </c:pt>
                <c:pt idx="3">
                  <c:v>79.664570230607964</c:v>
                </c:pt>
                <c:pt idx="4">
                  <c:v>53.321523472099209</c:v>
                </c:pt>
                <c:pt idx="5">
                  <c:v>51.741293532338304</c:v>
                </c:pt>
                <c:pt idx="6">
                  <c:v>79.43925233644859</c:v>
                </c:pt>
                <c:pt idx="7">
                  <c:v>79.838709677419345</c:v>
                </c:pt>
                <c:pt idx="8">
                  <c:v>85.194597734533843</c:v>
                </c:pt>
              </c:numCache>
            </c:numRef>
          </c:val>
          <c:extLst xmlns:c16r2="http://schemas.microsoft.com/office/drawing/2015/06/chart">
            <c:ext xmlns:c16="http://schemas.microsoft.com/office/drawing/2014/chart" uri="{C3380CC4-5D6E-409C-BE32-E72D297353CC}">
              <c16:uniqueId val="{00000001-F716-4E98-B89F-1DA62F46973C}"/>
            </c:ext>
          </c:extLst>
        </c:ser>
        <c:ser>
          <c:idx val="2"/>
          <c:order val="2"/>
          <c:tx>
            <c:strRef>
              <c:f>'Case plans'!$M$5:$N$5</c:f>
              <c:strCache>
                <c:ptCount val="2"/>
                <c:pt idx="0">
                  <c:v>All children</c:v>
                </c:pt>
              </c:strCache>
            </c:strRef>
          </c:tx>
          <c:spPr>
            <a:solidFill>
              <a:srgbClr val="78A22F"/>
            </a:solidFill>
            <a:ln>
              <a:solidFill>
                <a:srgbClr val="78A22F"/>
              </a:solidFill>
            </a:ln>
          </c:spPr>
          <c:invertIfNegative val="0"/>
          <c:cat>
            <c:strRef>
              <c:f>'Case plans'!$O$2:$W$2</c:f>
              <c:strCache>
                <c:ptCount val="9"/>
                <c:pt idx="0">
                  <c:v>NSW</c:v>
                </c:pt>
                <c:pt idx="1">
                  <c:v>Vic</c:v>
                </c:pt>
                <c:pt idx="2">
                  <c:v>Qld</c:v>
                </c:pt>
                <c:pt idx="3">
                  <c:v>WA</c:v>
                </c:pt>
                <c:pt idx="4">
                  <c:v>SA</c:v>
                </c:pt>
                <c:pt idx="5">
                  <c:v>Tas</c:v>
                </c:pt>
                <c:pt idx="6">
                  <c:v>ACT</c:v>
                </c:pt>
                <c:pt idx="7">
                  <c:v>NT</c:v>
                </c:pt>
                <c:pt idx="8">
                  <c:v>Aust</c:v>
                </c:pt>
              </c:strCache>
            </c:strRef>
          </c:cat>
          <c:val>
            <c:numRef>
              <c:f>'Case plans'!$O$5:$W$5</c:f>
              <c:numCache>
                <c:formatCode>0.0</c:formatCode>
                <c:ptCount val="9"/>
                <c:pt idx="0">
                  <c:v>0</c:v>
                </c:pt>
                <c:pt idx="1">
                  <c:v>97.471807930156416</c:v>
                </c:pt>
                <c:pt idx="2">
                  <c:v>96.127842655193604</c:v>
                </c:pt>
                <c:pt idx="3">
                  <c:v>78.165223496372576</c:v>
                </c:pt>
                <c:pt idx="4">
                  <c:v>53.394332939787482</c:v>
                </c:pt>
                <c:pt idx="5">
                  <c:v>55.106167846309404</c:v>
                </c:pt>
                <c:pt idx="6">
                  <c:v>77.577319587628864</c:v>
                </c:pt>
                <c:pt idx="7">
                  <c:v>70.054945054945051</c:v>
                </c:pt>
                <c:pt idx="8">
                  <c:v>83.806053579561919</c:v>
                </c:pt>
              </c:numCache>
            </c:numRef>
          </c:val>
          <c:extLst xmlns:c16r2="http://schemas.microsoft.com/office/drawing/2015/06/chart">
            <c:ext xmlns:c16="http://schemas.microsoft.com/office/drawing/2014/chart" uri="{C3380CC4-5D6E-409C-BE32-E72D297353CC}">
              <c16:uniqueId val="{00000002-F716-4E98-B89F-1DA62F46973C}"/>
            </c:ext>
          </c:extLst>
        </c:ser>
        <c:dLbls>
          <c:showLegendKey val="0"/>
          <c:showVal val="0"/>
          <c:showCatName val="0"/>
          <c:showSerName val="0"/>
          <c:showPercent val="0"/>
          <c:showBubbleSize val="0"/>
        </c:dLbls>
        <c:gapWidth val="150"/>
        <c:axId val="555383696"/>
        <c:axId val="555378208"/>
      </c:barChart>
      <c:catAx>
        <c:axId val="55538369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5378208"/>
        <c:crosses val="autoZero"/>
        <c:auto val="1"/>
        <c:lblAlgn val="ctr"/>
        <c:lblOffset val="100"/>
        <c:noMultiLvlLbl val="0"/>
      </c:catAx>
      <c:valAx>
        <c:axId val="55537820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5383696"/>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77293064876959"/>
          <c:y val="8.7829629629629646E-2"/>
          <c:w val="0.83540115352194444"/>
          <c:h val="0.73598037037037023"/>
        </c:manualLayout>
      </c:layout>
      <c:barChart>
        <c:barDir val="col"/>
        <c:grouping val="clustered"/>
        <c:varyColors val="0"/>
        <c:ser>
          <c:idx val="0"/>
          <c:order val="0"/>
          <c:tx>
            <c:strRef>
              <c:f>'IFSS per child'!$B$3</c:f>
              <c:strCache>
                <c:ptCount val="1"/>
                <c:pt idx="0">
                  <c:v>2013-14 to 2016-17</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child'!$C$3:$K$3</c:f>
              <c:numCache>
                <c:formatCode>0.00</c:formatCode>
                <c:ptCount val="9"/>
                <c:pt idx="0">
                  <c:v>9108.7401515797355</c:v>
                </c:pt>
                <c:pt idx="1">
                  <c:v>9960.2757882154638</c:v>
                </c:pt>
                <c:pt idx="2">
                  <c:v>9750.9223556165562</c:v>
                </c:pt>
                <c:pt idx="3">
                  <c:v>9985.7618529771171</c:v>
                </c:pt>
                <c:pt idx="4">
                  <c:v>13705.274149397637</c:v>
                </c:pt>
                <c:pt idx="5">
                  <c:v>3055.3072811442053</c:v>
                </c:pt>
                <c:pt idx="6">
                  <c:v>0</c:v>
                </c:pt>
                <c:pt idx="7">
                  <c:v>0</c:v>
                </c:pt>
                <c:pt idx="8">
                  <c:v>9093.3744281440268</c:v>
                </c:pt>
              </c:numCache>
            </c:numRef>
          </c:val>
          <c:extLst xmlns:c16r2="http://schemas.microsoft.com/office/drawing/2015/06/chart">
            <c:ext xmlns:c16="http://schemas.microsoft.com/office/drawing/2014/chart" uri="{C3380CC4-5D6E-409C-BE32-E72D297353CC}">
              <c16:uniqueId val="{00000000-0CB1-4E4D-9AC0-1AB50F3B7E0C}"/>
            </c:ext>
          </c:extLst>
        </c:ser>
        <c:ser>
          <c:idx val="1"/>
          <c:order val="1"/>
          <c:tx>
            <c:strRef>
              <c:f>'IFSS per child'!$B$4</c:f>
              <c:strCache>
                <c:ptCount val="1"/>
                <c:pt idx="0">
                  <c:v>2014-15</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child'!$C$4:$K$4</c:f>
              <c:numCache>
                <c:formatCode>0.00</c:formatCode>
                <c:ptCount val="9"/>
                <c:pt idx="0">
                  <c:v>10036.126480423311</c:v>
                </c:pt>
                <c:pt idx="1">
                  <c:v>8387.4486289632805</c:v>
                </c:pt>
                <c:pt idx="2">
                  <c:v>16231.284564542964</c:v>
                </c:pt>
                <c:pt idx="3">
                  <c:v>8851.7979124249014</c:v>
                </c:pt>
                <c:pt idx="4">
                  <c:v>11538.249318740467</c:v>
                </c:pt>
                <c:pt idx="5">
                  <c:v>2237.3581713948133</c:v>
                </c:pt>
                <c:pt idx="6">
                  <c:v>4119.0510474345383</c:v>
                </c:pt>
                <c:pt idx="7">
                  <c:v>0</c:v>
                </c:pt>
                <c:pt idx="8">
                  <c:v>9500.0179762166936</c:v>
                </c:pt>
              </c:numCache>
            </c:numRef>
          </c:val>
          <c:extLst xmlns:c16r2="http://schemas.microsoft.com/office/drawing/2015/06/chart">
            <c:ext xmlns:c16="http://schemas.microsoft.com/office/drawing/2014/chart" uri="{C3380CC4-5D6E-409C-BE32-E72D297353CC}">
              <c16:uniqueId val="{00000001-0CB1-4E4D-9AC0-1AB50F3B7E0C}"/>
            </c:ext>
          </c:extLst>
        </c:ser>
        <c:ser>
          <c:idx val="2"/>
          <c:order val="2"/>
          <c:tx>
            <c:strRef>
              <c:f>'IFSS per child'!$B$5</c:f>
              <c:strCache>
                <c:ptCount val="1"/>
                <c:pt idx="0">
                  <c:v>2015-16</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child'!$C$5:$K$5</c:f>
              <c:numCache>
                <c:formatCode>0.00</c:formatCode>
                <c:ptCount val="9"/>
                <c:pt idx="0">
                  <c:v>9991.0946196660479</c:v>
                </c:pt>
                <c:pt idx="1">
                  <c:v>7813.7486400848011</c:v>
                </c:pt>
                <c:pt idx="2">
                  <c:v>15961.2805695755</c:v>
                </c:pt>
                <c:pt idx="3">
                  <c:v>8467.6769215148779</c:v>
                </c:pt>
                <c:pt idx="4">
                  <c:v>26265.828484968566</c:v>
                </c:pt>
                <c:pt idx="5">
                  <c:v>2174.7448979591841</c:v>
                </c:pt>
                <c:pt idx="6">
                  <c:v>7508.4802313295886</c:v>
                </c:pt>
                <c:pt idx="7">
                  <c:v>0</c:v>
                </c:pt>
                <c:pt idx="8">
                  <c:v>9708.545536374093</c:v>
                </c:pt>
              </c:numCache>
            </c:numRef>
          </c:val>
          <c:extLst xmlns:c16r2="http://schemas.microsoft.com/office/drawing/2015/06/chart">
            <c:ext xmlns:c16="http://schemas.microsoft.com/office/drawing/2014/chart" uri="{C3380CC4-5D6E-409C-BE32-E72D297353CC}">
              <c16:uniqueId val="{00000002-0CB1-4E4D-9AC0-1AB50F3B7E0C}"/>
            </c:ext>
          </c:extLst>
        </c:ser>
        <c:ser>
          <c:idx val="3"/>
          <c:order val="3"/>
          <c:tx>
            <c:strRef>
              <c:f>'IFSS per child'!$B$6</c:f>
              <c:strCache>
                <c:ptCount val="1"/>
                <c:pt idx="0">
                  <c:v>2016-17</c:v>
                </c:pt>
              </c:strCache>
            </c:strRef>
          </c:tx>
          <c:spPr>
            <a:solidFill>
              <a:srgbClr val="66BCDB"/>
            </a:solidFill>
            <a:ln>
              <a:solidFill>
                <a:srgbClr val="66BCDB"/>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child'!$C$6:$K$6</c:f>
              <c:numCache>
                <c:formatCode>0.00</c:formatCode>
                <c:ptCount val="9"/>
                <c:pt idx="0">
                  <c:v>10517.896633403661</c:v>
                </c:pt>
                <c:pt idx="1">
                  <c:v>7959.2474331219073</c:v>
                </c:pt>
                <c:pt idx="2">
                  <c:v>5938.5920843356707</c:v>
                </c:pt>
                <c:pt idx="3">
                  <c:v>9236.2435250588642</c:v>
                </c:pt>
                <c:pt idx="4">
                  <c:v>24888.578914688806</c:v>
                </c:pt>
                <c:pt idx="5">
                  <c:v>2572.2187365371437</c:v>
                </c:pt>
                <c:pt idx="6">
                  <c:v>13041.534012833848</c:v>
                </c:pt>
                <c:pt idx="7">
                  <c:v>11785.657290308643</c:v>
                </c:pt>
                <c:pt idx="8">
                  <c:v>8565.5142167879894</c:v>
                </c:pt>
              </c:numCache>
            </c:numRef>
          </c:val>
          <c:extLst xmlns:c16r2="http://schemas.microsoft.com/office/drawing/2015/06/chart">
            <c:ext xmlns:c16="http://schemas.microsoft.com/office/drawing/2014/chart" uri="{C3380CC4-5D6E-409C-BE32-E72D297353CC}">
              <c16:uniqueId val="{00000003-0CB1-4E4D-9AC0-1AB50F3B7E0C}"/>
            </c:ext>
          </c:extLst>
        </c:ser>
        <c:ser>
          <c:idx val="4"/>
          <c:order val="4"/>
          <c:tx>
            <c:strRef>
              <c:f>'IFSS per child'!$B$7</c:f>
              <c:strCache>
                <c:ptCount val="1"/>
                <c:pt idx="0">
                  <c:v>2017-18</c:v>
                </c:pt>
              </c:strCache>
            </c:strRef>
          </c:tx>
          <c:spPr>
            <a:solidFill>
              <a:srgbClr val="265A9A"/>
            </a:solidFill>
            <a:ln>
              <a:solidFill>
                <a:srgbClr val="265A9A"/>
              </a:solidFill>
            </a:ln>
          </c:spPr>
          <c:invertIfNegative val="0"/>
          <c:cat>
            <c:strRef>
              <c:f>'IFSS per child'!$C$2:$K$2</c:f>
              <c:strCache>
                <c:ptCount val="9"/>
                <c:pt idx="0">
                  <c:v>NSW</c:v>
                </c:pt>
                <c:pt idx="1">
                  <c:v>Vic</c:v>
                </c:pt>
                <c:pt idx="2">
                  <c:v>Qld</c:v>
                </c:pt>
                <c:pt idx="3">
                  <c:v>WA</c:v>
                </c:pt>
                <c:pt idx="4">
                  <c:v>SA</c:v>
                </c:pt>
                <c:pt idx="5">
                  <c:v>Tas</c:v>
                </c:pt>
                <c:pt idx="6">
                  <c:v>ACT</c:v>
                </c:pt>
                <c:pt idx="7">
                  <c:v>NT</c:v>
                </c:pt>
                <c:pt idx="8">
                  <c:v>Aust</c:v>
                </c:pt>
              </c:strCache>
            </c:strRef>
          </c:cat>
          <c:val>
            <c:numRef>
              <c:f>'IFSS per child'!$C$7:$K$7</c:f>
              <c:numCache>
                <c:formatCode>0.00</c:formatCode>
                <c:ptCount val="9"/>
                <c:pt idx="0">
                  <c:v>9966.8361581920908</c:v>
                </c:pt>
                <c:pt idx="1">
                  <c:v>9568.3337977152405</c:v>
                </c:pt>
                <c:pt idx="2">
                  <c:v>7168.738192814064</c:v>
                </c:pt>
                <c:pt idx="3">
                  <c:v>8491.9416730621651</c:v>
                </c:pt>
                <c:pt idx="4">
                  <c:v>23946.453407510431</c:v>
                </c:pt>
                <c:pt idx="5">
                  <c:v>2932.437341082456</c:v>
                </c:pt>
                <c:pt idx="6">
                  <c:v>19168.013468013465</c:v>
                </c:pt>
                <c:pt idx="7">
                  <c:v>8340.1709401709413</c:v>
                </c:pt>
                <c:pt idx="8">
                  <c:v>9137.1389342181137</c:v>
                </c:pt>
              </c:numCache>
            </c:numRef>
          </c:val>
          <c:extLst xmlns:c16r2="http://schemas.microsoft.com/office/drawing/2015/06/chart">
            <c:ext xmlns:c16="http://schemas.microsoft.com/office/drawing/2014/chart" uri="{C3380CC4-5D6E-409C-BE32-E72D297353CC}">
              <c16:uniqueId val="{00000004-0CB1-4E4D-9AC0-1AB50F3B7E0C}"/>
            </c:ext>
          </c:extLst>
        </c:ser>
        <c:dLbls>
          <c:showLegendKey val="0"/>
          <c:showVal val="0"/>
          <c:showCatName val="0"/>
          <c:showSerName val="0"/>
          <c:showPercent val="0"/>
          <c:showBubbleSize val="0"/>
        </c:dLbls>
        <c:gapWidth val="150"/>
        <c:axId val="555384872"/>
        <c:axId val="555385264"/>
      </c:barChart>
      <c:catAx>
        <c:axId val="555384872"/>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55385264"/>
        <c:crosses val="autoZero"/>
        <c:auto val="1"/>
        <c:lblAlgn val="ctr"/>
        <c:lblOffset val="100"/>
        <c:noMultiLvlLbl val="0"/>
      </c:catAx>
      <c:valAx>
        <c:axId val="555385264"/>
        <c:scaling>
          <c:orientation val="minMax"/>
          <c:max val="250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$/child</a:t>
                </a:r>
              </a:p>
            </c:rich>
          </c:tx>
          <c:layout/>
          <c:overlay val="0"/>
        </c:title>
        <c:numFmt formatCode="#\ ##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55384872"/>
        <c:crosses val="autoZero"/>
        <c:crossBetween val="between"/>
        <c:majorUnit val="5000"/>
        <c:minorUnit val="2.0000000000000004E-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manualLayout>
          <c:xMode val="edge"/>
          <c:yMode val="edge"/>
          <c:x val="0.31579175988068603"/>
          <c:y val="0.91086703703703709"/>
          <c:w val="0.3684162938105891"/>
          <c:h val="7.5021851851851853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6871-E8FE-46A7-B00F-2FD6AC53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109</TotalTime>
  <Pages>40</Pages>
  <Words>10913</Words>
  <Characters>63567</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Chapter 16 Child protection services - Report on Government Services 2019</vt:lpstr>
    </vt:vector>
  </TitlesOfParts>
  <Company>Productivity Commission</Company>
  <LinksUpToDate>false</LinksUpToDate>
  <CharactersWithSpaces>74332</CharactersWithSpaces>
  <SharedDoc>false</SharedDoc>
  <HLinks>
    <vt:vector size="228" baseType="variant">
      <vt:variant>
        <vt:i4>852029</vt:i4>
      </vt:variant>
      <vt:variant>
        <vt:i4>762</vt:i4>
      </vt:variant>
      <vt:variant>
        <vt:i4>0</vt:i4>
      </vt:variant>
      <vt:variant>
        <vt:i4>5</vt:i4>
      </vt:variant>
      <vt:variant>
        <vt:lpwstr>http://www.coag.gov.au/coag_meeting outcomes/2008-07-03/docs/communique20080703.pdf</vt:lpwstr>
      </vt:variant>
      <vt:variant>
        <vt:lpwstr/>
      </vt:variant>
      <vt:variant>
        <vt:i4>7405688</vt:i4>
      </vt:variant>
      <vt:variant>
        <vt:i4>759</vt:i4>
      </vt:variant>
      <vt:variant>
        <vt:i4>0</vt:i4>
      </vt:variant>
      <vt:variant>
        <vt:i4>5</vt:i4>
      </vt:variant>
      <vt:variant>
        <vt:lpwstr>Final Report 2012 Attach15A - 10 JJ.xls</vt:lpwstr>
      </vt:variant>
      <vt:variant>
        <vt:lpwstr>'Table 15A.189'!A1#'Table 15A.189'!A1</vt:lpwstr>
      </vt:variant>
      <vt:variant>
        <vt:i4>7340153</vt:i4>
      </vt:variant>
      <vt:variant>
        <vt:i4>756</vt:i4>
      </vt:variant>
      <vt:variant>
        <vt:i4>0</vt:i4>
      </vt:variant>
      <vt:variant>
        <vt:i4>5</vt:i4>
      </vt:variant>
      <vt:variant>
        <vt:lpwstr>Final Report 2012 Attach15A - 10 JJ.xls</vt:lpwstr>
      </vt:variant>
      <vt:variant>
        <vt:lpwstr>'Table 15A.188'!A1#'Table 15A.188'!A1</vt:lpwstr>
      </vt:variant>
      <vt:variant>
        <vt:i4>8323190</vt:i4>
      </vt:variant>
      <vt:variant>
        <vt:i4>753</vt:i4>
      </vt:variant>
      <vt:variant>
        <vt:i4>0</vt:i4>
      </vt:variant>
      <vt:variant>
        <vt:i4>5</vt:i4>
      </vt:variant>
      <vt:variant>
        <vt:lpwstr>Final Report 2012 Attach15A - 10 JJ.xls</vt:lpwstr>
      </vt:variant>
      <vt:variant>
        <vt:lpwstr>'Table 15A.187'!A1#'Table 15A.187'!A1</vt:lpwstr>
      </vt:variant>
      <vt:variant>
        <vt:i4>8257655</vt:i4>
      </vt:variant>
      <vt:variant>
        <vt:i4>750</vt:i4>
      </vt:variant>
      <vt:variant>
        <vt:i4>0</vt:i4>
      </vt:variant>
      <vt:variant>
        <vt:i4>5</vt:i4>
      </vt:variant>
      <vt:variant>
        <vt:lpwstr>Final Report 2012 Attach15A - 10 JJ.xls</vt:lpwstr>
      </vt:variant>
      <vt:variant>
        <vt:lpwstr>'Table 15A.186'!A1#'Table 15A.186'!A1</vt:lpwstr>
      </vt:variant>
      <vt:variant>
        <vt:i4>8192116</vt:i4>
      </vt:variant>
      <vt:variant>
        <vt:i4>747</vt:i4>
      </vt:variant>
      <vt:variant>
        <vt:i4>0</vt:i4>
      </vt:variant>
      <vt:variant>
        <vt:i4>5</vt:i4>
      </vt:variant>
      <vt:variant>
        <vt:lpwstr>Final Report 2012 Attach15A - 10 JJ.xls</vt:lpwstr>
      </vt:variant>
      <vt:variant>
        <vt:lpwstr>'Table 15A.185'!A1#'Table 15A.185'!A1</vt:lpwstr>
      </vt:variant>
      <vt:variant>
        <vt:i4>8126581</vt:i4>
      </vt:variant>
      <vt:variant>
        <vt:i4>744</vt:i4>
      </vt:variant>
      <vt:variant>
        <vt:i4>0</vt:i4>
      </vt:variant>
      <vt:variant>
        <vt:i4>5</vt:i4>
      </vt:variant>
      <vt:variant>
        <vt:lpwstr>Final Report 2012 Attach15A - 10 JJ.xls</vt:lpwstr>
      </vt:variant>
      <vt:variant>
        <vt:lpwstr>'Table 15A.184'!A1#'Table 15A.184'!A1</vt:lpwstr>
      </vt:variant>
      <vt:variant>
        <vt:i4>8061042</vt:i4>
      </vt:variant>
      <vt:variant>
        <vt:i4>741</vt:i4>
      </vt:variant>
      <vt:variant>
        <vt:i4>0</vt:i4>
      </vt:variant>
      <vt:variant>
        <vt:i4>5</vt:i4>
      </vt:variant>
      <vt:variant>
        <vt:lpwstr>Final Report 2012 Attach15A - 10 JJ.xls</vt:lpwstr>
      </vt:variant>
      <vt:variant>
        <vt:lpwstr>'Table 15A.183'!A1#'Table 15A.183'!A1</vt:lpwstr>
      </vt:variant>
      <vt:variant>
        <vt:i4>7995507</vt:i4>
      </vt:variant>
      <vt:variant>
        <vt:i4>738</vt:i4>
      </vt:variant>
      <vt:variant>
        <vt:i4>0</vt:i4>
      </vt:variant>
      <vt:variant>
        <vt:i4>5</vt:i4>
      </vt:variant>
      <vt:variant>
        <vt:lpwstr>Final Report 2012 Attach15A - 10 JJ.xls</vt:lpwstr>
      </vt:variant>
      <vt:variant>
        <vt:lpwstr>'Table 15A.182'!A1#'Table 15A.182'!A1</vt:lpwstr>
      </vt:variant>
      <vt:variant>
        <vt:i4>7929968</vt:i4>
      </vt:variant>
      <vt:variant>
        <vt:i4>735</vt:i4>
      </vt:variant>
      <vt:variant>
        <vt:i4>0</vt:i4>
      </vt:variant>
      <vt:variant>
        <vt:i4>5</vt:i4>
      </vt:variant>
      <vt:variant>
        <vt:lpwstr>Final Report 2012 Attach15A - 10 JJ.xls</vt:lpwstr>
      </vt:variant>
      <vt:variant>
        <vt:lpwstr>'Table 15A.181'!A1#'Table 15A.181'!A1</vt:lpwstr>
      </vt:variant>
      <vt:variant>
        <vt:i4>7864433</vt:i4>
      </vt:variant>
      <vt:variant>
        <vt:i4>732</vt:i4>
      </vt:variant>
      <vt:variant>
        <vt:i4>0</vt:i4>
      </vt:variant>
      <vt:variant>
        <vt:i4>5</vt:i4>
      </vt:variant>
      <vt:variant>
        <vt:lpwstr>Final Report 2012 Attach15A - 10 JJ.xls</vt:lpwstr>
      </vt:variant>
      <vt:variant>
        <vt:lpwstr>'Table 15A.180'!A1#'Table 15A.180'!A1</vt:lpwstr>
      </vt:variant>
      <vt:variant>
        <vt:i4>8257655</vt:i4>
      </vt:variant>
      <vt:variant>
        <vt:i4>729</vt:i4>
      </vt:variant>
      <vt:variant>
        <vt:i4>0</vt:i4>
      </vt:variant>
      <vt:variant>
        <vt:i4>5</vt:i4>
      </vt:variant>
      <vt:variant>
        <vt:lpwstr>Final Report 2012 Attach15A - 10 JJ.xls</vt:lpwstr>
      </vt:variant>
      <vt:variant>
        <vt:lpwstr>'Table 15A.179'!A1#'Table 15A.179'!A1</vt:lpwstr>
      </vt:variant>
      <vt:variant>
        <vt:i4>8323190</vt:i4>
      </vt:variant>
      <vt:variant>
        <vt:i4>726</vt:i4>
      </vt:variant>
      <vt:variant>
        <vt:i4>0</vt:i4>
      </vt:variant>
      <vt:variant>
        <vt:i4>5</vt:i4>
      </vt:variant>
      <vt:variant>
        <vt:lpwstr>Final Report 2012 Attach15A - 10 JJ.xls</vt:lpwstr>
      </vt:variant>
      <vt:variant>
        <vt:lpwstr>'Table 15A.178'!A1#'Table 15A.178'!A1</vt:lpwstr>
      </vt:variant>
      <vt:variant>
        <vt:i4>7340153</vt:i4>
      </vt:variant>
      <vt:variant>
        <vt:i4>723</vt:i4>
      </vt:variant>
      <vt:variant>
        <vt:i4>0</vt:i4>
      </vt:variant>
      <vt:variant>
        <vt:i4>5</vt:i4>
      </vt:variant>
      <vt:variant>
        <vt:lpwstr>Final Report 2012 Attach15A - 10 JJ.xls</vt:lpwstr>
      </vt:variant>
      <vt:variant>
        <vt:lpwstr>'Table 15A.177'!A1#'Table 15A.177'!A1</vt:lpwstr>
      </vt:variant>
      <vt:variant>
        <vt:i4>7405688</vt:i4>
      </vt:variant>
      <vt:variant>
        <vt:i4>720</vt:i4>
      </vt:variant>
      <vt:variant>
        <vt:i4>0</vt:i4>
      </vt:variant>
      <vt:variant>
        <vt:i4>5</vt:i4>
      </vt:variant>
      <vt:variant>
        <vt:lpwstr>Final Report 2012 Attach15A - 10 JJ.xls</vt:lpwstr>
      </vt:variant>
      <vt:variant>
        <vt:lpwstr>'Table 15A.176'!A1#'Table 15A.176'!A1</vt:lpwstr>
      </vt:variant>
      <vt:variant>
        <vt:i4>7471227</vt:i4>
      </vt:variant>
      <vt:variant>
        <vt:i4>717</vt:i4>
      </vt:variant>
      <vt:variant>
        <vt:i4>0</vt:i4>
      </vt:variant>
      <vt:variant>
        <vt:i4>5</vt:i4>
      </vt:variant>
      <vt:variant>
        <vt:lpwstr>Final Report 2012 Attach15A - 10 JJ.xls</vt:lpwstr>
      </vt:variant>
      <vt:variant>
        <vt:lpwstr>'Table 15A.175'!A1#'Table 15A.175'!A1</vt:lpwstr>
      </vt:variant>
      <vt:variant>
        <vt:i4>7536762</vt:i4>
      </vt:variant>
      <vt:variant>
        <vt:i4>714</vt:i4>
      </vt:variant>
      <vt:variant>
        <vt:i4>0</vt:i4>
      </vt:variant>
      <vt:variant>
        <vt:i4>5</vt:i4>
      </vt:variant>
      <vt:variant>
        <vt:lpwstr>Final Report 2012 Attach15A - 10 JJ.xls</vt:lpwstr>
      </vt:variant>
      <vt:variant>
        <vt:lpwstr>'Table 15A.174'!A1#'Table 15A.174'!A1</vt:lpwstr>
      </vt:variant>
      <vt:variant>
        <vt:i4>7602301</vt:i4>
      </vt:variant>
      <vt:variant>
        <vt:i4>711</vt:i4>
      </vt:variant>
      <vt:variant>
        <vt:i4>0</vt:i4>
      </vt:variant>
      <vt:variant>
        <vt:i4>5</vt:i4>
      </vt:variant>
      <vt:variant>
        <vt:lpwstr>Final Report 2012 Attach15A - 10 JJ.xls</vt:lpwstr>
      </vt:variant>
      <vt:variant>
        <vt:lpwstr>'Table 15A.173'!A1#'Table 15A.173'!A1</vt:lpwstr>
      </vt:variant>
      <vt:variant>
        <vt:i4>7667836</vt:i4>
      </vt:variant>
      <vt:variant>
        <vt:i4>708</vt:i4>
      </vt:variant>
      <vt:variant>
        <vt:i4>0</vt:i4>
      </vt:variant>
      <vt:variant>
        <vt:i4>5</vt:i4>
      </vt:variant>
      <vt:variant>
        <vt:lpwstr>Final Report 2012 Attach15A - 10 JJ.xls</vt:lpwstr>
      </vt:variant>
      <vt:variant>
        <vt:lpwstr>'Table 15A.172'!A1#'Table 15A.172'!A1</vt:lpwstr>
      </vt:variant>
      <vt:variant>
        <vt:i4>7733375</vt:i4>
      </vt:variant>
      <vt:variant>
        <vt:i4>705</vt:i4>
      </vt:variant>
      <vt:variant>
        <vt:i4>0</vt:i4>
      </vt:variant>
      <vt:variant>
        <vt:i4>5</vt:i4>
      </vt:variant>
      <vt:variant>
        <vt:lpwstr>Final Report 2012 Attach15A - 10 JJ.xls</vt:lpwstr>
      </vt:variant>
      <vt:variant>
        <vt:lpwstr>'Table 15A.171'!A1#'Table 15A.171'!A1</vt:lpwstr>
      </vt:variant>
      <vt:variant>
        <vt:i4>7798910</vt:i4>
      </vt:variant>
      <vt:variant>
        <vt:i4>702</vt:i4>
      </vt:variant>
      <vt:variant>
        <vt:i4>0</vt:i4>
      </vt:variant>
      <vt:variant>
        <vt:i4>5</vt:i4>
      </vt:variant>
      <vt:variant>
        <vt:lpwstr>Final Report 2012 Attach15A - 10 JJ.xls</vt:lpwstr>
      </vt:variant>
      <vt:variant>
        <vt:lpwstr>'Table 15A.170'!A1#'Table 15A.170'!A1</vt:lpwstr>
      </vt:variant>
      <vt:variant>
        <vt:i4>8323190</vt:i4>
      </vt:variant>
      <vt:variant>
        <vt:i4>699</vt:i4>
      </vt:variant>
      <vt:variant>
        <vt:i4>0</vt:i4>
      </vt:variant>
      <vt:variant>
        <vt:i4>5</vt:i4>
      </vt:variant>
      <vt:variant>
        <vt:lpwstr>Final Report 2012 Attach15A - 10 JJ.xls</vt:lpwstr>
      </vt:variant>
      <vt:variant>
        <vt:lpwstr>'Table 15A.169'!A1#'Table 15A.169'!A1</vt:lpwstr>
      </vt:variant>
      <vt:variant>
        <vt:i4>6226011</vt:i4>
      </vt:variant>
      <vt:variant>
        <vt:i4>696</vt:i4>
      </vt:variant>
      <vt:variant>
        <vt:i4>0</vt:i4>
      </vt:variant>
      <vt:variant>
        <vt:i4>5</vt:i4>
      </vt:variant>
      <vt:variant>
        <vt:lpwstr>C:\Users\pholzer\AppData\Local\Microsoft\Windows\AppData\Local\Microsoft\Windows\Temporary Internet Files\OLK6FF6\www.pc.gov.au\gsp</vt:lpwstr>
      </vt:variant>
      <vt:variant>
        <vt:lpwstr/>
      </vt:variant>
      <vt:variant>
        <vt:i4>7209086</vt:i4>
      </vt:variant>
      <vt:variant>
        <vt:i4>687</vt:i4>
      </vt:variant>
      <vt:variant>
        <vt:i4>0</vt:i4>
      </vt:variant>
      <vt:variant>
        <vt:i4>5</vt:i4>
      </vt:variant>
      <vt:variant>
        <vt:lpwstr>http://www.pc.gov.au/gsp/reports/rogs/2011</vt:lpwstr>
      </vt:variant>
      <vt:variant>
        <vt:lpwstr/>
      </vt:variant>
      <vt:variant>
        <vt:i4>7209086</vt:i4>
      </vt:variant>
      <vt:variant>
        <vt:i4>630</vt:i4>
      </vt:variant>
      <vt:variant>
        <vt:i4>0</vt:i4>
      </vt:variant>
      <vt:variant>
        <vt:i4>5</vt:i4>
      </vt:variant>
      <vt:variant>
        <vt:lpwstr>http://www.pc.gov.au/gsp/reports/rogs/2011</vt:lpwstr>
      </vt:variant>
      <vt:variant>
        <vt:lpwstr/>
      </vt:variant>
      <vt:variant>
        <vt:i4>7143550</vt:i4>
      </vt:variant>
      <vt:variant>
        <vt:i4>588</vt:i4>
      </vt:variant>
      <vt:variant>
        <vt:i4>0</vt:i4>
      </vt:variant>
      <vt:variant>
        <vt:i4>5</vt:i4>
      </vt:variant>
      <vt:variant>
        <vt:lpwstr>http://www.pc.gov.au/gsp/reports/rogs/2012</vt:lpwstr>
      </vt:variant>
      <vt:variant>
        <vt:lpwstr/>
      </vt:variant>
      <vt:variant>
        <vt:i4>7209086</vt:i4>
      </vt:variant>
      <vt:variant>
        <vt:i4>537</vt:i4>
      </vt:variant>
      <vt:variant>
        <vt:i4>0</vt:i4>
      </vt:variant>
      <vt:variant>
        <vt:i4>5</vt:i4>
      </vt:variant>
      <vt:variant>
        <vt:lpwstr>http://www.pc.gov.au/gsp/reports/rogs/2011</vt:lpwstr>
      </vt:variant>
      <vt:variant>
        <vt:lpwstr/>
      </vt:variant>
      <vt:variant>
        <vt:i4>1114165</vt:i4>
      </vt:variant>
      <vt:variant>
        <vt:i4>62</vt:i4>
      </vt:variant>
      <vt:variant>
        <vt:i4>0</vt:i4>
      </vt:variant>
      <vt:variant>
        <vt:i4>5</vt:i4>
      </vt:variant>
      <vt:variant>
        <vt:lpwstr/>
      </vt:variant>
      <vt:variant>
        <vt:lpwstr>_Toc313462312</vt:lpwstr>
      </vt:variant>
      <vt:variant>
        <vt:i4>1114165</vt:i4>
      </vt:variant>
      <vt:variant>
        <vt:i4>56</vt:i4>
      </vt:variant>
      <vt:variant>
        <vt:i4>0</vt:i4>
      </vt:variant>
      <vt:variant>
        <vt:i4>5</vt:i4>
      </vt:variant>
      <vt:variant>
        <vt:lpwstr/>
      </vt:variant>
      <vt:variant>
        <vt:lpwstr>_Toc313462311</vt:lpwstr>
      </vt:variant>
      <vt:variant>
        <vt:i4>1114165</vt:i4>
      </vt:variant>
      <vt:variant>
        <vt:i4>50</vt:i4>
      </vt:variant>
      <vt:variant>
        <vt:i4>0</vt:i4>
      </vt:variant>
      <vt:variant>
        <vt:i4>5</vt:i4>
      </vt:variant>
      <vt:variant>
        <vt:lpwstr/>
      </vt:variant>
      <vt:variant>
        <vt:lpwstr>_Toc313462310</vt:lpwstr>
      </vt:variant>
      <vt:variant>
        <vt:i4>1048629</vt:i4>
      </vt:variant>
      <vt:variant>
        <vt:i4>44</vt:i4>
      </vt:variant>
      <vt:variant>
        <vt:i4>0</vt:i4>
      </vt:variant>
      <vt:variant>
        <vt:i4>5</vt:i4>
      </vt:variant>
      <vt:variant>
        <vt:lpwstr/>
      </vt:variant>
      <vt:variant>
        <vt:lpwstr>_Toc313462309</vt:lpwstr>
      </vt:variant>
      <vt:variant>
        <vt:i4>1048629</vt:i4>
      </vt:variant>
      <vt:variant>
        <vt:i4>38</vt:i4>
      </vt:variant>
      <vt:variant>
        <vt:i4>0</vt:i4>
      </vt:variant>
      <vt:variant>
        <vt:i4>5</vt:i4>
      </vt:variant>
      <vt:variant>
        <vt:lpwstr/>
      </vt:variant>
      <vt:variant>
        <vt:lpwstr>_Toc313462308</vt:lpwstr>
      </vt:variant>
      <vt:variant>
        <vt:i4>1048629</vt:i4>
      </vt:variant>
      <vt:variant>
        <vt:i4>32</vt:i4>
      </vt:variant>
      <vt:variant>
        <vt:i4>0</vt:i4>
      </vt:variant>
      <vt:variant>
        <vt:i4>5</vt:i4>
      </vt:variant>
      <vt:variant>
        <vt:lpwstr/>
      </vt:variant>
      <vt:variant>
        <vt:lpwstr>_Toc313462307</vt:lpwstr>
      </vt:variant>
      <vt:variant>
        <vt:i4>1048629</vt:i4>
      </vt:variant>
      <vt:variant>
        <vt:i4>26</vt:i4>
      </vt:variant>
      <vt:variant>
        <vt:i4>0</vt:i4>
      </vt:variant>
      <vt:variant>
        <vt:i4>5</vt:i4>
      </vt:variant>
      <vt:variant>
        <vt:lpwstr/>
      </vt:variant>
      <vt:variant>
        <vt:lpwstr>_Toc313462306</vt:lpwstr>
      </vt:variant>
      <vt:variant>
        <vt:i4>1048629</vt:i4>
      </vt:variant>
      <vt:variant>
        <vt:i4>20</vt:i4>
      </vt:variant>
      <vt:variant>
        <vt:i4>0</vt:i4>
      </vt:variant>
      <vt:variant>
        <vt:i4>5</vt:i4>
      </vt:variant>
      <vt:variant>
        <vt:lpwstr/>
      </vt:variant>
      <vt:variant>
        <vt:lpwstr>_Toc313462305</vt:lpwstr>
      </vt:variant>
      <vt:variant>
        <vt:i4>1048629</vt:i4>
      </vt:variant>
      <vt:variant>
        <vt:i4>14</vt:i4>
      </vt:variant>
      <vt:variant>
        <vt:i4>0</vt:i4>
      </vt:variant>
      <vt:variant>
        <vt:i4>5</vt:i4>
      </vt:variant>
      <vt:variant>
        <vt:lpwstr/>
      </vt:variant>
      <vt:variant>
        <vt:lpwstr>_Toc313462304</vt:lpwstr>
      </vt:variant>
      <vt:variant>
        <vt:i4>1048629</vt:i4>
      </vt:variant>
      <vt:variant>
        <vt:i4>8</vt:i4>
      </vt:variant>
      <vt:variant>
        <vt:i4>0</vt:i4>
      </vt:variant>
      <vt:variant>
        <vt:i4>5</vt:i4>
      </vt:variant>
      <vt:variant>
        <vt:lpwstr/>
      </vt:variant>
      <vt:variant>
        <vt:lpwstr>_Toc313462303</vt:lpwstr>
      </vt:variant>
      <vt:variant>
        <vt:i4>1048629</vt:i4>
      </vt:variant>
      <vt:variant>
        <vt:i4>2</vt:i4>
      </vt:variant>
      <vt:variant>
        <vt:i4>0</vt:i4>
      </vt:variant>
      <vt:variant>
        <vt:i4>5</vt:i4>
      </vt:variant>
      <vt:variant>
        <vt:lpwstr/>
      </vt:variant>
      <vt:variant>
        <vt:lpwstr>_Toc313462302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 Child protection services - Report on Government Services 2019</dc:title>
  <dc:subject/>
  <dc:creator>Steering Committee for the Review of Government Service Provision</dc:creator>
  <cp:keywords/>
  <dc:description/>
  <cp:lastModifiedBy>Frech, Tanya</cp:lastModifiedBy>
  <cp:revision>11</cp:revision>
  <cp:lastPrinted>2018-11-30T02:39:00Z</cp:lastPrinted>
  <dcterms:created xsi:type="dcterms:W3CDTF">2018-12-13T22:48:00Z</dcterms:created>
  <dcterms:modified xsi:type="dcterms:W3CDTF">2019-01-03T01:15:00Z</dcterms:modified>
</cp:coreProperties>
</file>