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A821" w14:textId="36A3C4F6" w:rsidR="00061391" w:rsidRDefault="008E0B3E" w:rsidP="002D5C97">
      <w:pPr>
        <w:pStyle w:val="Heading1"/>
      </w:pPr>
      <w:bookmarkStart w:id="0" w:name="_Toc395619909"/>
      <w:r>
        <w:t>5</w:t>
      </w:r>
      <w:r w:rsidR="00B56B5F">
        <w:tab/>
      </w:r>
      <w:bookmarkStart w:id="1" w:name="ChapterTitle"/>
      <w:r w:rsidR="00B56B5F">
        <w:t>Vocational education and training</w:t>
      </w:r>
      <w:bookmarkStart w:id="2" w:name="_GoBack"/>
      <w:bookmarkEnd w:id="0"/>
      <w:bookmarkEnd w:id="1"/>
      <w:bookmarkEnd w:id="2"/>
    </w:p>
    <w:p w14:paraId="11CFD94D" w14:textId="77777777" w:rsidR="00584638" w:rsidRPr="00F50221" w:rsidRDefault="00584638" w:rsidP="00980255">
      <w:pPr>
        <w:pStyle w:val="Heading4"/>
      </w:pPr>
      <w:r w:rsidRPr="00980255">
        <w:t>CONTENTS</w:t>
      </w:r>
    </w:p>
    <w:sdt>
      <w:sdtPr>
        <w:rPr>
          <w:kern w:val="28"/>
          <w:sz w:val="52"/>
        </w:rPr>
        <w:id w:val="-543906103"/>
        <w:docPartObj>
          <w:docPartGallery w:val="Table of Contents"/>
          <w:docPartUnique/>
        </w:docPartObj>
      </w:sdtPr>
      <w:sdtEndPr>
        <w:rPr>
          <w:noProof/>
          <w:kern w:val="0"/>
          <w:sz w:val="26"/>
        </w:rPr>
      </w:sdtEndPr>
      <w:sdtContent>
        <w:p w14:paraId="6DD0143F" w14:textId="25BCBB20" w:rsidR="00706E9E" w:rsidRPr="000F5A05" w:rsidRDefault="00706E9E">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Profile of vocational education and training</w:t>
          </w:r>
          <w:r>
            <w:rPr>
              <w:noProof/>
            </w:rPr>
            <w:tab/>
          </w:r>
          <w:r w:rsidR="007D2C8B">
            <w:rPr>
              <w:noProof/>
            </w:rPr>
            <w:t>5.</w:t>
          </w:r>
          <w:r w:rsidR="006300E8">
            <w:rPr>
              <w:noProof/>
            </w:rPr>
            <w:t>1</w:t>
          </w:r>
        </w:p>
        <w:p w14:paraId="62A59458" w14:textId="1170ACC8"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7D2C8B">
            <w:rPr>
              <w:noProof/>
            </w:rPr>
            <w:t>5.</w:t>
          </w:r>
          <w:r w:rsidR="006300E8">
            <w:rPr>
              <w:noProof/>
            </w:rPr>
            <w:t>8</w:t>
          </w:r>
        </w:p>
        <w:p w14:paraId="0538DDB2" w14:textId="7E00BA2B"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7D2C8B">
            <w:rPr>
              <w:noProof/>
            </w:rPr>
            <w:t>5.</w:t>
          </w:r>
          <w:r w:rsidR="006300E8">
            <w:rPr>
              <w:noProof/>
            </w:rPr>
            <w:t>9</w:t>
          </w:r>
        </w:p>
        <w:p w14:paraId="719DB474" w14:textId="69C332CF"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Definitions of key terms</w:t>
          </w:r>
          <w:r>
            <w:rPr>
              <w:noProof/>
            </w:rPr>
            <w:tab/>
          </w:r>
          <w:r w:rsidR="007D2C8B">
            <w:rPr>
              <w:noProof/>
            </w:rPr>
            <w:t>5.</w:t>
          </w:r>
          <w:r w:rsidR="006300E8">
            <w:rPr>
              <w:noProof/>
            </w:rPr>
            <w:t>2</w:t>
          </w:r>
          <w:r w:rsidR="00794EEC">
            <w:rPr>
              <w:noProof/>
            </w:rPr>
            <w:t>6</w:t>
          </w:r>
        </w:p>
        <w:p w14:paraId="4A20A839" w14:textId="72446ACB"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References</w:t>
          </w:r>
          <w:r>
            <w:rPr>
              <w:noProof/>
            </w:rPr>
            <w:tab/>
          </w:r>
          <w:r w:rsidR="007D2C8B">
            <w:rPr>
              <w:noProof/>
            </w:rPr>
            <w:t>5.</w:t>
          </w:r>
          <w:r w:rsidR="009A7881">
            <w:rPr>
              <w:noProof/>
            </w:rPr>
            <w:t>2</w:t>
          </w:r>
          <w:r w:rsidR="00794EEC">
            <w:rPr>
              <w:noProof/>
            </w:rPr>
            <w:t>8</w:t>
          </w:r>
        </w:p>
        <w:p w14:paraId="61E263B4" w14:textId="7A40DF20" w:rsidR="00BC49F4" w:rsidRDefault="00526EF3" w:rsidP="00917A82">
          <w:pPr>
            <w:pStyle w:val="TOC2"/>
            <w:tabs>
              <w:tab w:val="left" w:pos="1134"/>
            </w:tabs>
            <w:rPr>
              <w:noProof/>
            </w:rPr>
          </w:pPr>
        </w:p>
      </w:sdtContent>
    </w:sdt>
    <w:p w14:paraId="4517D7CB" w14:textId="77777777" w:rsidR="00C368C9" w:rsidRDefault="00C368C9" w:rsidP="00056584">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368C9" w14:paraId="269DC269" w14:textId="77777777" w:rsidTr="00A160DE">
        <w:tc>
          <w:tcPr>
            <w:tcW w:w="8789" w:type="dxa"/>
            <w:tcBorders>
              <w:top w:val="single" w:sz="6" w:space="0" w:color="78A22F"/>
              <w:left w:val="nil"/>
              <w:bottom w:val="nil"/>
              <w:right w:val="nil"/>
            </w:tcBorders>
            <w:shd w:val="clear" w:color="auto" w:fill="F2F2F2" w:themeFill="background1" w:themeFillShade="F2"/>
          </w:tcPr>
          <w:p w14:paraId="3EBE53B3" w14:textId="10A54DDF" w:rsidR="00C368C9" w:rsidRDefault="00B605EA">
            <w:pPr>
              <w:pStyle w:val="BoxTitle"/>
            </w:pPr>
            <w:r>
              <w:t>Data</w:t>
            </w:r>
            <w:r w:rsidR="00C368C9" w:rsidRPr="00EF5A5F">
              <w:t xml:space="preserve"> tables</w:t>
            </w:r>
          </w:p>
        </w:tc>
      </w:tr>
      <w:tr w:rsidR="00C368C9" w14:paraId="37B66BA8" w14:textId="77777777" w:rsidTr="00A160DE">
        <w:trPr>
          <w:cantSplit/>
        </w:trPr>
        <w:tc>
          <w:tcPr>
            <w:tcW w:w="8789" w:type="dxa"/>
            <w:tcBorders>
              <w:top w:val="nil"/>
              <w:left w:val="nil"/>
              <w:bottom w:val="nil"/>
              <w:right w:val="nil"/>
            </w:tcBorders>
            <w:shd w:val="clear" w:color="auto" w:fill="F2F2F2" w:themeFill="background1" w:themeFillShade="F2"/>
          </w:tcPr>
          <w:p w14:paraId="0D37FB75" w14:textId="319FC3C4" w:rsidR="00C368C9" w:rsidRPr="00EF5A5F" w:rsidRDefault="00B605EA" w:rsidP="00E36FE3">
            <w:pPr>
              <w:pStyle w:val="Box"/>
            </w:pPr>
            <w:r>
              <w:t>Data</w:t>
            </w:r>
            <w:r w:rsidR="00C368C9" w:rsidRPr="00EF5A5F">
              <w:t xml:space="preserve"> tables are identified in references throughout this </w:t>
            </w:r>
            <w:r>
              <w:t>section</w:t>
            </w:r>
            <w:r w:rsidR="00C368C9" w:rsidRPr="00EF5A5F">
              <w:t xml:space="preserve"> by a ‘5A’ </w:t>
            </w:r>
            <w:r w:rsidR="00C368C9">
              <w:t>prefix</w:t>
            </w:r>
            <w:r w:rsidR="0090587B">
              <w:t xml:space="preserve"> (for example, table</w:t>
            </w:r>
            <w:r w:rsidR="000A3C68">
              <w:t> </w:t>
            </w:r>
            <w:r w:rsidR="0090587B">
              <w:t>5A.1)</w:t>
            </w:r>
            <w:r w:rsidR="007C7799">
              <w:t xml:space="preserve"> </w:t>
            </w:r>
            <w:r w:rsidR="00C368C9" w:rsidRPr="00EF5A5F">
              <w:t>and are available from the website</w:t>
            </w:r>
            <w:r w:rsidR="00F07260">
              <w:t xml:space="preserve"> at</w:t>
            </w:r>
            <w:r w:rsidR="00C368C9" w:rsidRPr="00EF5A5F">
              <w:t xml:space="preserve"> </w:t>
            </w:r>
            <w:r w:rsidR="00864D0F" w:rsidRPr="00864D0F">
              <w:t>https://www.pc.gov.au/research/</w:t>
            </w:r>
            <w:r w:rsidR="00FC3936">
              <w:t xml:space="preserve"> </w:t>
            </w:r>
            <w:r w:rsidR="00864D0F" w:rsidRPr="00864D0F">
              <w:t>ongoing/report-on-government-services</w:t>
            </w:r>
            <w:r w:rsidR="00C368C9" w:rsidRPr="00EF5A5F">
              <w:t>.</w:t>
            </w:r>
          </w:p>
        </w:tc>
      </w:tr>
      <w:tr w:rsidR="00C368C9" w14:paraId="59C893F6"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6C4CCFB0" w14:textId="77777777" w:rsidR="00C368C9" w:rsidRDefault="00C368C9">
            <w:pPr>
              <w:pStyle w:val="Box"/>
              <w:spacing w:before="0" w:line="120" w:lineRule="exact"/>
            </w:pPr>
          </w:p>
        </w:tc>
      </w:tr>
      <w:tr w:rsidR="00C368C9" w:rsidRPr="000863A5" w14:paraId="21D9F4AE" w14:textId="77777777" w:rsidTr="00A160DE">
        <w:tc>
          <w:tcPr>
            <w:tcW w:w="8789" w:type="dxa"/>
            <w:tcBorders>
              <w:top w:val="single" w:sz="6" w:space="0" w:color="78A22F"/>
              <w:left w:val="nil"/>
              <w:bottom w:val="nil"/>
              <w:right w:val="nil"/>
            </w:tcBorders>
          </w:tcPr>
          <w:p w14:paraId="7EE13C79" w14:textId="77777777" w:rsidR="00C368C9" w:rsidRPr="00626D32" w:rsidRDefault="00C368C9" w:rsidP="00C368C9">
            <w:pPr>
              <w:pStyle w:val="BoxSpaceBelow"/>
            </w:pPr>
          </w:p>
        </w:tc>
      </w:tr>
    </w:tbl>
    <w:p w14:paraId="418C8177" w14:textId="798BC31C" w:rsidR="00C57336" w:rsidRDefault="005B541C" w:rsidP="00CC61DA">
      <w:pPr>
        <w:pStyle w:val="BodyText"/>
      </w:pPr>
      <w:r w:rsidRPr="00EF5A5F">
        <w:t xml:space="preserve">This </w:t>
      </w:r>
      <w:r w:rsidR="00B605EA">
        <w:t>section</w:t>
      </w:r>
      <w:r w:rsidRPr="00EF5A5F">
        <w:t xml:space="preserve"> reports performance information </w:t>
      </w:r>
      <w:r w:rsidR="00C74F3E">
        <w:t xml:space="preserve">for </w:t>
      </w:r>
      <w:r w:rsidRPr="00EF5A5F">
        <w:t>vocational</w:t>
      </w:r>
      <w:r w:rsidR="00821217">
        <w:t xml:space="preserve"> education and training (VET) services</w:t>
      </w:r>
      <w:r w:rsidR="00817F9F">
        <w:t>.</w:t>
      </w:r>
    </w:p>
    <w:p w14:paraId="464F8C4B" w14:textId="3E332EB3" w:rsidR="000802A5" w:rsidRPr="000802A5" w:rsidRDefault="004169BA" w:rsidP="00D93BB2">
      <w:pPr>
        <w:pStyle w:val="BodyText"/>
        <w:widowControl w:val="0"/>
      </w:pPr>
      <w:r>
        <w:t>Further information on th</w:t>
      </w:r>
      <w:r w:rsidR="00036429">
        <w:t>e Report on Government Services</w:t>
      </w:r>
      <w:r>
        <w:t xml:space="preserve"> including other reported service areas, the glossary and list of abbreviations is available at </w:t>
      </w:r>
      <w:r w:rsidR="00864D0F" w:rsidRPr="00864D0F">
        <w:t>https://www.pc.gov.au/research/</w:t>
      </w:r>
      <w:r w:rsidR="00FC3936">
        <w:t xml:space="preserve"> </w:t>
      </w:r>
      <w:r w:rsidR="00864D0F" w:rsidRPr="00864D0F">
        <w:t>ongoing/report-on-government-services</w:t>
      </w:r>
      <w:r w:rsidRPr="00EF5A5F">
        <w:t>.</w:t>
      </w:r>
    </w:p>
    <w:p w14:paraId="74C5FFD2" w14:textId="5533DF21" w:rsidR="00C57336" w:rsidRPr="00DD0399" w:rsidRDefault="00706E9E" w:rsidP="00056584">
      <w:pPr>
        <w:pStyle w:val="Heading2"/>
        <w:spacing w:before="480"/>
      </w:pPr>
      <w:bookmarkStart w:id="3" w:name="_Toc341279239"/>
      <w:bookmarkStart w:id="4" w:name="_Toc492379196"/>
      <w:r>
        <w:t>5.</w:t>
      </w:r>
      <w:r w:rsidR="006300E8">
        <w:rPr>
          <w:noProof/>
        </w:rPr>
        <w:t>1</w:t>
      </w:r>
      <w:r w:rsidR="00D660C5">
        <w:tab/>
      </w:r>
      <w:r w:rsidR="00C57336" w:rsidRPr="00EF5A5F">
        <w:t xml:space="preserve">Profile of vocational education </w:t>
      </w:r>
      <w:r w:rsidR="00C57336" w:rsidRPr="00DD0399">
        <w:t>and training</w:t>
      </w:r>
      <w:bookmarkEnd w:id="3"/>
      <w:bookmarkEnd w:id="4"/>
    </w:p>
    <w:p w14:paraId="6AF40EAD" w14:textId="77777777" w:rsidR="002B4A13" w:rsidRPr="00DD0399" w:rsidRDefault="00C57336" w:rsidP="00056584">
      <w:pPr>
        <w:pStyle w:val="Heading3"/>
        <w:spacing w:before="480"/>
      </w:pPr>
      <w:r w:rsidRPr="00DD0399">
        <w:t xml:space="preserve">Service overview </w:t>
      </w:r>
    </w:p>
    <w:p w14:paraId="57C36D93" w14:textId="2EFAD497" w:rsidR="00676596" w:rsidRPr="00DD0399" w:rsidRDefault="00CC61DA" w:rsidP="002B4A13">
      <w:pPr>
        <w:pStyle w:val="BodyText"/>
      </w:pPr>
      <w:r w:rsidRPr="00DD0399">
        <w:rPr>
          <w:rStyle w:val="BodyTextChar"/>
        </w:rPr>
        <w:t xml:space="preserve">The VET system </w:t>
      </w:r>
      <w:r w:rsidR="00FF636B" w:rsidRPr="00DD0399">
        <w:rPr>
          <w:rStyle w:val="BodyTextChar"/>
        </w:rPr>
        <w:t xml:space="preserve">provides training for entry level jobs through to highly technical occupations, but also </w:t>
      </w:r>
      <w:r w:rsidR="00DB1E5F" w:rsidRPr="00DD0399">
        <w:rPr>
          <w:rStyle w:val="BodyTextChar"/>
        </w:rPr>
        <w:t xml:space="preserve">provides training </w:t>
      </w:r>
      <w:r w:rsidR="00FF636B" w:rsidRPr="00DD0399">
        <w:rPr>
          <w:rStyle w:val="BodyTextChar"/>
        </w:rPr>
        <w:t>for non</w:t>
      </w:r>
      <w:r w:rsidR="000A3C68" w:rsidRPr="00DD0399">
        <w:rPr>
          <w:rStyle w:val="BodyTextChar"/>
        </w:rPr>
        <w:noBreakHyphen/>
      </w:r>
      <w:r w:rsidR="00FF636B" w:rsidRPr="00DD0399">
        <w:rPr>
          <w:rStyle w:val="BodyTextChar"/>
        </w:rPr>
        <w:t xml:space="preserve">employment related reasons. </w:t>
      </w:r>
      <w:r w:rsidR="00676596" w:rsidRPr="00DD0399">
        <w:rPr>
          <w:rStyle w:val="BodyTextChar"/>
        </w:rPr>
        <w:t xml:space="preserve">Nationally in </w:t>
      </w:r>
      <w:r w:rsidR="00056584" w:rsidRPr="00DD0399">
        <w:rPr>
          <w:rStyle w:val="BodyTextChar"/>
        </w:rPr>
        <w:t>201</w:t>
      </w:r>
      <w:r w:rsidR="0068076F" w:rsidRPr="00DD0399">
        <w:rPr>
          <w:rStyle w:val="BodyTextChar"/>
        </w:rPr>
        <w:t>9</w:t>
      </w:r>
      <w:r w:rsidR="00676596" w:rsidRPr="00DD0399">
        <w:rPr>
          <w:rStyle w:val="BodyTextChar"/>
        </w:rPr>
        <w:t xml:space="preserve">, the main </w:t>
      </w:r>
      <w:r w:rsidR="008D3BCA" w:rsidRPr="00DD0399">
        <w:rPr>
          <w:rStyle w:val="BodyTextChar"/>
        </w:rPr>
        <w:t xml:space="preserve">reason graduates participated in </w:t>
      </w:r>
      <w:r w:rsidR="00676596" w:rsidRPr="00DD0399">
        <w:rPr>
          <w:rStyle w:val="BodyTextChar"/>
        </w:rPr>
        <w:t>VET was</w:t>
      </w:r>
      <w:r w:rsidR="00F07260" w:rsidRPr="00DD0399">
        <w:rPr>
          <w:rStyle w:val="BodyTextChar"/>
        </w:rPr>
        <w:t xml:space="preserve"> for</w:t>
      </w:r>
      <w:r w:rsidR="00676596" w:rsidRPr="00DD0399">
        <w:rPr>
          <w:rStyle w:val="BodyTextChar"/>
        </w:rPr>
        <w:t>:</w:t>
      </w:r>
    </w:p>
    <w:p w14:paraId="7F4F8241" w14:textId="75527D0B" w:rsidR="00676596" w:rsidRPr="00DD0399" w:rsidRDefault="00676596" w:rsidP="00676596">
      <w:pPr>
        <w:pStyle w:val="ListBullet"/>
      </w:pPr>
      <w:r w:rsidRPr="00DD0399">
        <w:t>employment related reasons</w:t>
      </w:r>
      <w:r w:rsidR="00FF636B" w:rsidRPr="00DD0399">
        <w:rPr>
          <w:i/>
        </w:rPr>
        <w:t xml:space="preserve"> </w:t>
      </w:r>
      <w:r w:rsidR="00F07260" w:rsidRPr="00DD0399">
        <w:t>(</w:t>
      </w:r>
      <w:r w:rsidR="00C93332" w:rsidRPr="00DD0399">
        <w:t>85.1</w:t>
      </w:r>
      <w:r w:rsidR="00E9149D" w:rsidRPr="00DD0399">
        <w:t xml:space="preserve"> per cent in total VET </w:t>
      </w:r>
      <w:r w:rsidR="00FF636B" w:rsidRPr="00DD0399">
        <w:t xml:space="preserve">and </w:t>
      </w:r>
      <w:r w:rsidR="00C93332" w:rsidRPr="00DD0399">
        <w:t>83.9</w:t>
      </w:r>
      <w:r w:rsidR="00E9149D" w:rsidRPr="00DD0399">
        <w:t> per cent in government</w:t>
      </w:r>
      <w:r w:rsidR="00E9149D" w:rsidRPr="00DD0399">
        <w:noBreakHyphen/>
        <w:t>funded VET</w:t>
      </w:r>
      <w:r w:rsidR="00F07260" w:rsidRPr="00DD0399">
        <w:t>)</w:t>
      </w:r>
      <w:r w:rsidR="00D61C37" w:rsidRPr="00DD0399">
        <w:rPr>
          <w:rStyle w:val="FootnoteReference"/>
        </w:rPr>
        <w:footnoteReference w:id="1"/>
      </w:r>
    </w:p>
    <w:p w14:paraId="2845005C" w14:textId="7FB8EA75" w:rsidR="00676596" w:rsidRPr="00DD0399" w:rsidRDefault="00676596" w:rsidP="00E0286D">
      <w:pPr>
        <w:pStyle w:val="ListBullet"/>
      </w:pPr>
      <w:r w:rsidRPr="00DD0399">
        <w:lastRenderedPageBreak/>
        <w:t>personal development</w:t>
      </w:r>
      <w:r w:rsidR="00FF636B" w:rsidRPr="00DD0399">
        <w:t xml:space="preserve"> </w:t>
      </w:r>
      <w:r w:rsidR="00F07260" w:rsidRPr="00DD0399">
        <w:t>(</w:t>
      </w:r>
      <w:r w:rsidR="00C93332" w:rsidRPr="00DD0399">
        <w:t>11.3</w:t>
      </w:r>
      <w:r w:rsidR="00E9149D" w:rsidRPr="00DD0399">
        <w:t xml:space="preserve"> per cent in total VET </w:t>
      </w:r>
      <w:r w:rsidR="008D3BCA" w:rsidRPr="00DD0399">
        <w:t>and</w:t>
      </w:r>
      <w:r w:rsidR="00FE6A18" w:rsidRPr="00DD0399">
        <w:t xml:space="preserve"> </w:t>
      </w:r>
      <w:r w:rsidR="00C93332" w:rsidRPr="00DD0399">
        <w:t>11.4</w:t>
      </w:r>
      <w:r w:rsidR="00E9149D" w:rsidRPr="00DD0399">
        <w:t> per cent in government</w:t>
      </w:r>
      <w:r w:rsidR="00E9149D" w:rsidRPr="00DD0399">
        <w:noBreakHyphen/>
        <w:t>funded VET</w:t>
      </w:r>
      <w:r w:rsidR="008D3BCA" w:rsidRPr="00DD0399">
        <w:t>)</w:t>
      </w:r>
    </w:p>
    <w:p w14:paraId="7A2B8FED" w14:textId="603BB541" w:rsidR="00676596" w:rsidRPr="00DD0399" w:rsidRDefault="00F07260" w:rsidP="00D66FEA">
      <w:pPr>
        <w:pStyle w:val="ListBullet"/>
      </w:pPr>
      <w:r w:rsidRPr="00DD0399">
        <w:t xml:space="preserve">pathways to </w:t>
      </w:r>
      <w:r w:rsidR="00676596" w:rsidRPr="00DD0399">
        <w:t xml:space="preserve">further </w:t>
      </w:r>
      <w:r w:rsidR="00DF7D01" w:rsidRPr="00DD0399">
        <w:t>study</w:t>
      </w:r>
      <w:r w:rsidRPr="00DD0399">
        <w:t xml:space="preserve"> (</w:t>
      </w:r>
      <w:r w:rsidR="00C93332" w:rsidRPr="00DD0399">
        <w:t>3.6</w:t>
      </w:r>
      <w:r w:rsidR="00E9149D" w:rsidRPr="00DD0399">
        <w:t xml:space="preserve"> per cent in total VET </w:t>
      </w:r>
      <w:r w:rsidR="008D3BCA" w:rsidRPr="00DD0399">
        <w:t xml:space="preserve">and </w:t>
      </w:r>
      <w:r w:rsidR="00C93332" w:rsidRPr="00DD0399">
        <w:t>4.7</w:t>
      </w:r>
      <w:r w:rsidR="00E9149D" w:rsidRPr="00DD0399">
        <w:t> per cent in government</w:t>
      </w:r>
      <w:r w:rsidR="00E9149D" w:rsidRPr="00DD0399">
        <w:noBreakHyphen/>
        <w:t>funded VET</w:t>
      </w:r>
      <w:r w:rsidRPr="00DD0399">
        <w:t>)</w:t>
      </w:r>
      <w:r w:rsidR="00D66FEA" w:rsidRPr="00DD0399">
        <w:t xml:space="preserve"> </w:t>
      </w:r>
      <w:r w:rsidR="00676596" w:rsidRPr="00DD0399">
        <w:t xml:space="preserve">(NCVER </w:t>
      </w:r>
      <w:r w:rsidR="00056584" w:rsidRPr="00DD0399">
        <w:t>2019</w:t>
      </w:r>
      <w:r w:rsidR="00676596" w:rsidRPr="00DD0399">
        <w:t>).</w:t>
      </w:r>
      <w:r w:rsidR="008615F9" w:rsidRPr="00DD0399">
        <w:t xml:space="preserve"> </w:t>
      </w:r>
    </w:p>
    <w:p w14:paraId="743D7460" w14:textId="77777777" w:rsidR="00FF636B" w:rsidRPr="00DD0399" w:rsidRDefault="00FF636B" w:rsidP="00FF636B">
      <w:pPr>
        <w:pStyle w:val="BodyText"/>
      </w:pPr>
      <w:r w:rsidRPr="00DD0399">
        <w:t xml:space="preserve">To achieve these aims, a student may choose to complete </w:t>
      </w:r>
      <w:r w:rsidR="006E5D9D" w:rsidRPr="00DD0399">
        <w:t xml:space="preserve">a </w:t>
      </w:r>
      <w:r w:rsidR="00066023" w:rsidRPr="00DD0399">
        <w:t>single subject/</w:t>
      </w:r>
      <w:r w:rsidR="006E5D9D" w:rsidRPr="00DD0399">
        <w:t>un</w:t>
      </w:r>
      <w:r w:rsidR="00FA27EF" w:rsidRPr="00DD0399">
        <w:t xml:space="preserve">it of competency, </w:t>
      </w:r>
      <w:r w:rsidR="00066023" w:rsidRPr="00DD0399">
        <w:t xml:space="preserve">module, </w:t>
      </w:r>
      <w:r w:rsidR="00FA27EF" w:rsidRPr="00DD0399">
        <w:t>skill set</w:t>
      </w:r>
      <w:r w:rsidR="00066023" w:rsidRPr="00DD0399">
        <w:t xml:space="preserve"> or VET qualification</w:t>
      </w:r>
      <w:r w:rsidR="006E5D9D" w:rsidRPr="00DD0399">
        <w:t xml:space="preserve">. </w:t>
      </w:r>
      <w:r w:rsidRPr="00DD0399">
        <w:t>VET qualifications range from Certificate level I to Graduate Diploma level, as determined by the Australian Qualifications Framework (AQF).</w:t>
      </w:r>
    </w:p>
    <w:p w14:paraId="74A67BAF" w14:textId="77777777" w:rsidR="003F7551" w:rsidRPr="00DD0399" w:rsidRDefault="003F7551" w:rsidP="003F7551">
      <w:pPr>
        <w:pStyle w:val="Heading3"/>
      </w:pPr>
      <w:r w:rsidRPr="00DD0399">
        <w:t xml:space="preserve">Roles and responsibilities </w:t>
      </w:r>
    </w:p>
    <w:p w14:paraId="31E3EFAC" w14:textId="75E367EF" w:rsidR="002A57B9" w:rsidRPr="003F1F2E" w:rsidRDefault="00B1559F" w:rsidP="00AA1D74">
      <w:pPr>
        <w:pStyle w:val="BodyText"/>
      </w:pPr>
      <w:r w:rsidRPr="00DD0399">
        <w:t>VET is an area of shared responsibility between</w:t>
      </w:r>
      <w:r w:rsidR="00AC3E74" w:rsidRPr="00DD0399">
        <w:t xml:space="preserve"> interlinked government, industry and individual stakeholders (figure </w:t>
      </w:r>
      <w:r w:rsidR="00706E9E" w:rsidRPr="00DD0399">
        <w:t>5.1</w:t>
      </w:r>
      <w:r w:rsidR="00AC3E74" w:rsidRPr="00DD0399">
        <w:t>)</w:t>
      </w:r>
      <w:r w:rsidR="00AA1D74" w:rsidRPr="00DD0399">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A1D74" w14:paraId="756B29EE" w14:textId="77777777" w:rsidTr="00A04698">
        <w:tc>
          <w:tcPr>
            <w:tcW w:w="8789" w:type="dxa"/>
            <w:tcBorders>
              <w:top w:val="single" w:sz="6" w:space="0" w:color="78A22F"/>
              <w:left w:val="nil"/>
              <w:bottom w:val="nil"/>
              <w:right w:val="nil"/>
            </w:tcBorders>
            <w:shd w:val="clear" w:color="auto" w:fill="auto"/>
          </w:tcPr>
          <w:p w14:paraId="106E6025" w14:textId="2F16A9AF" w:rsidR="007F0DBA" w:rsidRPr="002B4C28" w:rsidRDefault="00AA1D74" w:rsidP="002B4C28">
            <w:pPr>
              <w:pStyle w:val="FigureTitle"/>
            </w:pPr>
            <w:r w:rsidRPr="00784A05">
              <w:rPr>
                <w:b w:val="0"/>
              </w:rPr>
              <w:lastRenderedPageBreak/>
              <w:t xml:space="preserve">Figure </w:t>
            </w:r>
            <w:bookmarkStart w:id="5" w:name="OLE_LINK5"/>
            <w:r w:rsidR="00706E9E">
              <w:rPr>
                <w:b w:val="0"/>
              </w:rPr>
              <w:t>5.</w:t>
            </w:r>
            <w:r w:rsidR="006300E8">
              <w:rPr>
                <w:b w:val="0"/>
                <w:noProof/>
              </w:rPr>
              <w:t>1</w:t>
            </w:r>
            <w:bookmarkEnd w:id="5"/>
            <w:r>
              <w:tab/>
              <w:t>VET ro</w:t>
            </w:r>
            <w:r w:rsidR="005771AA">
              <w:t xml:space="preserve">les and responsibilities </w:t>
            </w:r>
          </w:p>
        </w:tc>
      </w:tr>
      <w:tr w:rsidR="00AA1D74" w14:paraId="35F25BDE" w14:textId="77777777" w:rsidTr="00A04698">
        <w:tc>
          <w:tcPr>
            <w:tcW w:w="8789" w:type="dxa"/>
            <w:tcBorders>
              <w:top w:val="nil"/>
              <w:left w:val="nil"/>
              <w:bottom w:val="nil"/>
              <w:right w:val="nil"/>
            </w:tcBorders>
            <w:shd w:val="clear" w:color="auto" w:fill="auto"/>
            <w:tcMar>
              <w:top w:w="28" w:type="dxa"/>
              <w:bottom w:w="28" w:type="dxa"/>
            </w:tcMar>
          </w:tcPr>
          <w:p w14:paraId="2B347C09" w14:textId="3BED1127" w:rsidR="00AA1D74" w:rsidRDefault="00763A65" w:rsidP="001239DD">
            <w:pPr>
              <w:pStyle w:val="Figure"/>
            </w:pPr>
            <w:r w:rsidRPr="00007F44">
              <w:rPr>
                <w:noProof/>
              </w:rPr>
              <w:drawing>
                <wp:inline distT="0" distB="0" distL="0" distR="0" wp14:anchorId="18C1D23E" wp14:editId="5D57823A">
                  <wp:extent cx="5346700" cy="4832350"/>
                  <wp:effectExtent l="0" t="0" r="6350" b="6350"/>
                  <wp:docPr id="9" name="Picture 9" descr="Figure 5.1 VET roles and responsibilitie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4832350"/>
                          </a:xfrm>
                          <a:prstGeom prst="rect">
                            <a:avLst/>
                          </a:prstGeom>
                          <a:noFill/>
                          <a:ln>
                            <a:noFill/>
                          </a:ln>
                        </pic:spPr>
                      </pic:pic>
                    </a:graphicData>
                  </a:graphic>
                </wp:inline>
              </w:drawing>
            </w:r>
          </w:p>
          <w:p w14:paraId="17872064" w14:textId="760B8670" w:rsidR="00D84722" w:rsidRPr="00D243F3" w:rsidRDefault="00D84722" w:rsidP="00D243F3">
            <w:pPr>
              <w:pStyle w:val="Figure"/>
              <w:spacing w:before="0" w:after="0" w:line="140" w:lineRule="atLeast"/>
              <w:jc w:val="left"/>
              <w:rPr>
                <w:sz w:val="14"/>
                <w:szCs w:val="14"/>
              </w:rPr>
            </w:pPr>
            <w:r w:rsidRPr="00D243F3">
              <w:rPr>
                <w:rStyle w:val="FootnoteReference"/>
                <w:color w:val="FFFFFF" w:themeColor="background1"/>
                <w:sz w:val="14"/>
                <w:szCs w:val="14"/>
              </w:rPr>
              <w:footnoteReference w:id="2"/>
            </w:r>
            <w:r w:rsidR="00D243F3" w:rsidRPr="00D243F3">
              <w:rPr>
                <w:color w:val="FFFFFF" w:themeColor="background1"/>
                <w:sz w:val="14"/>
                <w:szCs w:val="14"/>
              </w:rPr>
              <w:t xml:space="preserve">  </w:t>
            </w:r>
            <w:r w:rsidR="00D243F3" w:rsidRPr="00D243F3">
              <w:rPr>
                <w:rStyle w:val="FootnoteReference"/>
                <w:color w:val="FFFFFF" w:themeColor="background1"/>
                <w:sz w:val="14"/>
                <w:szCs w:val="14"/>
              </w:rPr>
              <w:footnoteReference w:id="3"/>
            </w:r>
          </w:p>
        </w:tc>
      </w:tr>
      <w:tr w:rsidR="00824307" w14:paraId="00FAE404" w14:textId="77777777" w:rsidTr="00A160DE">
        <w:tc>
          <w:tcPr>
            <w:tcW w:w="8789" w:type="dxa"/>
            <w:tcBorders>
              <w:top w:val="nil"/>
              <w:left w:val="nil"/>
              <w:bottom w:val="single" w:sz="6" w:space="0" w:color="78A22F"/>
              <w:right w:val="nil"/>
            </w:tcBorders>
            <w:shd w:val="clear" w:color="auto" w:fill="auto"/>
          </w:tcPr>
          <w:p w14:paraId="2DBB2EB0" w14:textId="77777777" w:rsidR="00824307" w:rsidRDefault="00824307" w:rsidP="00AF2A7C">
            <w:pPr>
              <w:pStyle w:val="Figurespace"/>
            </w:pPr>
          </w:p>
        </w:tc>
      </w:tr>
      <w:tr w:rsidR="00824307" w:rsidRPr="000863A5" w14:paraId="052ACA4A" w14:textId="77777777" w:rsidTr="00A160DE">
        <w:tc>
          <w:tcPr>
            <w:tcW w:w="8789" w:type="dxa"/>
            <w:tcBorders>
              <w:top w:val="single" w:sz="6" w:space="0" w:color="78A22F"/>
              <w:left w:val="nil"/>
              <w:bottom w:val="nil"/>
              <w:right w:val="nil"/>
            </w:tcBorders>
          </w:tcPr>
          <w:p w14:paraId="340A2B45" w14:textId="41BB6EAC" w:rsidR="00824307" w:rsidRPr="00626D32" w:rsidRDefault="00824307" w:rsidP="0039647F">
            <w:pPr>
              <w:pStyle w:val="BoxSpaceBelow"/>
              <w:spacing w:before="0" w:after="0"/>
            </w:pPr>
          </w:p>
        </w:tc>
      </w:tr>
    </w:tbl>
    <w:p w14:paraId="559F3E27" w14:textId="298488B8" w:rsidR="001A2659" w:rsidRDefault="001A2659" w:rsidP="00AC3E74">
      <w:pPr>
        <w:pStyle w:val="Heading5"/>
      </w:pPr>
      <w:r>
        <w:t>Federal governance arrangements</w:t>
      </w:r>
    </w:p>
    <w:p w14:paraId="59204861" w14:textId="0997713B" w:rsidR="00AC3E74" w:rsidRDefault="00AC3E74" w:rsidP="001A2659">
      <w:pPr>
        <w:pStyle w:val="BodyText"/>
      </w:pPr>
      <w:r>
        <w:t xml:space="preserve">Government roles and responsibilities are outlined in the </w:t>
      </w:r>
      <w:r w:rsidR="006E6E07">
        <w:rPr>
          <w:i/>
        </w:rPr>
        <w:t>National Agreement for</w:t>
      </w:r>
      <w:r w:rsidR="00F07260" w:rsidRPr="002F0745">
        <w:rPr>
          <w:i/>
        </w:rPr>
        <w:t xml:space="preserve"> Skills and Workforce Development</w:t>
      </w:r>
      <w:r w:rsidR="001D347A" w:rsidRPr="00DA5F38">
        <w:t xml:space="preserve">, </w:t>
      </w:r>
      <w:r w:rsidR="001D347A">
        <w:t>and are summarised below</w:t>
      </w:r>
      <w:r w:rsidR="00177742">
        <w:t>:</w:t>
      </w:r>
    </w:p>
    <w:p w14:paraId="0C0FF19F" w14:textId="77777777" w:rsidR="001A2659" w:rsidRDefault="001A2659" w:rsidP="00611C73">
      <w:pPr>
        <w:pStyle w:val="ListBullet"/>
      </w:pPr>
      <w:r w:rsidRPr="00964FD9">
        <w:t xml:space="preserve">The Australian Government provides financial support to </w:t>
      </w:r>
      <w:r>
        <w:t>S</w:t>
      </w:r>
      <w:r w:rsidRPr="00964FD9">
        <w:t>tate and Territor</w:t>
      </w:r>
      <w:r>
        <w:t>y governments</w:t>
      </w:r>
      <w:r w:rsidRPr="00964FD9">
        <w:t xml:space="preserve"> to susta</w:t>
      </w:r>
      <w:r>
        <w:t>in</w:t>
      </w:r>
      <w:r w:rsidRPr="00964FD9">
        <w:t xml:space="preserve"> national training systems</w:t>
      </w:r>
      <w:r w:rsidR="00AC3E74">
        <w:t xml:space="preserve"> and </w:t>
      </w:r>
      <w:r w:rsidRPr="00964FD9">
        <w:t>provides specific incentives, interventions and assistance for national priority areas.</w:t>
      </w:r>
    </w:p>
    <w:p w14:paraId="204B743A" w14:textId="444E4468" w:rsidR="00D422BE" w:rsidRDefault="00D422BE" w:rsidP="00611C73">
      <w:pPr>
        <w:pStyle w:val="ListBullet"/>
      </w:pPr>
      <w:r w:rsidRPr="00964FD9">
        <w:t xml:space="preserve">State and Territory governments manage </w:t>
      </w:r>
      <w:r>
        <w:t xml:space="preserve">VET </w:t>
      </w:r>
      <w:r w:rsidRPr="00964FD9">
        <w:t>delivery within their jurisdiction</w:t>
      </w:r>
      <w:r>
        <w:t xml:space="preserve"> (including the effective operation </w:t>
      </w:r>
      <w:r w:rsidRPr="00964FD9">
        <w:t xml:space="preserve">of </w:t>
      </w:r>
      <w:r>
        <w:t>the training market).</w:t>
      </w:r>
    </w:p>
    <w:p w14:paraId="5AB522FF" w14:textId="386C60C1" w:rsidR="001A2659" w:rsidRDefault="001A2659" w:rsidP="00AC3E74">
      <w:pPr>
        <w:pStyle w:val="ListBullet"/>
      </w:pPr>
      <w:r w:rsidRPr="008E3AF3">
        <w:rPr>
          <w:rStyle w:val="BodyTextChar"/>
        </w:rPr>
        <w:lastRenderedPageBreak/>
        <w:t xml:space="preserve">The Australian Government and State and Territory governments work together to progress </w:t>
      </w:r>
      <w:r>
        <w:rPr>
          <w:rStyle w:val="BodyTextChar"/>
        </w:rPr>
        <w:t xml:space="preserve">and implement </w:t>
      </w:r>
      <w:r w:rsidRPr="008E3AF3">
        <w:rPr>
          <w:rStyle w:val="BodyTextChar"/>
        </w:rPr>
        <w:t>national policy priorities</w:t>
      </w:r>
      <w:r w:rsidRPr="00821F91">
        <w:rPr>
          <w:rStyle w:val="BodyTextChar"/>
        </w:rPr>
        <w:t>.</w:t>
      </w:r>
      <w:r w:rsidRPr="00821F91">
        <w:t xml:space="preserve"> </w:t>
      </w:r>
      <w:r w:rsidR="00D21BBA" w:rsidRPr="00821F91">
        <w:t>For the period covered in this Report, the Council of Australian Governments (COAG) Industry and Skills Council had</w:t>
      </w:r>
      <w:r w:rsidR="00D21BBA">
        <w:rPr>
          <w:shd w:val="clear" w:color="auto" w:fill="FFFF00"/>
        </w:rPr>
        <w:t xml:space="preserve"> </w:t>
      </w:r>
      <w:r w:rsidR="00D21BBA" w:rsidRPr="00E6781F">
        <w:t>responsibility for industry</w:t>
      </w:r>
      <w:r w:rsidR="00D21BBA">
        <w:t xml:space="preserve"> competitiveness, productivity and labour market pressures; and skills development and national training arrangements</w:t>
      </w:r>
      <w:r w:rsidR="00D21BBA" w:rsidRPr="001E0132">
        <w:t>.</w:t>
      </w:r>
    </w:p>
    <w:p w14:paraId="32CF022B" w14:textId="4F948DC7" w:rsidR="0027624F" w:rsidRDefault="0027624F" w:rsidP="000C2576">
      <w:pPr>
        <w:pStyle w:val="BodyText"/>
      </w:pPr>
      <w:r>
        <w:t xml:space="preserve">From 1 July 2018, the Commonwealth and six jurisdictions have signed up to the </w:t>
      </w:r>
      <w:r w:rsidRPr="000C2576">
        <w:rPr>
          <w:i/>
        </w:rPr>
        <w:t>National Partnership on the Skilling Australians Fund</w:t>
      </w:r>
      <w:r>
        <w:t>.</w:t>
      </w:r>
      <w:r>
        <w:rPr>
          <w:rStyle w:val="FootnoteReference"/>
        </w:rPr>
        <w:footnoteReference w:id="4"/>
      </w:r>
      <w:r>
        <w:t xml:space="preserve"> This National Partnership </w:t>
      </w:r>
      <w:r w:rsidR="00D422BE">
        <w:t>outlines</w:t>
      </w:r>
      <w:r>
        <w:t xml:space="preserve"> arrangements for managing the Australian Government’s Skilling Australians Fund.  </w:t>
      </w:r>
    </w:p>
    <w:p w14:paraId="720C805A" w14:textId="77777777" w:rsidR="008373F7" w:rsidRDefault="008373F7" w:rsidP="00AC3E74">
      <w:pPr>
        <w:pStyle w:val="Heading5"/>
      </w:pPr>
      <w:r>
        <w:t>Industry liaison</w:t>
      </w:r>
    </w:p>
    <w:p w14:paraId="64A4F63A" w14:textId="77777777" w:rsidR="001A3C4D" w:rsidRDefault="001A3C4D" w:rsidP="001A3C4D">
      <w:pPr>
        <w:pStyle w:val="BodyText"/>
        <w:rPr>
          <w:szCs w:val="24"/>
        </w:rPr>
      </w:pPr>
      <w:r>
        <w:t xml:space="preserve">The Australian Industry and Skills Committee (AISC) provides industry advice on </w:t>
      </w:r>
      <w:r w:rsidR="001E488A">
        <w:t>the implementation of national VET</w:t>
      </w:r>
      <w:r>
        <w:t xml:space="preserve"> policies, and approves nationally recognised training packages for implementation in the VET system.</w:t>
      </w:r>
    </w:p>
    <w:p w14:paraId="278700E3" w14:textId="77777777" w:rsidR="001A3C4D" w:rsidRDefault="001A3C4D" w:rsidP="001D1AA8">
      <w:pPr>
        <w:pStyle w:val="BodyText"/>
      </w:pPr>
      <w:r>
        <w:t>The AISC draws on advice from its network of Industry Reference Committees (IRCs). IRCs are made up of people with experience, skills and knowledge of their particular industry sector and are responsible for developing training packages that meet the needs of Australian industry. IRCs are voluntary bodies that are supported by professional Ski</w:t>
      </w:r>
      <w:r w:rsidR="00920847">
        <w:t>lls Service Organisations</w:t>
      </w:r>
      <w:r>
        <w:t xml:space="preserve"> in training package development work.</w:t>
      </w:r>
    </w:p>
    <w:p w14:paraId="0139DAF0" w14:textId="77777777" w:rsidR="004C2872" w:rsidRDefault="004C2872" w:rsidP="00C74030">
      <w:pPr>
        <w:pStyle w:val="Heading5"/>
      </w:pPr>
      <w:r>
        <w:t xml:space="preserve">Regulation of VET </w:t>
      </w:r>
    </w:p>
    <w:p w14:paraId="2390CDD4" w14:textId="1F1ACA30" w:rsidR="00D3098F" w:rsidRPr="007C7F81" w:rsidRDefault="00D3098F" w:rsidP="00AC3E74">
      <w:pPr>
        <w:pStyle w:val="BodyText"/>
        <w:rPr>
          <w:strike/>
        </w:rPr>
      </w:pPr>
      <w:r w:rsidRPr="00D3098F">
        <w:t xml:space="preserve">The Australian Skills Quality Authority (ASQA) accredits courses and regulates registered training organisations (RTOs) to ensure nationally approved quality standards are met. ASQA has jurisdiction over all RTOs, except for those that </w:t>
      </w:r>
      <w:r w:rsidR="00695022" w:rsidRPr="00A5665A">
        <w:t>are state accredited and</w:t>
      </w:r>
      <w:r w:rsidR="00695022">
        <w:t xml:space="preserve"> </w:t>
      </w:r>
      <w:r w:rsidRPr="007C7F81">
        <w:t xml:space="preserve">operate solely in Victoria or WA (and do not offer </w:t>
      </w:r>
      <w:r w:rsidR="003D4901" w:rsidRPr="007C7F81">
        <w:t>courses</w:t>
      </w:r>
      <w:r w:rsidRPr="007C7F81">
        <w:t xml:space="preserve"> to </w:t>
      </w:r>
      <w:r w:rsidR="0071469D" w:rsidRPr="007C7F81">
        <w:t xml:space="preserve">interstate and </w:t>
      </w:r>
      <w:r w:rsidRPr="007C7F81">
        <w:t xml:space="preserve">overseas students). </w:t>
      </w:r>
    </w:p>
    <w:p w14:paraId="0535110B" w14:textId="54DD210C" w:rsidR="00D66FEA" w:rsidRPr="007C7F81" w:rsidRDefault="00D66FEA" w:rsidP="00C74030">
      <w:pPr>
        <w:pStyle w:val="Heading5"/>
      </w:pPr>
      <w:r w:rsidRPr="007C7F81">
        <w:t xml:space="preserve">Registered Training Organisations </w:t>
      </w:r>
    </w:p>
    <w:p w14:paraId="5FDB7580" w14:textId="45D35479" w:rsidR="00D66FEA" w:rsidRPr="00D574D0" w:rsidRDefault="001E2C19" w:rsidP="00D66FEA">
      <w:pPr>
        <w:pStyle w:val="BodyText"/>
      </w:pPr>
      <w:r w:rsidRPr="001E2C19">
        <w:t xml:space="preserve">Registered training organisations (RTOs) are those training providers registered by ASQA (or, in some cases, a state regulator) to deliver </w:t>
      </w:r>
      <w:r>
        <w:t>VET services</w:t>
      </w:r>
      <w:r w:rsidR="001D1AA8">
        <w:t>, including</w:t>
      </w:r>
      <w:r w:rsidR="00D66FEA" w:rsidRPr="00D574D0">
        <w:t xml:space="preserve">: </w:t>
      </w:r>
    </w:p>
    <w:p w14:paraId="01378EED" w14:textId="77777777" w:rsidR="00D66FEA" w:rsidRPr="00D574D0" w:rsidRDefault="00D66FEA" w:rsidP="00D66FEA">
      <w:pPr>
        <w:pStyle w:val="ListBullet"/>
      </w:pPr>
      <w:r w:rsidRPr="00D574D0">
        <w:rPr>
          <w:i/>
        </w:rPr>
        <w:t>government VET providers</w:t>
      </w:r>
      <w:r>
        <w:t xml:space="preserve"> —</w:t>
      </w:r>
      <w:r w:rsidR="001D1AA8">
        <w:t xml:space="preserve"> such as </w:t>
      </w:r>
      <w:r w:rsidRPr="00D574D0">
        <w:t>technical and further</w:t>
      </w:r>
      <w:r w:rsidR="000238E7">
        <w:t xml:space="preserve"> education (TAFE) institutes,</w:t>
      </w:r>
      <w:r w:rsidRPr="00D574D0">
        <w:t xml:space="preserve"> agricultural colleges</w:t>
      </w:r>
      <w:r w:rsidR="000238E7">
        <w:t xml:space="preserve"> and</w:t>
      </w:r>
      <w:r>
        <w:t xml:space="preserve"> </w:t>
      </w:r>
      <w:r w:rsidRPr="00D574D0">
        <w:t>multi</w:t>
      </w:r>
      <w:r w:rsidRPr="00D574D0">
        <w:noBreakHyphen/>
        <w:t xml:space="preserve">sector education institutions </w:t>
      </w:r>
    </w:p>
    <w:p w14:paraId="4B72C69B" w14:textId="77777777" w:rsidR="00D66FEA" w:rsidRPr="00D574D0" w:rsidRDefault="00D66FEA" w:rsidP="00D66FEA">
      <w:pPr>
        <w:pStyle w:val="ListBullet"/>
      </w:pPr>
      <w:r w:rsidRPr="00D574D0">
        <w:rPr>
          <w:i/>
        </w:rPr>
        <w:t>community education providers</w:t>
      </w:r>
      <w:r w:rsidRPr="00D574D0">
        <w:t xml:space="preserve"> — such as adult </w:t>
      </w:r>
      <w:r w:rsidR="00406FD1">
        <w:t xml:space="preserve">and </w:t>
      </w:r>
      <w:r w:rsidRPr="00D574D0">
        <w:t>community education providers</w:t>
      </w:r>
    </w:p>
    <w:p w14:paraId="0D39FE1B" w14:textId="77777777" w:rsidR="00AA1D74" w:rsidRDefault="00D66FEA" w:rsidP="0034531F">
      <w:pPr>
        <w:pStyle w:val="ListBullet"/>
      </w:pPr>
      <w:r w:rsidRPr="00C74030">
        <w:rPr>
          <w:i/>
        </w:rPr>
        <w:t>other registered providers</w:t>
      </w:r>
      <w:r w:rsidR="00385E94">
        <w:t xml:space="preserve"> </w:t>
      </w:r>
      <w:r>
        <w:t xml:space="preserve">— </w:t>
      </w:r>
      <w:r w:rsidRPr="00D574D0">
        <w:t>such as</w:t>
      </w:r>
      <w:r w:rsidR="001D1AA8">
        <w:t>:</w:t>
      </w:r>
      <w:r w:rsidRPr="00D574D0">
        <w:t xml:space="preserve"> private training businesses; industry and community bodies with an RTO arm; employers that have RTO status to train their own staff; G</w:t>
      </w:r>
      <w:r w:rsidR="00A5684F">
        <w:t xml:space="preserve">roup Training Organisations or </w:t>
      </w:r>
      <w:r w:rsidRPr="00D574D0">
        <w:t>Apprenticeship Network Providers that also deliver VET services.</w:t>
      </w:r>
    </w:p>
    <w:p w14:paraId="04D60FEE" w14:textId="77777777" w:rsidR="00F07260" w:rsidRDefault="00F07260" w:rsidP="0034531F">
      <w:pPr>
        <w:pStyle w:val="Heading5"/>
      </w:pPr>
      <w:r>
        <w:lastRenderedPageBreak/>
        <w:t>Nationally recognised training</w:t>
      </w:r>
    </w:p>
    <w:p w14:paraId="232DC0D4" w14:textId="77777777" w:rsidR="00F07260" w:rsidRPr="00836397" w:rsidRDefault="00F07260" w:rsidP="0034531F">
      <w:pPr>
        <w:pStyle w:val="BodyText"/>
      </w:pPr>
      <w:r w:rsidRPr="00836397">
        <w:t>The VET sector delivers ‘nationally recognised training’ through:</w:t>
      </w:r>
    </w:p>
    <w:p w14:paraId="2D4B54AA" w14:textId="179774E3" w:rsidR="00DB1E5F" w:rsidRDefault="00F07260" w:rsidP="0034531F">
      <w:pPr>
        <w:pStyle w:val="ListBullet"/>
      </w:pPr>
      <w:r w:rsidRPr="00B51FAF">
        <w:rPr>
          <w:i/>
        </w:rPr>
        <w:t>Training packages</w:t>
      </w:r>
      <w:r>
        <w:t xml:space="preserve"> </w:t>
      </w:r>
      <w:r w:rsidR="00DB1E5F" w:rsidRPr="00DB1E5F">
        <w:t>that are occupational skills standards against which training delivery and assessment of competency can take place. They are developed through a process of national consultation with industry</w:t>
      </w:r>
      <w:r w:rsidR="00EE323E">
        <w:t xml:space="preserve"> (s</w:t>
      </w:r>
      <w:r w:rsidR="00B51FAF">
        <w:t xml:space="preserve">ee </w:t>
      </w:r>
      <w:r w:rsidR="0012257B">
        <w:t>sub-</w:t>
      </w:r>
      <w:r w:rsidR="00B51FAF">
        <w:t>section</w:t>
      </w:r>
      <w:r w:rsidR="000A3C68">
        <w:t> </w:t>
      </w:r>
      <w:r w:rsidR="00B51FAF">
        <w:t xml:space="preserve">5.4 for </w:t>
      </w:r>
      <w:r w:rsidR="00D5211B">
        <w:t xml:space="preserve">a </w:t>
      </w:r>
      <w:r w:rsidR="00EE323E">
        <w:t>definition of training packages</w:t>
      </w:r>
      <w:r w:rsidR="00B51FAF">
        <w:t>)</w:t>
      </w:r>
    </w:p>
    <w:p w14:paraId="3DFBDAD2" w14:textId="77777777" w:rsidR="00B51FAF" w:rsidRDefault="00B51FAF" w:rsidP="0034531F">
      <w:pPr>
        <w:pStyle w:val="ListBullet"/>
      </w:pPr>
      <w:r w:rsidRPr="00B51FAF">
        <w:rPr>
          <w:i/>
        </w:rPr>
        <w:t>VET a</w:t>
      </w:r>
      <w:r w:rsidR="00F07260" w:rsidRPr="00B51FAF">
        <w:rPr>
          <w:i/>
        </w:rPr>
        <w:t xml:space="preserve">ccredited courses </w:t>
      </w:r>
      <w:r>
        <w:t xml:space="preserve">which </w:t>
      </w:r>
      <w:r w:rsidRPr="00B51FAF">
        <w:t>enable nationally accredited training in niche areas or in response to rapidly</w:t>
      </w:r>
      <w:r w:rsidR="000A3C68">
        <w:noBreakHyphen/>
      </w:r>
      <w:r w:rsidRPr="00B51FAF">
        <w:t xml:space="preserve">emerging industry needs, where these are not covered by existing training package qualifications. </w:t>
      </w:r>
    </w:p>
    <w:p w14:paraId="020674B2" w14:textId="77777777" w:rsidR="00F07260" w:rsidRDefault="00B51FAF" w:rsidP="0034531F">
      <w:pPr>
        <w:pStyle w:val="BodyText"/>
      </w:pPr>
      <w:r w:rsidRPr="00B51FAF">
        <w:t>Nationally recognised VET qualifications or VET statements of attainment are issued by RTOs following the full or partial completion of a qualification from a training package or VET accredited course.</w:t>
      </w:r>
      <w:r>
        <w:t xml:space="preserve"> </w:t>
      </w:r>
      <w:r w:rsidR="00F07260" w:rsidRPr="00836397">
        <w:t>Apprenticeships/traineeships</w:t>
      </w:r>
      <w:r w:rsidR="00F07260">
        <w:t xml:space="preserve"> </w:t>
      </w:r>
      <w:r w:rsidR="00F07260" w:rsidRPr="00B95014">
        <w:t>combine employment and competency</w:t>
      </w:r>
      <w:r w:rsidR="00F07260">
        <w:noBreakHyphen/>
      </w:r>
      <w:r w:rsidR="00F07260" w:rsidRPr="00B95014">
        <w:t>based training</w:t>
      </w:r>
      <w:r w:rsidR="00F07260">
        <w:t>, including both formal nationally recognised training and on</w:t>
      </w:r>
      <w:r w:rsidR="00F07260">
        <w:noBreakHyphen/>
        <w:t>the</w:t>
      </w:r>
      <w:r w:rsidR="00F07260">
        <w:noBreakHyphen/>
        <w:t xml:space="preserve">job training. </w:t>
      </w:r>
    </w:p>
    <w:p w14:paraId="4CB7924D" w14:textId="77777777" w:rsidR="001446ED" w:rsidRDefault="001446ED" w:rsidP="00AA1D74">
      <w:pPr>
        <w:pStyle w:val="Heading3"/>
      </w:pPr>
      <w:r>
        <w:t>Funding</w:t>
      </w:r>
    </w:p>
    <w:p w14:paraId="3974724F" w14:textId="1E56488D" w:rsidR="00475EC1" w:rsidRPr="003F1F2E" w:rsidRDefault="002B4CC0" w:rsidP="00475EC1">
      <w:pPr>
        <w:pStyle w:val="BodyText"/>
      </w:pPr>
      <w:r>
        <w:t>Figure</w:t>
      </w:r>
      <w:r w:rsidR="000A3C68">
        <w:t> </w:t>
      </w:r>
      <w:r w:rsidR="00CC5D6B">
        <w:t>5.2</w:t>
      </w:r>
      <w:r>
        <w:t xml:space="preserve"> outlines the major funding flows with</w:t>
      </w:r>
      <w:r w:rsidR="008E40F7">
        <w:t>in</w:t>
      </w:r>
      <w:r w:rsidR="006A670D">
        <w:t xml:space="preserve"> the VET system</w:t>
      </w:r>
      <w:r>
        <w:t>.</w:t>
      </w:r>
    </w:p>
    <w:p w14:paraId="41749EEC" w14:textId="589CC46A" w:rsidR="00840A70" w:rsidRDefault="0026720E" w:rsidP="0026720E">
      <w:pPr>
        <w:pStyle w:val="BoxSpaceAbove"/>
        <w:tabs>
          <w:tab w:val="left" w:pos="2317"/>
        </w:tabs>
      </w:pPr>
      <w:r>
        <w:lastRenderedPageBreak/>
        <w:tab/>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40A70" w14:paraId="04C74DE7" w14:textId="77777777" w:rsidTr="001D5321">
        <w:tc>
          <w:tcPr>
            <w:tcW w:w="8789" w:type="dxa"/>
            <w:tcBorders>
              <w:top w:val="single" w:sz="6" w:space="0" w:color="78A22F"/>
              <w:left w:val="nil"/>
              <w:bottom w:val="nil"/>
              <w:right w:val="nil"/>
            </w:tcBorders>
            <w:shd w:val="clear" w:color="auto" w:fill="auto"/>
          </w:tcPr>
          <w:p w14:paraId="3201A943" w14:textId="180FEDED" w:rsidR="00840A70" w:rsidRPr="00BC260B" w:rsidRDefault="00840A70" w:rsidP="005F559F">
            <w:pPr>
              <w:pStyle w:val="FigureTitle"/>
            </w:pPr>
            <w:r w:rsidRPr="00784A05">
              <w:rPr>
                <w:b w:val="0"/>
              </w:rPr>
              <w:t xml:space="preserve">Figure </w:t>
            </w:r>
            <w:bookmarkStart w:id="6" w:name="OLE_LINK6"/>
            <w:r w:rsidR="00CC5D6B">
              <w:rPr>
                <w:b w:val="0"/>
              </w:rPr>
              <w:t>5.</w:t>
            </w:r>
            <w:r w:rsidR="006300E8">
              <w:rPr>
                <w:b w:val="0"/>
                <w:noProof/>
              </w:rPr>
              <w:t>2</w:t>
            </w:r>
            <w:bookmarkEnd w:id="6"/>
            <w:r>
              <w:tab/>
            </w:r>
            <w:r w:rsidRPr="00EF5A5F">
              <w:t>Major funding flows within the VET system</w:t>
            </w:r>
            <w:r w:rsidR="00BC260B">
              <w:t xml:space="preserve"> </w:t>
            </w:r>
          </w:p>
        </w:tc>
      </w:tr>
      <w:tr w:rsidR="00840A70" w14:paraId="59FA071A" w14:textId="77777777" w:rsidTr="001D5321">
        <w:tc>
          <w:tcPr>
            <w:tcW w:w="8789" w:type="dxa"/>
            <w:tcBorders>
              <w:top w:val="nil"/>
              <w:left w:val="nil"/>
              <w:bottom w:val="nil"/>
              <w:right w:val="nil"/>
            </w:tcBorders>
            <w:shd w:val="clear" w:color="auto" w:fill="auto"/>
            <w:tcMar>
              <w:top w:w="28" w:type="dxa"/>
              <w:bottom w:w="28" w:type="dxa"/>
            </w:tcMar>
          </w:tcPr>
          <w:p w14:paraId="6D04533C" w14:textId="77777777" w:rsidR="00840A70" w:rsidRDefault="003F1F2E" w:rsidP="001239DD">
            <w:pPr>
              <w:pStyle w:val="Figure"/>
            </w:pPr>
            <w:r w:rsidRPr="0060106A">
              <w:rPr>
                <w:noProof/>
              </w:rPr>
              <w:drawing>
                <wp:inline distT="0" distB="0" distL="0" distR="0" wp14:anchorId="1C12D7E8" wp14:editId="6C8850A8">
                  <wp:extent cx="5250815" cy="4357370"/>
                  <wp:effectExtent l="0" t="0" r="6985" b="0"/>
                  <wp:docPr id="4" name="Picture 4" descr="Figure 5.2 Major funding flows within the VET system&#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815" cy="4357370"/>
                          </a:xfrm>
                          <a:prstGeom prst="rect">
                            <a:avLst/>
                          </a:prstGeom>
                          <a:noFill/>
                          <a:ln>
                            <a:noFill/>
                          </a:ln>
                        </pic:spPr>
                      </pic:pic>
                    </a:graphicData>
                  </a:graphic>
                </wp:inline>
              </w:drawing>
            </w:r>
          </w:p>
        </w:tc>
      </w:tr>
      <w:tr w:rsidR="00840A70" w14:paraId="63CD8F7F" w14:textId="77777777" w:rsidTr="00A160DE">
        <w:tc>
          <w:tcPr>
            <w:tcW w:w="8789" w:type="dxa"/>
            <w:tcBorders>
              <w:top w:val="nil"/>
              <w:left w:val="nil"/>
              <w:bottom w:val="single" w:sz="6" w:space="0" w:color="78A22F"/>
              <w:right w:val="nil"/>
            </w:tcBorders>
            <w:shd w:val="clear" w:color="auto" w:fill="auto"/>
          </w:tcPr>
          <w:p w14:paraId="67EF5645" w14:textId="77777777" w:rsidR="00840A70" w:rsidRDefault="00840A70" w:rsidP="002C0B44">
            <w:pPr>
              <w:pStyle w:val="Figurespace"/>
              <w:keepNext w:val="0"/>
            </w:pPr>
          </w:p>
        </w:tc>
      </w:tr>
    </w:tbl>
    <w:p w14:paraId="6006F3B2" w14:textId="77777777" w:rsidR="00D443A4" w:rsidRDefault="00D443A4" w:rsidP="00D443A4">
      <w:pPr>
        <w:pStyle w:val="Heading5"/>
      </w:pPr>
      <w:r>
        <w:t>Government grants and competitive tendering</w:t>
      </w:r>
    </w:p>
    <w:p w14:paraId="05BFD779" w14:textId="76CA0991" w:rsidR="00D443A4" w:rsidRDefault="00D443A4" w:rsidP="00D443A4">
      <w:pPr>
        <w:pStyle w:val="BodyText"/>
      </w:pPr>
      <w:r>
        <w:t>The main source of government recurrent funding of VET is via government grants and appropriations and/or competitive tendering/user choice mechan</w:t>
      </w:r>
      <w:r w:rsidR="0020711C">
        <w:t xml:space="preserve">isms. Nationally in </w:t>
      </w:r>
      <w:r w:rsidR="00387D05">
        <w:t>2018</w:t>
      </w:r>
      <w:r w:rsidR="00066023">
        <w:t xml:space="preserve">, Australian, State and Territory government </w:t>
      </w:r>
      <w:r w:rsidR="00793D3F">
        <w:t xml:space="preserve">appropriations and program </w:t>
      </w:r>
      <w:r w:rsidR="00066023">
        <w:t xml:space="preserve">funding for VET was </w:t>
      </w:r>
      <w:r w:rsidR="00066023" w:rsidRPr="00821F91">
        <w:t>$</w:t>
      </w:r>
      <w:r w:rsidR="004B7FC9" w:rsidRPr="00821F91">
        <w:t>5.0</w:t>
      </w:r>
      <w:r w:rsidR="00066023" w:rsidRPr="007D03AD">
        <w:t xml:space="preserve"> </w:t>
      </w:r>
      <w:r w:rsidR="00066023">
        <w:t>billion</w:t>
      </w:r>
      <w:r w:rsidR="00793D3F">
        <w:t xml:space="preserve"> (table</w:t>
      </w:r>
      <w:r w:rsidR="00DD5279">
        <w:t> </w:t>
      </w:r>
      <w:r w:rsidR="00793D3F">
        <w:t>5A.5)</w:t>
      </w:r>
      <w:r w:rsidR="00066023">
        <w:t>.</w:t>
      </w:r>
      <w:r>
        <w:t xml:space="preserve"> </w:t>
      </w:r>
    </w:p>
    <w:p w14:paraId="2BB9EE56" w14:textId="1064DD0C" w:rsidR="00D443A4" w:rsidRDefault="00D443A4" w:rsidP="00D443A4">
      <w:pPr>
        <w:pStyle w:val="ListBullet"/>
      </w:pPr>
      <w:r>
        <w:t>State and T</w:t>
      </w:r>
      <w:r w:rsidR="0020711C">
        <w:t>er</w:t>
      </w:r>
      <w:r w:rsidR="009B4B53">
        <w:t xml:space="preserve">ritory governments provided </w:t>
      </w:r>
      <w:r w:rsidR="009B4B53" w:rsidRPr="00821F91">
        <w:t>$</w:t>
      </w:r>
      <w:r w:rsidR="004B7FC9" w:rsidRPr="00821F91">
        <w:t>3.3</w:t>
      </w:r>
      <w:r w:rsidRPr="00A07E7F">
        <w:t xml:space="preserve"> billion </w:t>
      </w:r>
      <w:r w:rsidR="009B4B53" w:rsidRPr="00A07E7F">
        <w:t>(</w:t>
      </w:r>
      <w:r w:rsidR="004B7FC9" w:rsidRPr="00821F91">
        <w:t>65.4</w:t>
      </w:r>
      <w:r w:rsidRPr="00821F91">
        <w:t> </w:t>
      </w:r>
      <w:r>
        <w:t>per cent of total funding)</w:t>
      </w:r>
      <w:r w:rsidR="003E129C">
        <w:t>.</w:t>
      </w:r>
    </w:p>
    <w:p w14:paraId="16F9279F" w14:textId="5233AE75" w:rsidR="00D443A4" w:rsidRDefault="003E129C" w:rsidP="00D443A4">
      <w:pPr>
        <w:pStyle w:val="ListBullet"/>
      </w:pPr>
      <w:r>
        <w:t>T</w:t>
      </w:r>
      <w:r w:rsidR="00D443A4">
        <w:t xml:space="preserve">he </w:t>
      </w:r>
      <w:r w:rsidR="00D443A4" w:rsidRPr="00CD1406">
        <w:t xml:space="preserve">Australian Government </w:t>
      </w:r>
      <w:r w:rsidR="00D443A4" w:rsidRPr="00A07E7F">
        <w:t>provided $</w:t>
      </w:r>
      <w:r w:rsidR="005F0B87" w:rsidRPr="00A07E7F">
        <w:t>1.7</w:t>
      </w:r>
      <w:r w:rsidR="00D443A4" w:rsidRPr="00A07E7F">
        <w:t> billion</w:t>
      </w:r>
      <w:r w:rsidR="00D443A4" w:rsidRPr="00D443A4">
        <w:t xml:space="preserve"> </w:t>
      </w:r>
      <w:r w:rsidR="00D443A4">
        <w:t xml:space="preserve">to State and Territory governments, </w:t>
      </w:r>
      <w:r w:rsidR="004D1C3F">
        <w:t xml:space="preserve">with the majority provided </w:t>
      </w:r>
      <w:r w:rsidR="00D443A4">
        <w:t xml:space="preserve">through </w:t>
      </w:r>
      <w:r w:rsidR="004D1C3F">
        <w:t>specific purpose payments</w:t>
      </w:r>
      <w:r w:rsidR="00D443A4" w:rsidRPr="00CD1406">
        <w:t>.</w:t>
      </w:r>
      <w:r w:rsidR="00D443A4">
        <w:t xml:space="preserve"> </w:t>
      </w:r>
    </w:p>
    <w:p w14:paraId="6F71B216" w14:textId="58289029" w:rsidR="00D443A4" w:rsidRPr="00D74951" w:rsidRDefault="00D443A4" w:rsidP="00D443A4">
      <w:pPr>
        <w:pStyle w:val="BodyText"/>
      </w:pPr>
      <w:r>
        <w:t xml:space="preserve">Government funding of VET is provided to a mixture of government RTOs (including TAFEs), </w:t>
      </w:r>
      <w:r w:rsidR="004D1C3F">
        <w:t xml:space="preserve">and </w:t>
      </w:r>
      <w:r>
        <w:t>community education providers and other registered RTOs. Nationally, government payments to non</w:t>
      </w:r>
      <w:r w:rsidRPr="00A07E7F">
        <w:noBreakHyphen/>
        <w:t xml:space="preserve">TAFE providers </w:t>
      </w:r>
      <w:r w:rsidRPr="00D74951">
        <w:t>ha</w:t>
      </w:r>
      <w:r w:rsidR="004D1C3F" w:rsidRPr="00D74951">
        <w:t>ve</w:t>
      </w:r>
      <w:r w:rsidRPr="00D74951">
        <w:t xml:space="preserve"> </w:t>
      </w:r>
      <w:r w:rsidR="00784596" w:rsidRPr="00D74951">
        <w:t>decreased by 8.0 per cent</w:t>
      </w:r>
      <w:r w:rsidR="004D1C3F" w:rsidRPr="00D74951">
        <w:t xml:space="preserve"> </w:t>
      </w:r>
      <w:r w:rsidR="0020711C" w:rsidRPr="00D74951">
        <w:t xml:space="preserve">since </w:t>
      </w:r>
      <w:r w:rsidR="00DF5005" w:rsidRPr="00D74951">
        <w:t>2017</w:t>
      </w:r>
      <w:r w:rsidR="004D1C3F" w:rsidRPr="00D74951">
        <w:t>,</w:t>
      </w:r>
      <w:r w:rsidRPr="00D74951">
        <w:t xml:space="preserve"> to $</w:t>
      </w:r>
      <w:r w:rsidR="00784596" w:rsidRPr="00D74951">
        <w:t>1.0</w:t>
      </w:r>
      <w:r w:rsidRPr="00D74951">
        <w:t xml:space="preserve"> billion </w:t>
      </w:r>
      <w:r w:rsidR="0020711C" w:rsidRPr="00D74951">
        <w:t xml:space="preserve">in </w:t>
      </w:r>
      <w:r w:rsidR="00387D05" w:rsidRPr="00D74951">
        <w:t>2018</w:t>
      </w:r>
      <w:r w:rsidRPr="00D74951">
        <w:t xml:space="preserve"> (table 5A.</w:t>
      </w:r>
      <w:r w:rsidR="0020711C" w:rsidRPr="00D74951">
        <w:t>4</w:t>
      </w:r>
      <w:r w:rsidRPr="00D74951">
        <w:t>).</w:t>
      </w:r>
    </w:p>
    <w:p w14:paraId="77C9E016" w14:textId="0880BFD9" w:rsidR="00D443A4" w:rsidRPr="00441ED3" w:rsidRDefault="00D443A4" w:rsidP="00D443A4">
      <w:pPr>
        <w:pStyle w:val="BodyText"/>
      </w:pPr>
      <w:r>
        <w:t>Nationally i</w:t>
      </w:r>
      <w:r w:rsidRPr="005125E4">
        <w:t xml:space="preserve">n </w:t>
      </w:r>
      <w:r w:rsidR="00387D05">
        <w:t>2018</w:t>
      </w:r>
      <w:r w:rsidRPr="001A3840">
        <w:t xml:space="preserve">, </w:t>
      </w:r>
      <w:r w:rsidRPr="00A07E7F">
        <w:t>$</w:t>
      </w:r>
      <w:r w:rsidR="00563395" w:rsidRPr="00A07E7F">
        <w:t>2.5</w:t>
      </w:r>
      <w:r w:rsidRPr="00A07E7F">
        <w:t> billion (</w:t>
      </w:r>
      <w:r w:rsidR="00E11A55" w:rsidRPr="00821F91">
        <w:t>50.1</w:t>
      </w:r>
      <w:r w:rsidRPr="00A07E7F">
        <w:t xml:space="preserve"> per cent) of </w:t>
      </w:r>
      <w:r w:rsidRPr="00D74951">
        <w:t xml:space="preserve">government appropriations and program funding was allocated on a competitive basis — </w:t>
      </w:r>
      <w:r w:rsidR="0020711C" w:rsidRPr="00D74951">
        <w:t xml:space="preserve">a </w:t>
      </w:r>
      <w:r w:rsidR="00EB1D1F" w:rsidRPr="00D74951">
        <w:t>2.5</w:t>
      </w:r>
      <w:r w:rsidRPr="00D74951">
        <w:t xml:space="preserve"> per cent </w:t>
      </w:r>
      <w:r w:rsidR="00EB1D1F" w:rsidRPr="00D74951">
        <w:t xml:space="preserve">decrease </w:t>
      </w:r>
      <w:r w:rsidRPr="00D74951">
        <w:t xml:space="preserve">in real terms from </w:t>
      </w:r>
      <w:r w:rsidR="00DF5005" w:rsidRPr="00D74951">
        <w:lastRenderedPageBreak/>
        <w:t>2017</w:t>
      </w:r>
      <w:r w:rsidRPr="00D74951">
        <w:t xml:space="preserve">. The majority of funding allocated on a competitive basis was provided through </w:t>
      </w:r>
      <w:r w:rsidRPr="00A07E7F">
        <w:t>entitlement funding</w:t>
      </w:r>
      <w:r w:rsidRPr="00A07E7F">
        <w:rPr>
          <w:i/>
        </w:rPr>
        <w:t xml:space="preserve"> </w:t>
      </w:r>
      <w:r w:rsidRPr="00A07E7F">
        <w:t xml:space="preserve">programs (see </w:t>
      </w:r>
      <w:r w:rsidR="0012257B" w:rsidRPr="00A07E7F">
        <w:t>sub-</w:t>
      </w:r>
      <w:r w:rsidRPr="00A07E7F">
        <w:t>section</w:t>
      </w:r>
      <w:r w:rsidR="000A3C68" w:rsidRPr="00A07E7F">
        <w:t> </w:t>
      </w:r>
      <w:r w:rsidRPr="00A07E7F">
        <w:t xml:space="preserve">5.4 for </w:t>
      </w:r>
      <w:r w:rsidR="00D5211B" w:rsidRPr="00A07E7F">
        <w:t xml:space="preserve">a </w:t>
      </w:r>
      <w:r w:rsidRPr="00A07E7F">
        <w:t>definition)</w:t>
      </w:r>
      <w:r w:rsidR="0020711C" w:rsidRPr="00A07E7F">
        <w:t xml:space="preserve"> (</w:t>
      </w:r>
      <w:r w:rsidR="00EB1D1F" w:rsidRPr="00A07E7F">
        <w:t>59.8</w:t>
      </w:r>
      <w:r w:rsidRPr="00A07E7F">
        <w:t> per</w:t>
      </w:r>
      <w:r w:rsidRPr="004B0752">
        <w:t xml:space="preserve"> cent of all </w:t>
      </w:r>
      <w:r w:rsidR="008E40F7">
        <w:t>contestable</w:t>
      </w:r>
      <w:r w:rsidRPr="004B0752">
        <w:t xml:space="preserve"> funding allocated to </w:t>
      </w:r>
      <w:r w:rsidR="0020711C">
        <w:t xml:space="preserve">VET in </w:t>
      </w:r>
      <w:r w:rsidR="00387D05">
        <w:t>2018</w:t>
      </w:r>
      <w:r>
        <w:t xml:space="preserve">) </w:t>
      </w:r>
      <w:r w:rsidRPr="004B0752">
        <w:t>(table</w:t>
      </w:r>
      <w:r>
        <w:t> </w:t>
      </w:r>
      <w:r w:rsidR="0020711C">
        <w:t>5A.5</w:t>
      </w:r>
      <w:r w:rsidRPr="004B0752">
        <w:t>).</w:t>
      </w:r>
    </w:p>
    <w:p w14:paraId="16A6B3FD" w14:textId="77777777" w:rsidR="00A14814" w:rsidRDefault="00A14814" w:rsidP="00A14814">
      <w:pPr>
        <w:pStyle w:val="Heading5"/>
      </w:pPr>
      <w:r>
        <w:t xml:space="preserve">Other funding </w:t>
      </w:r>
    </w:p>
    <w:p w14:paraId="1453BE77" w14:textId="77777777" w:rsidR="00D32988" w:rsidRDefault="00FF1708" w:rsidP="00F74889">
      <w:pPr>
        <w:pStyle w:val="BodyText"/>
      </w:pPr>
      <w:r>
        <w:t xml:space="preserve">Financial support to </w:t>
      </w:r>
      <w:r w:rsidRPr="000C2576">
        <w:t>students, employers and industry</w:t>
      </w:r>
      <w:r>
        <w:t xml:space="preserve"> from</w:t>
      </w:r>
      <w:r w:rsidR="00840A70">
        <w:t xml:space="preserve"> t</w:t>
      </w:r>
      <w:r w:rsidR="00D32988">
        <w:t xml:space="preserve">he Australian, State and Territory governments </w:t>
      </w:r>
      <w:r>
        <w:t>include</w:t>
      </w:r>
      <w:r w:rsidR="00F815CA">
        <w:t>s the following</w:t>
      </w:r>
      <w:r>
        <w:t>:</w:t>
      </w:r>
    </w:p>
    <w:p w14:paraId="6BBE8EA1" w14:textId="4CE17E39" w:rsidR="003B79E1" w:rsidRPr="00FF1708" w:rsidRDefault="003B79E1" w:rsidP="00170869">
      <w:pPr>
        <w:pStyle w:val="ListBullet"/>
      </w:pPr>
      <w:r w:rsidRPr="00FF1708">
        <w:t>Incentives and loans to individuals</w:t>
      </w:r>
      <w:r w:rsidR="00CB3BA0" w:rsidRPr="00FF1708">
        <w:t xml:space="preserve"> — such as incentive payments (</w:t>
      </w:r>
      <w:r w:rsidR="00D443A4" w:rsidRPr="00FF1708">
        <w:t xml:space="preserve">for example, to </w:t>
      </w:r>
      <w:r w:rsidR="00CB3BA0" w:rsidRPr="00FF1708">
        <w:t>s</w:t>
      </w:r>
      <w:r w:rsidR="000242F9" w:rsidRPr="00FF1708">
        <w:t xml:space="preserve">upport </w:t>
      </w:r>
      <w:r w:rsidRPr="00FF1708">
        <w:t>with the cost of learning during</w:t>
      </w:r>
      <w:r w:rsidR="00D443A4" w:rsidRPr="00FF1708">
        <w:t xml:space="preserve"> training</w:t>
      </w:r>
      <w:r w:rsidR="00CB3BA0" w:rsidRPr="00FF1708">
        <w:t xml:space="preserve">) and </w:t>
      </w:r>
      <w:r w:rsidRPr="00FF1708">
        <w:t xml:space="preserve">program subsidies and government loans </w:t>
      </w:r>
      <w:r w:rsidR="00CB3BA0" w:rsidRPr="00FF1708">
        <w:t>(</w:t>
      </w:r>
      <w:r w:rsidR="000242F9" w:rsidRPr="00FF1708">
        <w:t xml:space="preserve">for example, </w:t>
      </w:r>
      <w:r w:rsidR="003545E2">
        <w:t>VET Student Loans</w:t>
      </w:r>
      <w:r w:rsidR="00170869" w:rsidRPr="00FF1708">
        <w:t xml:space="preserve"> </w:t>
      </w:r>
      <w:r w:rsidR="00CB3BA0" w:rsidRPr="00FF1708">
        <w:t xml:space="preserve">— </w:t>
      </w:r>
      <w:r w:rsidR="00170869" w:rsidRPr="00FF1708">
        <w:t xml:space="preserve">see </w:t>
      </w:r>
      <w:r w:rsidR="0012257B">
        <w:t>sub-</w:t>
      </w:r>
      <w:r w:rsidR="00170869" w:rsidRPr="00FF1708">
        <w:t>section</w:t>
      </w:r>
      <w:r w:rsidR="000A3C68">
        <w:t> </w:t>
      </w:r>
      <w:r w:rsidR="00170869" w:rsidRPr="00FF1708">
        <w:t>5.</w:t>
      </w:r>
      <w:r w:rsidR="0021451A" w:rsidRPr="00FF1708">
        <w:t>4</w:t>
      </w:r>
      <w:r w:rsidR="00170869" w:rsidRPr="00FF1708">
        <w:t xml:space="preserve"> for</w:t>
      </w:r>
      <w:r w:rsidR="009D1E88">
        <w:t xml:space="preserve"> a</w:t>
      </w:r>
      <w:r w:rsidR="00170869" w:rsidRPr="00FF1708">
        <w:t xml:space="preserve"> definition)</w:t>
      </w:r>
    </w:p>
    <w:p w14:paraId="0872A78F" w14:textId="77777777" w:rsidR="003B79E1" w:rsidRPr="00FF1708" w:rsidRDefault="003B79E1" w:rsidP="003B79E1">
      <w:pPr>
        <w:pStyle w:val="ListBullet"/>
      </w:pPr>
      <w:r w:rsidRPr="00FF1708">
        <w:t xml:space="preserve">Skills development and incentives to employers — </w:t>
      </w:r>
      <w:r w:rsidR="00CB3BA0" w:rsidRPr="00FF1708">
        <w:t xml:space="preserve">including support </w:t>
      </w:r>
      <w:r w:rsidR="000242F9" w:rsidRPr="00FF1708">
        <w:t xml:space="preserve">with the cost of employing and training staff in the form of </w:t>
      </w:r>
      <w:r w:rsidRPr="00FF1708">
        <w:t>subsidies and incentive payments</w:t>
      </w:r>
      <w:r w:rsidR="0021451A" w:rsidRPr="00FF1708">
        <w:t xml:space="preserve"> </w:t>
      </w:r>
      <w:r w:rsidR="00D443A4" w:rsidRPr="00FF1708">
        <w:t>(</w:t>
      </w:r>
      <w:r w:rsidRPr="00FF1708">
        <w:t>such as for Australian Apprenticeships</w:t>
      </w:r>
      <w:r w:rsidR="00D443A4" w:rsidRPr="00FF1708">
        <w:t>)</w:t>
      </w:r>
    </w:p>
    <w:p w14:paraId="3192D02C" w14:textId="77777777" w:rsidR="003B79E1" w:rsidRPr="00FF1708" w:rsidRDefault="003B79E1" w:rsidP="003B79E1">
      <w:pPr>
        <w:pStyle w:val="ListBullet"/>
      </w:pPr>
      <w:r w:rsidRPr="00FF1708">
        <w:t xml:space="preserve">Support for the National Training System — </w:t>
      </w:r>
      <w:r w:rsidR="00CB3BA0" w:rsidRPr="00FF1708">
        <w:t>including f</w:t>
      </w:r>
      <w:r w:rsidRPr="00FF1708">
        <w:t>unding to industry bodies to support the training system, and assist in the identification of skills needs and the development of skills programs</w:t>
      </w:r>
      <w:r w:rsidR="00D443A4" w:rsidRPr="00FF1708">
        <w:t xml:space="preserve"> (for example, </w:t>
      </w:r>
      <w:r w:rsidR="001A3C4D">
        <w:t xml:space="preserve">Skills Service Organisations </w:t>
      </w:r>
      <w:r w:rsidR="008E2AD0" w:rsidRPr="00FF1708">
        <w:t xml:space="preserve">and </w:t>
      </w:r>
      <w:r w:rsidR="00BE6601">
        <w:t xml:space="preserve">the </w:t>
      </w:r>
      <w:r w:rsidRPr="00FF1708">
        <w:t>Au</w:t>
      </w:r>
      <w:r w:rsidR="00BE6601">
        <w:t>stralian Apprenticeship Support Network</w:t>
      </w:r>
      <w:r w:rsidR="0020711C">
        <w:t>).</w:t>
      </w:r>
    </w:p>
    <w:p w14:paraId="6848FCCD" w14:textId="77777777" w:rsidR="001446ED" w:rsidRPr="003F1F2E" w:rsidRDefault="00B05C44" w:rsidP="00FE2FF1">
      <w:pPr>
        <w:pStyle w:val="BodyText"/>
      </w:pPr>
      <w:r w:rsidRPr="00F43E72">
        <w:t xml:space="preserve">Governments provide for a number of </w:t>
      </w:r>
      <w:r w:rsidRPr="000C2576">
        <w:t>s</w:t>
      </w:r>
      <w:r w:rsidR="001446ED" w:rsidRPr="000C2576">
        <w:t>pecific</w:t>
      </w:r>
      <w:r w:rsidR="006C3D77" w:rsidRPr="000C2576">
        <w:t xml:space="preserve">ally funded </w:t>
      </w:r>
      <w:r w:rsidR="003D3CE9" w:rsidRPr="000C2576">
        <w:t>VET programs</w:t>
      </w:r>
      <w:r w:rsidR="003D3CE9" w:rsidRPr="00F43E72">
        <w:t xml:space="preserve"> </w:t>
      </w:r>
      <w:r w:rsidRPr="00F43E72">
        <w:t xml:space="preserve">to provide </w:t>
      </w:r>
      <w:r w:rsidR="001446ED" w:rsidRPr="00F43E72">
        <w:t xml:space="preserve">support </w:t>
      </w:r>
      <w:r w:rsidRPr="00F43E72">
        <w:t xml:space="preserve">for target </w:t>
      </w:r>
      <w:r w:rsidR="001446ED" w:rsidRPr="00F43E72">
        <w:t>individuals or communities</w:t>
      </w:r>
      <w:r w:rsidRPr="00F43E72">
        <w:t xml:space="preserve">. For example, support for people </w:t>
      </w:r>
      <w:r w:rsidR="004034CE" w:rsidRPr="001D347A">
        <w:t>with</w:t>
      </w:r>
      <w:r w:rsidR="004034CE">
        <w:t xml:space="preserve"> </w:t>
      </w:r>
      <w:r w:rsidR="001446ED" w:rsidRPr="00F43E72">
        <w:t>special needs</w:t>
      </w:r>
      <w:r w:rsidR="00503FD0" w:rsidRPr="00F43E72">
        <w:t xml:space="preserve"> to </w:t>
      </w:r>
      <w:r w:rsidR="001446ED" w:rsidRPr="00F43E72">
        <w:t xml:space="preserve">engage </w:t>
      </w:r>
      <w:r w:rsidR="00FE2FF1" w:rsidRPr="00F43E72">
        <w:t>with</w:t>
      </w:r>
      <w:r w:rsidR="001446ED" w:rsidRPr="00F43E72">
        <w:t xml:space="preserve"> training</w:t>
      </w:r>
      <w:r w:rsidR="00D71F83" w:rsidRPr="00F43E72">
        <w:t xml:space="preserve">, </w:t>
      </w:r>
      <w:r w:rsidRPr="00F43E72">
        <w:t xml:space="preserve">or </w:t>
      </w:r>
      <w:r w:rsidR="001446ED" w:rsidRPr="00F43E72">
        <w:t xml:space="preserve">support </w:t>
      </w:r>
      <w:r w:rsidR="003F1F2E" w:rsidRPr="00F43E72">
        <w:t>for</w:t>
      </w:r>
      <w:r w:rsidR="003F1F2E">
        <w:t xml:space="preserve"> </w:t>
      </w:r>
      <w:r w:rsidR="003F1F2E" w:rsidRPr="00FF5874">
        <w:t>VET</w:t>
      </w:r>
      <w:r w:rsidR="008631FF" w:rsidRPr="00FF5874">
        <w:t xml:space="preserve"> delivered in secondary schools</w:t>
      </w:r>
      <w:r w:rsidR="001446ED" w:rsidRPr="00FF5874">
        <w:t>.</w:t>
      </w:r>
    </w:p>
    <w:p w14:paraId="531735FD" w14:textId="77777777" w:rsidR="00112304" w:rsidRDefault="00112304" w:rsidP="00112304">
      <w:pPr>
        <w:pStyle w:val="Heading3"/>
      </w:pPr>
      <w:r w:rsidRPr="00EF5A5F">
        <w:t xml:space="preserve">Size and scope </w:t>
      </w:r>
    </w:p>
    <w:p w14:paraId="3C7F0BDE" w14:textId="77777777" w:rsidR="00112304" w:rsidRPr="00EF5A5F" w:rsidRDefault="00112304" w:rsidP="00112304">
      <w:pPr>
        <w:pStyle w:val="Heading4"/>
      </w:pPr>
      <w:r w:rsidRPr="00EF5A5F">
        <w:t>Students</w:t>
      </w:r>
    </w:p>
    <w:p w14:paraId="70F71F22" w14:textId="7168D488" w:rsidR="007445A2" w:rsidRDefault="000D5832" w:rsidP="007445A2">
      <w:pPr>
        <w:pStyle w:val="BodyText"/>
      </w:pPr>
      <w:r>
        <w:t xml:space="preserve">Nationally in </w:t>
      </w:r>
      <w:r w:rsidR="00387D05">
        <w:t>2018</w:t>
      </w:r>
      <w:r w:rsidR="007445A2">
        <w:t xml:space="preserve">, </w:t>
      </w:r>
      <w:r w:rsidR="00EC7D5E">
        <w:t>an estimated</w:t>
      </w:r>
      <w:r w:rsidR="00EC7D5E" w:rsidRPr="00F74889">
        <w:t xml:space="preserve"> </w:t>
      </w:r>
      <w:r w:rsidR="003D2329" w:rsidRPr="00A07E7F">
        <w:t>4.1</w:t>
      </w:r>
      <w:r w:rsidR="00793D3F" w:rsidRPr="00A07E7F">
        <w:t xml:space="preserve"> million students participated in total VET</w:t>
      </w:r>
      <w:r w:rsidR="00DC0DCC" w:rsidRPr="00A07E7F">
        <w:t xml:space="preserve"> (table</w:t>
      </w:r>
      <w:r w:rsidR="00DF4E95" w:rsidRPr="00A07E7F">
        <w:t> </w:t>
      </w:r>
      <w:r w:rsidR="00DC0DCC" w:rsidRPr="00A07E7F">
        <w:t>5A.</w:t>
      </w:r>
      <w:r w:rsidR="00174492" w:rsidRPr="00A07E7F">
        <w:t>8</w:t>
      </w:r>
      <w:r w:rsidR="00DC0DCC" w:rsidRPr="00A07E7F">
        <w:t>)</w:t>
      </w:r>
      <w:r w:rsidR="00EC7D5E" w:rsidRPr="00A07E7F">
        <w:t xml:space="preserve">, and </w:t>
      </w:r>
      <w:r w:rsidR="00793D3F" w:rsidRPr="00A07E7F">
        <w:t xml:space="preserve">around </w:t>
      </w:r>
      <w:r w:rsidR="003D2329" w:rsidRPr="00A07E7F">
        <w:t>1.1</w:t>
      </w:r>
      <w:r w:rsidR="00793D3F">
        <w:t> </w:t>
      </w:r>
      <w:r w:rsidR="007445A2" w:rsidRPr="00F74889">
        <w:t xml:space="preserve">million </w:t>
      </w:r>
      <w:r>
        <w:t>students partici</w:t>
      </w:r>
      <w:r w:rsidR="00C22EBF">
        <w:t>pated in government</w:t>
      </w:r>
      <w:r w:rsidR="00891079">
        <w:noBreakHyphen/>
      </w:r>
      <w:r w:rsidR="00C22EBF">
        <w:t>funded VET</w:t>
      </w:r>
      <w:r w:rsidR="00110182">
        <w:t xml:space="preserve"> </w:t>
      </w:r>
      <w:r w:rsidR="00C22EBF">
        <w:t>(table</w:t>
      </w:r>
      <w:r w:rsidR="00DD5279">
        <w:t> </w:t>
      </w:r>
      <w:r w:rsidR="00C22EBF">
        <w:t>5A.</w:t>
      </w:r>
      <w:r w:rsidR="00174492">
        <w:t>9</w:t>
      </w:r>
      <w:r w:rsidR="00C22EBF">
        <w:t>)</w:t>
      </w:r>
      <w:r>
        <w:t>.</w:t>
      </w:r>
    </w:p>
    <w:p w14:paraId="5372533C" w14:textId="017843B5" w:rsidR="006B6E13" w:rsidRPr="00D74951" w:rsidRDefault="006B6E13" w:rsidP="007445A2">
      <w:pPr>
        <w:pStyle w:val="BodyText"/>
      </w:pPr>
      <w:r w:rsidRPr="00D74951">
        <w:t>The qualification level</w:t>
      </w:r>
      <w:r w:rsidR="00180E9F" w:rsidRPr="00D74951">
        <w:t>s</w:t>
      </w:r>
      <w:r w:rsidRPr="00D74951">
        <w:t xml:space="preserve"> </w:t>
      </w:r>
      <w:r w:rsidR="00180E9F" w:rsidRPr="00D74951">
        <w:t>with the largest proportion of enrolments by</w:t>
      </w:r>
      <w:r w:rsidR="00110182" w:rsidRPr="00D74951">
        <w:t xml:space="preserve"> </w:t>
      </w:r>
      <w:r w:rsidR="00174492" w:rsidRPr="00D74951">
        <w:rPr>
          <w:i/>
        </w:rPr>
        <w:t>total</w:t>
      </w:r>
      <w:r w:rsidR="00110182" w:rsidRPr="00D74951">
        <w:rPr>
          <w:i/>
        </w:rPr>
        <w:t xml:space="preserve"> </w:t>
      </w:r>
      <w:r w:rsidRPr="00D74951">
        <w:rPr>
          <w:i/>
        </w:rPr>
        <w:t xml:space="preserve">VET </w:t>
      </w:r>
      <w:r w:rsidRPr="00D74951">
        <w:t>students was c</w:t>
      </w:r>
      <w:r w:rsidR="00110182" w:rsidRPr="00D74951">
        <w:t>ertificate level III or IV (</w:t>
      </w:r>
      <w:r w:rsidR="00E05325" w:rsidRPr="00D74951">
        <w:t>52.2</w:t>
      </w:r>
      <w:r w:rsidR="00977436" w:rsidRPr="00D74951">
        <w:t> per </w:t>
      </w:r>
      <w:r w:rsidRPr="00D74951">
        <w:t>cent</w:t>
      </w:r>
      <w:r w:rsidR="00977436" w:rsidRPr="00D74951">
        <w:t xml:space="preserve"> of enrolments</w:t>
      </w:r>
      <w:r w:rsidRPr="00D74951">
        <w:t xml:space="preserve">), followed by </w:t>
      </w:r>
      <w:r w:rsidR="001506DB" w:rsidRPr="00D74951">
        <w:t xml:space="preserve">certificate level I or II </w:t>
      </w:r>
      <w:r w:rsidR="00926ED0" w:rsidRPr="00D74951">
        <w:t>qualifications</w:t>
      </w:r>
      <w:r w:rsidR="00110182" w:rsidRPr="00D74951">
        <w:t xml:space="preserve"> (</w:t>
      </w:r>
      <w:r w:rsidR="00E05325" w:rsidRPr="00D74951">
        <w:t>24.1</w:t>
      </w:r>
      <w:r w:rsidR="00110182" w:rsidRPr="00D74951">
        <w:t xml:space="preserve"> per cent)</w:t>
      </w:r>
      <w:r w:rsidR="00E05325" w:rsidRPr="00D74951">
        <w:t xml:space="preserve"> and diploma or above qualifications (16.0 </w:t>
      </w:r>
      <w:r w:rsidR="00E05325" w:rsidRPr="00D74951" w:rsidDel="002058BD">
        <w:t>per</w:t>
      </w:r>
      <w:r w:rsidR="00E05325" w:rsidRPr="00D74951">
        <w:t> cent)</w:t>
      </w:r>
      <w:r w:rsidR="00110182" w:rsidRPr="00D74951">
        <w:t xml:space="preserve">. </w:t>
      </w:r>
      <w:r w:rsidR="00450582" w:rsidRPr="00D74951">
        <w:t>The remaining enrolments</w:t>
      </w:r>
      <w:r w:rsidR="00EA4941" w:rsidRPr="00D74951">
        <w:t xml:space="preserve"> </w:t>
      </w:r>
      <w:r w:rsidR="00450582" w:rsidRPr="00D74951">
        <w:t xml:space="preserve">by </w:t>
      </w:r>
      <w:r w:rsidR="00174492" w:rsidRPr="00D74951">
        <w:t>total</w:t>
      </w:r>
      <w:r w:rsidRPr="00D74951">
        <w:t xml:space="preserve"> </w:t>
      </w:r>
      <w:r w:rsidR="00110182" w:rsidRPr="00D74951">
        <w:t xml:space="preserve">VET </w:t>
      </w:r>
      <w:r w:rsidRPr="00D74951">
        <w:t xml:space="preserve">students were in </w:t>
      </w:r>
      <w:r w:rsidR="005172D7" w:rsidRPr="00D74951">
        <w:t>other</w:t>
      </w:r>
      <w:r w:rsidRPr="00D74951">
        <w:t xml:space="preserve"> qualification</w:t>
      </w:r>
      <w:r w:rsidR="005172D7" w:rsidRPr="00D74951">
        <w:t xml:space="preserve"> levels, including </w:t>
      </w:r>
      <w:r w:rsidR="00C1489A" w:rsidRPr="00D74951">
        <w:t>secondary school, non-award courses and subject only enrolments</w:t>
      </w:r>
      <w:r w:rsidRPr="00D74951">
        <w:t xml:space="preserve"> </w:t>
      </w:r>
      <w:r w:rsidR="00450582" w:rsidRPr="00D74951">
        <w:t>(7.7 </w:t>
      </w:r>
      <w:r w:rsidR="00450582" w:rsidRPr="00D74951" w:rsidDel="002058BD">
        <w:t>per</w:t>
      </w:r>
      <w:r w:rsidR="00450582" w:rsidRPr="00D74951">
        <w:t xml:space="preserve"> cent) </w:t>
      </w:r>
      <w:r w:rsidRPr="00D74951">
        <w:t>(table 5A.</w:t>
      </w:r>
      <w:r w:rsidR="00DC0DCC" w:rsidRPr="00D74951">
        <w:t>8</w:t>
      </w:r>
      <w:r w:rsidRPr="00D74951">
        <w:t>).</w:t>
      </w:r>
    </w:p>
    <w:p w14:paraId="63F0169C" w14:textId="5534997C" w:rsidR="00174492" w:rsidRPr="00D74951" w:rsidRDefault="00977436" w:rsidP="007445A2">
      <w:pPr>
        <w:pStyle w:val="BodyText"/>
      </w:pPr>
      <w:r w:rsidRPr="00D74951">
        <w:t>The qualification levels with the largest proportion of enrolments by</w:t>
      </w:r>
      <w:r w:rsidRPr="00D74951" w:rsidDel="00977436">
        <w:t xml:space="preserve"> </w:t>
      </w:r>
      <w:r w:rsidR="00044FC0" w:rsidRPr="00D74951">
        <w:rPr>
          <w:i/>
        </w:rPr>
        <w:t>government</w:t>
      </w:r>
      <w:r w:rsidR="00044FC0" w:rsidRPr="00D74951">
        <w:rPr>
          <w:i/>
        </w:rPr>
        <w:noBreakHyphen/>
        <w:t>funded VET</w:t>
      </w:r>
      <w:r w:rsidR="00044FC0" w:rsidRPr="00D74951">
        <w:t xml:space="preserve"> students </w:t>
      </w:r>
      <w:r w:rsidR="00174492" w:rsidRPr="00D74951">
        <w:t>was certificate level III or IV (</w:t>
      </w:r>
      <w:r w:rsidR="003C6C3A" w:rsidRPr="00D74951">
        <w:t>54.7</w:t>
      </w:r>
      <w:r w:rsidRPr="00D74951">
        <w:t> per </w:t>
      </w:r>
      <w:r w:rsidR="00174492" w:rsidRPr="00D74951">
        <w:t>cent</w:t>
      </w:r>
      <w:r w:rsidRPr="00D74951">
        <w:t xml:space="preserve"> of enrolments</w:t>
      </w:r>
      <w:r w:rsidR="00174492" w:rsidRPr="00D74951">
        <w:t>), followed by a certificate level I or II qualification (</w:t>
      </w:r>
      <w:r w:rsidR="003C6C3A" w:rsidRPr="00D74951">
        <w:t>22.2</w:t>
      </w:r>
      <w:r w:rsidR="00174492" w:rsidRPr="00D74951">
        <w:t xml:space="preserve"> per cent) and diploma or above qualifications (</w:t>
      </w:r>
      <w:r w:rsidR="003C6C3A" w:rsidRPr="00D74951">
        <w:t>10.4</w:t>
      </w:r>
      <w:r w:rsidR="00C87114" w:rsidRPr="00D74951">
        <w:t> </w:t>
      </w:r>
      <w:r w:rsidR="00174492" w:rsidRPr="00D74951">
        <w:t xml:space="preserve">per cent). A further </w:t>
      </w:r>
      <w:r w:rsidR="003C6C3A" w:rsidRPr="00D74951">
        <w:t>12.7</w:t>
      </w:r>
      <w:r w:rsidR="00174492" w:rsidRPr="00D74951">
        <w:t xml:space="preserve"> per cent of </w:t>
      </w:r>
      <w:r w:rsidR="00450582" w:rsidRPr="00D74951">
        <w:t xml:space="preserve">enrolments by </w:t>
      </w:r>
      <w:r w:rsidR="00174492" w:rsidRPr="00D74951">
        <w:t>government</w:t>
      </w:r>
      <w:r w:rsidR="00174492" w:rsidRPr="00D74951">
        <w:noBreakHyphen/>
        <w:t xml:space="preserve">funded VET students were in </w:t>
      </w:r>
      <w:r w:rsidR="00261058" w:rsidRPr="00D74951">
        <w:t>other</w:t>
      </w:r>
      <w:r w:rsidR="00174492" w:rsidRPr="00D74951">
        <w:t xml:space="preserve"> qualification </w:t>
      </w:r>
      <w:r w:rsidR="00261058" w:rsidRPr="00D74951">
        <w:t xml:space="preserve">levels, </w:t>
      </w:r>
      <w:r w:rsidR="00C1489A" w:rsidRPr="00D74951">
        <w:t xml:space="preserve">including secondary school, non-award courses and subject only enrolments </w:t>
      </w:r>
      <w:r w:rsidR="00174492" w:rsidRPr="00D74951">
        <w:t>(table 5A.9).</w:t>
      </w:r>
    </w:p>
    <w:p w14:paraId="0CA05B82" w14:textId="24793628" w:rsidR="00ED6D99" w:rsidRPr="005168C9" w:rsidRDefault="00ED6D99" w:rsidP="007445A2">
      <w:pPr>
        <w:pStyle w:val="BodyText"/>
      </w:pPr>
      <w:r w:rsidRPr="003C6C3A">
        <w:lastRenderedPageBreak/>
        <w:t xml:space="preserve">Details of student </w:t>
      </w:r>
      <w:r>
        <w:t xml:space="preserve">participation in government-funded VET by target group (by Indigenous status, remoteness area and disability status) appear in </w:t>
      </w:r>
      <w:r w:rsidR="00DF4E95">
        <w:t>t</w:t>
      </w:r>
      <w:r>
        <w:t>ables 5A</w:t>
      </w:r>
      <w:r w:rsidR="00C03485">
        <w:t>.</w:t>
      </w:r>
      <w:r w:rsidR="007D03AD">
        <w:t>10</w:t>
      </w:r>
      <w:r w:rsidR="009D1E88">
        <w:t>–</w:t>
      </w:r>
      <w:r w:rsidR="007D03AD">
        <w:t>12.</w:t>
      </w:r>
    </w:p>
    <w:p w14:paraId="7EE32EDD" w14:textId="77777777" w:rsidR="00112304" w:rsidRPr="00EF5A5F" w:rsidRDefault="00AB4410" w:rsidP="00112304">
      <w:pPr>
        <w:pStyle w:val="Heading4"/>
      </w:pPr>
      <w:r>
        <w:t>Training providers</w:t>
      </w:r>
      <w:r w:rsidR="007445A2">
        <w:t xml:space="preserve"> </w:t>
      </w:r>
    </w:p>
    <w:p w14:paraId="24923B76" w14:textId="706DAD42" w:rsidR="000650DF" w:rsidRPr="00AB4410" w:rsidRDefault="000650DF" w:rsidP="00924EF6">
      <w:pPr>
        <w:pStyle w:val="BodyText"/>
        <w:spacing w:before="120"/>
      </w:pPr>
      <w:r w:rsidRPr="00B05D55">
        <w:t>In 2018, there were 3830 registered VET training organisations delivering nationally recognised training in Australia (table 5A.6), of which 1492 delivered nationally recognised government-funded VET through state and territory training dep</w:t>
      </w:r>
      <w:r w:rsidR="00773FD0" w:rsidRPr="00B05D55">
        <w:t xml:space="preserve">artments (NCVER, unpublished). </w:t>
      </w:r>
      <w:r w:rsidR="004C74B6" w:rsidRPr="00B05D55">
        <w:t xml:space="preserve">Around 1747 </w:t>
      </w:r>
      <w:r w:rsidRPr="00B05D55">
        <w:t xml:space="preserve">VET providers delivered </w:t>
      </w:r>
      <w:r w:rsidR="00F76312" w:rsidRPr="00B05D55">
        <w:t xml:space="preserve">government-funded </w:t>
      </w:r>
      <w:r w:rsidRPr="00B05D55">
        <w:t>nationally recognised, locally developed and non-nationally recognised training, at 30 485 locations in Australia (table 5A.7).</w:t>
      </w:r>
    </w:p>
    <w:p w14:paraId="7DA3FCD9" w14:textId="6C2E6E20" w:rsidR="00C57336" w:rsidRPr="00EF5A5F" w:rsidRDefault="00CC5D6B" w:rsidP="00281C53">
      <w:pPr>
        <w:pStyle w:val="Heading2"/>
      </w:pPr>
      <w:bookmarkStart w:id="7" w:name="_Toc341279240"/>
      <w:bookmarkStart w:id="8" w:name="_Toc492379197"/>
      <w:r>
        <w:t>5.</w:t>
      </w:r>
      <w:r w:rsidR="006300E8">
        <w:rPr>
          <w:noProof/>
        </w:rPr>
        <w:t>2</w:t>
      </w:r>
      <w:r w:rsidR="00D660C5">
        <w:tab/>
      </w:r>
      <w:r w:rsidR="00C57336" w:rsidRPr="00EF5A5F">
        <w:t>Framework of performance indicators</w:t>
      </w:r>
      <w:bookmarkEnd w:id="7"/>
      <w:bookmarkEnd w:id="8"/>
    </w:p>
    <w:p w14:paraId="1728080C" w14:textId="42D904AD" w:rsidR="003A4DAB" w:rsidRPr="00626055" w:rsidRDefault="00626055" w:rsidP="00D411C2">
      <w:pPr>
        <w:pStyle w:val="BodyText"/>
      </w:pPr>
      <w:r>
        <w:t>Box</w:t>
      </w:r>
      <w:r w:rsidR="000A3C68">
        <w:t> </w:t>
      </w:r>
      <w:r w:rsidR="00CC5D6B">
        <w:t>5.1</w:t>
      </w:r>
      <w:r>
        <w:t xml:space="preserve"> </w:t>
      </w:r>
      <w:r w:rsidRPr="009A0722">
        <w:t xml:space="preserve">describes the </w:t>
      </w:r>
      <w:r w:rsidR="00BA29A8">
        <w:t xml:space="preserve">vision and </w:t>
      </w:r>
      <w:r>
        <w:t>objective for the VET system</w:t>
      </w:r>
      <w:r w:rsidR="00BA29A8">
        <w:t xml:space="preserve">. </w:t>
      </w:r>
    </w:p>
    <w:p w14:paraId="75C96788" w14:textId="77777777" w:rsidR="00BC49F4" w:rsidRPr="007C0ADB" w:rsidRDefault="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9F4" w14:paraId="70306A7B" w14:textId="77777777" w:rsidTr="00A160DE">
        <w:tc>
          <w:tcPr>
            <w:tcW w:w="8789" w:type="dxa"/>
            <w:tcBorders>
              <w:top w:val="single" w:sz="6" w:space="0" w:color="78A22F"/>
              <w:left w:val="nil"/>
              <w:bottom w:val="nil"/>
              <w:right w:val="nil"/>
            </w:tcBorders>
            <w:shd w:val="clear" w:color="auto" w:fill="F2F2F2" w:themeFill="background1" w:themeFillShade="F2"/>
          </w:tcPr>
          <w:p w14:paraId="4A95CEEE" w14:textId="15FAEF05" w:rsidR="00BC49F4" w:rsidRDefault="00BC49F4" w:rsidP="00BC49F4">
            <w:pPr>
              <w:pStyle w:val="BoxTitle"/>
            </w:pPr>
            <w:r>
              <w:rPr>
                <w:b w:val="0"/>
              </w:rPr>
              <w:t xml:space="preserve">Box </w:t>
            </w:r>
            <w:bookmarkStart w:id="9" w:name="OLE_LINK9"/>
            <w:r w:rsidR="00CC5D6B">
              <w:rPr>
                <w:b w:val="0"/>
              </w:rPr>
              <w:t>5.</w:t>
            </w:r>
            <w:r w:rsidR="006300E8">
              <w:rPr>
                <w:b w:val="0"/>
                <w:noProof/>
              </w:rPr>
              <w:t>1</w:t>
            </w:r>
            <w:bookmarkEnd w:id="9"/>
            <w:r>
              <w:tab/>
            </w:r>
            <w:r w:rsidRPr="00EF5A5F">
              <w:t xml:space="preserve">Objectives for </w:t>
            </w:r>
            <w:r w:rsidR="00D411C2">
              <w:t>VET</w:t>
            </w:r>
          </w:p>
        </w:tc>
      </w:tr>
      <w:tr w:rsidR="00BC49F4" w14:paraId="16AF39DE" w14:textId="77777777" w:rsidTr="00A160DE">
        <w:trPr>
          <w:cantSplit/>
        </w:trPr>
        <w:tc>
          <w:tcPr>
            <w:tcW w:w="8789" w:type="dxa"/>
            <w:tcBorders>
              <w:top w:val="nil"/>
              <w:left w:val="nil"/>
              <w:bottom w:val="nil"/>
              <w:right w:val="nil"/>
            </w:tcBorders>
            <w:shd w:val="clear" w:color="auto" w:fill="F2F2F2" w:themeFill="background1" w:themeFillShade="F2"/>
          </w:tcPr>
          <w:p w14:paraId="0C71F1B7" w14:textId="77777777" w:rsidR="007D065E" w:rsidRDefault="00BA29A8" w:rsidP="00BA29A8">
            <w:pPr>
              <w:pStyle w:val="Box"/>
            </w:pPr>
            <w:r w:rsidRPr="005A01C4">
              <w:t>The VET sy</w:t>
            </w:r>
            <w:r w:rsidR="007D065E">
              <w:t xml:space="preserve">stem </w:t>
            </w:r>
            <w:r w:rsidRPr="005A01C4">
              <w:t>aims to</w:t>
            </w:r>
            <w:r w:rsidR="007D065E">
              <w:t xml:space="preserve"> deliver a productive and highly skilled workforce through enabling all working age Australians to develop and use the skills required to effectively participate in the labour market and contribute to Australia’s economic future. To achieve this, the Australian, State and Territory governments aim to create a national training system that:</w:t>
            </w:r>
          </w:p>
          <w:p w14:paraId="0A52A4DE" w14:textId="77777777" w:rsidR="00D3506B" w:rsidRDefault="00D3506B" w:rsidP="00D3506B">
            <w:pPr>
              <w:pStyle w:val="BoxListBullet"/>
            </w:pPr>
            <w:r>
              <w:t xml:space="preserve">is accessible to all working age Australians </w:t>
            </w:r>
          </w:p>
          <w:p w14:paraId="1F8B92A5" w14:textId="77777777" w:rsidR="002E2216" w:rsidRDefault="002E2216" w:rsidP="00D3506B">
            <w:pPr>
              <w:pStyle w:val="BoxListBullet"/>
            </w:pPr>
            <w:r>
              <w:t>meets the needs of students, employers and industries</w:t>
            </w:r>
          </w:p>
          <w:p w14:paraId="48858E0C" w14:textId="77777777" w:rsidR="002E2216" w:rsidRDefault="002E2216" w:rsidP="00D3506B">
            <w:pPr>
              <w:pStyle w:val="BoxListBullet"/>
            </w:pPr>
            <w:r>
              <w:t>is high quality.</w:t>
            </w:r>
          </w:p>
          <w:p w14:paraId="46A72E7D" w14:textId="77777777" w:rsidR="002E2216" w:rsidRDefault="002E2216" w:rsidP="002E2216">
            <w:pPr>
              <w:pStyle w:val="Box"/>
            </w:pPr>
            <w:r>
              <w:t>Governments aim for a national training system that meets these objectives in an equitable and efficient manner.</w:t>
            </w:r>
          </w:p>
        </w:tc>
      </w:tr>
      <w:tr w:rsidR="00D3506B" w14:paraId="04F4EB7E" w14:textId="77777777" w:rsidTr="00A160DE">
        <w:tc>
          <w:tcPr>
            <w:tcW w:w="8789" w:type="dxa"/>
            <w:tcBorders>
              <w:top w:val="nil"/>
              <w:left w:val="nil"/>
              <w:bottom w:val="single" w:sz="6" w:space="0" w:color="78A22F"/>
              <w:right w:val="nil"/>
            </w:tcBorders>
            <w:shd w:val="clear" w:color="auto" w:fill="F2F2F2"/>
          </w:tcPr>
          <w:p w14:paraId="5B4BC5ED" w14:textId="77777777" w:rsidR="00D3506B" w:rsidRDefault="00D3506B">
            <w:pPr>
              <w:pStyle w:val="Box"/>
              <w:spacing w:before="0" w:line="120" w:lineRule="exact"/>
            </w:pPr>
          </w:p>
        </w:tc>
      </w:tr>
      <w:tr w:rsidR="00D3506B" w:rsidRPr="000863A5" w14:paraId="32F45058" w14:textId="77777777" w:rsidTr="00A160DE">
        <w:tc>
          <w:tcPr>
            <w:tcW w:w="8789" w:type="dxa"/>
            <w:tcBorders>
              <w:top w:val="single" w:sz="6" w:space="0" w:color="78A22F"/>
              <w:left w:val="nil"/>
              <w:bottom w:val="nil"/>
              <w:right w:val="nil"/>
            </w:tcBorders>
          </w:tcPr>
          <w:p w14:paraId="42FB04CF" w14:textId="4E918E01" w:rsidR="00D3506B" w:rsidRPr="00626D32" w:rsidRDefault="00D3506B" w:rsidP="002368EE">
            <w:pPr>
              <w:pStyle w:val="BoxSpaceBelow"/>
            </w:pPr>
          </w:p>
        </w:tc>
      </w:tr>
    </w:tbl>
    <w:p w14:paraId="61BAFCF5" w14:textId="6A509FD3" w:rsidR="005D75FA" w:rsidRDefault="00D411C2" w:rsidP="00D411C2">
      <w:pPr>
        <w:pStyle w:val="BodyText"/>
        <w:spacing w:after="240"/>
      </w:pPr>
      <w:r w:rsidRPr="00DB572D">
        <w:t xml:space="preserve">The performance indicator framework provides information on equity, </w:t>
      </w:r>
      <w:r w:rsidR="005D75FA">
        <w:t xml:space="preserve">effectiveness and </w:t>
      </w:r>
      <w:r w:rsidRPr="00DB572D">
        <w:t xml:space="preserve">efficiency and distinguishes the outputs and outcomes of </w:t>
      </w:r>
      <w:r w:rsidR="00FD63B2">
        <w:t>VET</w:t>
      </w:r>
      <w:r>
        <w:t xml:space="preserve"> </w:t>
      </w:r>
      <w:r w:rsidRPr="00DB572D">
        <w:t>services (figure</w:t>
      </w:r>
      <w:r>
        <w:t> </w:t>
      </w:r>
      <w:r w:rsidR="00CC5D6B">
        <w:t>5.3</w:t>
      </w:r>
      <w:r w:rsidRPr="00DB572D">
        <w:t xml:space="preserve">). </w:t>
      </w:r>
    </w:p>
    <w:p w14:paraId="5D873DA9" w14:textId="12DBC070" w:rsidR="00580600" w:rsidRDefault="00580600" w:rsidP="00580600">
      <w:pPr>
        <w:pStyle w:val="BodyText"/>
        <w:spacing w:after="240"/>
      </w:pPr>
      <w:r w:rsidRPr="00DB572D">
        <w:t xml:space="preserve">The performance indicator framework shows which data are </w:t>
      </w:r>
      <w:r>
        <w:t xml:space="preserve">complete and </w:t>
      </w:r>
      <w:r w:rsidRPr="00DB572D">
        <w:t xml:space="preserve">comparable in the </w:t>
      </w:r>
      <w:r w:rsidR="00EC44DA">
        <w:t>2020 Report</w:t>
      </w:r>
      <w:r w:rsidRPr="00DB572D">
        <w:t xml:space="preserve">. For data that are not considered directly comparable, text includes relevant caveats and supporting commentary. </w:t>
      </w:r>
      <w:r w:rsidR="00B605EA">
        <w:t>Section</w:t>
      </w:r>
      <w:r w:rsidRPr="00DB572D">
        <w:t> 1 discusses data comparability</w:t>
      </w:r>
      <w:r w:rsidR="00CC6D10">
        <w:t>,</w:t>
      </w:r>
      <w:r w:rsidRPr="00DB572D">
        <w:t xml:space="preserve"> </w:t>
      </w:r>
      <w:r>
        <w:t xml:space="preserve">data </w:t>
      </w:r>
      <w:r w:rsidRPr="00BC07B7">
        <w:t>completeness</w:t>
      </w:r>
      <w:r>
        <w:t xml:space="preserve"> </w:t>
      </w:r>
      <w:r w:rsidR="00CC6D10">
        <w:t xml:space="preserve">and information on data quality </w:t>
      </w:r>
      <w:r w:rsidRPr="00DB572D">
        <w:t>from a Report</w:t>
      </w:r>
      <w:r>
        <w:noBreakHyphen/>
      </w:r>
      <w:r w:rsidRPr="00DB572D">
        <w:t>wide perspective.</w:t>
      </w:r>
      <w:r>
        <w:t xml:space="preserve"> In addition to </w:t>
      </w:r>
      <w:r w:rsidR="0048719E">
        <w:t>sub-</w:t>
      </w:r>
      <w:r>
        <w:t>section</w:t>
      </w:r>
      <w:r w:rsidR="000A3C68">
        <w:t> </w:t>
      </w:r>
      <w:r>
        <w:t xml:space="preserve">5.1, the Report’s Statistical context </w:t>
      </w:r>
      <w:r w:rsidR="00B605EA">
        <w:t>section</w:t>
      </w:r>
      <w:r>
        <w:t xml:space="preserve"> (</w:t>
      </w:r>
      <w:r w:rsidR="00B605EA">
        <w:t>section</w:t>
      </w:r>
      <w:r>
        <w:t> 2) contains data that may assist in interpreting the performance indica</w:t>
      </w:r>
      <w:r w:rsidR="00CB5784">
        <w:t xml:space="preserve">tors presented in this </w:t>
      </w:r>
      <w:r w:rsidR="00B605EA">
        <w:t>section</w:t>
      </w:r>
      <w:r w:rsidR="00CB5784">
        <w:t xml:space="preserve">. </w:t>
      </w:r>
      <w:r w:rsidR="00B605EA">
        <w:t>Section</w:t>
      </w:r>
      <w:r w:rsidR="00CB5784">
        <w:t>s</w:t>
      </w:r>
      <w:r w:rsidR="00DD5279">
        <w:t> </w:t>
      </w:r>
      <w:r w:rsidR="00CB5784">
        <w:t xml:space="preserve">1 and 2 are available from the website at </w:t>
      </w:r>
      <w:r w:rsidR="00864D0F" w:rsidRPr="00864D0F">
        <w:t>https://www.pc.gov.au/research/ongoing/report-on-government-services</w:t>
      </w:r>
      <w:r w:rsidR="00CB5784">
        <w:t>.</w:t>
      </w:r>
    </w:p>
    <w:p w14:paraId="2855637F" w14:textId="77777777" w:rsidR="00580600" w:rsidRDefault="00580600" w:rsidP="00580600">
      <w:pPr>
        <w:pStyle w:val="BodyText"/>
        <w:rPr>
          <w:rFonts w:eastAsiaTheme="minorHAnsi"/>
        </w:rPr>
      </w:pPr>
      <w:r>
        <w:rPr>
          <w:rFonts w:eastAsiaTheme="minorHAnsi"/>
        </w:rPr>
        <w:t xml:space="preserve">Improvements to performance reporting for VET </w:t>
      </w:r>
      <w:r w:rsidR="00CB5784">
        <w:rPr>
          <w:rFonts w:eastAsiaTheme="minorHAnsi"/>
        </w:rPr>
        <w:t xml:space="preserve">services </w:t>
      </w:r>
      <w:r w:rsidR="005F4779">
        <w:rPr>
          <w:rFonts w:eastAsiaTheme="minorHAnsi"/>
        </w:rPr>
        <w:t xml:space="preserve">are ongoing and </w:t>
      </w:r>
      <w:r>
        <w:rPr>
          <w:rFonts w:eastAsiaTheme="minorHAnsi"/>
        </w:rPr>
        <w:t xml:space="preserve">include identifying </w:t>
      </w:r>
      <w:r w:rsidR="00CB5784">
        <w:rPr>
          <w:rFonts w:eastAsiaTheme="minorHAnsi"/>
        </w:rPr>
        <w:t xml:space="preserve">data sources to </w:t>
      </w:r>
      <w:r>
        <w:rPr>
          <w:rFonts w:eastAsiaTheme="minorHAnsi"/>
        </w:rPr>
        <w:t>fill gaps in re</w:t>
      </w:r>
      <w:r w:rsidR="00CB5784">
        <w:rPr>
          <w:rFonts w:eastAsiaTheme="minorHAnsi"/>
        </w:rPr>
        <w:t xml:space="preserve">porting for performance indicators and measures, and </w:t>
      </w:r>
      <w:r>
        <w:rPr>
          <w:rFonts w:eastAsiaTheme="minorHAnsi"/>
        </w:rPr>
        <w:t>improving the comparability and c</w:t>
      </w:r>
      <w:r w:rsidR="00CB5784">
        <w:rPr>
          <w:rFonts w:eastAsiaTheme="minorHAnsi"/>
        </w:rPr>
        <w:t>ompleteness of data.</w:t>
      </w:r>
    </w:p>
    <w:p w14:paraId="6ED6D693" w14:textId="77777777" w:rsidR="00BC49F4" w:rsidRDefault="00BC49F4" w:rsidP="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C49F4" w14:paraId="766E3ECF" w14:textId="77777777" w:rsidTr="00A04698">
        <w:tc>
          <w:tcPr>
            <w:tcW w:w="8789" w:type="dxa"/>
            <w:tcBorders>
              <w:top w:val="single" w:sz="6" w:space="0" w:color="78A22F"/>
              <w:left w:val="nil"/>
              <w:bottom w:val="nil"/>
              <w:right w:val="nil"/>
            </w:tcBorders>
            <w:shd w:val="clear" w:color="auto" w:fill="auto"/>
          </w:tcPr>
          <w:p w14:paraId="42F2C4A1" w14:textId="3F74CD1A" w:rsidR="00BC49F4" w:rsidRPr="00176D3F" w:rsidRDefault="00BC49F4" w:rsidP="00B43EB8">
            <w:pPr>
              <w:pStyle w:val="FigureTitle"/>
            </w:pPr>
            <w:r w:rsidRPr="00784A05">
              <w:rPr>
                <w:b w:val="0"/>
              </w:rPr>
              <w:t xml:space="preserve">Figure </w:t>
            </w:r>
            <w:bookmarkStart w:id="10" w:name="OLE_LINK8"/>
            <w:r w:rsidR="00CC5D6B">
              <w:rPr>
                <w:b w:val="0"/>
              </w:rPr>
              <w:t>5.</w:t>
            </w:r>
            <w:r w:rsidR="006300E8">
              <w:rPr>
                <w:b w:val="0"/>
                <w:noProof/>
              </w:rPr>
              <w:t>3</w:t>
            </w:r>
            <w:bookmarkEnd w:id="10"/>
            <w:r>
              <w:tab/>
            </w:r>
            <w:r w:rsidRPr="00E51808">
              <w:t xml:space="preserve">VET performance indicator framework </w:t>
            </w:r>
          </w:p>
        </w:tc>
      </w:tr>
      <w:tr w:rsidR="00BC49F4" w14:paraId="0834B61C" w14:textId="77777777" w:rsidTr="00A04698">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C49F4" w14:paraId="23B9F0ED" w14:textId="77777777" w:rsidTr="00BC49F4">
              <w:tc>
                <w:tcPr>
                  <w:tcW w:w="5000" w:type="pct"/>
                  <w:tcBorders>
                    <w:top w:val="nil"/>
                    <w:bottom w:val="nil"/>
                  </w:tcBorders>
                </w:tcPr>
                <w:p w14:paraId="7E6C81BB" w14:textId="4EBF32E3" w:rsidR="00BC49F4" w:rsidRDefault="00F842E8" w:rsidP="00BC49F4">
                  <w:pPr>
                    <w:pStyle w:val="Figure"/>
                    <w:spacing w:before="60" w:after="60"/>
                  </w:pPr>
                  <w:r w:rsidRPr="00CE65CF">
                    <w:rPr>
                      <w:noProof/>
                    </w:rPr>
                    <w:drawing>
                      <wp:inline distT="0" distB="0" distL="0" distR="0" wp14:anchorId="181000AA" wp14:editId="77758A1D">
                        <wp:extent cx="5257800" cy="3781437"/>
                        <wp:effectExtent l="0" t="0" r="0" b="0"/>
                        <wp:docPr id="1" name="Picture 1" descr="Figure 5.3 VET performance indicator framework.&#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077" cy="3787390"/>
                                </a:xfrm>
                                <a:prstGeom prst="rect">
                                  <a:avLst/>
                                </a:prstGeom>
                                <a:noFill/>
                                <a:ln>
                                  <a:noFill/>
                                </a:ln>
                              </pic:spPr>
                            </pic:pic>
                          </a:graphicData>
                        </a:graphic>
                      </wp:inline>
                    </w:drawing>
                  </w:r>
                </w:p>
              </w:tc>
            </w:tr>
          </w:tbl>
          <w:p w14:paraId="2F5C6FAB" w14:textId="77777777" w:rsidR="00BC49F4" w:rsidRDefault="00BC49F4" w:rsidP="00BC49F4">
            <w:pPr>
              <w:pStyle w:val="Figure"/>
            </w:pPr>
          </w:p>
        </w:tc>
      </w:tr>
      <w:tr w:rsidR="00BC49F4" w14:paraId="1A40EF5F" w14:textId="77777777" w:rsidTr="00A160DE">
        <w:tc>
          <w:tcPr>
            <w:tcW w:w="8789" w:type="dxa"/>
            <w:tcBorders>
              <w:top w:val="nil"/>
              <w:left w:val="nil"/>
              <w:bottom w:val="single" w:sz="6" w:space="0" w:color="78A22F"/>
              <w:right w:val="nil"/>
            </w:tcBorders>
            <w:shd w:val="clear" w:color="auto" w:fill="auto"/>
          </w:tcPr>
          <w:p w14:paraId="693B127B" w14:textId="77777777" w:rsidR="00BC49F4" w:rsidRDefault="00BC49F4" w:rsidP="00CE5B65">
            <w:pPr>
              <w:pStyle w:val="Figurespace"/>
              <w:spacing w:line="80" w:lineRule="exact"/>
            </w:pPr>
          </w:p>
        </w:tc>
      </w:tr>
      <w:tr w:rsidR="00BC49F4" w:rsidRPr="000863A5" w14:paraId="560605FD" w14:textId="77777777" w:rsidTr="00A160DE">
        <w:tc>
          <w:tcPr>
            <w:tcW w:w="8789" w:type="dxa"/>
            <w:tcBorders>
              <w:top w:val="single" w:sz="6" w:space="0" w:color="78A22F"/>
              <w:left w:val="nil"/>
              <w:bottom w:val="nil"/>
              <w:right w:val="nil"/>
            </w:tcBorders>
          </w:tcPr>
          <w:p w14:paraId="482BDE90" w14:textId="77777777" w:rsidR="00BC49F4" w:rsidRPr="00626D32" w:rsidRDefault="00BC49F4" w:rsidP="00FD63B2">
            <w:pPr>
              <w:pStyle w:val="BoxSpaceBelow"/>
            </w:pPr>
          </w:p>
        </w:tc>
      </w:tr>
    </w:tbl>
    <w:p w14:paraId="4020A648" w14:textId="6BE23709" w:rsidR="00C57336" w:rsidRPr="00EF5A5F" w:rsidRDefault="00CC5D6B" w:rsidP="00CE5B65">
      <w:pPr>
        <w:pStyle w:val="Heading2"/>
      </w:pPr>
      <w:bookmarkStart w:id="11" w:name="_Toc341279241"/>
      <w:bookmarkStart w:id="12" w:name="_Toc492379198"/>
      <w:r>
        <w:t>5.</w:t>
      </w:r>
      <w:r w:rsidR="006300E8">
        <w:rPr>
          <w:noProof/>
        </w:rPr>
        <w:t>3</w:t>
      </w:r>
      <w:r w:rsidR="00D660C5">
        <w:tab/>
      </w:r>
      <w:r w:rsidR="00C57336" w:rsidRPr="00EF5A5F">
        <w:t>Key performance indicator results</w:t>
      </w:r>
      <w:bookmarkEnd w:id="11"/>
      <w:bookmarkEnd w:id="12"/>
    </w:p>
    <w:p w14:paraId="3F97FD29" w14:textId="77777777" w:rsidR="00C57336" w:rsidRDefault="00626055" w:rsidP="00040DCF">
      <w:pPr>
        <w:pStyle w:val="BodyText"/>
      </w:pPr>
      <w:r>
        <w:t>D</w:t>
      </w:r>
      <w:r w:rsidR="00C57336" w:rsidRPr="00EF5A5F">
        <w:t xml:space="preserve">ifferent delivery </w:t>
      </w:r>
      <w:r w:rsidR="00052555">
        <w:t xml:space="preserve">contexts and </w:t>
      </w:r>
      <w:r w:rsidR="00C57336" w:rsidRPr="00EF5A5F">
        <w:t xml:space="preserve">locations </w:t>
      </w:r>
      <w:r>
        <w:t xml:space="preserve">can </w:t>
      </w:r>
      <w:r w:rsidR="00052555">
        <w:t xml:space="preserve">influence </w:t>
      </w:r>
      <w:r>
        <w:t>t</w:t>
      </w:r>
      <w:r w:rsidRPr="00EF5A5F">
        <w:t>he equity, effectiveness</w:t>
      </w:r>
      <w:r>
        <w:t xml:space="preserve"> and efficiency of VET services.</w:t>
      </w:r>
    </w:p>
    <w:p w14:paraId="44D7E20A" w14:textId="08870469" w:rsidR="00D9643F" w:rsidRDefault="00D9643F" w:rsidP="00D9643F">
      <w:pPr>
        <w:spacing w:before="240" w:after="240" w:line="300" w:lineRule="atLeast"/>
        <w:jc w:val="both"/>
        <w:rPr>
          <w:szCs w:val="20"/>
        </w:rPr>
      </w:pPr>
      <w:r w:rsidRPr="000F6C4E">
        <w:rPr>
          <w:szCs w:val="20"/>
        </w:rPr>
        <w:t xml:space="preserve">The comparability of performance indicator results are shaded in indicator interpretation boxes, figures and </w:t>
      </w:r>
      <w:r w:rsidR="00B605EA">
        <w:rPr>
          <w:szCs w:val="20"/>
        </w:rPr>
        <w:t>section</w:t>
      </w:r>
      <w:r w:rsidRPr="000F6C4E">
        <w:rPr>
          <w:szCs w:val="20"/>
        </w:rPr>
        <w:t xml:space="preserve"> and </w:t>
      </w:r>
      <w:r w:rsidR="00B605EA">
        <w:rPr>
          <w:szCs w:val="20"/>
        </w:rPr>
        <w:t>data</w:t>
      </w:r>
      <w:r w:rsidRPr="000F6C4E">
        <w:rPr>
          <w:szCs w:val="20"/>
        </w:rPr>
        <w:t xml:space="preserve">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D9643F" w:rsidRPr="000D77DB" w14:paraId="66D7B129" w14:textId="77777777" w:rsidTr="00FC3936">
        <w:tc>
          <w:tcPr>
            <w:tcW w:w="156" w:type="pct"/>
            <w:shd w:val="clear" w:color="auto" w:fill="auto"/>
          </w:tcPr>
          <w:p w14:paraId="290772CD"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15A25"/>
          </w:tcPr>
          <w:p w14:paraId="1DCBDBC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30BBD2DD"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30953324" w14:textId="77777777" w:rsidR="00D9643F" w:rsidRPr="006B1773" w:rsidRDefault="00D9643F" w:rsidP="006B1773">
            <w:pPr>
              <w:pStyle w:val="TableBodyText"/>
              <w:jc w:val="left"/>
            </w:pPr>
            <w:r w:rsidRPr="006B1773">
              <w:t>Data are comparable (subject to caveats) across jurisdictions and over time.</w:t>
            </w:r>
          </w:p>
        </w:tc>
      </w:tr>
      <w:tr w:rsidR="00D9643F" w:rsidRPr="000D77DB" w14:paraId="628A5EA1" w14:textId="77777777" w:rsidTr="00FC3936">
        <w:tc>
          <w:tcPr>
            <w:tcW w:w="156" w:type="pct"/>
            <w:shd w:val="clear" w:color="auto" w:fill="auto"/>
          </w:tcPr>
          <w:p w14:paraId="7BB45DDD"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CDED3"/>
          </w:tcPr>
          <w:p w14:paraId="5181DDA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7E21E905"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75F56757" w14:textId="77777777" w:rsidR="00D9643F" w:rsidRPr="006B1773" w:rsidRDefault="00D9643F" w:rsidP="006B1773">
            <w:pPr>
              <w:pStyle w:val="TableBodyText"/>
              <w:jc w:val="left"/>
            </w:pPr>
            <w:r w:rsidRPr="006B1773">
              <w:t>Data are either not comparable (subject to caveats) within jurisdictions over time or are not comparable across jurisdictions or both.</w:t>
            </w:r>
          </w:p>
        </w:tc>
      </w:tr>
    </w:tbl>
    <w:p w14:paraId="715D2139" w14:textId="0ABAC77D" w:rsidR="00D9643F" w:rsidRDefault="00D9643F" w:rsidP="00CE5B65">
      <w:pPr>
        <w:spacing w:before="240" w:after="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w:t>
      </w:r>
      <w:r w:rsidR="00B605EA">
        <w:rPr>
          <w:szCs w:val="20"/>
        </w:rPr>
        <w:t>section</w:t>
      </w:r>
      <w:r w:rsidRPr="00DF1F24">
        <w:rPr>
          <w:szCs w:val="20"/>
        </w:rPr>
        <w:t xml:space="preserve"> and </w:t>
      </w:r>
      <w:r w:rsidR="00B605EA">
        <w:rPr>
          <w:szCs w:val="20"/>
        </w:rPr>
        <w:t>data</w:t>
      </w:r>
      <w:r w:rsidRPr="00DF1F24">
        <w:rPr>
          <w:szCs w:val="20"/>
        </w:rPr>
        <w:t xml:space="preserve"> tables </w:t>
      </w:r>
      <w:r w:rsidRPr="000F6C4E">
        <w:rPr>
          <w:szCs w:val="20"/>
        </w:rPr>
        <w:t>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D9643F" w:rsidRPr="000D77DB" w14:paraId="760E210A" w14:textId="77777777" w:rsidTr="00FC3936">
        <w:tc>
          <w:tcPr>
            <w:tcW w:w="156" w:type="pct"/>
            <w:shd w:val="clear" w:color="auto" w:fill="auto"/>
          </w:tcPr>
          <w:p w14:paraId="06C9E9AB"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15A25"/>
          </w:tcPr>
          <w:p w14:paraId="0B15FF6B"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65F46B7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6CCC560D" w14:textId="1F83579E" w:rsidR="00D9643F" w:rsidRPr="00E012A1" w:rsidRDefault="00D9643F" w:rsidP="006B1773">
            <w:pPr>
              <w:pStyle w:val="TableBodyText"/>
              <w:jc w:val="left"/>
            </w:pPr>
            <w:r w:rsidRPr="00E012A1">
              <w:t>Data are complete (subject to caveats) for the current reporting period. All required data are available for all jurisdictions</w:t>
            </w:r>
            <w:r w:rsidR="00FC3936">
              <w:t>.</w:t>
            </w:r>
          </w:p>
        </w:tc>
      </w:tr>
      <w:tr w:rsidR="00D9643F" w:rsidRPr="000D77DB" w14:paraId="17C10BD3" w14:textId="77777777" w:rsidTr="00FC3936">
        <w:tc>
          <w:tcPr>
            <w:tcW w:w="156" w:type="pct"/>
            <w:shd w:val="clear" w:color="auto" w:fill="auto"/>
          </w:tcPr>
          <w:p w14:paraId="17166144"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CDED3"/>
          </w:tcPr>
          <w:p w14:paraId="509E1F15"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5D1B3701"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7819FB0D" w14:textId="77777777" w:rsidR="00D9643F" w:rsidRPr="00E012A1" w:rsidRDefault="00D9643F" w:rsidP="006B1773">
            <w:pPr>
              <w:pStyle w:val="TableBodyText"/>
              <w:jc w:val="left"/>
            </w:pPr>
            <w:r w:rsidRPr="00E012A1">
              <w:t>Data are incomplete for the current reporting period. At least some data were not available.</w:t>
            </w:r>
          </w:p>
        </w:tc>
      </w:tr>
    </w:tbl>
    <w:p w14:paraId="4BD3A51A" w14:textId="77777777" w:rsidR="00CE5B65" w:rsidRPr="00CE5B65" w:rsidRDefault="00CE5B65" w:rsidP="00CE5B65">
      <w:pPr>
        <w:spacing w:before="240" w:after="240" w:line="300" w:lineRule="atLeast"/>
        <w:jc w:val="both"/>
        <w:rPr>
          <w:szCs w:val="20"/>
        </w:rPr>
      </w:pPr>
    </w:p>
    <w:p w14:paraId="542553EE" w14:textId="77777777" w:rsidR="00CE5B65" w:rsidRDefault="00CE5B65">
      <w:pPr>
        <w:rPr>
          <w:rFonts w:ascii="Arial" w:hAnsi="Arial"/>
          <w:b/>
          <w:sz w:val="26"/>
          <w:szCs w:val="20"/>
        </w:rPr>
      </w:pPr>
      <w:r>
        <w:br w:type="page"/>
      </w:r>
    </w:p>
    <w:p w14:paraId="70332335" w14:textId="1171C1D2" w:rsidR="00C57336" w:rsidRPr="00EF5A5F" w:rsidRDefault="00C57336" w:rsidP="00281C53">
      <w:pPr>
        <w:pStyle w:val="Heading3"/>
      </w:pPr>
      <w:r w:rsidRPr="00EF5A5F">
        <w:lastRenderedPageBreak/>
        <w:t>Outputs</w:t>
      </w:r>
    </w:p>
    <w:p w14:paraId="74DAA169" w14:textId="681DA68D" w:rsidR="00D411C2" w:rsidRPr="009E5CE0" w:rsidRDefault="00D411C2" w:rsidP="00D411C2">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00B605EA">
        <w:rPr>
          <w:color w:val="000000" w:themeColor="text1"/>
        </w:rPr>
        <w:t>section</w:t>
      </w:r>
      <w:r w:rsidR="000A3C68">
        <w:rPr>
          <w:color w:val="000000" w:themeColor="text1"/>
        </w:rPr>
        <w:t> </w:t>
      </w:r>
      <w:r w:rsidRPr="009E5CE0">
        <w:rPr>
          <w:color w:val="000000" w:themeColor="text1"/>
        </w:rPr>
        <w:t>1).</w:t>
      </w:r>
      <w:r>
        <w:rPr>
          <w:color w:val="000000" w:themeColor="text1"/>
        </w:rPr>
        <w:t xml:space="preserve"> Output information is also critical for equitable, efficient and effective management of government services.</w:t>
      </w:r>
    </w:p>
    <w:p w14:paraId="026F2E69" w14:textId="15959258" w:rsidR="00C57336" w:rsidRPr="00EF5A5F" w:rsidRDefault="00423970" w:rsidP="00D411C2">
      <w:pPr>
        <w:pStyle w:val="Heading3"/>
      </w:pPr>
      <w:r>
        <w:t>Equity</w:t>
      </w:r>
    </w:p>
    <w:p w14:paraId="7E542FF5" w14:textId="77777777" w:rsidR="00C57336" w:rsidRPr="00EF5A5F" w:rsidRDefault="001B5815" w:rsidP="00D411C2">
      <w:pPr>
        <w:pStyle w:val="Heading4"/>
      </w:pPr>
      <w:r>
        <w:t xml:space="preserve">Access — </w:t>
      </w:r>
      <w:r w:rsidR="00351B98">
        <w:t>Barriers</w:t>
      </w:r>
      <w:r w:rsidR="00C03485">
        <w:t xml:space="preserve"> to </w:t>
      </w:r>
      <w:r w:rsidR="00351B98">
        <w:t xml:space="preserve">participation in </w:t>
      </w:r>
      <w:r w:rsidR="00C03485">
        <w:t>VET by target group</w:t>
      </w:r>
    </w:p>
    <w:p w14:paraId="7EC0C496" w14:textId="261C0353" w:rsidR="00856FBE" w:rsidRDefault="00C03485" w:rsidP="00463C64">
      <w:pPr>
        <w:pStyle w:val="BodyText"/>
      </w:pPr>
      <w:r>
        <w:t>‘</w:t>
      </w:r>
      <w:r w:rsidR="0048719E" w:rsidRPr="0048719E">
        <w:t xml:space="preserve">Barriers to participation in </w:t>
      </w:r>
      <w:r>
        <w:t>VET by target group’ is an</w:t>
      </w:r>
      <w:r w:rsidR="00626055" w:rsidRPr="00EF5A5F">
        <w:t xml:space="preserve"> indicator of governments’ objective</w:t>
      </w:r>
      <w:r w:rsidR="00626055">
        <w:t xml:space="preserve"> that </w:t>
      </w:r>
      <w:r w:rsidR="001511E6">
        <w:t xml:space="preserve">the national training system is provided in an equitable manner </w:t>
      </w:r>
      <w:r w:rsidR="001B5815" w:rsidRPr="00EF5A5F">
        <w:t>(box</w:t>
      </w:r>
      <w:r w:rsidR="000A3C68">
        <w:t> </w:t>
      </w:r>
      <w:r w:rsidR="00CC5D6B">
        <w:t>5.2</w:t>
      </w:r>
      <w:r w:rsidR="001B5815" w:rsidRPr="00EF5A5F">
        <w:t>)</w:t>
      </w:r>
      <w:r w:rsidR="001B5815" w:rsidRPr="00DC3600">
        <w:t xml:space="preserve">. </w:t>
      </w:r>
    </w:p>
    <w:p w14:paraId="4442A5B4" w14:textId="4101AE2E" w:rsidR="001511E6" w:rsidRDefault="001511E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511E6" w14:paraId="48F85D9F" w14:textId="77777777" w:rsidTr="00A160DE">
        <w:tc>
          <w:tcPr>
            <w:tcW w:w="8789" w:type="dxa"/>
            <w:tcBorders>
              <w:top w:val="single" w:sz="6" w:space="0" w:color="78A22F"/>
              <w:left w:val="nil"/>
              <w:bottom w:val="nil"/>
              <w:right w:val="nil"/>
            </w:tcBorders>
            <w:shd w:val="clear" w:color="auto" w:fill="F2F2F2"/>
          </w:tcPr>
          <w:p w14:paraId="4BDBC3EE" w14:textId="79A31CBE" w:rsidR="001511E6" w:rsidRDefault="001511E6" w:rsidP="006D7259">
            <w:pPr>
              <w:pStyle w:val="BoxTitle"/>
            </w:pPr>
            <w:bookmarkStart w:id="13" w:name="OLE_LINK17"/>
            <w:r>
              <w:rPr>
                <w:b w:val="0"/>
              </w:rPr>
              <w:t xml:space="preserve">Box </w:t>
            </w:r>
            <w:bookmarkStart w:id="14" w:name="OLE_LINK4"/>
            <w:r w:rsidR="00CC5D6B">
              <w:rPr>
                <w:b w:val="0"/>
              </w:rPr>
              <w:t>5.</w:t>
            </w:r>
            <w:r w:rsidR="006300E8">
              <w:rPr>
                <w:b w:val="0"/>
                <w:noProof/>
              </w:rPr>
              <w:t>2</w:t>
            </w:r>
            <w:bookmarkEnd w:id="13"/>
            <w:bookmarkEnd w:id="14"/>
            <w:r>
              <w:tab/>
            </w:r>
            <w:r w:rsidR="006D7259">
              <w:t>Barriers</w:t>
            </w:r>
            <w:r w:rsidR="00C03485">
              <w:t xml:space="preserve"> to </w:t>
            </w:r>
            <w:r w:rsidR="006D7259">
              <w:t xml:space="preserve">participation in </w:t>
            </w:r>
            <w:r w:rsidR="00C03485" w:rsidRPr="00EF5A5F">
              <w:t xml:space="preserve">VET </w:t>
            </w:r>
            <w:r w:rsidRPr="00EF5A5F">
              <w:t>by target group</w:t>
            </w:r>
          </w:p>
        </w:tc>
      </w:tr>
      <w:tr w:rsidR="001511E6" w14:paraId="70ABA6EA" w14:textId="77777777" w:rsidTr="00A160DE">
        <w:tc>
          <w:tcPr>
            <w:tcW w:w="8789" w:type="dxa"/>
            <w:tcBorders>
              <w:top w:val="nil"/>
              <w:left w:val="nil"/>
              <w:bottom w:val="nil"/>
              <w:right w:val="nil"/>
            </w:tcBorders>
            <w:shd w:val="clear" w:color="auto" w:fill="F2F2F2"/>
          </w:tcPr>
          <w:p w14:paraId="7B2C86A2" w14:textId="77777777" w:rsidR="00791121" w:rsidRPr="00EF5A5F" w:rsidRDefault="00791121" w:rsidP="00791121">
            <w:pPr>
              <w:pStyle w:val="Box"/>
            </w:pPr>
            <w:r w:rsidRPr="00EF5A5F">
              <w:t>‘</w:t>
            </w:r>
            <w:r w:rsidR="006D7259">
              <w:t>Barriers</w:t>
            </w:r>
            <w:r>
              <w:t xml:space="preserve"> to </w:t>
            </w:r>
            <w:r w:rsidR="006D7259">
              <w:t xml:space="preserve">participation in </w:t>
            </w:r>
            <w:r>
              <w:t>VET by target group</w:t>
            </w:r>
            <w:r w:rsidRPr="00EF5A5F">
              <w:t xml:space="preserve">’ is defined as the </w:t>
            </w:r>
            <w:r>
              <w:t>proportion of the population aged 15–64 years from target groups who report</w:t>
            </w:r>
            <w:r w:rsidR="006D7259">
              <w:t>ed</w:t>
            </w:r>
            <w:r>
              <w:t xml:space="preserve"> fac</w:t>
            </w:r>
            <w:r w:rsidR="006D7259">
              <w:t>ing</w:t>
            </w:r>
            <w:r>
              <w:t xml:space="preserve"> barriers to accessing </w:t>
            </w:r>
            <w:r w:rsidRPr="009B1A26">
              <w:t>or completing</w:t>
            </w:r>
            <w:r>
              <w:t xml:space="preserve"> VET courses. </w:t>
            </w:r>
            <w:r w:rsidRPr="001B5815">
              <w:t>For this Report,</w:t>
            </w:r>
            <w:r>
              <w:t xml:space="preserve"> the designated target</w:t>
            </w:r>
            <w:r w:rsidRPr="00EF5A5F">
              <w:t xml:space="preserve"> groups are:</w:t>
            </w:r>
          </w:p>
          <w:p w14:paraId="7635E7F0" w14:textId="77777777" w:rsidR="00791121" w:rsidRPr="00EF5A5F" w:rsidRDefault="00791121" w:rsidP="00791121">
            <w:pPr>
              <w:pStyle w:val="BoxListBullet"/>
            </w:pPr>
            <w:r>
              <w:t xml:space="preserve">Aboriginal and Torres Strait Islander Australians </w:t>
            </w:r>
          </w:p>
          <w:p w14:paraId="0D0FE265" w14:textId="77777777" w:rsidR="00791121" w:rsidRDefault="00791121" w:rsidP="00791121">
            <w:pPr>
              <w:pStyle w:val="BoxListBullet"/>
            </w:pPr>
            <w:r w:rsidRPr="00EF5A5F">
              <w:t>people from remote and very remote areas</w:t>
            </w:r>
            <w:r>
              <w:t xml:space="preserve"> </w:t>
            </w:r>
          </w:p>
          <w:p w14:paraId="356CE813" w14:textId="77777777" w:rsidR="00791121" w:rsidRDefault="00791121" w:rsidP="00791121">
            <w:pPr>
              <w:pStyle w:val="BoxListBullet"/>
            </w:pPr>
            <w:r w:rsidRPr="00EF5A5F">
              <w:t>people with disability</w:t>
            </w:r>
          </w:p>
          <w:p w14:paraId="2E100143" w14:textId="77777777" w:rsidR="00791121" w:rsidRPr="009B1A26" w:rsidRDefault="00791121" w:rsidP="00791121">
            <w:pPr>
              <w:pStyle w:val="BoxListBullet"/>
            </w:pPr>
            <w:r w:rsidRPr="009B1A26">
              <w:t>SEIFA groups (low socioeconomic status)</w:t>
            </w:r>
            <w:r w:rsidR="00D75B20">
              <w:t>.</w:t>
            </w:r>
          </w:p>
          <w:p w14:paraId="370D3172" w14:textId="77777777" w:rsidR="00791121" w:rsidRDefault="00791121" w:rsidP="00791121">
            <w:pPr>
              <w:pStyle w:val="BoxListBullet"/>
              <w:numPr>
                <w:ilvl w:val="0"/>
                <w:numId w:val="0"/>
              </w:numPr>
            </w:pPr>
            <w:r>
              <w:t>The proportion of people from non-target groups facing barriers to accessing or</w:t>
            </w:r>
            <w:r w:rsidRPr="009B1A26">
              <w:t xml:space="preserve"> completing</w:t>
            </w:r>
            <w:r>
              <w:t xml:space="preserve"> VET courses is used as a comparator to the target groups.</w:t>
            </w:r>
          </w:p>
          <w:p w14:paraId="102EAE8B" w14:textId="77777777" w:rsidR="00791121" w:rsidRDefault="00791121" w:rsidP="00791121">
            <w:pPr>
              <w:pStyle w:val="BoxListBullet"/>
              <w:numPr>
                <w:ilvl w:val="0"/>
                <w:numId w:val="0"/>
              </w:numPr>
            </w:pPr>
            <w:r>
              <w:t xml:space="preserve">A </w:t>
            </w:r>
            <w:r w:rsidR="00EA4941">
              <w:t xml:space="preserve">similar or </w:t>
            </w:r>
            <w:r>
              <w:t>low</w:t>
            </w:r>
            <w:r w:rsidR="00EA4941">
              <w:t>er</w:t>
            </w:r>
            <w:r>
              <w:t xml:space="preserve"> proportion of persons in target groups reporting that they encounter barriers to accessing or completing VET courses </w:t>
            </w:r>
            <w:r w:rsidR="00EA4941">
              <w:t xml:space="preserve">relative to the non-target groups </w:t>
            </w:r>
            <w:r>
              <w:t>is desirable.</w:t>
            </w:r>
          </w:p>
          <w:p w14:paraId="69EAD2F3" w14:textId="77777777" w:rsidR="00FF2BA0" w:rsidRDefault="00791121" w:rsidP="00791121">
            <w:pPr>
              <w:pStyle w:val="Box"/>
            </w:pPr>
            <w:r w:rsidRPr="00BC791C">
              <w:t>Data are not yet available for reporting against this measure.</w:t>
            </w:r>
          </w:p>
        </w:tc>
      </w:tr>
      <w:tr w:rsidR="009407E6" w14:paraId="27E03251"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042F5BC4" w14:textId="77777777" w:rsidR="009407E6" w:rsidRDefault="009407E6" w:rsidP="00C53D0C">
            <w:pPr>
              <w:pStyle w:val="Box"/>
              <w:keepNext w:val="0"/>
              <w:spacing w:before="0" w:line="120" w:lineRule="exact"/>
            </w:pPr>
          </w:p>
        </w:tc>
      </w:tr>
    </w:tbl>
    <w:p w14:paraId="5EF7052C" w14:textId="77777777" w:rsidR="00C57336" w:rsidRPr="00BB7604" w:rsidRDefault="00C57336" w:rsidP="00BB7604">
      <w:pPr>
        <w:pStyle w:val="Heading3"/>
      </w:pPr>
      <w:r w:rsidRPr="00EF5A5F">
        <w:t>Effectiveness</w:t>
      </w:r>
      <w:r w:rsidR="00782E96">
        <w:t xml:space="preserve"> </w:t>
      </w:r>
    </w:p>
    <w:p w14:paraId="458E4838" w14:textId="77777777" w:rsidR="00C57336" w:rsidRDefault="00BB7604" w:rsidP="00BB7604">
      <w:pPr>
        <w:pStyle w:val="Heading4"/>
      </w:pPr>
      <w:r>
        <w:t xml:space="preserve">Access — </w:t>
      </w:r>
      <w:r w:rsidR="00AD0242">
        <w:t xml:space="preserve">Barriers to </w:t>
      </w:r>
      <w:r w:rsidR="00AD0242" w:rsidRPr="00EF5A5F">
        <w:t>participation in VET</w:t>
      </w:r>
    </w:p>
    <w:p w14:paraId="7E756102" w14:textId="7C6559D9" w:rsidR="0042744F" w:rsidRDefault="00AD0242" w:rsidP="0086426C">
      <w:pPr>
        <w:pStyle w:val="BodyText"/>
      </w:pPr>
      <w:r w:rsidRPr="00894142">
        <w:t xml:space="preserve">‘Barriers to participation in VET’ </w:t>
      </w:r>
      <w:r>
        <w:t xml:space="preserve">is an </w:t>
      </w:r>
      <w:r w:rsidRPr="0086426C">
        <w:t xml:space="preserve">indicator of governments’ objective to </w:t>
      </w:r>
      <w:r>
        <w:t>create a national training system that is accessible to all working age Australians</w:t>
      </w:r>
      <w:r w:rsidRPr="0086426C">
        <w:t xml:space="preserve"> </w:t>
      </w:r>
      <w:r w:rsidRPr="00894142">
        <w:t>(box 5.3).</w:t>
      </w:r>
    </w:p>
    <w:p w14:paraId="781793AB" w14:textId="7883F12D" w:rsidR="00A52B96" w:rsidRDefault="00A52B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52B96" w14:paraId="0F7B347A" w14:textId="77777777" w:rsidTr="002F6696">
        <w:tc>
          <w:tcPr>
            <w:tcW w:w="8789" w:type="dxa"/>
            <w:tcBorders>
              <w:top w:val="single" w:sz="6" w:space="0" w:color="78A22F"/>
              <w:left w:val="nil"/>
              <w:bottom w:val="nil"/>
              <w:right w:val="nil"/>
            </w:tcBorders>
            <w:shd w:val="clear" w:color="auto" w:fill="F2F2F2"/>
          </w:tcPr>
          <w:p w14:paraId="3B88F065" w14:textId="71F6F0BF" w:rsidR="00A52B96" w:rsidRDefault="00A52B96" w:rsidP="00B95A6B">
            <w:pPr>
              <w:pStyle w:val="BoxTitle"/>
            </w:pPr>
            <w:r>
              <w:rPr>
                <w:b w:val="0"/>
              </w:rPr>
              <w:t xml:space="preserve">Box </w:t>
            </w:r>
            <w:bookmarkStart w:id="15" w:name="OLE_LINK13"/>
            <w:r w:rsidR="00CC5D6B">
              <w:rPr>
                <w:b w:val="0"/>
              </w:rPr>
              <w:t>5.</w:t>
            </w:r>
            <w:r w:rsidR="006300E8">
              <w:rPr>
                <w:b w:val="0"/>
                <w:noProof/>
              </w:rPr>
              <w:t>3</w:t>
            </w:r>
            <w:bookmarkEnd w:id="15"/>
            <w:r>
              <w:tab/>
            </w:r>
            <w:r w:rsidR="00AD0242">
              <w:t>Barriers to participation in</w:t>
            </w:r>
            <w:r w:rsidR="00AD0242" w:rsidRPr="006025F9">
              <w:t xml:space="preserve"> </w:t>
            </w:r>
            <w:r w:rsidR="00AD0242">
              <w:t>VET</w:t>
            </w:r>
          </w:p>
        </w:tc>
      </w:tr>
      <w:tr w:rsidR="005B371E" w14:paraId="50108FC0" w14:textId="77777777" w:rsidTr="002F6696">
        <w:tc>
          <w:tcPr>
            <w:tcW w:w="8789" w:type="dxa"/>
            <w:tcBorders>
              <w:top w:val="nil"/>
              <w:left w:val="nil"/>
              <w:bottom w:val="nil"/>
              <w:right w:val="nil"/>
            </w:tcBorders>
            <w:shd w:val="clear" w:color="auto" w:fill="F2F2F2"/>
          </w:tcPr>
          <w:p w14:paraId="320159BC" w14:textId="4742D290" w:rsidR="000E1F7E" w:rsidRPr="0082571E" w:rsidRDefault="00AD0242" w:rsidP="000E1F7E">
            <w:pPr>
              <w:pStyle w:val="Box"/>
            </w:pPr>
            <w:r>
              <w:t>‘</w:t>
            </w:r>
            <w:r w:rsidR="000E1F7E" w:rsidRPr="0082571E">
              <w:t>Barriers to participation in VET’ is defined as the proportion of the population aged 15–64 years who reported facing barriers to accessing or completing VET courses.</w:t>
            </w:r>
          </w:p>
          <w:p w14:paraId="78DC45DA" w14:textId="77777777" w:rsidR="000E1F7E" w:rsidRPr="0082571E" w:rsidRDefault="000E1F7E" w:rsidP="000E1F7E">
            <w:pPr>
              <w:pStyle w:val="Box"/>
            </w:pPr>
            <w:r w:rsidRPr="0082571E">
              <w:t>A lower proportion of persons reporting that they encounter barriers to accessing or completing VET courses is desirable.</w:t>
            </w:r>
          </w:p>
          <w:p w14:paraId="4220798E" w14:textId="77777777" w:rsidR="000E1F7E" w:rsidRDefault="000E1F7E" w:rsidP="000E1F7E">
            <w:pPr>
              <w:pStyle w:val="Box"/>
            </w:pPr>
            <w:r w:rsidRPr="0082571E">
              <w:t>Data are not yet available for reporting against this measure.</w:t>
            </w:r>
          </w:p>
          <w:p w14:paraId="780AC410" w14:textId="675C0137" w:rsidR="00A602E5" w:rsidRDefault="00670BE0" w:rsidP="00DE14D9">
            <w:pPr>
              <w:pStyle w:val="Box"/>
            </w:pPr>
            <w:r>
              <w:t xml:space="preserve">The </w:t>
            </w:r>
            <w:r w:rsidRPr="00670BE0">
              <w:t>ABS</w:t>
            </w:r>
            <w:r w:rsidR="00251D0B">
              <w:t xml:space="preserve"> S</w:t>
            </w:r>
            <w:r w:rsidR="003E0620">
              <w:t>urvey</w:t>
            </w:r>
            <w:r w:rsidRPr="00670BE0">
              <w:t xml:space="preserve"> </w:t>
            </w:r>
            <w:r w:rsidR="00251D0B">
              <w:t xml:space="preserve">of </w:t>
            </w:r>
            <w:r w:rsidRPr="00251D0B">
              <w:t xml:space="preserve">Work-Related Training and </w:t>
            </w:r>
            <w:r w:rsidRPr="006F4F72">
              <w:t>Learning</w:t>
            </w:r>
            <w:r w:rsidRPr="006F4F72">
              <w:rPr>
                <w:i/>
              </w:rPr>
              <w:t xml:space="preserve"> </w:t>
            </w:r>
            <w:r w:rsidRPr="006F4F72">
              <w:t>(</w:t>
            </w:r>
            <w:r w:rsidRPr="00670BE0">
              <w:t>WRTAL)</w:t>
            </w:r>
            <w:r>
              <w:t xml:space="preserve"> has been identified as a possible source of data</w:t>
            </w:r>
            <w:r w:rsidR="0068132F">
              <w:t xml:space="preserve"> for a future performance measure.</w:t>
            </w:r>
            <w:r>
              <w:t xml:space="preserve"> </w:t>
            </w:r>
            <w:r w:rsidR="0068132F">
              <w:t>The la</w:t>
            </w:r>
            <w:r w:rsidR="0068132F" w:rsidRPr="0068132F">
              <w:t>t</w:t>
            </w:r>
            <w:r w:rsidR="0068132F">
              <w:t>est</w:t>
            </w:r>
            <w:r w:rsidR="0068132F" w:rsidRPr="0068132F">
              <w:t xml:space="preserve"> WRTAL was conducted in 2016-17 and the next will be conducted in 2020-21</w:t>
            </w:r>
            <w:r w:rsidR="0048719E">
              <w:t xml:space="preserve">. </w:t>
            </w:r>
            <w:r w:rsidR="00FE3B74">
              <w:t xml:space="preserve">Currently, only data on </w:t>
            </w:r>
            <w:r w:rsidR="0048719E">
              <w:t xml:space="preserve">barriers to </w:t>
            </w:r>
            <w:r w:rsidR="00FE3B74">
              <w:t>non</w:t>
            </w:r>
            <w:r w:rsidR="00FE3B74">
              <w:noBreakHyphen/>
            </w:r>
            <w:r w:rsidR="00FE3B74" w:rsidRPr="00FE3B74">
              <w:t xml:space="preserve">formal learning are </w:t>
            </w:r>
            <w:r w:rsidR="00FE3B74">
              <w:t xml:space="preserve">available from </w:t>
            </w:r>
            <w:r w:rsidR="0052322B">
              <w:t xml:space="preserve">the </w:t>
            </w:r>
            <w:r w:rsidR="007C48B7">
              <w:t>WRTA</w:t>
            </w:r>
            <w:r w:rsidR="0052322B">
              <w:t>L (see table 5A.32). S</w:t>
            </w:r>
            <w:r w:rsidR="0048719E">
              <w:t xml:space="preserve">ub-section 5.4 </w:t>
            </w:r>
            <w:r w:rsidR="0052322B">
              <w:t>provides</w:t>
            </w:r>
            <w:r w:rsidR="0048719E">
              <w:t xml:space="preserve"> definitions of formal and non</w:t>
            </w:r>
            <w:r w:rsidR="0048719E">
              <w:noBreakHyphen/>
              <w:t>formal learning.</w:t>
            </w:r>
          </w:p>
        </w:tc>
      </w:tr>
      <w:tr w:rsidR="004A350E" w14:paraId="6DE582BC" w14:textId="77777777" w:rsidTr="002F6696">
        <w:trPr>
          <w:cantSplit/>
        </w:trPr>
        <w:tc>
          <w:tcPr>
            <w:tcW w:w="8789" w:type="dxa"/>
            <w:tcBorders>
              <w:top w:val="nil"/>
              <w:left w:val="nil"/>
              <w:bottom w:val="single" w:sz="6" w:space="0" w:color="78A22F"/>
              <w:right w:val="nil"/>
            </w:tcBorders>
            <w:shd w:val="clear" w:color="auto" w:fill="F2F2F2" w:themeFill="background1" w:themeFillShade="F2"/>
          </w:tcPr>
          <w:p w14:paraId="26678EFF" w14:textId="77777777" w:rsidR="004A350E" w:rsidRDefault="004A350E">
            <w:pPr>
              <w:pStyle w:val="Box"/>
              <w:spacing w:before="0" w:line="120" w:lineRule="exact"/>
            </w:pPr>
          </w:p>
        </w:tc>
      </w:tr>
      <w:tr w:rsidR="004A350E" w:rsidRPr="000863A5" w14:paraId="48DF06E4" w14:textId="77777777" w:rsidTr="002F6696">
        <w:tc>
          <w:tcPr>
            <w:tcW w:w="8789" w:type="dxa"/>
            <w:tcBorders>
              <w:top w:val="single" w:sz="6" w:space="0" w:color="78A22F"/>
              <w:left w:val="nil"/>
              <w:bottom w:val="nil"/>
              <w:right w:val="nil"/>
            </w:tcBorders>
          </w:tcPr>
          <w:p w14:paraId="18D545AF" w14:textId="77777777" w:rsidR="004A350E" w:rsidRPr="007C0ADB" w:rsidRDefault="004A350E" w:rsidP="004A350E">
            <w:pPr>
              <w:pStyle w:val="BoxSpaceBelow"/>
            </w:pPr>
          </w:p>
        </w:tc>
      </w:tr>
    </w:tbl>
    <w:p w14:paraId="2F183B23" w14:textId="2ACF5E85" w:rsidR="00852FD4" w:rsidRPr="00EF5A5F" w:rsidRDefault="00C52E55" w:rsidP="00367E63">
      <w:pPr>
        <w:pStyle w:val="Heading4"/>
        <w:spacing w:before="440"/>
      </w:pPr>
      <w:r>
        <w:t xml:space="preserve">Appropriateness — </w:t>
      </w:r>
      <w:r w:rsidR="00852FD4">
        <w:t>S</w:t>
      </w:r>
      <w:r w:rsidR="00D71436">
        <w:t xml:space="preserve">tudents who achieve </w:t>
      </w:r>
      <w:r w:rsidR="00852FD4" w:rsidRPr="006B78DE">
        <w:t xml:space="preserve">main reason for </w:t>
      </w:r>
      <w:r w:rsidR="00BD1A45">
        <w:t>training</w:t>
      </w:r>
    </w:p>
    <w:p w14:paraId="4FA16D2E" w14:textId="369F3643" w:rsidR="00852FD4" w:rsidRDefault="00852FD4" w:rsidP="00BD1A45">
      <w:pPr>
        <w:pStyle w:val="BodyText"/>
        <w:shd w:val="clear" w:color="auto" w:fill="FFFFFF" w:themeFill="background1"/>
      </w:pPr>
      <w:r w:rsidRPr="00EF5A5F">
        <w:t>‘</w:t>
      </w:r>
      <w:r w:rsidR="00D71436">
        <w:t xml:space="preserve">Students who achieve </w:t>
      </w:r>
      <w:r w:rsidR="00BD1A45" w:rsidRPr="00BD1A45">
        <w:t>main reason for training</w:t>
      </w:r>
      <w:r w:rsidRPr="00EF5A5F">
        <w:t xml:space="preserve">’ is an indicator of governments’ objective </w:t>
      </w:r>
      <w:r w:rsidR="00BD1A45">
        <w:t>to create a national training system that meets the needs of students,</w:t>
      </w:r>
      <w:r w:rsidR="00F332CD">
        <w:t xml:space="preserve"> employers and industries </w:t>
      </w:r>
      <w:r w:rsidRPr="00EF5A5F">
        <w:t>(box</w:t>
      </w:r>
      <w:r w:rsidR="000A3C68">
        <w:t> </w:t>
      </w:r>
      <w:r w:rsidR="000C17DA">
        <w:t>5.4</w:t>
      </w:r>
      <w:r w:rsidRPr="00EF5A5F">
        <w:t xml:space="preserve">). </w:t>
      </w:r>
    </w:p>
    <w:p w14:paraId="7EE651C7" w14:textId="77777777" w:rsidR="00852FD4" w:rsidRDefault="00852FD4" w:rsidP="00852FD4">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52FD4" w14:paraId="6F578A12" w14:textId="77777777" w:rsidTr="00606E20">
        <w:tc>
          <w:tcPr>
            <w:tcW w:w="8789" w:type="dxa"/>
            <w:tcBorders>
              <w:top w:val="single" w:sz="6" w:space="0" w:color="78A22F"/>
              <w:left w:val="nil"/>
              <w:bottom w:val="nil"/>
              <w:right w:val="nil"/>
            </w:tcBorders>
            <w:shd w:val="clear" w:color="auto" w:fill="F2F2F2" w:themeFill="background1" w:themeFillShade="F2"/>
          </w:tcPr>
          <w:p w14:paraId="64DC37DA" w14:textId="3B7FE380" w:rsidR="00852FD4" w:rsidRDefault="00852FD4" w:rsidP="00781A68">
            <w:pPr>
              <w:pStyle w:val="BoxTitle"/>
            </w:pPr>
            <w:r>
              <w:rPr>
                <w:b w:val="0"/>
              </w:rPr>
              <w:t xml:space="preserve">Box </w:t>
            </w:r>
            <w:bookmarkStart w:id="16" w:name="OLE_LINK3"/>
            <w:r w:rsidR="000C17DA">
              <w:rPr>
                <w:b w:val="0"/>
              </w:rPr>
              <w:t>5.</w:t>
            </w:r>
            <w:r w:rsidR="006300E8">
              <w:rPr>
                <w:b w:val="0"/>
                <w:noProof/>
              </w:rPr>
              <w:t>4</w:t>
            </w:r>
            <w:bookmarkEnd w:id="16"/>
            <w:r>
              <w:tab/>
            </w:r>
            <w:r w:rsidR="00F332CD">
              <w:t xml:space="preserve">Students who achieve </w:t>
            </w:r>
            <w:r w:rsidR="00741710" w:rsidRPr="00BD1A45">
              <w:t>main reason for training</w:t>
            </w:r>
          </w:p>
        </w:tc>
      </w:tr>
      <w:tr w:rsidR="00852FD4" w14:paraId="22DB2AFF" w14:textId="77777777" w:rsidTr="00606E20">
        <w:trPr>
          <w:cantSplit/>
        </w:trPr>
        <w:tc>
          <w:tcPr>
            <w:tcW w:w="8789" w:type="dxa"/>
            <w:tcBorders>
              <w:top w:val="nil"/>
              <w:left w:val="nil"/>
              <w:bottom w:val="nil"/>
              <w:right w:val="nil"/>
            </w:tcBorders>
            <w:shd w:val="clear" w:color="auto" w:fill="F2F2F2" w:themeFill="background1" w:themeFillShade="F2"/>
          </w:tcPr>
          <w:p w14:paraId="0C58D99D" w14:textId="77777777" w:rsidR="00852FD4" w:rsidRPr="00F43E72" w:rsidRDefault="00D71436" w:rsidP="00BD1A45">
            <w:pPr>
              <w:pStyle w:val="Box"/>
            </w:pPr>
            <w:r>
              <w:t xml:space="preserve">‘Students who achieve </w:t>
            </w:r>
            <w:r w:rsidR="00BD1A45" w:rsidRPr="00F43E72">
              <w:t>main reason for training’</w:t>
            </w:r>
            <w:r w:rsidR="00852FD4" w:rsidRPr="00F43E72">
              <w:t xml:space="preserve"> is defined as the proportion of </w:t>
            </w:r>
            <w:r w:rsidR="00CF79F7" w:rsidRPr="00F43E72">
              <w:t>government</w:t>
            </w:r>
            <w:r w:rsidR="00CF79F7" w:rsidRPr="00F43E72">
              <w:noBreakHyphen/>
              <w:t xml:space="preserve">funded VET </w:t>
            </w:r>
            <w:r w:rsidR="00166178">
              <w:t>graduates who reported</w:t>
            </w:r>
            <w:r w:rsidR="00852FD4" w:rsidRPr="00F43E72">
              <w:t xml:space="preserve"> that </w:t>
            </w:r>
            <w:r w:rsidR="00B94B62">
              <w:t>the training helped</w:t>
            </w:r>
            <w:r w:rsidR="00991076">
              <w:t xml:space="preserve"> or partly helped them achieve </w:t>
            </w:r>
            <w:r w:rsidR="00852FD4" w:rsidRPr="00F43E72">
              <w:t xml:space="preserve">their </w:t>
            </w:r>
            <w:r w:rsidR="00FF4393">
              <w:t>main reason for training</w:t>
            </w:r>
            <w:r w:rsidR="00BD1A45" w:rsidRPr="00F43E72">
              <w:t>.</w:t>
            </w:r>
          </w:p>
          <w:p w14:paraId="47A1264A"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the activities of government</w:t>
            </w:r>
            <w:r w:rsidRPr="001B2AEA">
              <w:rPr>
                <w:rFonts w:ascii="Arial" w:hAnsi="Arial"/>
                <w:sz w:val="20"/>
                <w:szCs w:val="20"/>
              </w:rPr>
              <w:noBreakHyphen/>
              <w:t>funded VET activity only.</w:t>
            </w:r>
          </w:p>
          <w:p w14:paraId="0C46BEF3" w14:textId="6767083E" w:rsidR="00A55599" w:rsidRDefault="00A55599" w:rsidP="00A55599">
            <w:pPr>
              <w:pStyle w:val="Box"/>
            </w:pPr>
            <w:r>
              <w:t>Data are collected from the annual</w:t>
            </w:r>
            <w:r w:rsidRPr="00EF5A5F">
              <w:t xml:space="preserve"> </w:t>
            </w:r>
            <w:r>
              <w:t>national Student Outcomes Survey</w:t>
            </w:r>
            <w:r w:rsidR="002C39EA">
              <w:t xml:space="preserve"> for </w:t>
            </w:r>
            <w:r w:rsidR="005F536B">
              <w:t>graduates aged 18</w:t>
            </w:r>
            <w:r w:rsidR="002C39EA">
              <w:t> </w:t>
            </w:r>
            <w:r w:rsidR="00AC7368">
              <w:t>years and over.</w:t>
            </w:r>
            <w:r w:rsidR="00252D60">
              <w:t xml:space="preserve"> </w:t>
            </w:r>
            <w:r w:rsidR="00252D60" w:rsidRPr="00821F91">
              <w:t>Survey data for a year (for example, 2019) refer to the cohort of students that graduated the year before (for example, 2018).</w:t>
            </w:r>
          </w:p>
          <w:p w14:paraId="1118307E" w14:textId="77777777" w:rsidR="00F332CD" w:rsidRDefault="00CF79F7" w:rsidP="00781A68">
            <w:pPr>
              <w:pStyle w:val="Box"/>
            </w:pPr>
            <w:r w:rsidRPr="00F43E72">
              <w:t xml:space="preserve">A high or increasing </w:t>
            </w:r>
            <w:r w:rsidR="003576AC">
              <w:t>proportion</w:t>
            </w:r>
            <w:r w:rsidR="00B94B62">
              <w:t xml:space="preserve"> of students whose training helped them </w:t>
            </w:r>
            <w:r w:rsidRPr="00F43E72">
              <w:t xml:space="preserve">achieve their main reason for training is desirable. </w:t>
            </w:r>
          </w:p>
          <w:p w14:paraId="68091ECC" w14:textId="77777777" w:rsidR="00852FD4" w:rsidRPr="00F43E72" w:rsidRDefault="00852FD4" w:rsidP="00781A68">
            <w:pPr>
              <w:pStyle w:val="Box"/>
            </w:pPr>
            <w:r w:rsidRPr="00F43E72">
              <w:t xml:space="preserve">Data reported for </w:t>
            </w:r>
            <w:r w:rsidR="00BD1A45" w:rsidRPr="00F43E72">
              <w:t xml:space="preserve">this </w:t>
            </w:r>
            <w:r w:rsidR="00C41A2A">
              <w:t>measure</w:t>
            </w:r>
            <w:r w:rsidR="00C41A2A" w:rsidRPr="00F43E72">
              <w:t xml:space="preserve"> </w:t>
            </w:r>
            <w:r w:rsidR="00922D4F">
              <w:t>are</w:t>
            </w:r>
            <w:r w:rsidRPr="00F43E72">
              <w:t>:</w:t>
            </w:r>
          </w:p>
          <w:p w14:paraId="40EF6DD2" w14:textId="77777777" w:rsidR="00852FD4" w:rsidRPr="00F43E72" w:rsidRDefault="008802DD" w:rsidP="00297089">
            <w:pPr>
              <w:pStyle w:val="Box"/>
              <w:spacing w:before="100"/>
              <w:ind w:left="284"/>
            </w:pPr>
            <w:r>
              <w:rPr>
                <w:shd w:val="clear" w:color="auto" w:fill="F15A25"/>
              </w:rPr>
              <w:t xml:space="preserve">    </w:t>
            </w:r>
            <w:r w:rsidRPr="00DC1D90">
              <w:t xml:space="preserve"> </w:t>
            </w:r>
            <w:r w:rsidR="00852FD4" w:rsidRPr="00F43E72">
              <w:t>comparable (subject to caveats) across jurisdictions and over time</w:t>
            </w:r>
          </w:p>
          <w:p w14:paraId="3C54F8D7" w14:textId="5FA3C462" w:rsidR="00852FD4" w:rsidRPr="00F43E72" w:rsidRDefault="008802DD" w:rsidP="00297089">
            <w:pPr>
              <w:pStyle w:val="Box"/>
              <w:spacing w:before="100"/>
              <w:ind w:left="284"/>
            </w:pPr>
            <w:r>
              <w:rPr>
                <w:shd w:val="clear" w:color="auto" w:fill="F15A25"/>
              </w:rPr>
              <w:t xml:space="preserve">    </w:t>
            </w:r>
            <w:r w:rsidRPr="00DC1D90">
              <w:t xml:space="preserve"> </w:t>
            </w:r>
            <w:r w:rsidR="00852FD4" w:rsidRPr="00F43E72">
              <w:t xml:space="preserve">complete for the current reporting period (subject to caveats). All required </w:t>
            </w:r>
            <w:r w:rsidR="00387D05">
              <w:t>2019</w:t>
            </w:r>
            <w:r w:rsidR="00852FD4" w:rsidRPr="00F43E72">
              <w:t xml:space="preserve"> data are available for all jurisdictions</w:t>
            </w:r>
            <w:r w:rsidR="00BD1A45" w:rsidRPr="00F43E72">
              <w:t>.</w:t>
            </w:r>
          </w:p>
        </w:tc>
      </w:tr>
      <w:tr w:rsidR="00852FD4" w14:paraId="0F47F05B"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4D0D38C6" w14:textId="77777777" w:rsidR="00852FD4" w:rsidRDefault="00852FD4" w:rsidP="00367E63">
            <w:pPr>
              <w:pStyle w:val="Box"/>
              <w:keepNext w:val="0"/>
              <w:spacing w:before="0" w:line="120" w:lineRule="exact"/>
            </w:pPr>
          </w:p>
        </w:tc>
      </w:tr>
    </w:tbl>
    <w:p w14:paraId="31C571F7" w14:textId="0F26EAF8" w:rsidR="00AD0242" w:rsidRDefault="00852FD4" w:rsidP="00817A92">
      <w:pPr>
        <w:pStyle w:val="BodyText"/>
      </w:pPr>
      <w:r w:rsidRPr="00A5665A">
        <w:t xml:space="preserve">Nationally </w:t>
      </w:r>
      <w:r w:rsidR="00541264" w:rsidRPr="00B05D55">
        <w:t>in 2019, 82.1 per cent of</w:t>
      </w:r>
      <w:r w:rsidR="00541264">
        <w:t xml:space="preserve"> </w:t>
      </w:r>
      <w:r w:rsidR="00322445" w:rsidRPr="00A5665A">
        <w:t>government</w:t>
      </w:r>
      <w:r w:rsidR="00322445" w:rsidRPr="00A5665A">
        <w:noBreakHyphen/>
        <w:t xml:space="preserve">funded </w:t>
      </w:r>
      <w:r w:rsidR="00536B8A" w:rsidRPr="00821F91">
        <w:t>2018</w:t>
      </w:r>
      <w:r w:rsidR="00536B8A" w:rsidRPr="00A5665A">
        <w:t xml:space="preserve"> </w:t>
      </w:r>
      <w:r w:rsidR="00322445" w:rsidRPr="00A5665A">
        <w:t>VET graduates</w:t>
      </w:r>
      <w:r w:rsidR="00817A92" w:rsidRPr="00D74951">
        <w:t xml:space="preserve"> </w:t>
      </w:r>
      <w:r w:rsidR="005F536B" w:rsidRPr="00D74951">
        <w:t>reported that</w:t>
      </w:r>
      <w:r w:rsidR="00991076" w:rsidRPr="00D74951">
        <w:t xml:space="preserve"> training </w:t>
      </w:r>
      <w:r w:rsidR="00B94B62" w:rsidRPr="00D74951">
        <w:t>helped</w:t>
      </w:r>
      <w:r w:rsidR="00FF4393" w:rsidRPr="00D74951">
        <w:t xml:space="preserve"> </w:t>
      </w:r>
      <w:r w:rsidR="00AB6B08" w:rsidRPr="00D74951">
        <w:t xml:space="preserve">to fully </w:t>
      </w:r>
      <w:r w:rsidR="00FF4393" w:rsidRPr="00D74951">
        <w:t xml:space="preserve">or partly </w:t>
      </w:r>
      <w:r w:rsidR="00991076" w:rsidRPr="00D74951">
        <w:t>achieve</w:t>
      </w:r>
      <w:r w:rsidR="009B387E" w:rsidRPr="00D74951">
        <w:t xml:space="preserve"> </w:t>
      </w:r>
      <w:r w:rsidR="00322445" w:rsidRPr="00D74951">
        <w:t xml:space="preserve">their main reason for training  </w:t>
      </w:r>
      <w:r w:rsidRPr="00D74951">
        <w:t>(figure </w:t>
      </w:r>
      <w:r w:rsidR="00706E9E" w:rsidRPr="00D74951">
        <w:t>5.</w:t>
      </w:r>
      <w:r w:rsidR="00F36604" w:rsidRPr="00D74951">
        <w:t>4</w:t>
      </w:r>
      <w:r w:rsidR="00E350AF" w:rsidRPr="00D74951">
        <w:t xml:space="preserve">). </w:t>
      </w:r>
      <w:r w:rsidR="006F03E6" w:rsidRPr="00D74951">
        <w:t xml:space="preserve">The proportion was </w:t>
      </w:r>
      <w:r w:rsidR="006F03E6" w:rsidRPr="00E03B62">
        <w:t xml:space="preserve">similar for </w:t>
      </w:r>
      <w:r w:rsidR="006F03E6" w:rsidRPr="00D74951">
        <w:t>Aboriginal and Torres Strait Islander government</w:t>
      </w:r>
      <w:r w:rsidR="006F03E6" w:rsidRPr="00D74951">
        <w:noBreakHyphen/>
      </w:r>
      <w:r w:rsidR="006F03E6" w:rsidRPr="000564F3">
        <w:t>funded graduates (table 5A.1</w:t>
      </w:r>
      <w:r w:rsidR="006F03E6">
        <w:t>3</w:t>
      </w:r>
      <w:r w:rsidR="006F03E6" w:rsidRPr="000564F3">
        <w:t>).</w:t>
      </w:r>
    </w:p>
    <w:p w14:paraId="7F232ABB" w14:textId="78C83CB6" w:rsidR="00EC6243" w:rsidRDefault="00EC6243" w:rsidP="007A48E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6243" w14:paraId="2DB7C142" w14:textId="77777777" w:rsidTr="00DD0399">
        <w:trPr>
          <w:tblHeader/>
        </w:trPr>
        <w:tc>
          <w:tcPr>
            <w:tcW w:w="5000" w:type="pct"/>
            <w:tcBorders>
              <w:top w:val="single" w:sz="6" w:space="0" w:color="78A22F"/>
              <w:left w:val="nil"/>
              <w:bottom w:val="nil"/>
              <w:right w:val="nil"/>
            </w:tcBorders>
            <w:shd w:val="clear" w:color="auto" w:fill="auto"/>
          </w:tcPr>
          <w:p w14:paraId="032B430B" w14:textId="7FF94F34" w:rsidR="00982ECD" w:rsidRPr="00611A44" w:rsidRDefault="00EC6243" w:rsidP="00611A44">
            <w:pPr>
              <w:pStyle w:val="FigureTitle"/>
              <w:rPr>
                <w:position w:val="6"/>
                <w:sz w:val="18"/>
              </w:rPr>
            </w:pPr>
            <w:r w:rsidRPr="00784A05">
              <w:rPr>
                <w:b w:val="0"/>
              </w:rPr>
              <w:t xml:space="preserve">Figure </w:t>
            </w:r>
            <w:r>
              <w:rPr>
                <w:b w:val="0"/>
              </w:rPr>
              <w:t>5.</w:t>
            </w:r>
            <w:r w:rsidR="006300E8">
              <w:rPr>
                <w:b w:val="0"/>
                <w:noProof/>
              </w:rPr>
              <w:t>4</w:t>
            </w:r>
            <w:r>
              <w:tab/>
              <w:t>Government</w:t>
            </w:r>
            <w:r w:rsidR="00891079">
              <w:noBreakHyphen/>
            </w:r>
            <w:r>
              <w:t xml:space="preserve">funded </w:t>
            </w:r>
            <w:r w:rsidRPr="00263BA3">
              <w:t>VET graduates who</w:t>
            </w:r>
            <w:r>
              <w:t>se training helped or partly helped achieve</w:t>
            </w:r>
            <w:r w:rsidRPr="00263BA3">
              <w:t xml:space="preserve"> </w:t>
            </w:r>
            <w:r>
              <w:t>main reason for training</w:t>
            </w:r>
            <w:r w:rsidRPr="00263BA3">
              <w:rPr>
                <w:rStyle w:val="NoteLabel"/>
                <w:b/>
              </w:rPr>
              <w:t>a</w:t>
            </w:r>
            <w:r>
              <w:rPr>
                <w:rStyle w:val="NoteLabel"/>
                <w:b/>
              </w:rPr>
              <w:t>, b</w:t>
            </w:r>
          </w:p>
        </w:tc>
      </w:tr>
      <w:tr w:rsidR="00EC6243" w14:paraId="57029A46" w14:textId="77777777" w:rsidTr="00DD0399">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92FD4" w:rsidRPr="00B1465D" w14:paraId="44AAFCC6" w14:textId="77777777" w:rsidTr="00992FD4">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92FD4" w:rsidRPr="00C96187" w14:paraId="0A197F93" w14:textId="77777777" w:rsidTr="00992FD4">
                    <w:tc>
                      <w:tcPr>
                        <w:tcW w:w="304" w:type="dxa"/>
                        <w:tcBorders>
                          <w:top w:val="nil"/>
                          <w:left w:val="nil"/>
                          <w:bottom w:val="nil"/>
                          <w:right w:val="nil"/>
                        </w:tcBorders>
                        <w:shd w:val="clear" w:color="auto" w:fill="auto"/>
                        <w:tcMar>
                          <w:top w:w="28" w:type="dxa"/>
                          <w:bottom w:w="28" w:type="dxa"/>
                        </w:tcMar>
                      </w:tcPr>
                      <w:p w14:paraId="7D7DC6A9" w14:textId="77777777" w:rsidR="00992FD4" w:rsidRPr="00C96187" w:rsidRDefault="00992FD4" w:rsidP="00992FD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3B2F63" w14:textId="77777777" w:rsidR="00992FD4" w:rsidRPr="00C96187" w:rsidRDefault="00992FD4" w:rsidP="00992FD4">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95DBAE" w14:textId="77777777" w:rsidR="00992FD4" w:rsidRPr="006B1773" w:rsidRDefault="00992FD4" w:rsidP="006B1773">
                        <w:pPr>
                          <w:pStyle w:val="TableBodyText"/>
                          <w:jc w:val="left"/>
                        </w:pPr>
                        <w:r w:rsidRPr="006B1773">
                          <w:t>Data are comparable (subject to caveats) across jurisdictions and over time.</w:t>
                        </w:r>
                      </w:p>
                    </w:tc>
                  </w:tr>
                  <w:tr w:rsidR="00992FD4" w:rsidRPr="00C96187" w14:paraId="17B35AA8" w14:textId="77777777" w:rsidTr="00D75B20">
                    <w:tc>
                      <w:tcPr>
                        <w:tcW w:w="304" w:type="dxa"/>
                        <w:tcBorders>
                          <w:top w:val="nil"/>
                          <w:left w:val="nil"/>
                          <w:bottom w:val="nil"/>
                          <w:right w:val="nil"/>
                        </w:tcBorders>
                        <w:shd w:val="clear" w:color="auto" w:fill="auto"/>
                        <w:tcMar>
                          <w:top w:w="28" w:type="dxa"/>
                          <w:bottom w:w="28" w:type="dxa"/>
                        </w:tcMar>
                      </w:tcPr>
                      <w:p w14:paraId="0F3FEA52" w14:textId="77777777" w:rsidR="00992FD4" w:rsidRPr="00C96187" w:rsidRDefault="00992FD4" w:rsidP="00992FD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20CFCF2" w14:textId="77777777" w:rsidR="00992FD4" w:rsidRPr="00C90895" w:rsidRDefault="00992FD4" w:rsidP="00992FD4">
                        <w:pPr>
                          <w:keepNext/>
                          <w:keepLines/>
                          <w:spacing w:before="60" w:after="60" w:line="240" w:lineRule="atLeast"/>
                          <w:jc w:val="center"/>
                        </w:pPr>
                      </w:p>
                    </w:tc>
                    <w:tc>
                      <w:tcPr>
                        <w:tcW w:w="7938" w:type="dxa"/>
                        <w:tcBorders>
                          <w:top w:val="nil"/>
                          <w:left w:val="nil"/>
                          <w:bottom w:val="nil"/>
                          <w:right w:val="nil"/>
                        </w:tcBorders>
                        <w:shd w:val="clear" w:color="auto" w:fill="auto"/>
                      </w:tcPr>
                      <w:p w14:paraId="67508962" w14:textId="77777777" w:rsidR="00992FD4" w:rsidRPr="006B1773" w:rsidRDefault="00992FD4" w:rsidP="00C7218B">
                        <w:pPr>
                          <w:pStyle w:val="TableBodyText"/>
                          <w:jc w:val="left"/>
                        </w:pPr>
                        <w:r w:rsidRPr="006B1773">
                          <w:t>Data are complete (subject to caveats) fo</w:t>
                        </w:r>
                        <w:r w:rsidR="00C7218B">
                          <w:t>r the current reporting period.</w:t>
                        </w:r>
                      </w:p>
                    </w:tc>
                  </w:tr>
                </w:tbl>
                <w:p w14:paraId="56A9A1A4" w14:textId="77777777" w:rsidR="00992FD4" w:rsidRDefault="00992FD4" w:rsidP="007A48EE">
                  <w:pPr>
                    <w:pStyle w:val="Figure"/>
                    <w:spacing w:before="60" w:after="60"/>
                    <w:rPr>
                      <w:rFonts w:ascii="Arial" w:hAnsi="Arial" w:cs="Arial"/>
                      <w:sz w:val="18"/>
                      <w:szCs w:val="18"/>
                    </w:rPr>
                  </w:pPr>
                </w:p>
              </w:tc>
            </w:tr>
            <w:tr w:rsidR="00EC6243" w:rsidRPr="00B1465D" w14:paraId="754FF118" w14:textId="77777777" w:rsidTr="00B05D55">
              <w:tblPrEx>
                <w:tblCellMar>
                  <w:left w:w="108" w:type="dxa"/>
                  <w:right w:w="108" w:type="dxa"/>
                </w:tblCellMar>
              </w:tblPrEx>
              <w:trPr>
                <w:tblHeader/>
                <w:jc w:val="center"/>
              </w:trPr>
              <w:tc>
                <w:tcPr>
                  <w:tcW w:w="5000" w:type="pct"/>
                  <w:tcBorders>
                    <w:top w:val="nil"/>
                    <w:bottom w:val="nil"/>
                  </w:tcBorders>
                  <w:shd w:val="clear" w:color="auto" w:fill="auto"/>
                </w:tcPr>
                <w:p w14:paraId="6EB01CDB" w14:textId="1D91A5DC" w:rsidR="00982ECD" w:rsidRPr="00B1465D" w:rsidRDefault="00821F91" w:rsidP="00982ECD">
                  <w:pPr>
                    <w:pStyle w:val="Figure"/>
                    <w:spacing w:before="60" w:after="60"/>
                    <w:jc w:val="left"/>
                    <w:rPr>
                      <w:rFonts w:ascii="Arial" w:hAnsi="Arial" w:cs="Arial"/>
                      <w:sz w:val="18"/>
                      <w:szCs w:val="18"/>
                    </w:rPr>
                  </w:pPr>
                  <w:r>
                    <w:rPr>
                      <w:noProof/>
                    </w:rPr>
                    <w:drawing>
                      <wp:inline distT="0" distB="0" distL="0" distR="0" wp14:anchorId="7794A1B7" wp14:editId="54C616A0">
                        <wp:extent cx="5365630" cy="2765197"/>
                        <wp:effectExtent l="0" t="0" r="6985" b="0"/>
                        <wp:docPr id="3" name="Chart 3" descr="Figure 5.4 Government-funded VET graduates whose training helped or partly helped achieve main reason for training.&#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64506" w:rsidDel="00982ECD">
                    <w:rPr>
                      <w:rFonts w:ascii="Arial" w:hAnsi="Arial" w:cs="Arial"/>
                      <w:noProof/>
                      <w:sz w:val="18"/>
                      <w:szCs w:val="18"/>
                    </w:rPr>
                    <w:t xml:space="preserve"> </w:t>
                  </w:r>
                </w:p>
              </w:tc>
            </w:tr>
          </w:tbl>
          <w:p w14:paraId="16E12985" w14:textId="77777777" w:rsidR="00EC6243" w:rsidRDefault="00EC6243" w:rsidP="007A48EE">
            <w:pPr>
              <w:pStyle w:val="Figure"/>
            </w:pPr>
          </w:p>
        </w:tc>
      </w:tr>
      <w:tr w:rsidR="00EC6243" w:rsidRPr="00176D3F" w14:paraId="0C4CCCD6" w14:textId="77777777" w:rsidTr="001D5321">
        <w:tc>
          <w:tcPr>
            <w:tcW w:w="5000" w:type="pct"/>
            <w:tcBorders>
              <w:top w:val="nil"/>
              <w:left w:val="nil"/>
              <w:bottom w:val="nil"/>
              <w:right w:val="nil"/>
            </w:tcBorders>
            <w:shd w:val="clear" w:color="auto" w:fill="auto"/>
          </w:tcPr>
          <w:p w14:paraId="19E549CC" w14:textId="3DFE8F45" w:rsidR="00EC6243" w:rsidRPr="00176D3F" w:rsidRDefault="00EC6243" w:rsidP="00C7218B">
            <w:pPr>
              <w:pStyle w:val="Note"/>
            </w:pPr>
            <w:proofErr w:type="spellStart"/>
            <w:r>
              <w:rPr>
                <w:rStyle w:val="NoteLabel"/>
              </w:rPr>
              <w:t>a</w:t>
            </w:r>
            <w:proofErr w:type="spellEnd"/>
            <w:r>
              <w:t xml:space="preserve"> </w:t>
            </w:r>
            <w:r w:rsidRPr="00E12C0A">
              <w:t xml:space="preserve">Error bars represent the 95 per cent confidence interval associated with each point estimate </w:t>
            </w:r>
            <w:r>
              <w:rPr>
                <w:rStyle w:val="NoteLabel"/>
              </w:rPr>
              <w:t>b</w:t>
            </w:r>
            <w:r>
              <w:t xml:space="preserve"> See box</w:t>
            </w:r>
            <w:r w:rsidR="00DD5279">
              <w:t> </w:t>
            </w:r>
            <w:r>
              <w:t xml:space="preserve">5.4 </w:t>
            </w:r>
            <w:r w:rsidRPr="00E12C0A">
              <w:t>and table 5A.1</w:t>
            </w:r>
            <w:r w:rsidR="00EA66CA">
              <w:t>3</w:t>
            </w:r>
            <w:r w:rsidRPr="00E12C0A">
              <w:t xml:space="preserve"> for</w:t>
            </w:r>
            <w:r w:rsidRPr="006D3797">
              <w:t xml:space="preserve"> detailed definitions, footnotes and caveats</w:t>
            </w:r>
            <w:r>
              <w:t>.</w:t>
            </w:r>
          </w:p>
        </w:tc>
      </w:tr>
      <w:tr w:rsidR="00EC6243" w:rsidRPr="00176D3F" w14:paraId="2FDAC35E" w14:textId="77777777" w:rsidTr="001D5321">
        <w:tc>
          <w:tcPr>
            <w:tcW w:w="5000" w:type="pct"/>
            <w:tcBorders>
              <w:top w:val="nil"/>
              <w:left w:val="nil"/>
              <w:bottom w:val="nil"/>
              <w:right w:val="nil"/>
            </w:tcBorders>
            <w:shd w:val="clear" w:color="auto" w:fill="auto"/>
          </w:tcPr>
          <w:p w14:paraId="795AEA48" w14:textId="7240556C" w:rsidR="00EC6243" w:rsidRPr="00176D3F" w:rsidRDefault="00EC6243" w:rsidP="00CC4EBA">
            <w:pPr>
              <w:pStyle w:val="Source"/>
            </w:pPr>
            <w:r>
              <w:rPr>
                <w:i/>
              </w:rPr>
              <w:t>S</w:t>
            </w:r>
            <w:r w:rsidRPr="00784A05">
              <w:rPr>
                <w:i/>
              </w:rPr>
              <w:t>ource</w:t>
            </w:r>
            <w:r w:rsidRPr="00176D3F">
              <w:t xml:space="preserve">: </w:t>
            </w:r>
            <w:r w:rsidR="00CC4EBA" w:rsidRPr="00821F91">
              <w:t>NCVER, National Student Outcomes Survey</w:t>
            </w:r>
            <w:r w:rsidRPr="008C1DD2">
              <w:t>; table</w:t>
            </w:r>
            <w:r>
              <w:t> </w:t>
            </w:r>
            <w:r w:rsidRPr="008C1DD2">
              <w:t>5A.</w:t>
            </w:r>
            <w:r>
              <w:t>1</w:t>
            </w:r>
            <w:r w:rsidR="00EA66CA">
              <w:t>3</w:t>
            </w:r>
            <w:r w:rsidRPr="008C1DD2">
              <w:t>.</w:t>
            </w:r>
          </w:p>
        </w:tc>
      </w:tr>
      <w:tr w:rsidR="00EC6243" w14:paraId="05242A1A" w14:textId="77777777" w:rsidTr="001D5321">
        <w:tc>
          <w:tcPr>
            <w:tcW w:w="5000" w:type="pct"/>
            <w:tcBorders>
              <w:top w:val="nil"/>
              <w:left w:val="nil"/>
              <w:bottom w:val="single" w:sz="6" w:space="0" w:color="78A22F"/>
              <w:right w:val="nil"/>
            </w:tcBorders>
            <w:shd w:val="clear" w:color="auto" w:fill="auto"/>
          </w:tcPr>
          <w:p w14:paraId="7685C6AF" w14:textId="77777777" w:rsidR="00EC6243" w:rsidRDefault="00EC6243" w:rsidP="007A48EE">
            <w:pPr>
              <w:pStyle w:val="Figurespace"/>
            </w:pPr>
          </w:p>
        </w:tc>
      </w:tr>
      <w:tr w:rsidR="00EC6243" w:rsidRPr="000863A5" w14:paraId="7B9B4578" w14:textId="77777777" w:rsidTr="007A48EE">
        <w:tc>
          <w:tcPr>
            <w:tcW w:w="5000" w:type="pct"/>
            <w:tcBorders>
              <w:top w:val="single" w:sz="6" w:space="0" w:color="78A22F"/>
              <w:left w:val="nil"/>
              <w:bottom w:val="nil"/>
              <w:right w:val="nil"/>
            </w:tcBorders>
          </w:tcPr>
          <w:p w14:paraId="576FEB1B" w14:textId="34CE0B94" w:rsidR="00EC6243" w:rsidRPr="00626D32" w:rsidRDefault="00EC6243" w:rsidP="007A48EE">
            <w:pPr>
              <w:pStyle w:val="BoxSpaceBelow"/>
            </w:pPr>
          </w:p>
        </w:tc>
      </w:tr>
    </w:tbl>
    <w:p w14:paraId="0EC5048F" w14:textId="77777777" w:rsidR="00852FD4" w:rsidRDefault="00741710" w:rsidP="00741710">
      <w:pPr>
        <w:pStyle w:val="Heading4"/>
      </w:pPr>
      <w:r>
        <w:t>Appro</w:t>
      </w:r>
      <w:r w:rsidR="009262B5">
        <w:t>priateness — Employer satisfaction</w:t>
      </w:r>
      <w:r>
        <w:t xml:space="preserve"> with VET</w:t>
      </w:r>
    </w:p>
    <w:p w14:paraId="374C8E15" w14:textId="620B1BF8" w:rsidR="00A55599" w:rsidRDefault="00A55599" w:rsidP="00A55599">
      <w:pPr>
        <w:pStyle w:val="BodyText"/>
        <w:shd w:val="clear" w:color="auto" w:fill="FFFFFF" w:themeFill="background1"/>
      </w:pPr>
      <w:r w:rsidRPr="00EF5A5F">
        <w:t>‘</w:t>
      </w:r>
      <w:r>
        <w:t>Employer satisfaction with VET</w:t>
      </w:r>
      <w:r w:rsidRPr="00EF5A5F">
        <w:t xml:space="preserve">’ is an indicator of governments’ objective </w:t>
      </w:r>
      <w:r>
        <w:t xml:space="preserve">to create a </w:t>
      </w:r>
      <w:r w:rsidRPr="00087CD1">
        <w:t xml:space="preserve">national training system that </w:t>
      </w:r>
      <w:r w:rsidR="004E6270">
        <w:t xml:space="preserve">meets the needs of students, employers and industries </w:t>
      </w:r>
      <w:r w:rsidR="00F718AB">
        <w:t>(box </w:t>
      </w:r>
      <w:r w:rsidR="000C17DA">
        <w:t>5.5</w:t>
      </w:r>
      <w:r w:rsidR="00796192">
        <w:t>)</w:t>
      </w:r>
      <w:r w:rsidRPr="00B64BA8">
        <w:t>.</w:t>
      </w:r>
    </w:p>
    <w:p w14:paraId="0EF394F2" w14:textId="77777777" w:rsidR="00A55599" w:rsidRDefault="00A55599" w:rsidP="00A555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55599" w14:paraId="41099ADC" w14:textId="77777777" w:rsidTr="00606E20">
        <w:tc>
          <w:tcPr>
            <w:tcW w:w="8789" w:type="dxa"/>
            <w:tcBorders>
              <w:top w:val="single" w:sz="6" w:space="0" w:color="78A22F"/>
              <w:left w:val="nil"/>
              <w:bottom w:val="nil"/>
              <w:right w:val="nil"/>
            </w:tcBorders>
            <w:shd w:val="clear" w:color="auto" w:fill="F2F2F2"/>
          </w:tcPr>
          <w:p w14:paraId="31A5CF2C" w14:textId="0E4D4B51" w:rsidR="00A55599" w:rsidRDefault="00A55599" w:rsidP="008E396B">
            <w:pPr>
              <w:pStyle w:val="BoxTitle"/>
            </w:pPr>
            <w:r>
              <w:rPr>
                <w:b w:val="0"/>
              </w:rPr>
              <w:t xml:space="preserve">Box </w:t>
            </w:r>
            <w:bookmarkStart w:id="17" w:name="OLE_LINK11"/>
            <w:r w:rsidR="00B742DA">
              <w:rPr>
                <w:b w:val="0"/>
              </w:rPr>
              <w:t>5.</w:t>
            </w:r>
            <w:r w:rsidR="006300E8">
              <w:rPr>
                <w:b w:val="0"/>
                <w:noProof/>
              </w:rPr>
              <w:t>5</w:t>
            </w:r>
            <w:bookmarkEnd w:id="17"/>
            <w:r>
              <w:tab/>
            </w:r>
            <w:r w:rsidRPr="00EF5A5F">
              <w:t>Employer satisfaction with VET</w:t>
            </w:r>
          </w:p>
        </w:tc>
      </w:tr>
      <w:tr w:rsidR="00A55599" w14:paraId="3A1D2CAD" w14:textId="77777777" w:rsidTr="00606E20">
        <w:trPr>
          <w:cantSplit/>
        </w:trPr>
        <w:tc>
          <w:tcPr>
            <w:tcW w:w="8789" w:type="dxa"/>
            <w:tcBorders>
              <w:top w:val="nil"/>
              <w:left w:val="nil"/>
              <w:bottom w:val="nil"/>
              <w:right w:val="nil"/>
            </w:tcBorders>
            <w:shd w:val="clear" w:color="auto" w:fill="F2F2F2"/>
          </w:tcPr>
          <w:p w14:paraId="2886B587" w14:textId="77777777" w:rsidR="00A55599" w:rsidRPr="00441642" w:rsidRDefault="00A55599" w:rsidP="008E396B">
            <w:pPr>
              <w:pStyle w:val="Box"/>
            </w:pPr>
            <w:r w:rsidRPr="00E77AE1">
              <w:t>‘Employer satisfaction with VET’ is defined</w:t>
            </w:r>
            <w:r w:rsidR="00B74E26">
              <w:t xml:space="preserve"> as the proportion of</w:t>
            </w:r>
            <w:r w:rsidRPr="00E77AE1">
              <w:t xml:space="preserve"> employers who engaged in an aspect of VET</w:t>
            </w:r>
            <w:r w:rsidR="00E51729">
              <w:t xml:space="preserve">, and who are satisfied with all forms of VET </w:t>
            </w:r>
            <w:r w:rsidR="00825D70">
              <w:t>engagement</w:t>
            </w:r>
            <w:r w:rsidRPr="00E77AE1">
              <w:t xml:space="preserve">. </w:t>
            </w:r>
          </w:p>
          <w:p w14:paraId="52EEBA15" w14:textId="38B8055F" w:rsidR="00F718AB" w:rsidRPr="001B2AEA" w:rsidRDefault="00F718AB" w:rsidP="00F718AB">
            <w:pPr>
              <w:keepNext/>
              <w:spacing w:before="120" w:line="260" w:lineRule="atLeast"/>
              <w:jc w:val="both"/>
              <w:rPr>
                <w:rFonts w:ascii="Arial" w:hAnsi="Arial"/>
                <w:sz w:val="20"/>
                <w:szCs w:val="20"/>
              </w:rPr>
            </w:pPr>
            <w:r w:rsidRPr="001B2AEA">
              <w:rPr>
                <w:rFonts w:ascii="Arial" w:hAnsi="Arial"/>
                <w:sz w:val="20"/>
                <w:szCs w:val="20"/>
              </w:rPr>
              <w:t>Engagement with VET includes if the employer had employees undertaking an apprenticeship or traineeship, or had arranged or provided their employees with nation</w:t>
            </w:r>
            <w:r>
              <w:rPr>
                <w:rFonts w:ascii="Arial" w:hAnsi="Arial"/>
                <w:sz w:val="20"/>
                <w:szCs w:val="20"/>
              </w:rPr>
              <w:t xml:space="preserve">ally recognised training, or </w:t>
            </w:r>
            <w:r w:rsidRPr="001B2AEA">
              <w:rPr>
                <w:rFonts w:ascii="Arial" w:hAnsi="Arial"/>
                <w:sz w:val="20"/>
                <w:szCs w:val="20"/>
              </w:rPr>
              <w:t>had employees with formal vocational qualification</w:t>
            </w:r>
            <w:r w:rsidR="009B4A28">
              <w:rPr>
                <w:rFonts w:ascii="Arial" w:hAnsi="Arial"/>
                <w:sz w:val="20"/>
                <w:szCs w:val="20"/>
              </w:rPr>
              <w:t>s</w:t>
            </w:r>
            <w:r w:rsidRPr="001B2AEA">
              <w:rPr>
                <w:rFonts w:ascii="Arial" w:hAnsi="Arial"/>
                <w:sz w:val="20"/>
                <w:szCs w:val="20"/>
              </w:rPr>
              <w:t xml:space="preserve"> as a requirement of their job.</w:t>
            </w:r>
          </w:p>
          <w:p w14:paraId="2B65A0C1"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total VET activity.</w:t>
            </w:r>
            <w:r w:rsidR="00BF702A">
              <w:rPr>
                <w:rStyle w:val="FootnoteReference"/>
                <w:szCs w:val="20"/>
              </w:rPr>
              <w:footnoteReference w:id="5"/>
            </w:r>
          </w:p>
          <w:p w14:paraId="74D4DFE1" w14:textId="44786935" w:rsidR="00A55599" w:rsidRDefault="002F3872" w:rsidP="008E396B">
            <w:pPr>
              <w:pStyle w:val="Box"/>
            </w:pPr>
            <w:r>
              <w:t>Data are collected from the</w:t>
            </w:r>
            <w:r w:rsidR="00A55599">
              <w:t xml:space="preserve"> </w:t>
            </w:r>
            <w:r w:rsidR="00A55599" w:rsidRPr="00EF5A5F">
              <w:t xml:space="preserve">biennial </w:t>
            </w:r>
            <w:r>
              <w:t>S</w:t>
            </w:r>
            <w:r w:rsidR="00A55599" w:rsidRPr="001622AA">
              <w:t>urvey</w:t>
            </w:r>
            <w:r>
              <w:t xml:space="preserve"> of Employer</w:t>
            </w:r>
            <w:r w:rsidR="00683F2A">
              <w:t>s’</w:t>
            </w:r>
            <w:r>
              <w:t xml:space="preserve"> Use and Views of the VET system</w:t>
            </w:r>
            <w:r w:rsidR="00A55599" w:rsidRPr="001622AA">
              <w:t xml:space="preserve"> </w:t>
            </w:r>
            <w:r w:rsidR="00A55599">
              <w:t>and re</w:t>
            </w:r>
            <w:r w:rsidR="00A55599" w:rsidRPr="00EF5A5F">
              <w:t>present the responses of employers with at least one employee and their training experiences in the 12 months prior to the survey</w:t>
            </w:r>
            <w:r w:rsidR="00A55599" w:rsidRPr="00817A92">
              <w:t>.</w:t>
            </w:r>
          </w:p>
          <w:p w14:paraId="259DBDCA" w14:textId="77777777" w:rsidR="00A55599" w:rsidRPr="00E77AE1" w:rsidRDefault="00A55599" w:rsidP="008E396B">
            <w:pPr>
              <w:pStyle w:val="Box"/>
            </w:pPr>
            <w:r w:rsidRPr="00E77AE1">
              <w:t>A high or increasing proportion of employers who are satisfied with VET in meeting the skill needs of their workforce is desirable.</w:t>
            </w:r>
          </w:p>
          <w:p w14:paraId="2F86BC62" w14:textId="77777777" w:rsidR="00A55599" w:rsidRPr="00E77AE1" w:rsidRDefault="00A55599" w:rsidP="008E396B">
            <w:pPr>
              <w:pStyle w:val="Box"/>
            </w:pPr>
            <w:r w:rsidRPr="00E77AE1">
              <w:t xml:space="preserve">Data reported for this </w:t>
            </w:r>
            <w:r w:rsidR="00C41A2A">
              <w:t>measure</w:t>
            </w:r>
            <w:r w:rsidR="00C41A2A" w:rsidRPr="00E77AE1">
              <w:t xml:space="preserve"> </w:t>
            </w:r>
            <w:r w:rsidRPr="00E77AE1">
              <w:t>are</w:t>
            </w:r>
            <w:r>
              <w:t>:</w:t>
            </w:r>
            <w:r w:rsidRPr="00E77AE1">
              <w:t xml:space="preserve"> </w:t>
            </w:r>
          </w:p>
          <w:p w14:paraId="5EF5D8D0" w14:textId="77777777" w:rsidR="00A55599" w:rsidRPr="00E77AE1" w:rsidRDefault="00DC1D90" w:rsidP="00297089">
            <w:pPr>
              <w:pStyle w:val="Box"/>
              <w:spacing w:before="100"/>
              <w:ind w:left="284"/>
            </w:pPr>
            <w:r>
              <w:rPr>
                <w:shd w:val="clear" w:color="auto" w:fill="F15A25"/>
              </w:rPr>
              <w:t xml:space="preserve">    </w:t>
            </w:r>
            <w:r w:rsidRPr="00DC1D90">
              <w:t xml:space="preserve"> </w:t>
            </w:r>
            <w:r w:rsidR="00A55599" w:rsidRPr="00E77AE1">
              <w:t>comparable (subject to caveats) across jurisdictions and over time</w:t>
            </w:r>
          </w:p>
          <w:p w14:paraId="188B7BE8" w14:textId="3E0CF63B" w:rsidR="00A55599" w:rsidRDefault="00DC1D90" w:rsidP="00387D05">
            <w:pPr>
              <w:pStyle w:val="Box"/>
              <w:spacing w:before="100"/>
              <w:ind w:left="284"/>
            </w:pPr>
            <w:r w:rsidRPr="00DC1D90">
              <w:rPr>
                <w:shd w:val="clear" w:color="auto" w:fill="F15A25"/>
              </w:rPr>
              <w:t xml:space="preserve">    </w:t>
            </w:r>
            <w:r>
              <w:t xml:space="preserve"> </w:t>
            </w:r>
            <w:r w:rsidR="00A55599" w:rsidRPr="00E77AE1">
              <w:t xml:space="preserve">complete for the current reporting period (subject to caveats). </w:t>
            </w:r>
            <w:r w:rsidR="00D27E1D">
              <w:t xml:space="preserve">All required </w:t>
            </w:r>
            <w:r w:rsidR="00387D05">
              <w:t>2019</w:t>
            </w:r>
            <w:r w:rsidR="00387D05" w:rsidRPr="00E77AE1">
              <w:t xml:space="preserve"> </w:t>
            </w:r>
            <w:r w:rsidR="00A55599" w:rsidRPr="00E77AE1">
              <w:t>data are available for all jur</w:t>
            </w:r>
            <w:r w:rsidR="00422F27">
              <w:t>isdictions</w:t>
            </w:r>
            <w:r w:rsidR="00A55599" w:rsidRPr="00E77AE1">
              <w:t>.</w:t>
            </w:r>
          </w:p>
        </w:tc>
      </w:tr>
      <w:tr w:rsidR="00A55599" w14:paraId="38CDE28F" w14:textId="77777777" w:rsidTr="00606E20">
        <w:trPr>
          <w:cantSplit/>
        </w:trPr>
        <w:tc>
          <w:tcPr>
            <w:tcW w:w="8789" w:type="dxa"/>
            <w:tcBorders>
              <w:top w:val="nil"/>
              <w:left w:val="nil"/>
              <w:bottom w:val="single" w:sz="6" w:space="0" w:color="78A22F"/>
              <w:right w:val="nil"/>
            </w:tcBorders>
            <w:shd w:val="clear" w:color="auto" w:fill="F2F2F2"/>
          </w:tcPr>
          <w:p w14:paraId="0C47C7EF" w14:textId="77777777" w:rsidR="00A55599" w:rsidRDefault="00A55599" w:rsidP="008E396B">
            <w:pPr>
              <w:pStyle w:val="Box"/>
              <w:spacing w:before="0" w:line="120" w:lineRule="exact"/>
            </w:pPr>
          </w:p>
        </w:tc>
      </w:tr>
      <w:tr w:rsidR="00A55599" w:rsidRPr="000863A5" w14:paraId="419B773B" w14:textId="77777777" w:rsidTr="00606E20">
        <w:tc>
          <w:tcPr>
            <w:tcW w:w="8789" w:type="dxa"/>
            <w:tcBorders>
              <w:top w:val="single" w:sz="6" w:space="0" w:color="78A22F"/>
              <w:left w:val="nil"/>
              <w:bottom w:val="nil"/>
              <w:right w:val="nil"/>
            </w:tcBorders>
          </w:tcPr>
          <w:p w14:paraId="4D794D68" w14:textId="77777777" w:rsidR="00A55599" w:rsidRPr="00626D32" w:rsidRDefault="00A55599" w:rsidP="008E396B">
            <w:pPr>
              <w:pStyle w:val="BoxSpaceBelow"/>
            </w:pPr>
          </w:p>
        </w:tc>
      </w:tr>
    </w:tbl>
    <w:p w14:paraId="0439F438" w14:textId="72B31546" w:rsidR="00F718AB" w:rsidRDefault="00464CAD" w:rsidP="00804A80">
      <w:pPr>
        <w:pStyle w:val="ListBullet"/>
        <w:numPr>
          <w:ilvl w:val="0"/>
          <w:numId w:val="0"/>
        </w:numPr>
      </w:pPr>
      <w:r>
        <w:t>Around</w:t>
      </w:r>
      <w:r w:rsidR="009B4A28">
        <w:t xml:space="preserve"> half of Australian employers are engaged with VET</w:t>
      </w:r>
      <w:r w:rsidR="00F718AB">
        <w:t xml:space="preserve"> </w:t>
      </w:r>
      <w:r w:rsidR="009B4A28">
        <w:t>(</w:t>
      </w:r>
      <w:r w:rsidR="00F718AB">
        <w:t>table</w:t>
      </w:r>
      <w:r w:rsidR="00DD5279">
        <w:t> </w:t>
      </w:r>
      <w:r w:rsidR="00F718AB">
        <w:t>5A.1</w:t>
      </w:r>
      <w:r w:rsidR="00FC3490">
        <w:t>5</w:t>
      </w:r>
      <w:r w:rsidR="009B4A28">
        <w:t>)</w:t>
      </w:r>
      <w:r w:rsidR="00423970">
        <w:t>.</w:t>
      </w:r>
    </w:p>
    <w:p w14:paraId="3E5ABD65" w14:textId="090AC204" w:rsidR="00A55599" w:rsidRPr="000D5832" w:rsidRDefault="00A55599" w:rsidP="00464CAD">
      <w:pPr>
        <w:pStyle w:val="BodyText"/>
      </w:pPr>
      <w:r w:rsidRPr="00EF5A5F">
        <w:t xml:space="preserve">Nationally in </w:t>
      </w:r>
      <w:r w:rsidR="00804A80">
        <w:t>201</w:t>
      </w:r>
      <w:r w:rsidR="00464CAD">
        <w:t>9</w:t>
      </w:r>
      <w:r w:rsidR="009B4A28">
        <w:t>, for those employers engaged with VET</w:t>
      </w:r>
      <w:r w:rsidR="009B4A28" w:rsidRPr="00A07E7F">
        <w:t xml:space="preserve">, </w:t>
      </w:r>
      <w:r w:rsidR="00464CAD">
        <w:t>69.2</w:t>
      </w:r>
      <w:r w:rsidRPr="00A07E7F">
        <w:t xml:space="preserve"> per</w:t>
      </w:r>
      <w:r w:rsidRPr="000D5832">
        <w:t xml:space="preserve"> cent were satisfied with all forms of </w:t>
      </w:r>
      <w:r w:rsidR="004A205E">
        <w:t xml:space="preserve">VET </w:t>
      </w:r>
      <w:r w:rsidR="00743EC4">
        <w:t>engagement</w:t>
      </w:r>
      <w:r w:rsidR="00464CAD">
        <w:t xml:space="preserve">, a decrease from </w:t>
      </w:r>
      <w:r w:rsidR="00D261F6">
        <w:t>77.8 per cent in 2011 (figure 5.5)</w:t>
      </w:r>
      <w:r w:rsidR="009B4A28">
        <w:t>. By type of training engaged in:</w:t>
      </w:r>
    </w:p>
    <w:p w14:paraId="3A20963F" w14:textId="5A68F3FD" w:rsidR="00A55599" w:rsidRPr="000D5832" w:rsidRDefault="006F7527" w:rsidP="00A55599">
      <w:pPr>
        <w:pStyle w:val="ListBullet"/>
      </w:pPr>
      <w:r>
        <w:t>77.6</w:t>
      </w:r>
      <w:r w:rsidR="00A55599" w:rsidRPr="00A07E7F">
        <w:t xml:space="preserve"> </w:t>
      </w:r>
      <w:r w:rsidR="00A55599" w:rsidRPr="000D5832">
        <w:t xml:space="preserve">per cent </w:t>
      </w:r>
      <w:r w:rsidR="00683F2A">
        <w:t xml:space="preserve">who </w:t>
      </w:r>
      <w:r w:rsidR="00A55599" w:rsidRPr="000D5832">
        <w:t xml:space="preserve">engaged with apprenticeships or traineeships were satisfied with </w:t>
      </w:r>
      <w:r w:rsidR="00D36B35">
        <w:t>the training in providing apprentices or trainees with the required skills</w:t>
      </w:r>
    </w:p>
    <w:p w14:paraId="0F30BE77" w14:textId="2E8F65F0" w:rsidR="00A55599" w:rsidRPr="000D5832" w:rsidRDefault="006F7527" w:rsidP="00A55599">
      <w:pPr>
        <w:pStyle w:val="ListBullet"/>
      </w:pPr>
      <w:r>
        <w:t>78.8</w:t>
      </w:r>
      <w:r w:rsidR="00A55599" w:rsidRPr="000D5832">
        <w:t xml:space="preserve"> per cent who arranged or provided nationally recognised training to employees were satisfied </w:t>
      </w:r>
      <w:r w:rsidR="001D0A94">
        <w:t xml:space="preserve">with </w:t>
      </w:r>
      <w:r w:rsidR="00B73BDF">
        <w:t xml:space="preserve">the </w:t>
      </w:r>
      <w:r w:rsidR="001D0A94">
        <w:t xml:space="preserve">training </w:t>
      </w:r>
      <w:r w:rsidR="00D36B35">
        <w:t>in providing employees with the required skills</w:t>
      </w:r>
    </w:p>
    <w:p w14:paraId="5C078AF5" w14:textId="4E468553" w:rsidR="00A55599" w:rsidRDefault="006F7527" w:rsidP="00A55599">
      <w:pPr>
        <w:pStyle w:val="ListBullet"/>
      </w:pPr>
      <w:r>
        <w:t>72.1</w:t>
      </w:r>
      <w:r w:rsidR="00A55599" w:rsidRPr="000D5832">
        <w:t xml:space="preserve"> </w:t>
      </w:r>
      <w:r w:rsidR="00A55599" w:rsidRPr="00EF5A5F">
        <w:t>per</w:t>
      </w:r>
      <w:r w:rsidR="00A55599">
        <w:t xml:space="preserve"> </w:t>
      </w:r>
      <w:r w:rsidR="00A55599" w:rsidRPr="00EF5A5F">
        <w:t xml:space="preserve">cent who had employees with a formal vocational qualification that was a requirement of their job were satisfied with </w:t>
      </w:r>
      <w:r w:rsidR="00C7218B">
        <w:t>the</w:t>
      </w:r>
      <w:r w:rsidR="001D0A94">
        <w:t xml:space="preserve"> qualifications in providing employees with the</w:t>
      </w:r>
      <w:r w:rsidR="00C90DB0">
        <w:t xml:space="preserve"> required </w:t>
      </w:r>
      <w:r w:rsidR="006B7CBE">
        <w:t>skills</w:t>
      </w:r>
      <w:r w:rsidR="001D0A94" w:rsidRPr="00706E9E">
        <w:t xml:space="preserve"> </w:t>
      </w:r>
      <w:r w:rsidR="00A55599" w:rsidRPr="00706E9E">
        <w:t>(</w:t>
      </w:r>
      <w:r w:rsidR="00B53480">
        <w:t>table</w:t>
      </w:r>
      <w:r w:rsidR="00DD5279">
        <w:t> </w:t>
      </w:r>
      <w:r w:rsidR="009B4A28">
        <w:t>5A.</w:t>
      </w:r>
      <w:r w:rsidR="00B53480">
        <w:t>1</w:t>
      </w:r>
      <w:r w:rsidR="00FC3490">
        <w:t>6</w:t>
      </w:r>
      <w:r w:rsidR="00A55599" w:rsidRPr="00706E9E">
        <w:t>).</w:t>
      </w:r>
    </w:p>
    <w:p w14:paraId="286ACDE5" w14:textId="6F971EF7" w:rsidR="00C530EF" w:rsidRDefault="00C530EF"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0EF" w14:paraId="0017C300" w14:textId="77777777" w:rsidTr="002E0AA0">
        <w:trPr>
          <w:tblHeader/>
        </w:trPr>
        <w:tc>
          <w:tcPr>
            <w:tcW w:w="5000" w:type="pct"/>
            <w:tcBorders>
              <w:top w:val="single" w:sz="6" w:space="0" w:color="78A22F"/>
              <w:left w:val="nil"/>
              <w:bottom w:val="nil"/>
              <w:right w:val="nil"/>
            </w:tcBorders>
            <w:shd w:val="clear" w:color="auto" w:fill="auto"/>
          </w:tcPr>
          <w:p w14:paraId="24698B75" w14:textId="43CE5B1A" w:rsidR="00982ECD" w:rsidRPr="00982ECD" w:rsidRDefault="00C530EF" w:rsidP="006F7527">
            <w:pPr>
              <w:pStyle w:val="FigureTitle"/>
            </w:pPr>
            <w:r w:rsidRPr="00784A05">
              <w:rPr>
                <w:b w:val="0"/>
              </w:rPr>
              <w:t xml:space="preserve">Figure </w:t>
            </w:r>
            <w:r w:rsidR="00771992">
              <w:rPr>
                <w:b w:val="0"/>
              </w:rPr>
              <w:t>5.</w:t>
            </w:r>
            <w:r w:rsidR="006300E8">
              <w:rPr>
                <w:b w:val="0"/>
                <w:noProof/>
              </w:rPr>
              <w:t>5</w:t>
            </w:r>
            <w:r>
              <w:tab/>
              <w:t>Employers satisfied with all forms of VET engagement</w:t>
            </w:r>
            <w:r w:rsidRPr="00EF5A5F">
              <w:rPr>
                <w:rStyle w:val="NoteLabel"/>
                <w:b/>
              </w:rPr>
              <w:t>a</w:t>
            </w:r>
            <w:r>
              <w:rPr>
                <w:rStyle w:val="NoteLabel"/>
                <w:b/>
              </w:rPr>
              <w:t>, b</w:t>
            </w:r>
          </w:p>
        </w:tc>
      </w:tr>
      <w:tr w:rsidR="00C530EF" w14:paraId="38410B74" w14:textId="77777777" w:rsidTr="002E0A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F53AC" w:rsidRPr="00B1465D" w14:paraId="1996007A" w14:textId="77777777" w:rsidTr="00CF53AC">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F53AC" w:rsidRPr="00C96187" w14:paraId="6C141FA2" w14:textId="77777777" w:rsidTr="00D75B20">
                    <w:tc>
                      <w:tcPr>
                        <w:tcW w:w="304" w:type="dxa"/>
                        <w:tcBorders>
                          <w:top w:val="nil"/>
                          <w:left w:val="nil"/>
                          <w:bottom w:val="nil"/>
                          <w:right w:val="nil"/>
                        </w:tcBorders>
                        <w:shd w:val="clear" w:color="auto" w:fill="auto"/>
                        <w:tcMar>
                          <w:top w:w="28" w:type="dxa"/>
                          <w:bottom w:w="28" w:type="dxa"/>
                        </w:tcMar>
                      </w:tcPr>
                      <w:p w14:paraId="2AA09305" w14:textId="77777777" w:rsidR="00CF53AC" w:rsidRPr="00C96187" w:rsidRDefault="00CF53AC" w:rsidP="00CF53A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D34ED3F" w14:textId="77777777" w:rsidR="00CF53AC" w:rsidRPr="00C96187" w:rsidRDefault="00CF53AC" w:rsidP="00CF53A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27E8DD6" w14:textId="77777777" w:rsidR="00CF53AC" w:rsidRPr="00C96187" w:rsidRDefault="00CF53AC" w:rsidP="006B1773">
                        <w:pPr>
                          <w:pStyle w:val="TableBodyText"/>
                          <w:jc w:val="left"/>
                        </w:pPr>
                        <w:r>
                          <w:t>Data are c</w:t>
                        </w:r>
                        <w:r w:rsidRPr="00C96187">
                          <w:t xml:space="preserve">omparable (subject to caveats) </w:t>
                        </w:r>
                        <w:r w:rsidRPr="00992FD4">
                          <w:t>across jurisdictions and over time</w:t>
                        </w:r>
                        <w:r w:rsidRPr="00C96187">
                          <w:t>.</w:t>
                        </w:r>
                      </w:p>
                    </w:tc>
                  </w:tr>
                  <w:tr w:rsidR="00CF53AC" w:rsidRPr="00C96187" w14:paraId="172698FE" w14:textId="77777777" w:rsidTr="00D75B20">
                    <w:tc>
                      <w:tcPr>
                        <w:tcW w:w="304" w:type="dxa"/>
                        <w:tcBorders>
                          <w:top w:val="nil"/>
                          <w:left w:val="nil"/>
                          <w:bottom w:val="nil"/>
                          <w:right w:val="nil"/>
                        </w:tcBorders>
                        <w:shd w:val="clear" w:color="auto" w:fill="auto"/>
                        <w:tcMar>
                          <w:top w:w="28" w:type="dxa"/>
                          <w:bottom w:w="28" w:type="dxa"/>
                        </w:tcMar>
                      </w:tcPr>
                      <w:p w14:paraId="5B0E8256" w14:textId="77777777" w:rsidR="00CF53AC" w:rsidRPr="00C96187" w:rsidRDefault="00CF53AC" w:rsidP="00CF53A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6AAFA14" w14:textId="77777777" w:rsidR="00CF53AC" w:rsidRPr="00C90895" w:rsidRDefault="00CF53AC" w:rsidP="00CF53AC">
                        <w:pPr>
                          <w:keepNext/>
                          <w:keepLines/>
                          <w:spacing w:before="60" w:after="60" w:line="240" w:lineRule="atLeast"/>
                          <w:jc w:val="center"/>
                        </w:pPr>
                      </w:p>
                    </w:tc>
                    <w:tc>
                      <w:tcPr>
                        <w:tcW w:w="7938" w:type="dxa"/>
                        <w:tcBorders>
                          <w:top w:val="nil"/>
                          <w:left w:val="nil"/>
                          <w:bottom w:val="nil"/>
                          <w:right w:val="nil"/>
                        </w:tcBorders>
                        <w:shd w:val="clear" w:color="auto" w:fill="auto"/>
                      </w:tcPr>
                      <w:p w14:paraId="7848AD20" w14:textId="77777777" w:rsidR="00CF53AC" w:rsidRPr="00C96187" w:rsidRDefault="00CF53AC" w:rsidP="00C7218B">
                        <w:pPr>
                          <w:pStyle w:val="TableBodyText"/>
                          <w:jc w:val="left"/>
                        </w:pPr>
                        <w:r w:rsidRPr="00C96187">
                          <w:t>Data are complete (subject to caveats) for the c</w:t>
                        </w:r>
                        <w:r w:rsidR="00C7218B">
                          <w:t>urrent reporting period.</w:t>
                        </w:r>
                      </w:p>
                    </w:tc>
                  </w:tr>
                </w:tbl>
                <w:p w14:paraId="3EC7FF32" w14:textId="77777777" w:rsidR="00CF53AC" w:rsidRDefault="00CF53AC" w:rsidP="002E0AA0">
                  <w:pPr>
                    <w:pStyle w:val="Figure"/>
                    <w:spacing w:before="60" w:after="60"/>
                    <w:rPr>
                      <w:rFonts w:ascii="Arial" w:hAnsi="Arial" w:cs="Arial"/>
                      <w:sz w:val="18"/>
                      <w:szCs w:val="18"/>
                    </w:rPr>
                  </w:pPr>
                </w:p>
              </w:tc>
            </w:tr>
            <w:tr w:rsidR="00C530EF" w:rsidRPr="00B1465D" w14:paraId="63B98FAD" w14:textId="77777777" w:rsidTr="000A100D">
              <w:tblPrEx>
                <w:tblCellMar>
                  <w:left w:w="108" w:type="dxa"/>
                  <w:right w:w="108" w:type="dxa"/>
                </w:tblCellMar>
              </w:tblPrEx>
              <w:trPr>
                <w:tblHeader/>
                <w:jc w:val="center"/>
              </w:trPr>
              <w:tc>
                <w:tcPr>
                  <w:tcW w:w="5000" w:type="pct"/>
                  <w:tcBorders>
                    <w:top w:val="nil"/>
                    <w:bottom w:val="nil"/>
                  </w:tcBorders>
                </w:tcPr>
                <w:p w14:paraId="2A9CFD99" w14:textId="79D02749" w:rsidR="00C530EF" w:rsidRPr="00B1465D" w:rsidRDefault="000A100D" w:rsidP="002E0AA0">
                  <w:pPr>
                    <w:pStyle w:val="Figure"/>
                    <w:spacing w:before="60" w:after="60"/>
                    <w:rPr>
                      <w:rFonts w:ascii="Arial" w:hAnsi="Arial" w:cs="Arial"/>
                      <w:sz w:val="18"/>
                      <w:szCs w:val="18"/>
                    </w:rPr>
                  </w:pPr>
                  <w:r>
                    <w:rPr>
                      <w:noProof/>
                    </w:rPr>
                    <w:drawing>
                      <wp:inline distT="0" distB="0" distL="0" distR="0" wp14:anchorId="41802264" wp14:editId="27824E21">
                        <wp:extent cx="5400000" cy="2700000"/>
                        <wp:effectExtent l="0" t="0" r="0" b="5715"/>
                        <wp:docPr id="6" name="Chart 6" descr="Figure 5.5 Employers satisfied with all forms of VET engagement.&#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21F2F" w:rsidDel="00982ECD">
                    <w:rPr>
                      <w:rFonts w:ascii="Arial" w:hAnsi="Arial" w:cs="Arial"/>
                      <w:noProof/>
                      <w:sz w:val="18"/>
                      <w:szCs w:val="18"/>
                    </w:rPr>
                    <w:t xml:space="preserve"> </w:t>
                  </w:r>
                </w:p>
              </w:tc>
            </w:tr>
          </w:tbl>
          <w:p w14:paraId="60C9C96C" w14:textId="77777777" w:rsidR="00C530EF" w:rsidRDefault="00C530EF" w:rsidP="002E0AA0">
            <w:pPr>
              <w:pStyle w:val="Figure"/>
            </w:pPr>
          </w:p>
        </w:tc>
      </w:tr>
      <w:tr w:rsidR="00C530EF" w:rsidRPr="00176D3F" w14:paraId="53D9269E" w14:textId="77777777" w:rsidTr="002E0AA0">
        <w:tc>
          <w:tcPr>
            <w:tcW w:w="5000" w:type="pct"/>
            <w:tcBorders>
              <w:top w:val="nil"/>
              <w:left w:val="nil"/>
              <w:bottom w:val="nil"/>
              <w:right w:val="nil"/>
            </w:tcBorders>
            <w:shd w:val="clear" w:color="auto" w:fill="auto"/>
          </w:tcPr>
          <w:p w14:paraId="3261251A" w14:textId="7C103020" w:rsidR="00C530EF" w:rsidRPr="00176D3F" w:rsidRDefault="00C530EF" w:rsidP="00756960">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4B1B81">
              <w:t xml:space="preserve"> </w:t>
            </w:r>
            <w:r w:rsidRPr="006D3797">
              <w:t>See box</w:t>
            </w:r>
            <w:r>
              <w:t> 5.5 and table </w:t>
            </w:r>
            <w:r w:rsidRPr="008C1DD2">
              <w:t>5A.</w:t>
            </w:r>
            <w:r>
              <w:t>1</w:t>
            </w:r>
            <w:r w:rsidR="00756960">
              <w:t>6</w:t>
            </w:r>
            <w:r w:rsidRPr="006D3797">
              <w:t xml:space="preserve"> for detailed definitions, footnotes and caveats</w:t>
            </w:r>
            <w:r w:rsidRPr="004B1B81">
              <w:t>.</w:t>
            </w:r>
          </w:p>
        </w:tc>
      </w:tr>
      <w:tr w:rsidR="00C530EF" w:rsidRPr="00176D3F" w14:paraId="65FCFF4B" w14:textId="77777777" w:rsidTr="002E0AA0">
        <w:tc>
          <w:tcPr>
            <w:tcW w:w="5000" w:type="pct"/>
            <w:tcBorders>
              <w:top w:val="nil"/>
              <w:left w:val="nil"/>
              <w:bottom w:val="nil"/>
              <w:right w:val="nil"/>
            </w:tcBorders>
            <w:shd w:val="clear" w:color="auto" w:fill="auto"/>
          </w:tcPr>
          <w:p w14:paraId="4CAB62E0" w14:textId="2085EA5F" w:rsidR="00C530EF" w:rsidRPr="00176D3F" w:rsidRDefault="00C530EF" w:rsidP="00B564FC">
            <w:pPr>
              <w:pStyle w:val="Source"/>
            </w:pPr>
            <w:r>
              <w:rPr>
                <w:i/>
              </w:rPr>
              <w:t>S</w:t>
            </w:r>
            <w:r w:rsidRPr="00784A05">
              <w:rPr>
                <w:i/>
              </w:rPr>
              <w:t>ource</w:t>
            </w:r>
            <w:r w:rsidRPr="00176D3F">
              <w:t xml:space="preserve">: </w:t>
            </w:r>
            <w:r w:rsidR="00B564FC" w:rsidRPr="00821F91">
              <w:t>NCVER, Survey of Employers’ Use and Views of the VET System</w:t>
            </w:r>
            <w:r>
              <w:t>;</w:t>
            </w:r>
            <w:r w:rsidRPr="0061573C">
              <w:t xml:space="preserve"> </w:t>
            </w:r>
            <w:r w:rsidRPr="00EF5A5F">
              <w:t>table</w:t>
            </w:r>
            <w:r>
              <w:t> </w:t>
            </w:r>
            <w:r w:rsidRPr="00EF5A5F">
              <w:t>5A.</w:t>
            </w:r>
            <w:r>
              <w:t>1</w:t>
            </w:r>
            <w:r w:rsidR="00756960">
              <w:t>6</w:t>
            </w:r>
            <w:r w:rsidRPr="00EF5A5F">
              <w:t>.</w:t>
            </w:r>
          </w:p>
        </w:tc>
      </w:tr>
      <w:tr w:rsidR="00C530EF" w14:paraId="25A592B2" w14:textId="77777777" w:rsidTr="002E0AA0">
        <w:tc>
          <w:tcPr>
            <w:tcW w:w="5000" w:type="pct"/>
            <w:tcBorders>
              <w:top w:val="nil"/>
              <w:left w:val="nil"/>
              <w:bottom w:val="single" w:sz="6" w:space="0" w:color="78A22F"/>
              <w:right w:val="nil"/>
            </w:tcBorders>
            <w:shd w:val="clear" w:color="auto" w:fill="auto"/>
          </w:tcPr>
          <w:p w14:paraId="35DACADF" w14:textId="77777777" w:rsidR="00C530EF" w:rsidRDefault="00C530EF" w:rsidP="002E0AA0">
            <w:pPr>
              <w:pStyle w:val="Figurespace"/>
            </w:pPr>
          </w:p>
        </w:tc>
      </w:tr>
      <w:tr w:rsidR="00C530EF" w:rsidRPr="000863A5" w14:paraId="0FBC3B74" w14:textId="77777777" w:rsidTr="002E0AA0">
        <w:tc>
          <w:tcPr>
            <w:tcW w:w="5000" w:type="pct"/>
            <w:tcBorders>
              <w:top w:val="single" w:sz="6" w:space="0" w:color="78A22F"/>
              <w:left w:val="nil"/>
              <w:bottom w:val="nil"/>
              <w:right w:val="nil"/>
            </w:tcBorders>
          </w:tcPr>
          <w:p w14:paraId="5BF98DA8" w14:textId="138BDED9" w:rsidR="00C530EF" w:rsidRPr="00626D32" w:rsidRDefault="00C530EF" w:rsidP="00FC3936">
            <w:pPr>
              <w:pStyle w:val="BoxSpaceBelow"/>
              <w:spacing w:before="0" w:after="0" w:line="40" w:lineRule="exact"/>
            </w:pPr>
          </w:p>
        </w:tc>
      </w:tr>
    </w:tbl>
    <w:p w14:paraId="43418750" w14:textId="77777777" w:rsidR="00087CD1" w:rsidRPr="00EF5A5F" w:rsidRDefault="00087CD1" w:rsidP="00FC3936">
      <w:pPr>
        <w:pStyle w:val="Heading4"/>
        <w:spacing w:before="440"/>
      </w:pPr>
      <w:r>
        <w:t>Quality — Student satisfaction with quality of training</w:t>
      </w:r>
      <w:r w:rsidRPr="00087CD1">
        <w:t xml:space="preserve"> </w:t>
      </w:r>
    </w:p>
    <w:p w14:paraId="43F0EE6A" w14:textId="6F3BA7CF" w:rsidR="00087CD1" w:rsidRDefault="00087CD1" w:rsidP="00087CD1">
      <w:pPr>
        <w:pStyle w:val="BodyText"/>
        <w:shd w:val="clear" w:color="auto" w:fill="FFFFFF" w:themeFill="background1"/>
      </w:pPr>
      <w:r w:rsidRPr="00EF5A5F">
        <w:t xml:space="preserve">‘Student satisfaction with </w:t>
      </w:r>
      <w:r>
        <w:t>quality of training</w:t>
      </w:r>
      <w:r w:rsidRPr="00EF5A5F">
        <w:t xml:space="preserve">’ is an indicator of governments’ objective </w:t>
      </w:r>
      <w:r>
        <w:t xml:space="preserve">to create a </w:t>
      </w:r>
      <w:r w:rsidRPr="00087CD1">
        <w:t xml:space="preserve">national training system that is </w:t>
      </w:r>
      <w:r w:rsidR="00DA333D">
        <w:t xml:space="preserve">high quality </w:t>
      </w:r>
      <w:r w:rsidRPr="00EF5A5F">
        <w:t>(box</w:t>
      </w:r>
      <w:r w:rsidR="000A3C68">
        <w:t> </w:t>
      </w:r>
      <w:r w:rsidR="00B742DA">
        <w:t>5.6</w:t>
      </w:r>
      <w:r w:rsidRPr="00EF5A5F">
        <w:t xml:space="preserve">). </w:t>
      </w:r>
    </w:p>
    <w:p w14:paraId="0B0C0CDB" w14:textId="6E035494" w:rsidR="00FC3936" w:rsidRDefault="00FC393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3936" w14:paraId="419B6875" w14:textId="77777777" w:rsidTr="00FC3936">
        <w:trPr>
          <w:tblHeader/>
        </w:trPr>
        <w:tc>
          <w:tcPr>
            <w:tcW w:w="5000" w:type="pct"/>
            <w:tcBorders>
              <w:top w:val="single" w:sz="6" w:space="0" w:color="78A22F"/>
              <w:left w:val="nil"/>
              <w:bottom w:val="nil"/>
              <w:right w:val="nil"/>
            </w:tcBorders>
            <w:shd w:val="clear" w:color="auto" w:fill="F2F2F2"/>
          </w:tcPr>
          <w:p w14:paraId="6855E0BC" w14:textId="62540DB8" w:rsidR="00FC3936" w:rsidRDefault="00FC3936" w:rsidP="00FC3936">
            <w:pPr>
              <w:pStyle w:val="BoxTitle"/>
            </w:pPr>
            <w:r>
              <w:rPr>
                <w:b w:val="0"/>
              </w:rPr>
              <w:t>Box 5.</w:t>
            </w:r>
            <w:r w:rsidR="006300E8">
              <w:rPr>
                <w:b w:val="0"/>
                <w:noProof/>
              </w:rPr>
              <w:t>6</w:t>
            </w:r>
            <w:r>
              <w:tab/>
              <w:t>Student satisfaction with quality of training</w:t>
            </w:r>
          </w:p>
        </w:tc>
      </w:tr>
      <w:tr w:rsidR="00FC3936" w14:paraId="50E367F7" w14:textId="77777777" w:rsidTr="00FC3936">
        <w:tc>
          <w:tcPr>
            <w:tcW w:w="5000" w:type="pct"/>
            <w:tcBorders>
              <w:top w:val="nil"/>
              <w:left w:val="nil"/>
              <w:bottom w:val="nil"/>
              <w:right w:val="nil"/>
            </w:tcBorders>
            <w:shd w:val="clear" w:color="auto" w:fill="F2F2F2"/>
          </w:tcPr>
          <w:p w14:paraId="10751CA0" w14:textId="5953E1F2" w:rsidR="00FC3936" w:rsidRPr="00EF5A5F" w:rsidRDefault="00FC3936" w:rsidP="00FC3936">
            <w:pPr>
              <w:pStyle w:val="Box"/>
            </w:pPr>
            <w:r w:rsidRPr="00EF5A5F">
              <w:t xml:space="preserve">‘Student </w:t>
            </w:r>
            <w:r>
              <w:t>satisfaction with quality of training</w:t>
            </w:r>
            <w:r w:rsidRPr="00EF5A5F">
              <w:t xml:space="preserve">’ </w:t>
            </w:r>
            <w:r>
              <w:t>is</w:t>
            </w:r>
            <w:r w:rsidRPr="00EF5A5F">
              <w:t xml:space="preserve"> defined as the proportion of </w:t>
            </w:r>
            <w:r>
              <w:t>government</w:t>
            </w:r>
            <w:r>
              <w:noBreakHyphen/>
              <w:t xml:space="preserve">funded VET graduates who were </w:t>
            </w:r>
            <w:r w:rsidRPr="00D75F1A">
              <w:t xml:space="preserve">satisfied with </w:t>
            </w:r>
            <w:r w:rsidRPr="000564F3">
              <w:t>the overall quality of training.</w:t>
            </w:r>
            <w:r w:rsidRPr="00D75F1A">
              <w:t xml:space="preserve"> </w:t>
            </w:r>
          </w:p>
          <w:p w14:paraId="0EF5EAC5" w14:textId="77777777" w:rsidR="00FC3936" w:rsidRDefault="00FC3936" w:rsidP="00FC3936">
            <w:pPr>
              <w:pStyle w:val="Box"/>
            </w:pPr>
            <w:r w:rsidRPr="001B2AEA">
              <w:t>This measure relates to government</w:t>
            </w:r>
            <w:r w:rsidRPr="001B2AEA">
              <w:noBreakHyphen/>
              <w:t>funded VET activity only.</w:t>
            </w:r>
          </w:p>
          <w:p w14:paraId="4FC09B50" w14:textId="1F44DAF1" w:rsidR="00FC3936" w:rsidRDefault="00FC3936" w:rsidP="00FC3936">
            <w:pPr>
              <w:pStyle w:val="Box"/>
            </w:pPr>
            <w:r>
              <w:t>Data are collected from the annual</w:t>
            </w:r>
            <w:r w:rsidRPr="00EF5A5F">
              <w:t xml:space="preserve"> </w:t>
            </w:r>
            <w:r>
              <w:t xml:space="preserve">national Student Outcomes Survey for graduates aged 18 years and over. </w:t>
            </w:r>
            <w:r w:rsidR="00ED26B2">
              <w:t>Survey data for a year (</w:t>
            </w:r>
            <w:r w:rsidR="008E7E9D">
              <w:t>for example</w:t>
            </w:r>
            <w:r w:rsidR="00D261F6">
              <w:t>,</w:t>
            </w:r>
            <w:r w:rsidR="008E7E9D">
              <w:t xml:space="preserve"> </w:t>
            </w:r>
            <w:r w:rsidR="00ED26B2">
              <w:t>2019) refer to the cohort of students that graduated the year before (</w:t>
            </w:r>
            <w:r w:rsidR="008E7E9D">
              <w:t>for example</w:t>
            </w:r>
            <w:r w:rsidR="00D261F6">
              <w:t>,</w:t>
            </w:r>
            <w:r w:rsidR="008E7E9D">
              <w:t xml:space="preserve"> </w:t>
            </w:r>
            <w:r w:rsidR="00ED26B2">
              <w:t xml:space="preserve">2018). </w:t>
            </w:r>
            <w:r>
              <w:t>Graduates satisfied with their training include those who ‘Strongly agree’ or ‘Agree’ with the relevant questionnaire item.</w:t>
            </w:r>
          </w:p>
          <w:p w14:paraId="7728727A" w14:textId="77777777" w:rsidR="00FC3936" w:rsidRDefault="00FC3936" w:rsidP="00FC3936">
            <w:pPr>
              <w:pStyle w:val="Box"/>
            </w:pPr>
            <w:r w:rsidRPr="00EF5A5F">
              <w:t xml:space="preserve">A high or increasing </w:t>
            </w:r>
            <w:r>
              <w:t>proportion</w:t>
            </w:r>
            <w:r w:rsidRPr="00EF5A5F">
              <w:t xml:space="preserve"> </w:t>
            </w:r>
            <w:r>
              <w:t>of graduates satisfied with their training</w:t>
            </w:r>
            <w:r w:rsidRPr="00EF5A5F">
              <w:t xml:space="preserve"> is desirable.</w:t>
            </w:r>
          </w:p>
          <w:p w14:paraId="56781F41" w14:textId="77777777" w:rsidR="00FC3936" w:rsidRDefault="00FC3936" w:rsidP="00FC3936">
            <w:pPr>
              <w:pStyle w:val="Box"/>
            </w:pPr>
            <w:r>
              <w:t>Data reported for this measure are:</w:t>
            </w:r>
          </w:p>
          <w:p w14:paraId="45C3F18B" w14:textId="5F30C8F1" w:rsidR="003A4704" w:rsidRDefault="00C90895" w:rsidP="00FC3936">
            <w:pPr>
              <w:pStyle w:val="Box"/>
              <w:spacing w:before="100"/>
              <w:ind w:left="284"/>
              <w:rPr>
                <w:shd w:val="clear" w:color="auto" w:fill="F15A25"/>
              </w:rPr>
            </w:pPr>
            <w:r>
              <w:rPr>
                <w:shd w:val="clear" w:color="auto" w:fill="FCDED3"/>
              </w:rPr>
              <w:t xml:space="preserve">  </w:t>
            </w:r>
            <w:r w:rsidR="003A4704" w:rsidRPr="003A4704">
              <w:rPr>
                <w:shd w:val="clear" w:color="auto" w:fill="FCDED3"/>
              </w:rPr>
              <w:t xml:space="preserve">  </w:t>
            </w:r>
            <w:r w:rsidR="00B84180" w:rsidRPr="00821F91">
              <w:t xml:space="preserve"> comparable across jurisdictions, but not comparable over time (2019 data are not comparable with earlier years)</w:t>
            </w:r>
          </w:p>
          <w:p w14:paraId="02033A62" w14:textId="6F112624" w:rsidR="00FC3936" w:rsidRDefault="00FC3936" w:rsidP="00FC186A">
            <w:pPr>
              <w:pStyle w:val="Box"/>
              <w:spacing w:before="100"/>
              <w:ind w:left="284"/>
            </w:pPr>
            <w:r>
              <w:rPr>
                <w:shd w:val="clear" w:color="auto" w:fill="F15A25"/>
              </w:rPr>
              <w:t xml:space="preserve">    </w:t>
            </w:r>
            <w:r w:rsidRPr="00DC1D90">
              <w:t xml:space="preserve"> </w:t>
            </w:r>
            <w:r>
              <w:t xml:space="preserve">complete for the current reporting period (subject to caveats). All required </w:t>
            </w:r>
            <w:r w:rsidR="00FC186A">
              <w:t xml:space="preserve">2019 </w:t>
            </w:r>
            <w:r>
              <w:t>data are available for all jurisdictions.</w:t>
            </w:r>
          </w:p>
        </w:tc>
      </w:tr>
      <w:tr w:rsidR="00FC3936" w14:paraId="711FB2E2" w14:textId="77777777" w:rsidTr="00FC3936">
        <w:tc>
          <w:tcPr>
            <w:tcW w:w="5000" w:type="pct"/>
            <w:tcBorders>
              <w:top w:val="nil"/>
              <w:left w:val="nil"/>
              <w:bottom w:val="single" w:sz="6" w:space="0" w:color="78A22F"/>
              <w:right w:val="nil"/>
            </w:tcBorders>
            <w:shd w:val="clear" w:color="auto" w:fill="F2F2F2"/>
          </w:tcPr>
          <w:p w14:paraId="4FD9C9CE" w14:textId="77777777" w:rsidR="00FC3936" w:rsidRDefault="00FC3936">
            <w:pPr>
              <w:pStyle w:val="Box"/>
              <w:spacing w:before="0" w:line="120" w:lineRule="exact"/>
            </w:pPr>
          </w:p>
        </w:tc>
      </w:tr>
      <w:tr w:rsidR="00FC3936" w:rsidRPr="000863A5" w14:paraId="7440A299" w14:textId="77777777" w:rsidTr="00FC3936">
        <w:tc>
          <w:tcPr>
            <w:tcW w:w="5000" w:type="pct"/>
            <w:tcBorders>
              <w:top w:val="single" w:sz="6" w:space="0" w:color="78A22F"/>
              <w:left w:val="nil"/>
              <w:bottom w:val="nil"/>
              <w:right w:val="nil"/>
            </w:tcBorders>
          </w:tcPr>
          <w:p w14:paraId="681E7A24" w14:textId="10D0914D" w:rsidR="00FC3936" w:rsidRPr="00626D32" w:rsidRDefault="00FC3936" w:rsidP="00FC3936">
            <w:pPr>
              <w:pStyle w:val="BoxSpaceBelow"/>
              <w:spacing w:before="0" w:after="0" w:line="40" w:lineRule="exact"/>
            </w:pPr>
          </w:p>
        </w:tc>
      </w:tr>
    </w:tbl>
    <w:p w14:paraId="4B00B9F4" w14:textId="1AAB26B6" w:rsidR="00C7218B" w:rsidRPr="00D74951" w:rsidRDefault="00AF5E50" w:rsidP="009C1FB9">
      <w:pPr>
        <w:pStyle w:val="BodyText"/>
      </w:pPr>
      <w:r w:rsidRPr="001536AA">
        <w:lastRenderedPageBreak/>
        <w:t>Nationally i</w:t>
      </w:r>
      <w:r w:rsidR="00087CD1" w:rsidRPr="001536AA">
        <w:t xml:space="preserve">n </w:t>
      </w:r>
      <w:r w:rsidR="00FC186A" w:rsidRPr="001536AA">
        <w:t>2019</w:t>
      </w:r>
      <w:r w:rsidR="00A05472" w:rsidRPr="001536AA">
        <w:t xml:space="preserve">, </w:t>
      </w:r>
      <w:r w:rsidR="00E03B62" w:rsidRPr="00B05D55">
        <w:t>88.6</w:t>
      </w:r>
      <w:r w:rsidR="00087CD1" w:rsidRPr="001536AA">
        <w:t xml:space="preserve"> per cent of all </w:t>
      </w:r>
      <w:r w:rsidR="000B15D5" w:rsidRPr="001536AA">
        <w:t>government</w:t>
      </w:r>
      <w:r w:rsidR="000B15D5" w:rsidRPr="001536AA">
        <w:noBreakHyphen/>
        <w:t>funded</w:t>
      </w:r>
      <w:r w:rsidR="00087CD1" w:rsidRPr="001536AA">
        <w:t xml:space="preserve"> </w:t>
      </w:r>
      <w:r w:rsidR="00C17A9A" w:rsidRPr="001536AA">
        <w:t xml:space="preserve">2018 </w:t>
      </w:r>
      <w:r w:rsidR="00087CD1" w:rsidRPr="001536AA">
        <w:t xml:space="preserve">VET graduates indicated that they were satisfied with the </w:t>
      </w:r>
      <w:r w:rsidR="00045989" w:rsidRPr="001536AA">
        <w:t xml:space="preserve">overall quality </w:t>
      </w:r>
      <w:r w:rsidR="00045989" w:rsidRPr="005F403C">
        <w:t xml:space="preserve">of </w:t>
      </w:r>
      <w:r w:rsidR="00045989" w:rsidRPr="00821F91">
        <w:t xml:space="preserve">their </w:t>
      </w:r>
      <w:r w:rsidR="009B387E" w:rsidRPr="00821F91">
        <w:t>training</w:t>
      </w:r>
      <w:r w:rsidR="005831C4" w:rsidRPr="00821F91">
        <w:t xml:space="preserve"> </w:t>
      </w:r>
      <w:r w:rsidR="00CD3BA7" w:rsidRPr="00821F91">
        <w:t>(figure </w:t>
      </w:r>
      <w:r w:rsidR="00706E9E" w:rsidRPr="00821F91">
        <w:t>5.</w:t>
      </w:r>
      <w:r w:rsidR="00F36604" w:rsidRPr="00821F91">
        <w:t>6</w:t>
      </w:r>
      <w:r w:rsidR="00CD3BA7" w:rsidRPr="00821F91">
        <w:t>)</w:t>
      </w:r>
      <w:r w:rsidR="009C1FB9" w:rsidRPr="00821F91">
        <w:t>.</w:t>
      </w:r>
      <w:r w:rsidR="003C5934" w:rsidRPr="00D74951">
        <w:t xml:space="preserve"> </w:t>
      </w:r>
      <w:r w:rsidR="00B6451A" w:rsidRPr="00D74951">
        <w:t xml:space="preserve">The proportion </w:t>
      </w:r>
      <w:r w:rsidR="00B6451A" w:rsidRPr="00E03B62">
        <w:t xml:space="preserve">was higher for </w:t>
      </w:r>
      <w:r w:rsidR="00CD3BA7" w:rsidRPr="00D74951">
        <w:t>Aboriginal and Torres Strait Islander government</w:t>
      </w:r>
      <w:r w:rsidR="00891079" w:rsidRPr="00D74951">
        <w:noBreakHyphen/>
      </w:r>
      <w:r w:rsidR="00CD3BA7" w:rsidRPr="00D74951">
        <w:t xml:space="preserve">funded graduates </w:t>
      </w:r>
      <w:r w:rsidR="00B6451A" w:rsidRPr="00D74951">
        <w:t>(</w:t>
      </w:r>
      <w:r w:rsidR="00E03B62" w:rsidRPr="00B05D55">
        <w:t>91.6</w:t>
      </w:r>
      <w:r w:rsidR="00B6451A" w:rsidRPr="00B05D55">
        <w:t xml:space="preserve"> </w:t>
      </w:r>
      <w:r w:rsidR="00B6451A" w:rsidRPr="00D74951">
        <w:t xml:space="preserve">per cent in </w:t>
      </w:r>
      <w:r w:rsidR="008369A0" w:rsidRPr="00D74951">
        <w:t>2019</w:t>
      </w:r>
      <w:r w:rsidR="00B6451A" w:rsidRPr="00D74951">
        <w:t>)</w:t>
      </w:r>
      <w:r w:rsidR="00B73BDF" w:rsidRPr="00D74951">
        <w:t xml:space="preserve"> (table </w:t>
      </w:r>
      <w:r w:rsidR="00CD3BA7" w:rsidRPr="00D74951">
        <w:t>5A.1</w:t>
      </w:r>
      <w:r w:rsidR="00A80D77" w:rsidRPr="00D74951">
        <w:t>4</w:t>
      </w:r>
      <w:r w:rsidR="00CD3BA7" w:rsidRPr="00D74951">
        <w:t>).</w:t>
      </w:r>
    </w:p>
    <w:p w14:paraId="75EAA000" w14:textId="101600FA" w:rsidR="00CD3BA7" w:rsidRPr="00D74951" w:rsidRDefault="00C7218B" w:rsidP="009C1FB9">
      <w:pPr>
        <w:pStyle w:val="BodyText"/>
      </w:pPr>
      <w:r w:rsidRPr="00D74951">
        <w:t>Satisfaction with instructors (</w:t>
      </w:r>
      <w:r w:rsidR="00E03B62" w:rsidRPr="00B05D55">
        <w:t>87.5</w:t>
      </w:r>
      <w:r w:rsidRPr="00B05D55">
        <w:t xml:space="preserve"> </w:t>
      </w:r>
      <w:r w:rsidRPr="00D74951">
        <w:t xml:space="preserve">per cent) was </w:t>
      </w:r>
      <w:r w:rsidR="00F31DD0" w:rsidRPr="00E03B62">
        <w:t>lower than</w:t>
      </w:r>
      <w:r w:rsidRPr="00E03B62">
        <w:t xml:space="preserve"> </w:t>
      </w:r>
      <w:r w:rsidRPr="00D74951">
        <w:t>satisfaction with assessment (</w:t>
      </w:r>
      <w:r w:rsidR="00E03B62" w:rsidRPr="00B05D55">
        <w:t>89.5</w:t>
      </w:r>
      <w:r w:rsidRPr="006049BE">
        <w:t xml:space="preserve"> </w:t>
      </w:r>
      <w:r w:rsidRPr="00D74951">
        <w:t xml:space="preserve">per cent) in </w:t>
      </w:r>
      <w:r w:rsidR="008369A0" w:rsidRPr="00D74951">
        <w:t>2019</w:t>
      </w:r>
      <w:r w:rsidRPr="00D74951">
        <w:t xml:space="preserve"> (table 5A.14).</w:t>
      </w:r>
    </w:p>
    <w:p w14:paraId="45092273" w14:textId="6D32E822" w:rsidR="00AF67A8" w:rsidRDefault="00AF67A8"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7A8" w14:paraId="3DD4824B" w14:textId="77777777" w:rsidTr="00DD0399">
        <w:trPr>
          <w:tblHeader/>
        </w:trPr>
        <w:tc>
          <w:tcPr>
            <w:tcW w:w="5000" w:type="pct"/>
            <w:tcBorders>
              <w:top w:val="single" w:sz="6" w:space="0" w:color="78A22F"/>
              <w:left w:val="nil"/>
              <w:bottom w:val="nil"/>
              <w:right w:val="nil"/>
            </w:tcBorders>
            <w:shd w:val="clear" w:color="auto" w:fill="auto"/>
          </w:tcPr>
          <w:p w14:paraId="0A7B78C3" w14:textId="3F11814D" w:rsidR="00AF67A8" w:rsidRPr="00333E4C" w:rsidRDefault="00AF67A8" w:rsidP="00333E4C">
            <w:pPr>
              <w:pStyle w:val="FigureTitle"/>
              <w:ind w:left="1418" w:hanging="1418"/>
              <w:rPr>
                <w:position w:val="6"/>
                <w:sz w:val="18"/>
              </w:rPr>
            </w:pPr>
            <w:r w:rsidRPr="00784A05">
              <w:rPr>
                <w:b w:val="0"/>
              </w:rPr>
              <w:t xml:space="preserve">Figure </w:t>
            </w:r>
            <w:r>
              <w:rPr>
                <w:b w:val="0"/>
              </w:rPr>
              <w:t>5.</w:t>
            </w:r>
            <w:r w:rsidR="006300E8">
              <w:rPr>
                <w:b w:val="0"/>
                <w:noProof/>
              </w:rPr>
              <w:t>6</w:t>
            </w:r>
            <w:r>
              <w:tab/>
              <w:t>Government</w:t>
            </w:r>
            <w:r w:rsidR="00891079">
              <w:noBreakHyphen/>
            </w:r>
            <w:r>
              <w:t xml:space="preserve">funded </w:t>
            </w:r>
            <w:r w:rsidRPr="006C44D6">
              <w:t xml:space="preserve">VET graduates satisfied with the </w:t>
            </w:r>
            <w:r>
              <w:t xml:space="preserve">overall </w:t>
            </w:r>
            <w:r w:rsidRPr="006C44D6">
              <w:t>q</w:t>
            </w:r>
            <w:r>
              <w:t>uality of training</w:t>
            </w:r>
            <w:r w:rsidR="00FD1740" w:rsidRPr="00821F91">
              <w:t xml:space="preserve">, </w:t>
            </w:r>
            <w:r w:rsidR="008556F1" w:rsidRPr="00821F91">
              <w:t xml:space="preserve">Aboriginal and Torres Strait Islander and total, </w:t>
            </w:r>
            <w:r w:rsidR="00FD1740" w:rsidRPr="00821F91">
              <w:t>2019</w:t>
            </w:r>
            <w:r w:rsidRPr="00821F91">
              <w:rPr>
                <w:rStyle w:val="NoteLabel"/>
                <w:b/>
              </w:rPr>
              <w:t>a, b</w:t>
            </w:r>
          </w:p>
        </w:tc>
      </w:tr>
      <w:tr w:rsidR="00AF67A8" w14:paraId="7274A7F8" w14:textId="77777777" w:rsidTr="00DD0399">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E5786" w:rsidRPr="00B1465D" w14:paraId="4228D00C" w14:textId="77777777" w:rsidTr="008E5786">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8160E" w:rsidRPr="00C96187" w14:paraId="028B40C6" w14:textId="77777777" w:rsidTr="00821F91">
                    <w:tc>
                      <w:tcPr>
                        <w:tcW w:w="304" w:type="dxa"/>
                        <w:tcBorders>
                          <w:top w:val="nil"/>
                          <w:left w:val="nil"/>
                          <w:bottom w:val="nil"/>
                          <w:right w:val="nil"/>
                        </w:tcBorders>
                        <w:shd w:val="clear" w:color="auto" w:fill="auto"/>
                        <w:tcMar>
                          <w:top w:w="28" w:type="dxa"/>
                          <w:bottom w:w="28" w:type="dxa"/>
                        </w:tcMar>
                      </w:tcPr>
                      <w:p w14:paraId="375CD0F3" w14:textId="77777777" w:rsidR="0038160E" w:rsidRPr="00C96187" w:rsidRDefault="0038160E"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EC8CFC4" w14:textId="77777777" w:rsidR="0038160E" w:rsidRPr="00C96187" w:rsidRDefault="0038160E" w:rsidP="008E578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8D79C11" w14:textId="5F64B7C8" w:rsidR="0038160E" w:rsidRDefault="0038160E" w:rsidP="006B1773">
                        <w:pPr>
                          <w:pStyle w:val="TableBodyText"/>
                          <w:jc w:val="left"/>
                        </w:pPr>
                        <w:r>
                          <w:t xml:space="preserve">Data are </w:t>
                        </w:r>
                        <w:r w:rsidR="00926F99" w:rsidRPr="00926F99">
                          <w:t>comparable across jurisdictions, but not comparable over time (2019 data are not comparable with earlier years)</w:t>
                        </w:r>
                      </w:p>
                    </w:tc>
                  </w:tr>
                  <w:tr w:rsidR="0038160E" w:rsidRPr="00C96187" w14:paraId="6453EE31" w14:textId="77777777" w:rsidTr="00D75B20">
                    <w:tc>
                      <w:tcPr>
                        <w:tcW w:w="304" w:type="dxa"/>
                        <w:tcBorders>
                          <w:top w:val="nil"/>
                          <w:left w:val="nil"/>
                          <w:bottom w:val="nil"/>
                          <w:right w:val="nil"/>
                        </w:tcBorders>
                        <w:shd w:val="clear" w:color="auto" w:fill="auto"/>
                        <w:tcMar>
                          <w:top w:w="28" w:type="dxa"/>
                          <w:bottom w:w="28" w:type="dxa"/>
                        </w:tcMar>
                      </w:tcPr>
                      <w:p w14:paraId="098DC165" w14:textId="77777777" w:rsidR="0038160E" w:rsidRPr="00C96187" w:rsidRDefault="0038160E" w:rsidP="003816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E40E9E1" w14:textId="77777777" w:rsidR="0038160E" w:rsidRPr="00C90895" w:rsidRDefault="0038160E" w:rsidP="0038160E">
                        <w:pPr>
                          <w:keepNext/>
                          <w:keepLines/>
                          <w:spacing w:before="60" w:after="60" w:line="240" w:lineRule="atLeast"/>
                          <w:jc w:val="center"/>
                        </w:pPr>
                      </w:p>
                    </w:tc>
                    <w:tc>
                      <w:tcPr>
                        <w:tcW w:w="7938" w:type="dxa"/>
                        <w:tcBorders>
                          <w:top w:val="nil"/>
                          <w:left w:val="nil"/>
                          <w:bottom w:val="nil"/>
                          <w:right w:val="nil"/>
                        </w:tcBorders>
                        <w:shd w:val="clear" w:color="auto" w:fill="auto"/>
                      </w:tcPr>
                      <w:p w14:paraId="3B591A54" w14:textId="39A3C100" w:rsidR="0038160E" w:rsidRPr="00C96187" w:rsidRDefault="0038160E" w:rsidP="0038160E">
                        <w:pPr>
                          <w:pStyle w:val="TableBodyText"/>
                          <w:jc w:val="left"/>
                        </w:pPr>
                        <w:r w:rsidRPr="00C96187">
                          <w:t>Data are complete (subject to caveats) fo</w:t>
                        </w:r>
                        <w:r>
                          <w:t>r the current reporting period.</w:t>
                        </w:r>
                      </w:p>
                    </w:tc>
                  </w:tr>
                </w:tbl>
                <w:p w14:paraId="02E5BA4D" w14:textId="77777777" w:rsidR="008E5786" w:rsidRDefault="008E5786" w:rsidP="002E0AA0">
                  <w:pPr>
                    <w:pStyle w:val="Figure"/>
                    <w:spacing w:before="60" w:after="60"/>
                    <w:rPr>
                      <w:rFonts w:ascii="Arial" w:hAnsi="Arial" w:cs="Arial"/>
                      <w:sz w:val="18"/>
                      <w:szCs w:val="18"/>
                    </w:rPr>
                  </w:pPr>
                </w:p>
              </w:tc>
            </w:tr>
            <w:tr w:rsidR="00AF67A8" w:rsidRPr="00B1465D" w14:paraId="6107BB4B" w14:textId="77777777" w:rsidTr="00B05D55">
              <w:tblPrEx>
                <w:tblCellMar>
                  <w:left w:w="108" w:type="dxa"/>
                  <w:right w:w="108" w:type="dxa"/>
                </w:tblCellMar>
              </w:tblPrEx>
              <w:trPr>
                <w:tblHeader/>
                <w:jc w:val="center"/>
              </w:trPr>
              <w:tc>
                <w:tcPr>
                  <w:tcW w:w="5000" w:type="pct"/>
                  <w:tcBorders>
                    <w:top w:val="nil"/>
                    <w:bottom w:val="nil"/>
                  </w:tcBorders>
                  <w:shd w:val="clear" w:color="auto" w:fill="auto"/>
                </w:tcPr>
                <w:p w14:paraId="32C23F6B" w14:textId="1339879A" w:rsidR="00AF67A8" w:rsidRPr="00B1465D" w:rsidRDefault="00215DF3" w:rsidP="002E0AA0">
                  <w:pPr>
                    <w:pStyle w:val="Figure"/>
                    <w:spacing w:before="60" w:after="60"/>
                    <w:rPr>
                      <w:rFonts w:ascii="Arial" w:hAnsi="Arial" w:cs="Arial"/>
                      <w:sz w:val="18"/>
                      <w:szCs w:val="18"/>
                    </w:rPr>
                  </w:pPr>
                  <w:r>
                    <w:rPr>
                      <w:noProof/>
                    </w:rPr>
                    <w:drawing>
                      <wp:inline distT="0" distB="0" distL="0" distR="0" wp14:anchorId="2113DABE" wp14:editId="4D49C717">
                        <wp:extent cx="5345723" cy="3223846"/>
                        <wp:effectExtent l="0" t="0" r="7620" b="0"/>
                        <wp:docPr id="13" name="Chart 13" descr="Figure 5.6 Government-funded VET graduates satisfied with the overall quality of training, Aboriginal and Torres Strait Islander and total,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21F2F" w:rsidDel="00982ECD">
                    <w:rPr>
                      <w:rFonts w:ascii="Arial" w:hAnsi="Arial" w:cs="Arial"/>
                      <w:noProof/>
                      <w:sz w:val="18"/>
                      <w:szCs w:val="18"/>
                    </w:rPr>
                    <w:t xml:space="preserve"> </w:t>
                  </w:r>
                </w:p>
              </w:tc>
            </w:tr>
          </w:tbl>
          <w:p w14:paraId="00A91AC5" w14:textId="77777777" w:rsidR="00AF67A8" w:rsidRDefault="00AF67A8" w:rsidP="002E0AA0">
            <w:pPr>
              <w:pStyle w:val="Figure"/>
            </w:pPr>
          </w:p>
        </w:tc>
      </w:tr>
      <w:tr w:rsidR="00AF67A8" w:rsidRPr="00176D3F" w14:paraId="00A40D9D" w14:textId="77777777" w:rsidTr="00F72484">
        <w:tc>
          <w:tcPr>
            <w:tcW w:w="5000" w:type="pct"/>
            <w:tcBorders>
              <w:top w:val="nil"/>
              <w:left w:val="nil"/>
              <w:bottom w:val="nil"/>
              <w:right w:val="nil"/>
            </w:tcBorders>
            <w:shd w:val="clear" w:color="auto" w:fill="auto"/>
          </w:tcPr>
          <w:p w14:paraId="005CBBFA" w14:textId="4F457D83" w:rsidR="00AF67A8" w:rsidRPr="00176D3F" w:rsidRDefault="00AF67A8" w:rsidP="00EA66CA">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Pr>
                <w:shd w:val="clear" w:color="auto" w:fill="FFFFFF" w:themeFill="background1"/>
              </w:rPr>
              <w:t xml:space="preserve"> </w:t>
            </w:r>
            <w:r>
              <w:rPr>
                <w:rStyle w:val="NoteLabel"/>
              </w:rPr>
              <w:t>b</w:t>
            </w:r>
            <w:r w:rsidRPr="00171E10">
              <w:t xml:space="preserve"> </w:t>
            </w:r>
            <w:r w:rsidRPr="006D3797">
              <w:t>See box</w:t>
            </w:r>
            <w:r>
              <w:t> 5.6 and table </w:t>
            </w:r>
            <w:r w:rsidRPr="008C1DD2">
              <w:t>5A.</w:t>
            </w:r>
            <w:r>
              <w:t>1</w:t>
            </w:r>
            <w:r w:rsidR="00EA66CA">
              <w:t>4</w:t>
            </w:r>
            <w:r>
              <w:t xml:space="preserve"> </w:t>
            </w:r>
            <w:r w:rsidRPr="006D3797">
              <w:t>for detailed definitions, footnotes and caveats</w:t>
            </w:r>
            <w:r w:rsidRPr="004B1B81">
              <w:t>.</w:t>
            </w:r>
          </w:p>
        </w:tc>
      </w:tr>
      <w:tr w:rsidR="00AF67A8" w:rsidRPr="00176D3F" w14:paraId="26250CFA" w14:textId="77777777" w:rsidTr="00F72484">
        <w:tc>
          <w:tcPr>
            <w:tcW w:w="5000" w:type="pct"/>
            <w:tcBorders>
              <w:top w:val="nil"/>
              <w:left w:val="nil"/>
              <w:bottom w:val="nil"/>
              <w:right w:val="nil"/>
            </w:tcBorders>
            <w:shd w:val="clear" w:color="auto" w:fill="auto"/>
          </w:tcPr>
          <w:p w14:paraId="30AADE75" w14:textId="383F682A" w:rsidR="00AF67A8" w:rsidRPr="00176D3F" w:rsidRDefault="00AF67A8" w:rsidP="00B564FC">
            <w:pPr>
              <w:pStyle w:val="Source"/>
            </w:pPr>
            <w:r w:rsidRPr="00821F91">
              <w:rPr>
                <w:i/>
              </w:rPr>
              <w:t>Source</w:t>
            </w:r>
            <w:r w:rsidRPr="00821F91">
              <w:t xml:space="preserve">: </w:t>
            </w:r>
            <w:r w:rsidR="00B564FC" w:rsidRPr="00821F91">
              <w:t>NCVER, National Student Outcomes Survey</w:t>
            </w:r>
            <w:r w:rsidRPr="00821F91">
              <w:rPr>
                <w:i/>
              </w:rPr>
              <w:t>;</w:t>
            </w:r>
            <w:r>
              <w:rPr>
                <w:i/>
              </w:rPr>
              <w:t xml:space="preserve"> </w:t>
            </w:r>
            <w:r w:rsidRPr="00375E36">
              <w:t>table</w:t>
            </w:r>
            <w:r w:rsidR="00DD5279">
              <w:t> </w:t>
            </w:r>
            <w:r w:rsidRPr="00375E36">
              <w:t>5A.1</w:t>
            </w:r>
            <w:r w:rsidR="00A80D77">
              <w:t>4</w:t>
            </w:r>
            <w:r w:rsidRPr="00375E36">
              <w:t>.</w:t>
            </w:r>
          </w:p>
        </w:tc>
      </w:tr>
      <w:tr w:rsidR="00AF67A8" w14:paraId="33D2917E" w14:textId="77777777" w:rsidTr="00F72484">
        <w:tc>
          <w:tcPr>
            <w:tcW w:w="5000" w:type="pct"/>
            <w:tcBorders>
              <w:top w:val="nil"/>
              <w:left w:val="nil"/>
              <w:bottom w:val="single" w:sz="6" w:space="0" w:color="78A22F"/>
              <w:right w:val="nil"/>
            </w:tcBorders>
            <w:shd w:val="clear" w:color="auto" w:fill="auto"/>
          </w:tcPr>
          <w:p w14:paraId="766FA324" w14:textId="77777777" w:rsidR="00AF67A8" w:rsidRDefault="00AF67A8" w:rsidP="002E0AA0">
            <w:pPr>
              <w:pStyle w:val="Figurespace"/>
            </w:pPr>
          </w:p>
        </w:tc>
      </w:tr>
      <w:tr w:rsidR="00AF67A8" w:rsidRPr="000863A5" w14:paraId="7DB1B904" w14:textId="77777777" w:rsidTr="002E0AA0">
        <w:tc>
          <w:tcPr>
            <w:tcW w:w="5000" w:type="pct"/>
            <w:tcBorders>
              <w:top w:val="single" w:sz="6" w:space="0" w:color="78A22F"/>
              <w:left w:val="nil"/>
              <w:bottom w:val="nil"/>
              <w:right w:val="nil"/>
            </w:tcBorders>
          </w:tcPr>
          <w:p w14:paraId="30245A87" w14:textId="550046ED" w:rsidR="00AF67A8" w:rsidRPr="00626D32" w:rsidRDefault="00AF67A8" w:rsidP="002E0AA0">
            <w:pPr>
              <w:pStyle w:val="BoxSpaceBelow"/>
            </w:pPr>
          </w:p>
        </w:tc>
      </w:tr>
    </w:tbl>
    <w:p w14:paraId="2613D5B3" w14:textId="6129DA49" w:rsidR="00EA78CF" w:rsidRDefault="003312BD" w:rsidP="003312BD">
      <w:pPr>
        <w:pStyle w:val="Heading4"/>
      </w:pPr>
      <w:r>
        <w:t>Quality — Service quality</w:t>
      </w:r>
    </w:p>
    <w:p w14:paraId="61FA089F" w14:textId="628C2F97" w:rsidR="003312BD" w:rsidRDefault="00655CDD" w:rsidP="003312BD">
      <w:pPr>
        <w:pStyle w:val="BodyText"/>
        <w:shd w:val="clear" w:color="auto" w:fill="FFFFFF" w:themeFill="background1"/>
      </w:pPr>
      <w:r>
        <w:t>‘Service quality</w:t>
      </w:r>
      <w:r w:rsidR="003312BD" w:rsidRPr="00EF5A5F">
        <w:t xml:space="preserve">’ is an indicator of governments’ objective </w:t>
      </w:r>
      <w:r w:rsidR="003312BD">
        <w:t xml:space="preserve">to create a </w:t>
      </w:r>
      <w:r w:rsidR="003312BD" w:rsidRPr="00087CD1">
        <w:t xml:space="preserve">national training system that is </w:t>
      </w:r>
      <w:r w:rsidR="003312BD">
        <w:t xml:space="preserve">high </w:t>
      </w:r>
      <w:r w:rsidR="003312BD" w:rsidRPr="00796192">
        <w:t xml:space="preserve">quality </w:t>
      </w:r>
      <w:r w:rsidR="00796192" w:rsidRPr="00796192">
        <w:t>(box</w:t>
      </w:r>
      <w:r w:rsidR="00DD5279">
        <w:t> </w:t>
      </w:r>
      <w:r w:rsidR="00B742DA">
        <w:t>5.7</w:t>
      </w:r>
      <w:r w:rsidR="00D00D5E">
        <w:t>).</w:t>
      </w:r>
    </w:p>
    <w:p w14:paraId="5029985F" w14:textId="77777777" w:rsidR="003312BD" w:rsidRDefault="003312BD" w:rsidP="003312B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312BD" w14:paraId="0A0102BF" w14:textId="77777777" w:rsidTr="00606E20">
        <w:tc>
          <w:tcPr>
            <w:tcW w:w="8789" w:type="dxa"/>
            <w:tcBorders>
              <w:top w:val="single" w:sz="6" w:space="0" w:color="78A22F"/>
              <w:left w:val="nil"/>
              <w:bottom w:val="nil"/>
              <w:right w:val="nil"/>
            </w:tcBorders>
            <w:shd w:val="clear" w:color="auto" w:fill="F2F2F2" w:themeFill="background1" w:themeFillShade="F2"/>
          </w:tcPr>
          <w:p w14:paraId="66C761D4" w14:textId="1E9D929C" w:rsidR="003312BD" w:rsidRDefault="003312BD" w:rsidP="008E396B">
            <w:pPr>
              <w:pStyle w:val="BoxTitle"/>
            </w:pPr>
            <w:bookmarkStart w:id="18" w:name="OLE_LINK18"/>
            <w:r>
              <w:rPr>
                <w:b w:val="0"/>
              </w:rPr>
              <w:t xml:space="preserve">Box </w:t>
            </w:r>
            <w:bookmarkStart w:id="19" w:name="OLE_LINK12"/>
            <w:r w:rsidR="00B742DA">
              <w:rPr>
                <w:b w:val="0"/>
              </w:rPr>
              <w:t>5.</w:t>
            </w:r>
            <w:r w:rsidR="006300E8">
              <w:rPr>
                <w:b w:val="0"/>
                <w:noProof/>
              </w:rPr>
              <w:t>7</w:t>
            </w:r>
            <w:bookmarkEnd w:id="18"/>
            <w:bookmarkEnd w:id="19"/>
            <w:r>
              <w:tab/>
              <w:t>Service quality</w:t>
            </w:r>
          </w:p>
        </w:tc>
      </w:tr>
      <w:tr w:rsidR="003312BD" w14:paraId="5D2C381D" w14:textId="77777777" w:rsidTr="00606E20">
        <w:trPr>
          <w:cantSplit/>
        </w:trPr>
        <w:tc>
          <w:tcPr>
            <w:tcW w:w="8789" w:type="dxa"/>
            <w:tcBorders>
              <w:top w:val="nil"/>
              <w:left w:val="nil"/>
              <w:bottom w:val="nil"/>
              <w:right w:val="nil"/>
            </w:tcBorders>
            <w:shd w:val="clear" w:color="auto" w:fill="F2F2F2" w:themeFill="background1" w:themeFillShade="F2"/>
          </w:tcPr>
          <w:p w14:paraId="63D30F1C" w14:textId="77777777" w:rsidR="003312BD" w:rsidRDefault="00655CDD" w:rsidP="00655CDD">
            <w:pPr>
              <w:pStyle w:val="Box"/>
            </w:pPr>
            <w:r>
              <w:t>‘Service quality</w:t>
            </w:r>
            <w:r w:rsidR="003312BD" w:rsidRPr="00EF5A5F">
              <w:t xml:space="preserve">’ </w:t>
            </w:r>
            <w:r w:rsidR="00A9132D">
              <w:t xml:space="preserve">focuses on whether services are meeting required standards. </w:t>
            </w:r>
          </w:p>
          <w:p w14:paraId="32F78814" w14:textId="2EB510AF" w:rsidR="00A9132D" w:rsidRPr="00EF5A5F" w:rsidRDefault="00A9132D">
            <w:pPr>
              <w:pStyle w:val="Box"/>
            </w:pPr>
            <w:r w:rsidRPr="00A9132D">
              <w:t>This indicator has been identified for development and reporting in the future.</w:t>
            </w:r>
            <w:r w:rsidR="000F50BB">
              <w:t xml:space="preserve"> Discussions </w:t>
            </w:r>
            <w:r w:rsidR="001B1925">
              <w:t xml:space="preserve">are continuing </w:t>
            </w:r>
            <w:r w:rsidR="000F50BB">
              <w:t xml:space="preserve">with the Australian Skills Quality Authority </w:t>
            </w:r>
            <w:r w:rsidR="001B1925">
              <w:t xml:space="preserve">(ASQA) </w:t>
            </w:r>
            <w:r w:rsidR="000F50BB">
              <w:t>on potential metrics and data.</w:t>
            </w:r>
            <w:r w:rsidR="00F659F1">
              <w:t xml:space="preserve"> </w:t>
            </w:r>
            <w:r w:rsidR="00423970">
              <w:t>As at 31 </w:t>
            </w:r>
            <w:r w:rsidR="00A407DD">
              <w:t>March 2019, ASQA was responsible for regulating 3854 of the 4277 RTOs registered to deliver VET in Australia (ASQA 2019).</w:t>
            </w:r>
          </w:p>
        </w:tc>
      </w:tr>
      <w:tr w:rsidR="003312BD" w14:paraId="12C7F732"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04718A01" w14:textId="77777777" w:rsidR="003312BD" w:rsidRDefault="003312BD" w:rsidP="008E396B">
            <w:pPr>
              <w:pStyle w:val="Box"/>
              <w:spacing w:before="0" w:line="120" w:lineRule="exact"/>
            </w:pPr>
          </w:p>
        </w:tc>
      </w:tr>
      <w:tr w:rsidR="003312BD" w:rsidRPr="000863A5" w14:paraId="1D225E77" w14:textId="77777777" w:rsidTr="00606E20">
        <w:tc>
          <w:tcPr>
            <w:tcW w:w="8789" w:type="dxa"/>
            <w:tcBorders>
              <w:top w:val="single" w:sz="6" w:space="0" w:color="78A22F"/>
              <w:left w:val="nil"/>
              <w:bottom w:val="nil"/>
              <w:right w:val="nil"/>
            </w:tcBorders>
          </w:tcPr>
          <w:p w14:paraId="1C6300CC" w14:textId="77777777" w:rsidR="003312BD" w:rsidRPr="00626D32" w:rsidRDefault="003312BD" w:rsidP="008E396B">
            <w:pPr>
              <w:pStyle w:val="BoxSpaceBelow"/>
            </w:pPr>
          </w:p>
        </w:tc>
      </w:tr>
    </w:tbl>
    <w:p w14:paraId="4A8EB23A" w14:textId="77777777" w:rsidR="00C57336" w:rsidRPr="00EF5A5F" w:rsidRDefault="00C57336" w:rsidP="00E4296A">
      <w:pPr>
        <w:pStyle w:val="Heading3"/>
      </w:pPr>
      <w:r w:rsidRPr="00EF5A5F">
        <w:t>Efficiency</w:t>
      </w:r>
    </w:p>
    <w:p w14:paraId="5F584159" w14:textId="425BF87E" w:rsidR="00C57336" w:rsidRDefault="00C57336" w:rsidP="00875E46">
      <w:pPr>
        <w:pStyle w:val="BodyText"/>
      </w:pPr>
      <w:r w:rsidRPr="00EF5A5F">
        <w:t>A</w:t>
      </w:r>
      <w:r w:rsidR="000E47DE">
        <w:t xml:space="preserve">n </w:t>
      </w:r>
      <w:r w:rsidRPr="00EF5A5F">
        <w:t xml:space="preserve">indicator of efficiency is the level of government inputs per unit of output (unit </w:t>
      </w:r>
      <w:r w:rsidRPr="00875E46">
        <w:t xml:space="preserve">cost). The indicator of unit cost </w:t>
      </w:r>
      <w:r w:rsidR="00B6451A">
        <w:t>in this Report</w:t>
      </w:r>
      <w:r w:rsidR="00B6451A" w:rsidRPr="00875E46">
        <w:t xml:space="preserve"> </w:t>
      </w:r>
      <w:r w:rsidR="00875E46" w:rsidRPr="00875E46">
        <w:t>is</w:t>
      </w:r>
      <w:r w:rsidR="004461E9" w:rsidRPr="00875E46">
        <w:t xml:space="preserve"> </w:t>
      </w:r>
      <w:r w:rsidRPr="00875E46">
        <w:t>‘</w:t>
      </w:r>
      <w:r w:rsidR="00FD3093" w:rsidRPr="00875E46">
        <w:t>r</w:t>
      </w:r>
      <w:r w:rsidRPr="00875E46">
        <w:t>ecurre</w:t>
      </w:r>
      <w:r w:rsidR="008F026B" w:rsidRPr="00875E46">
        <w:t>nt expenditure per annu</w:t>
      </w:r>
      <w:r w:rsidR="001E6ABD" w:rsidRPr="00875E46">
        <w:t>a</w:t>
      </w:r>
      <w:r w:rsidR="008F026B" w:rsidRPr="00875E46">
        <w:t>l hour’.</w:t>
      </w:r>
      <w:r w:rsidR="00372A4C" w:rsidRPr="00875E46">
        <w:t xml:space="preserve"> </w:t>
      </w:r>
      <w:r w:rsidR="00875E46" w:rsidRPr="00875E46">
        <w:t>T</w:t>
      </w:r>
      <w:r w:rsidR="00357F9D" w:rsidRPr="00875E46">
        <w:t xml:space="preserve">he user cost of capital is included in estimates of recurrent expenditure, </w:t>
      </w:r>
      <w:r w:rsidR="00875E46" w:rsidRPr="00875E46">
        <w:t xml:space="preserve">however </w:t>
      </w:r>
      <w:r w:rsidR="0029650C">
        <w:t xml:space="preserve">expenditure estimates including and excluding user cost of capital </w:t>
      </w:r>
      <w:r w:rsidR="00875E46" w:rsidRPr="00875E46">
        <w:t>are</w:t>
      </w:r>
      <w:r w:rsidR="00875E46">
        <w:rPr>
          <w:color w:val="FF0000"/>
        </w:rPr>
        <w:t xml:space="preserve"> </w:t>
      </w:r>
      <w:r w:rsidR="00875E46" w:rsidRPr="00875E46">
        <w:t xml:space="preserve">available </w:t>
      </w:r>
      <w:r w:rsidR="00357F9D" w:rsidRPr="00875E46">
        <w:t xml:space="preserve">separately </w:t>
      </w:r>
      <w:r w:rsidRPr="00875E46">
        <w:t>(box</w:t>
      </w:r>
      <w:r w:rsidR="00F05FB8">
        <w:t> </w:t>
      </w:r>
      <w:r w:rsidR="00C53150">
        <w:t>5.8</w:t>
      </w:r>
      <w:r w:rsidR="008F026B" w:rsidRPr="00875E46">
        <w:t>).</w:t>
      </w:r>
      <w:r w:rsidR="00EE44B2" w:rsidRPr="00875E46">
        <w:t xml:space="preserve"> </w:t>
      </w:r>
    </w:p>
    <w:p w14:paraId="49063245" w14:textId="77777777" w:rsidR="00B05084" w:rsidRDefault="00B05084" w:rsidP="00B0508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05084" w14:paraId="1DA26401" w14:textId="77777777" w:rsidTr="00B05084">
        <w:tc>
          <w:tcPr>
            <w:tcW w:w="8789" w:type="dxa"/>
            <w:tcBorders>
              <w:top w:val="single" w:sz="6" w:space="0" w:color="78A22F"/>
              <w:left w:val="nil"/>
              <w:bottom w:val="nil"/>
              <w:right w:val="nil"/>
            </w:tcBorders>
            <w:shd w:val="clear" w:color="auto" w:fill="F2F2F2" w:themeFill="background1" w:themeFillShade="F2"/>
          </w:tcPr>
          <w:p w14:paraId="0DC36FBD" w14:textId="77777777" w:rsidR="00B05084" w:rsidRDefault="00B05084" w:rsidP="00B05084">
            <w:pPr>
              <w:pStyle w:val="BoxTitle"/>
            </w:pPr>
            <w:r>
              <w:rPr>
                <w:b w:val="0"/>
              </w:rPr>
              <w:t>Box 5.</w:t>
            </w:r>
            <w:r>
              <w:rPr>
                <w:b w:val="0"/>
                <w:noProof/>
              </w:rPr>
              <w:t>8</w:t>
            </w:r>
            <w:r>
              <w:tab/>
            </w:r>
            <w:r w:rsidRPr="00EF5A5F">
              <w:t>Comparability of cost estimates</w:t>
            </w:r>
          </w:p>
        </w:tc>
      </w:tr>
      <w:tr w:rsidR="00B05084" w14:paraId="658C3902" w14:textId="77777777" w:rsidTr="00B05084">
        <w:trPr>
          <w:cantSplit/>
        </w:trPr>
        <w:tc>
          <w:tcPr>
            <w:tcW w:w="8789" w:type="dxa"/>
            <w:tcBorders>
              <w:top w:val="nil"/>
              <w:left w:val="nil"/>
              <w:bottom w:val="nil"/>
              <w:right w:val="nil"/>
            </w:tcBorders>
            <w:shd w:val="clear" w:color="auto" w:fill="F2F2F2" w:themeFill="background1" w:themeFillShade="F2"/>
          </w:tcPr>
          <w:p w14:paraId="79E332A2" w14:textId="77777777" w:rsidR="00B05084" w:rsidRDefault="00B05084" w:rsidP="00B05084">
            <w:pPr>
              <w:pStyle w:val="Box"/>
            </w:pPr>
            <w:r>
              <w:t xml:space="preserve">Government recurrent expenditure for 2017 and 2018 is calculated using data prepared by Commonwealth, State and Territory governments under the Australian Vocational Education and Training Management Information Statistical Standard (AVETMISS) for VET funding data. Data are prepared annually on an accrual basis. </w:t>
            </w:r>
          </w:p>
          <w:p w14:paraId="1C1A5A81" w14:textId="77777777" w:rsidR="00B05084" w:rsidRDefault="00B05084" w:rsidP="00B05084">
            <w:pPr>
              <w:pStyle w:val="Box"/>
            </w:pPr>
            <w:r>
              <w:t xml:space="preserve">Government recurrent expenditure for 2017 and 2018 is deemed as being equivalent to the recurrent funds received by State and Territory government departments responsible for VET (net of payroll tax) provided by the Australian Government and by State and Territory governments, and includes: </w:t>
            </w:r>
          </w:p>
          <w:p w14:paraId="3A0EBED6" w14:textId="77777777" w:rsidR="00B05084" w:rsidRDefault="00B05084" w:rsidP="00B05084">
            <w:pPr>
              <w:pStyle w:val="BoxListBullet"/>
            </w:pPr>
            <w:r>
              <w:t xml:space="preserve">Commonwealth ongoing specific purpose payments, State Recurrent funding, </w:t>
            </w:r>
            <w:r w:rsidRPr="00821F91">
              <w:t>Adult Migrant English Program (AMEP), Skills for Education and Employment (SEE)</w:t>
            </w:r>
            <w:r>
              <w:t xml:space="preserve"> Commonwealth administered VET programs and National Partnership Agreement funding</w:t>
            </w:r>
          </w:p>
          <w:p w14:paraId="62BBE584" w14:textId="77777777" w:rsidR="00B05084" w:rsidRDefault="00B05084" w:rsidP="00B05084">
            <w:pPr>
              <w:pStyle w:val="BoxListBullet"/>
            </w:pPr>
            <w:r>
              <w:t>user cost of capital (estimated as 8 per cent of the value of total physical non-current assets owned by government RTOs).</w:t>
            </w:r>
          </w:p>
          <w:p w14:paraId="35F9FFCA" w14:textId="77777777" w:rsidR="00B05084" w:rsidRPr="00A00D75" w:rsidRDefault="00B05084" w:rsidP="00B05084">
            <w:pPr>
              <w:pStyle w:val="Box"/>
            </w:pPr>
            <w:r w:rsidRPr="00821F91">
              <w:t>For 2009 to 2016, g</w:t>
            </w:r>
            <w:r w:rsidRPr="00A00D75">
              <w:t>overnment recurrent expenditure is calculated using data prepared by State and Territory government</w:t>
            </w:r>
            <w:r>
              <w:t>s</w:t>
            </w:r>
            <w:r w:rsidRPr="00A00D75">
              <w:t xml:space="preserve"> under the </w:t>
            </w:r>
            <w:r w:rsidRPr="00821F91">
              <w:t>AVETMISS</w:t>
            </w:r>
            <w:r w:rsidRPr="00A00D75">
              <w:t xml:space="preserve"> for VET financial data. </w:t>
            </w:r>
            <w:r w:rsidRPr="00821F91">
              <w:t>Details for the calculation for 2009 to 2016 are available in the footnotes for table 5A.1.</w:t>
            </w:r>
          </w:p>
          <w:p w14:paraId="52D6CB36" w14:textId="77777777" w:rsidR="00B05084" w:rsidRDefault="00B05084" w:rsidP="00B05084">
            <w:pPr>
              <w:pStyle w:val="Box"/>
            </w:pPr>
            <w:r w:rsidRPr="000D1A1D">
              <w:t>Payroll tax payments by government</w:t>
            </w:r>
            <w:r>
              <w:noBreakHyphen/>
            </w:r>
            <w:r w:rsidRPr="000D1A1D">
              <w:t xml:space="preserve">owned RTOs </w:t>
            </w:r>
            <w:r>
              <w:t>are deducted from the total to ensure a consistent treatment across jurisdictions.</w:t>
            </w:r>
          </w:p>
          <w:p w14:paraId="03CED16A" w14:textId="77777777" w:rsidR="00B05084" w:rsidRDefault="00B05084" w:rsidP="00B05084">
            <w:pPr>
              <w:pStyle w:val="Box"/>
            </w:pPr>
            <w:r>
              <w:t>Government recurrent expenditure for VET may be affected by the movement of TAFE institutes between government and non</w:t>
            </w:r>
            <w:r>
              <w:noBreakHyphen/>
              <w:t xml:space="preserve">government sectors. </w:t>
            </w:r>
            <w:r w:rsidRPr="00EF5A5F">
              <w:t xml:space="preserve">User cost of capital </w:t>
            </w:r>
            <w:r>
              <w:t>should</w:t>
            </w:r>
            <w:r w:rsidRPr="00EF5A5F">
              <w:t xml:space="preserve"> be interpreted carefully. Differences in some input costs (for example, land values) can affect reported costs across jurisdictions without necessarily reflecting the efficiency of service del</w:t>
            </w:r>
            <w:r>
              <w:t>ivery. The value of</w:t>
            </w:r>
            <w:r w:rsidRPr="00EF5A5F">
              <w:t xml:space="preserve"> land is pr</w:t>
            </w:r>
            <w:r>
              <w:t>esented separately from the value</w:t>
            </w:r>
            <w:r w:rsidRPr="00EF5A5F">
              <w:t xml:space="preserve"> of other asse</w:t>
            </w:r>
            <w:r>
              <w:t>ts</w:t>
            </w:r>
            <w:r w:rsidRPr="00EF5A5F">
              <w:t xml:space="preserve"> to allow users assessing the results to consider any differences in land values across jurisdictions. The basis for the 8 per cent capital charge is discussed in </w:t>
            </w:r>
            <w:r>
              <w:t>section 1.</w:t>
            </w:r>
          </w:p>
          <w:p w14:paraId="5AD2D6ED" w14:textId="515318D8" w:rsidR="00B05084" w:rsidRPr="00EF5A5F" w:rsidRDefault="00B05084" w:rsidP="00B05084">
            <w:pPr>
              <w:pStyle w:val="BoxSource"/>
              <w:jc w:val="right"/>
            </w:pPr>
            <w:r>
              <w:t>(</w:t>
            </w:r>
            <w:r w:rsidRPr="00B05084">
              <w:t>continued next page)</w:t>
            </w:r>
          </w:p>
        </w:tc>
      </w:tr>
      <w:tr w:rsidR="00B05084" w14:paraId="2C3F29E4" w14:textId="77777777" w:rsidTr="00B05084">
        <w:trPr>
          <w:cantSplit/>
        </w:trPr>
        <w:tc>
          <w:tcPr>
            <w:tcW w:w="8789" w:type="dxa"/>
            <w:tcBorders>
              <w:top w:val="nil"/>
              <w:left w:val="nil"/>
              <w:bottom w:val="single" w:sz="6" w:space="0" w:color="78A22F"/>
              <w:right w:val="nil"/>
            </w:tcBorders>
            <w:shd w:val="clear" w:color="auto" w:fill="F2F2F2" w:themeFill="background1" w:themeFillShade="F2"/>
          </w:tcPr>
          <w:p w14:paraId="4F73E5AE" w14:textId="77777777" w:rsidR="00B05084" w:rsidRDefault="00B05084" w:rsidP="00B05084">
            <w:pPr>
              <w:pStyle w:val="Box"/>
              <w:spacing w:before="0" w:line="120" w:lineRule="exact"/>
            </w:pPr>
          </w:p>
        </w:tc>
      </w:tr>
      <w:tr w:rsidR="00B05084" w:rsidRPr="000863A5" w14:paraId="68BB18CE" w14:textId="77777777" w:rsidTr="00B05084">
        <w:tc>
          <w:tcPr>
            <w:tcW w:w="8789" w:type="dxa"/>
            <w:tcBorders>
              <w:top w:val="single" w:sz="6" w:space="0" w:color="78A22F"/>
              <w:left w:val="nil"/>
              <w:bottom w:val="nil"/>
              <w:right w:val="nil"/>
            </w:tcBorders>
          </w:tcPr>
          <w:p w14:paraId="0E36D5F7" w14:textId="77777777" w:rsidR="00B05084" w:rsidRPr="00626D32" w:rsidRDefault="00B05084" w:rsidP="00B05084">
            <w:pPr>
              <w:pStyle w:val="BoxSpaceBelow"/>
              <w:spacing w:before="0" w:after="0" w:line="60" w:lineRule="exact"/>
            </w:pPr>
          </w:p>
        </w:tc>
      </w:tr>
    </w:tbl>
    <w:p w14:paraId="57CFCAD9" w14:textId="77777777" w:rsidR="004642F3" w:rsidRDefault="004642F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642F3" w14:paraId="47C34DCF" w14:textId="77777777" w:rsidTr="00606E20">
        <w:tc>
          <w:tcPr>
            <w:tcW w:w="8789" w:type="dxa"/>
            <w:tcBorders>
              <w:top w:val="single" w:sz="6" w:space="0" w:color="78A22F"/>
              <w:left w:val="nil"/>
              <w:bottom w:val="nil"/>
              <w:right w:val="nil"/>
            </w:tcBorders>
            <w:shd w:val="clear" w:color="auto" w:fill="F2F2F2" w:themeFill="background1" w:themeFillShade="F2"/>
          </w:tcPr>
          <w:p w14:paraId="59A5C6AA" w14:textId="798E0CC5" w:rsidR="004642F3" w:rsidRDefault="004642F3" w:rsidP="004642F3">
            <w:pPr>
              <w:pStyle w:val="BoxTitle"/>
            </w:pPr>
            <w:r>
              <w:rPr>
                <w:b w:val="0"/>
              </w:rPr>
              <w:t>Box</w:t>
            </w:r>
            <w:bookmarkStart w:id="20" w:name="OLE_LINK1"/>
            <w:r>
              <w:rPr>
                <w:b w:val="0"/>
              </w:rPr>
              <w:t xml:space="preserve"> </w:t>
            </w:r>
            <w:bookmarkStart w:id="21" w:name="OLE_LINK7"/>
            <w:r w:rsidR="00C53150">
              <w:rPr>
                <w:b w:val="0"/>
              </w:rPr>
              <w:t>5.</w:t>
            </w:r>
            <w:r w:rsidR="006300E8">
              <w:rPr>
                <w:b w:val="0"/>
                <w:noProof/>
              </w:rPr>
              <w:t>8</w:t>
            </w:r>
            <w:bookmarkEnd w:id="20"/>
            <w:bookmarkEnd w:id="21"/>
            <w:r w:rsidR="00B05084">
              <w:tab/>
            </w:r>
            <w:r w:rsidR="00B05084" w:rsidRPr="001D6DFD">
              <w:rPr>
                <w:b w:val="0"/>
                <w:sz w:val="18"/>
                <w:szCs w:val="18"/>
                <w:shd w:val="clear" w:color="auto" w:fill="F2F2F2" w:themeFill="background1" w:themeFillShade="F2"/>
              </w:rPr>
              <w:t>(continued)</w:t>
            </w:r>
          </w:p>
        </w:tc>
      </w:tr>
      <w:tr w:rsidR="004642F3" w14:paraId="659BD9BE" w14:textId="77777777" w:rsidTr="00606E20">
        <w:trPr>
          <w:cantSplit/>
        </w:trPr>
        <w:tc>
          <w:tcPr>
            <w:tcW w:w="8789" w:type="dxa"/>
            <w:tcBorders>
              <w:top w:val="nil"/>
              <w:left w:val="nil"/>
              <w:bottom w:val="nil"/>
              <w:right w:val="nil"/>
            </w:tcBorders>
            <w:shd w:val="clear" w:color="auto" w:fill="F2F2F2" w:themeFill="background1" w:themeFillShade="F2"/>
          </w:tcPr>
          <w:p w14:paraId="2E284610" w14:textId="77777777" w:rsidR="0061604A" w:rsidRDefault="0061604A" w:rsidP="0003011D">
            <w:pPr>
              <w:pStyle w:val="Box"/>
            </w:pPr>
            <w:r w:rsidRPr="004642F3">
              <w:t xml:space="preserve">To promote comparability of the </w:t>
            </w:r>
            <w:r w:rsidR="00E33409">
              <w:t xml:space="preserve">data </w:t>
            </w:r>
            <w:r w:rsidRPr="004642F3">
              <w:t xml:space="preserve">across states and territories, as well as comparability between the financial and activity data, </w:t>
            </w:r>
            <w:r w:rsidR="007448F2">
              <w:t xml:space="preserve">annual hours are adjusted by the course mix weight when calculating the efficiency </w:t>
            </w:r>
            <w:r w:rsidR="006E1C4C">
              <w:t>indicator</w:t>
            </w:r>
            <w:r w:rsidR="007448F2">
              <w:t xml:space="preserve">. </w:t>
            </w:r>
          </w:p>
          <w:p w14:paraId="0C8ED89B" w14:textId="17764B8E" w:rsidR="0003011D" w:rsidRDefault="0003011D" w:rsidP="00730C9D">
            <w:pPr>
              <w:pStyle w:val="Box"/>
            </w:pPr>
            <w:r>
              <w:t xml:space="preserve">Expenditure data for years prior to </w:t>
            </w:r>
            <w:r w:rsidR="00387D05">
              <w:t>2018</w:t>
            </w:r>
            <w:r>
              <w:t xml:space="preserve"> are adjusted to real dollars (</w:t>
            </w:r>
            <w:r w:rsidR="00387D05">
              <w:t>2018</w:t>
            </w:r>
            <w:r>
              <w:t xml:space="preserve"> dollars) using </w:t>
            </w:r>
            <w:r w:rsidR="007B41A7">
              <w:t>the gross domestic product</w:t>
            </w:r>
            <w:r>
              <w:t xml:space="preserve"> chain price index (table</w:t>
            </w:r>
            <w:r w:rsidR="000A3C68">
              <w:t> </w:t>
            </w:r>
            <w:r>
              <w:t>5A.</w:t>
            </w:r>
            <w:r w:rsidR="009549B4">
              <w:t>31</w:t>
            </w:r>
            <w:r>
              <w:t>)</w:t>
            </w:r>
            <w:r w:rsidR="004D79B0">
              <w:t>.</w:t>
            </w:r>
          </w:p>
          <w:p w14:paraId="5A14A8C8" w14:textId="7CF47989" w:rsidR="00C463A8" w:rsidRPr="00EF5A5F" w:rsidRDefault="009E1690" w:rsidP="00595CEF">
            <w:pPr>
              <w:pStyle w:val="Box"/>
            </w:pPr>
            <w:r w:rsidRPr="00730C9D">
              <w:t>The majority of g</w:t>
            </w:r>
            <w:r w:rsidR="00026ABC" w:rsidRPr="00730C9D">
              <w:t xml:space="preserve">overnment expenditure data </w:t>
            </w:r>
            <w:r w:rsidRPr="00730C9D">
              <w:t>for</w:t>
            </w:r>
            <w:r w:rsidR="00026ABC" w:rsidRPr="00730C9D">
              <w:t xml:space="preserve"> VET has historically been sourced from the National VET Finance Collection. In 2018, the National VET Funding Collection commenced with data collected from the 2017 calendar year.</w:t>
            </w:r>
            <w:r w:rsidR="00026ABC">
              <w:t xml:space="preserve"> </w:t>
            </w:r>
            <w:r w:rsidR="00096F25" w:rsidRPr="00096F25">
              <w:t>Data for 2017 have been revised from the 2019 Report</w:t>
            </w:r>
            <w:r w:rsidR="00B938E0">
              <w:t>,</w:t>
            </w:r>
            <w:r w:rsidR="00096F25" w:rsidRPr="00096F25">
              <w:t xml:space="preserve"> using data from the National VET Funding Collection.</w:t>
            </w:r>
          </w:p>
        </w:tc>
      </w:tr>
      <w:tr w:rsidR="004642F3" w14:paraId="5E83BAAE"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26FD4D1B" w14:textId="77777777" w:rsidR="004642F3" w:rsidRDefault="004642F3">
            <w:pPr>
              <w:pStyle w:val="Box"/>
              <w:spacing w:before="0" w:line="120" w:lineRule="exact"/>
            </w:pPr>
          </w:p>
        </w:tc>
      </w:tr>
      <w:tr w:rsidR="004642F3" w:rsidRPr="000863A5" w14:paraId="7E925FB0" w14:textId="77777777" w:rsidTr="00606E20">
        <w:tc>
          <w:tcPr>
            <w:tcW w:w="8789" w:type="dxa"/>
            <w:tcBorders>
              <w:top w:val="single" w:sz="6" w:space="0" w:color="78A22F"/>
              <w:left w:val="nil"/>
              <w:bottom w:val="nil"/>
              <w:right w:val="nil"/>
            </w:tcBorders>
          </w:tcPr>
          <w:p w14:paraId="7E9D960D" w14:textId="77777777" w:rsidR="004642F3" w:rsidRPr="00626D32" w:rsidRDefault="004642F3" w:rsidP="006455F8">
            <w:pPr>
              <w:pStyle w:val="BoxSpaceBelow"/>
              <w:spacing w:before="0" w:after="0" w:line="60" w:lineRule="exact"/>
            </w:pPr>
          </w:p>
        </w:tc>
      </w:tr>
    </w:tbl>
    <w:p w14:paraId="506DE397" w14:textId="77777777" w:rsidR="00C57336" w:rsidRPr="000C682B" w:rsidRDefault="00382DB9" w:rsidP="00382DB9">
      <w:pPr>
        <w:pStyle w:val="Heading4"/>
      </w:pPr>
      <w:r>
        <w:t xml:space="preserve">Inputs per output </w:t>
      </w:r>
      <w:r w:rsidR="00743EC4">
        <w:t xml:space="preserve">unit </w:t>
      </w:r>
      <w:r>
        <w:t xml:space="preserve">— </w:t>
      </w:r>
      <w:r w:rsidR="001E1524" w:rsidRPr="000C682B">
        <w:t xml:space="preserve">Government recurrent expenditure per annual hour </w:t>
      </w:r>
    </w:p>
    <w:p w14:paraId="22C0ED0D" w14:textId="32D12422" w:rsidR="00C57336" w:rsidRDefault="000D514D" w:rsidP="006B44EA">
      <w:pPr>
        <w:pStyle w:val="BodyText"/>
      </w:pPr>
      <w:r w:rsidRPr="00EF5A5F">
        <w:t xml:space="preserve">‘Government recurrent expenditure per annual hour’ </w:t>
      </w:r>
      <w:r w:rsidR="006B44EA" w:rsidRPr="00EF5A5F">
        <w:t>is an indicator of governments’ objective</w:t>
      </w:r>
      <w:r w:rsidR="006B44EA">
        <w:t xml:space="preserve"> that the national training system is provided in an efficient manner </w:t>
      </w:r>
      <w:r w:rsidR="00C57336" w:rsidRPr="00EF5A5F">
        <w:t>(box</w:t>
      </w:r>
      <w:r w:rsidR="00DD5279">
        <w:t> </w:t>
      </w:r>
      <w:r w:rsidR="00C53150">
        <w:t>5.9</w:t>
      </w:r>
      <w:r w:rsidR="00C57336" w:rsidRPr="00EF5A5F">
        <w:t>).</w:t>
      </w:r>
    </w:p>
    <w:p w14:paraId="5E52D35A" w14:textId="77777777" w:rsidR="00DD49BC" w:rsidRDefault="00DD4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D49BC" w14:paraId="01FF9782" w14:textId="77777777" w:rsidTr="00606E20">
        <w:tc>
          <w:tcPr>
            <w:tcW w:w="8789" w:type="dxa"/>
            <w:tcBorders>
              <w:top w:val="single" w:sz="6" w:space="0" w:color="78A22F"/>
              <w:left w:val="nil"/>
              <w:bottom w:val="nil"/>
              <w:right w:val="nil"/>
            </w:tcBorders>
            <w:shd w:val="clear" w:color="auto" w:fill="F2F2F2" w:themeFill="background1" w:themeFillShade="F2"/>
          </w:tcPr>
          <w:p w14:paraId="2A83166A" w14:textId="2326CBFE" w:rsidR="00DD49BC" w:rsidRDefault="00DD49BC" w:rsidP="00DD49BC">
            <w:pPr>
              <w:pStyle w:val="BoxTitle"/>
            </w:pPr>
            <w:r>
              <w:rPr>
                <w:b w:val="0"/>
              </w:rPr>
              <w:t xml:space="preserve">Box </w:t>
            </w:r>
            <w:bookmarkStart w:id="22" w:name="OLE_LINK24"/>
            <w:r w:rsidR="00C53150">
              <w:rPr>
                <w:b w:val="0"/>
              </w:rPr>
              <w:t>5.</w:t>
            </w:r>
            <w:r w:rsidR="006300E8">
              <w:rPr>
                <w:b w:val="0"/>
                <w:noProof/>
              </w:rPr>
              <w:t>9</w:t>
            </w:r>
            <w:bookmarkEnd w:id="22"/>
            <w:r>
              <w:tab/>
            </w:r>
            <w:r w:rsidRPr="00EF5A5F">
              <w:t>Government recurrent expenditure per annual hour</w:t>
            </w:r>
          </w:p>
        </w:tc>
      </w:tr>
      <w:tr w:rsidR="00DD49BC" w14:paraId="11739DEE" w14:textId="77777777" w:rsidTr="00606E20">
        <w:trPr>
          <w:cantSplit/>
        </w:trPr>
        <w:tc>
          <w:tcPr>
            <w:tcW w:w="8789" w:type="dxa"/>
            <w:tcBorders>
              <w:top w:val="nil"/>
              <w:left w:val="nil"/>
              <w:bottom w:val="nil"/>
              <w:right w:val="nil"/>
            </w:tcBorders>
            <w:shd w:val="clear" w:color="auto" w:fill="F2F2F2" w:themeFill="background1" w:themeFillShade="F2"/>
          </w:tcPr>
          <w:p w14:paraId="45641624" w14:textId="1EFB2160" w:rsidR="00DD49BC" w:rsidRPr="00EF5A5F" w:rsidRDefault="00DD49BC" w:rsidP="00137F60">
            <w:pPr>
              <w:pStyle w:val="Box"/>
            </w:pPr>
            <w:r w:rsidRPr="00EF5A5F">
              <w:t xml:space="preserve">‘Government recurrent expenditure per annual hour’ is defined as government recurrent expenditure </w:t>
            </w:r>
            <w:r w:rsidR="00906644">
              <w:t xml:space="preserve">(including user cost of capital) </w:t>
            </w:r>
            <w:r w:rsidRPr="00EF5A5F">
              <w:t>divided by government</w:t>
            </w:r>
            <w:r w:rsidR="004F6B96">
              <w:noBreakHyphen/>
            </w:r>
            <w:r w:rsidR="006E1C4C">
              <w:t>funded annual hours</w:t>
            </w:r>
            <w:r w:rsidR="00906644">
              <w:t xml:space="preserve"> </w:t>
            </w:r>
            <w:r w:rsidR="00906644" w:rsidRPr="00EF5A5F">
              <w:t>(</w:t>
            </w:r>
            <w:r w:rsidR="00906644">
              <w:t xml:space="preserve">see </w:t>
            </w:r>
            <w:r w:rsidR="00906644" w:rsidRPr="006D7963">
              <w:t>box</w:t>
            </w:r>
            <w:r w:rsidR="000A3C68" w:rsidRPr="006D7963">
              <w:t> </w:t>
            </w:r>
            <w:r w:rsidR="00C53150">
              <w:t>5.8</w:t>
            </w:r>
            <w:r w:rsidR="00906644" w:rsidRPr="006D7963">
              <w:t>)</w:t>
            </w:r>
            <w:r w:rsidRPr="006D7963">
              <w:t xml:space="preserve">. </w:t>
            </w:r>
          </w:p>
          <w:p w14:paraId="2BB23A99" w14:textId="77777777" w:rsidR="000C0701" w:rsidRDefault="003312BD" w:rsidP="00137F60">
            <w:pPr>
              <w:pStyle w:val="Box"/>
            </w:pPr>
            <w:r>
              <w:t xml:space="preserve">This measure relates to </w:t>
            </w:r>
            <w:r w:rsidR="000C0701">
              <w:t>government</w:t>
            </w:r>
            <w:r w:rsidR="000C0701">
              <w:noBreakHyphen/>
              <w:t xml:space="preserve">funded VET </w:t>
            </w:r>
            <w:r w:rsidR="000C0701" w:rsidRPr="0075604E">
              <w:rPr>
                <w:i/>
              </w:rPr>
              <w:t xml:space="preserve">plus </w:t>
            </w:r>
            <w:r w:rsidR="000C0701">
              <w:t>fee</w:t>
            </w:r>
            <w:r w:rsidR="000C0701">
              <w:noBreakHyphen/>
              <w:t>for</w:t>
            </w:r>
            <w:r w:rsidR="000C0701">
              <w:noBreakHyphen/>
              <w:t>service a</w:t>
            </w:r>
            <w:r w:rsidR="00B742DA">
              <w:t>ctivity of government provider</w:t>
            </w:r>
            <w:r w:rsidR="00B742DA" w:rsidRPr="00B742DA">
              <w:t>s</w:t>
            </w:r>
            <w:r w:rsidR="000C0701" w:rsidRPr="00B742DA">
              <w:t>.</w:t>
            </w:r>
          </w:p>
          <w:p w14:paraId="6F7ED00D" w14:textId="77777777" w:rsidR="00DD49BC" w:rsidRPr="00EF5A5F" w:rsidRDefault="00DD49BC" w:rsidP="00137F60">
            <w:pPr>
              <w:pStyle w:val="Box"/>
            </w:pPr>
            <w:r w:rsidRPr="00EF5A5F">
              <w:t>Low</w:t>
            </w:r>
            <w:r w:rsidR="006B44EA">
              <w:t>er</w:t>
            </w:r>
            <w:r w:rsidRPr="00EF5A5F">
              <w:t xml:space="preserve"> or decreasing unit costs can indicate efficient delivery of VET services. </w:t>
            </w:r>
          </w:p>
          <w:p w14:paraId="6F008612" w14:textId="77777777" w:rsidR="00DD49BC" w:rsidRPr="00EF5A5F" w:rsidRDefault="00DD49BC" w:rsidP="00137F60">
            <w:pPr>
              <w:pStyle w:val="Box"/>
            </w:pPr>
            <w:r w:rsidRPr="00EF5A5F">
              <w:t xml:space="preserve">Government recurrent expenditure per annual hour </w:t>
            </w:r>
            <w:r w:rsidR="0095518C">
              <w:t>should</w:t>
            </w:r>
            <w:r w:rsidRPr="00EF5A5F">
              <w:t xml:space="preserve"> be interpreted carefully because low or decreasing unit costs do not necessarily reflect </w:t>
            </w:r>
            <w:r w:rsidR="00AA0205">
              <w:t>improved efficiency</w:t>
            </w:r>
            <w:r w:rsidRPr="00EF5A5F">
              <w:t>. The factors that have the greatest impact on efficiency include:</w:t>
            </w:r>
          </w:p>
          <w:p w14:paraId="02244A6B" w14:textId="77777777" w:rsidR="00DD49BC" w:rsidRPr="00EF5A5F" w:rsidRDefault="00DD49BC" w:rsidP="00137F60">
            <w:pPr>
              <w:pStyle w:val="BoxListBullet"/>
            </w:pPr>
            <w:r w:rsidRPr="00EF5A5F">
              <w:t>training related factors, such as class sizes, teaching salaries, teaching hours per full time equivalent staff member and differences in the length of training programs</w:t>
            </w:r>
          </w:p>
          <w:p w14:paraId="4547914F" w14:textId="77777777" w:rsidR="00DD49BC" w:rsidRPr="00EF5A5F" w:rsidRDefault="00DD49BC" w:rsidP="00137F60">
            <w:pPr>
              <w:pStyle w:val="BoxListBullet"/>
            </w:pPr>
            <w:r w:rsidRPr="00EF5A5F">
              <w:t>differences across jurisdictions, including sociodemographic composition, administrative scale, and dispersion and scale of service delivery</w:t>
            </w:r>
          </w:p>
          <w:p w14:paraId="659E6482" w14:textId="77777777" w:rsidR="00DD49BC" w:rsidRPr="00EF5A5F" w:rsidRDefault="00DD49BC" w:rsidP="00137F60">
            <w:pPr>
              <w:pStyle w:val="BoxListBullet"/>
            </w:pPr>
            <w:r w:rsidRPr="00EF5A5F">
              <w:t>VET policies and practices, including the level of fees and charges paid by students.</w:t>
            </w:r>
          </w:p>
          <w:p w14:paraId="15567107" w14:textId="22F04BF5" w:rsidR="00730C9D" w:rsidRDefault="00730C9D" w:rsidP="00A01A93">
            <w:pPr>
              <w:pStyle w:val="Box"/>
            </w:pPr>
            <w:r w:rsidRPr="00730C9D">
              <w:t xml:space="preserve">Data for 2017 have been revised </w:t>
            </w:r>
            <w:r w:rsidR="00673F2A" w:rsidRPr="00730C9D">
              <w:t>from the 2019 Report</w:t>
            </w:r>
            <w:r w:rsidR="00673F2A">
              <w:t xml:space="preserve"> using data </w:t>
            </w:r>
            <w:r w:rsidR="006E587A">
              <w:t xml:space="preserve">sourced </w:t>
            </w:r>
            <w:r w:rsidR="00673F2A">
              <w:t xml:space="preserve">from the </w:t>
            </w:r>
            <w:r w:rsidR="00673F2A" w:rsidRPr="00730C9D">
              <w:t>National VET Funding Collection</w:t>
            </w:r>
            <w:r w:rsidR="00673F2A">
              <w:t xml:space="preserve"> (see </w:t>
            </w:r>
            <w:r w:rsidR="00B377A3">
              <w:t>b</w:t>
            </w:r>
            <w:r w:rsidR="00673F2A">
              <w:t>ox 5.8)</w:t>
            </w:r>
            <w:r w:rsidRPr="00730C9D">
              <w:t>.</w:t>
            </w:r>
          </w:p>
          <w:p w14:paraId="0882B3C9" w14:textId="77777777" w:rsidR="00A01A93" w:rsidRDefault="00DD49BC" w:rsidP="00A01A93">
            <w:pPr>
              <w:pStyle w:val="Box"/>
            </w:pPr>
            <w:r>
              <w:t>Data reported for this measure are</w:t>
            </w:r>
            <w:r w:rsidR="000A3C68">
              <w:t>:</w:t>
            </w:r>
            <w:r w:rsidR="00A01A93">
              <w:t xml:space="preserve"> </w:t>
            </w:r>
          </w:p>
          <w:p w14:paraId="1937D05B" w14:textId="1CDB7692" w:rsidR="00DD49BC" w:rsidRDefault="00FB1856" w:rsidP="00297089">
            <w:pPr>
              <w:pStyle w:val="Box"/>
              <w:spacing w:before="100"/>
              <w:ind w:left="283"/>
            </w:pPr>
            <w:r>
              <w:rPr>
                <w:shd w:val="clear" w:color="auto" w:fill="F15A25"/>
              </w:rPr>
              <w:t xml:space="preserve">    </w:t>
            </w:r>
            <w:r w:rsidRPr="00DC1D90">
              <w:t xml:space="preserve"> </w:t>
            </w:r>
            <w:r w:rsidR="00DD49BC">
              <w:t>comparable (subject to caveats) across jurisdictions and over time</w:t>
            </w:r>
            <w:r w:rsidR="006D4DC0">
              <w:t>.</w:t>
            </w:r>
          </w:p>
          <w:p w14:paraId="0D40FE97" w14:textId="2131134F" w:rsidR="000E74B6" w:rsidRPr="00EF5A5F" w:rsidRDefault="00FB1856" w:rsidP="00297089">
            <w:pPr>
              <w:pStyle w:val="Box"/>
              <w:spacing w:before="100"/>
              <w:ind w:left="283"/>
            </w:pPr>
            <w:r>
              <w:rPr>
                <w:shd w:val="clear" w:color="auto" w:fill="F15A25"/>
              </w:rPr>
              <w:t xml:space="preserve">    </w:t>
            </w:r>
            <w:r w:rsidRPr="00DC1D90">
              <w:t xml:space="preserve"> </w:t>
            </w:r>
            <w:r w:rsidR="00DD49BC">
              <w:t xml:space="preserve">complete for the current reporting period (subject to caveats). </w:t>
            </w:r>
            <w:r w:rsidR="009D4117">
              <w:t xml:space="preserve">All required </w:t>
            </w:r>
            <w:r w:rsidR="00387D05">
              <w:t>2018</w:t>
            </w:r>
            <w:r w:rsidR="00DD49BC">
              <w:t xml:space="preserve"> data are available for all juris</w:t>
            </w:r>
            <w:r w:rsidR="00052555">
              <w:t>dictions.</w:t>
            </w:r>
          </w:p>
        </w:tc>
      </w:tr>
      <w:tr w:rsidR="00DD49BC" w14:paraId="5E28555D"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1B7E7A58" w14:textId="77777777" w:rsidR="00DD49BC" w:rsidRDefault="00DD49BC">
            <w:pPr>
              <w:pStyle w:val="Box"/>
              <w:spacing w:before="0" w:line="120" w:lineRule="exact"/>
            </w:pPr>
          </w:p>
        </w:tc>
      </w:tr>
      <w:tr w:rsidR="00DD49BC" w:rsidRPr="000863A5" w14:paraId="0E15E2CF" w14:textId="77777777" w:rsidTr="00606E20">
        <w:tc>
          <w:tcPr>
            <w:tcW w:w="8789" w:type="dxa"/>
            <w:tcBorders>
              <w:top w:val="single" w:sz="6" w:space="0" w:color="78A22F"/>
              <w:left w:val="nil"/>
              <w:bottom w:val="nil"/>
              <w:right w:val="nil"/>
            </w:tcBorders>
          </w:tcPr>
          <w:p w14:paraId="4C5FB0FE" w14:textId="77777777" w:rsidR="00DD49BC" w:rsidRPr="00626D32" w:rsidRDefault="00DD49BC" w:rsidP="00137F60">
            <w:pPr>
              <w:pStyle w:val="BoxSpaceBelow"/>
            </w:pPr>
          </w:p>
        </w:tc>
      </w:tr>
    </w:tbl>
    <w:p w14:paraId="0ADEDBFB" w14:textId="77777777" w:rsidR="00B05084" w:rsidRDefault="00B05084" w:rsidP="002E26F4">
      <w:pPr>
        <w:pStyle w:val="BodyText"/>
      </w:pPr>
    </w:p>
    <w:p w14:paraId="6B1B5ADF" w14:textId="77777777" w:rsidR="00B05084" w:rsidRDefault="00B05084">
      <w:pPr>
        <w:rPr>
          <w:szCs w:val="20"/>
        </w:rPr>
      </w:pPr>
      <w:r>
        <w:br w:type="page"/>
      </w:r>
    </w:p>
    <w:p w14:paraId="271CB78E" w14:textId="6E69DEA2" w:rsidR="003B6EDD" w:rsidRDefault="003B6EDD" w:rsidP="002E26F4">
      <w:pPr>
        <w:pStyle w:val="BodyText"/>
      </w:pPr>
      <w:r>
        <w:lastRenderedPageBreak/>
        <w:t xml:space="preserve">Nationally in 2018, </w:t>
      </w:r>
      <w:r w:rsidRPr="006E1C4C">
        <w:t xml:space="preserve">government real recurrent </w:t>
      </w:r>
      <w:r w:rsidRPr="00D74951">
        <w:t xml:space="preserve">expenditure </w:t>
      </w:r>
      <w:r w:rsidRPr="00821F91">
        <w:t xml:space="preserve">decreased </w:t>
      </w:r>
      <w:r w:rsidR="00C6281F" w:rsidRPr="00821F91">
        <w:t>4.0</w:t>
      </w:r>
      <w:r w:rsidRPr="00821F91">
        <w:t xml:space="preserve"> per cent from 2017 (table 5A.1), while the number of government funded annual hours (course mix adjusted) decreased </w:t>
      </w:r>
      <w:r w:rsidR="00C63D6E" w:rsidRPr="00821F91">
        <w:t>6.4</w:t>
      </w:r>
      <w:r w:rsidRPr="00821F91">
        <w:t> per cent (table 5A.2). These</w:t>
      </w:r>
      <w:r w:rsidR="00076D55">
        <w:t xml:space="preserve"> annual movements resulted in </w:t>
      </w:r>
      <w:r w:rsidR="009A7881" w:rsidRPr="00821F91">
        <w:t xml:space="preserve">an </w:t>
      </w:r>
      <w:r w:rsidR="00F00E40" w:rsidRPr="00821F91">
        <w:t xml:space="preserve">increase </w:t>
      </w:r>
      <w:r w:rsidRPr="00821F91">
        <w:t>in recurrent expenditure per annual hour from $</w:t>
      </w:r>
      <w:r w:rsidR="00F00E40" w:rsidRPr="00821F91">
        <w:t>17.45</w:t>
      </w:r>
      <w:r w:rsidRPr="00821F91">
        <w:t xml:space="preserve"> in 20</w:t>
      </w:r>
      <w:r w:rsidR="00F00DC9" w:rsidRPr="00821F91">
        <w:t>1</w:t>
      </w:r>
      <w:r w:rsidRPr="00821F91">
        <w:t>7 to $</w:t>
      </w:r>
      <w:r w:rsidR="00F00E40" w:rsidRPr="00821F91">
        <w:t>17.90</w:t>
      </w:r>
      <w:r w:rsidRPr="00821F91">
        <w:t xml:space="preserve"> in 201</w:t>
      </w:r>
      <w:r>
        <w:t>8</w:t>
      </w:r>
      <w:r w:rsidRPr="003B6EDD">
        <w:t xml:space="preserve"> (figure 5.7).</w:t>
      </w:r>
    </w:p>
    <w:p w14:paraId="4B8F31F6" w14:textId="744F099E" w:rsidR="00D21711" w:rsidRDefault="00D21711"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21711" w14:paraId="75F1820B" w14:textId="77777777" w:rsidTr="00A04698">
        <w:trPr>
          <w:tblHeader/>
        </w:trPr>
        <w:tc>
          <w:tcPr>
            <w:tcW w:w="5000" w:type="pct"/>
            <w:tcBorders>
              <w:top w:val="single" w:sz="6" w:space="0" w:color="78A22F"/>
              <w:left w:val="nil"/>
              <w:bottom w:val="nil"/>
              <w:right w:val="nil"/>
            </w:tcBorders>
            <w:shd w:val="clear" w:color="auto" w:fill="auto"/>
          </w:tcPr>
          <w:p w14:paraId="4F7C7DC3" w14:textId="37C304C2" w:rsidR="00D21711" w:rsidRPr="00176D3F" w:rsidRDefault="00D21711" w:rsidP="001551A3">
            <w:pPr>
              <w:pStyle w:val="FigureTitle"/>
            </w:pPr>
            <w:r w:rsidRPr="00784A05">
              <w:rPr>
                <w:b w:val="0"/>
              </w:rPr>
              <w:t xml:space="preserve">Figure </w:t>
            </w:r>
            <w:r>
              <w:rPr>
                <w:b w:val="0"/>
              </w:rPr>
              <w:t>5.</w:t>
            </w:r>
            <w:r w:rsidR="006300E8">
              <w:rPr>
                <w:b w:val="0"/>
                <w:noProof/>
              </w:rPr>
              <w:t>7</w:t>
            </w:r>
            <w:r>
              <w:tab/>
            </w:r>
            <w:r w:rsidRPr="00250878">
              <w:t>Government real recurrent expenditure per annual hour (</w:t>
            </w:r>
            <w:r w:rsidR="00387D05">
              <w:t>2018</w:t>
            </w:r>
            <w:r w:rsidRPr="00250878">
              <w:t> dollars)</w:t>
            </w:r>
            <w:r w:rsidRPr="00250878">
              <w:rPr>
                <w:rStyle w:val="NoteLabel"/>
                <w:b/>
              </w:rPr>
              <w:t>a</w:t>
            </w:r>
          </w:p>
        </w:tc>
      </w:tr>
      <w:tr w:rsidR="00D21711" w14:paraId="3F8A0F5F" w14:textId="77777777" w:rsidTr="00A0469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E5786" w:rsidRPr="00B1465D" w14:paraId="3570DEE0" w14:textId="77777777" w:rsidTr="008E5786">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8E5786" w:rsidRPr="00C96187" w14:paraId="51AB3602" w14:textId="77777777" w:rsidTr="00D75B20">
                    <w:tc>
                      <w:tcPr>
                        <w:tcW w:w="304" w:type="dxa"/>
                        <w:tcBorders>
                          <w:top w:val="nil"/>
                          <w:left w:val="nil"/>
                          <w:bottom w:val="nil"/>
                          <w:right w:val="nil"/>
                        </w:tcBorders>
                        <w:shd w:val="clear" w:color="auto" w:fill="auto"/>
                        <w:tcMar>
                          <w:top w:w="28" w:type="dxa"/>
                          <w:bottom w:w="28" w:type="dxa"/>
                        </w:tcMar>
                      </w:tcPr>
                      <w:p w14:paraId="4D16E8E4"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2F14747" w14:textId="77777777" w:rsidR="008E5786" w:rsidRPr="00C96187" w:rsidRDefault="008E5786" w:rsidP="008E578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D48171A" w14:textId="77777777" w:rsidR="008E5786" w:rsidRPr="00C96187" w:rsidRDefault="008E5786" w:rsidP="006B1773">
                        <w:pPr>
                          <w:pStyle w:val="TableBodyText"/>
                          <w:jc w:val="left"/>
                        </w:pPr>
                        <w:r>
                          <w:t>Data are c</w:t>
                        </w:r>
                        <w:r w:rsidRPr="00C96187">
                          <w:t xml:space="preserve">omparable (subject to caveats) </w:t>
                        </w:r>
                        <w:r w:rsidRPr="00992FD4">
                          <w:t>across jurisdictions and over time</w:t>
                        </w:r>
                        <w:r w:rsidRPr="00C96187">
                          <w:t>.</w:t>
                        </w:r>
                      </w:p>
                    </w:tc>
                  </w:tr>
                  <w:tr w:rsidR="008E5786" w:rsidRPr="00C96187" w14:paraId="73339812" w14:textId="77777777" w:rsidTr="00D75B20">
                    <w:tc>
                      <w:tcPr>
                        <w:tcW w:w="304" w:type="dxa"/>
                        <w:tcBorders>
                          <w:top w:val="nil"/>
                          <w:left w:val="nil"/>
                          <w:bottom w:val="nil"/>
                          <w:right w:val="nil"/>
                        </w:tcBorders>
                        <w:shd w:val="clear" w:color="auto" w:fill="auto"/>
                        <w:tcMar>
                          <w:top w:w="28" w:type="dxa"/>
                          <w:bottom w:w="28" w:type="dxa"/>
                        </w:tcMar>
                      </w:tcPr>
                      <w:p w14:paraId="3043DB58"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6429909" w14:textId="77777777" w:rsidR="008E5786" w:rsidRPr="00C90895" w:rsidRDefault="008E5786" w:rsidP="008E5786">
                        <w:pPr>
                          <w:keepNext/>
                          <w:keepLines/>
                          <w:spacing w:before="60" w:after="60" w:line="240" w:lineRule="atLeast"/>
                          <w:jc w:val="center"/>
                        </w:pPr>
                      </w:p>
                    </w:tc>
                    <w:tc>
                      <w:tcPr>
                        <w:tcW w:w="7938" w:type="dxa"/>
                        <w:tcBorders>
                          <w:top w:val="nil"/>
                          <w:left w:val="nil"/>
                          <w:bottom w:val="nil"/>
                          <w:right w:val="nil"/>
                        </w:tcBorders>
                        <w:shd w:val="clear" w:color="auto" w:fill="auto"/>
                      </w:tcPr>
                      <w:p w14:paraId="33F5AE7C" w14:textId="77777777" w:rsidR="008E5786" w:rsidRPr="00C96187" w:rsidRDefault="008E5786" w:rsidP="00C7218B">
                        <w:pPr>
                          <w:pStyle w:val="TableBodyText"/>
                          <w:jc w:val="left"/>
                        </w:pPr>
                        <w:r w:rsidRPr="00C96187">
                          <w:t>Data are complete (subject to caveats) for the current reportin</w:t>
                        </w:r>
                        <w:r w:rsidR="00C7218B">
                          <w:t>g period.</w:t>
                        </w:r>
                      </w:p>
                    </w:tc>
                  </w:tr>
                </w:tbl>
                <w:p w14:paraId="1D5DE041" w14:textId="77777777" w:rsidR="008E5786" w:rsidRDefault="008E5786" w:rsidP="002E0AA0">
                  <w:pPr>
                    <w:pStyle w:val="Figure"/>
                    <w:spacing w:before="60" w:after="60"/>
                    <w:rPr>
                      <w:rFonts w:ascii="Arial" w:hAnsi="Arial" w:cs="Arial"/>
                      <w:sz w:val="18"/>
                      <w:szCs w:val="18"/>
                    </w:rPr>
                  </w:pPr>
                </w:p>
              </w:tc>
            </w:tr>
            <w:tr w:rsidR="00D21711" w:rsidRPr="00B1465D" w14:paraId="4B8BCED0" w14:textId="77777777" w:rsidTr="00BC230F">
              <w:tblPrEx>
                <w:tblCellMar>
                  <w:left w:w="108" w:type="dxa"/>
                  <w:right w:w="108" w:type="dxa"/>
                </w:tblCellMar>
              </w:tblPrEx>
              <w:trPr>
                <w:tblHeader/>
                <w:jc w:val="center"/>
              </w:trPr>
              <w:tc>
                <w:tcPr>
                  <w:tcW w:w="5000" w:type="pct"/>
                  <w:tcBorders>
                    <w:top w:val="nil"/>
                    <w:bottom w:val="nil"/>
                  </w:tcBorders>
                </w:tcPr>
                <w:p w14:paraId="4623193B" w14:textId="09243DA7" w:rsidR="00D21711" w:rsidRPr="00B1465D" w:rsidRDefault="00BC230F" w:rsidP="002E0AA0">
                  <w:pPr>
                    <w:pStyle w:val="Figure"/>
                    <w:spacing w:before="60" w:after="60"/>
                    <w:rPr>
                      <w:rFonts w:ascii="Arial" w:hAnsi="Arial" w:cs="Arial"/>
                      <w:sz w:val="18"/>
                      <w:szCs w:val="18"/>
                    </w:rPr>
                  </w:pPr>
                  <w:r>
                    <w:rPr>
                      <w:noProof/>
                    </w:rPr>
                    <w:drawing>
                      <wp:inline distT="0" distB="0" distL="0" distR="0" wp14:anchorId="4E5DF128" wp14:editId="496C18F8">
                        <wp:extent cx="5400000" cy="2730480"/>
                        <wp:effectExtent l="0" t="0" r="0" b="0"/>
                        <wp:docPr id="11" name="Chart 11" descr="Figure 5.7 Government real recurrent expenditure per annual hour (2018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D89EE5C" w14:textId="5434A75A" w:rsidR="00D21711" w:rsidRDefault="00D21711" w:rsidP="002E0AA0">
            <w:pPr>
              <w:pStyle w:val="Figure"/>
            </w:pPr>
          </w:p>
        </w:tc>
      </w:tr>
      <w:tr w:rsidR="00D21711" w:rsidRPr="00176D3F" w14:paraId="79973FE9" w14:textId="77777777" w:rsidTr="002E0AA0">
        <w:tc>
          <w:tcPr>
            <w:tcW w:w="5000" w:type="pct"/>
            <w:tcBorders>
              <w:top w:val="nil"/>
              <w:left w:val="nil"/>
              <w:bottom w:val="nil"/>
              <w:right w:val="nil"/>
            </w:tcBorders>
            <w:shd w:val="clear" w:color="auto" w:fill="auto"/>
          </w:tcPr>
          <w:p w14:paraId="2E7C8216" w14:textId="24296F76" w:rsidR="00D21711" w:rsidRPr="00176D3F" w:rsidRDefault="00D21711" w:rsidP="002E0AA0">
            <w:pPr>
              <w:pStyle w:val="Note"/>
            </w:pPr>
            <w:r>
              <w:rPr>
                <w:rStyle w:val="NoteLabel"/>
              </w:rPr>
              <w:t>a</w:t>
            </w:r>
            <w:r>
              <w:t xml:space="preserve"> </w:t>
            </w:r>
            <w:r w:rsidRPr="006D3797">
              <w:t xml:space="preserve">See </w:t>
            </w:r>
            <w:r>
              <w:t>box 5.9 and table 5A.2</w:t>
            </w:r>
            <w:r w:rsidRPr="006D3797">
              <w:t xml:space="preserve"> for detailed definitions, footnotes and caveats</w:t>
            </w:r>
            <w:r w:rsidRPr="004B1B81">
              <w:t>.</w:t>
            </w:r>
          </w:p>
        </w:tc>
      </w:tr>
      <w:tr w:rsidR="00D21711" w:rsidRPr="00176D3F" w14:paraId="372DD6B1" w14:textId="77777777" w:rsidTr="002E0AA0">
        <w:tc>
          <w:tcPr>
            <w:tcW w:w="5000" w:type="pct"/>
            <w:tcBorders>
              <w:top w:val="nil"/>
              <w:left w:val="nil"/>
              <w:bottom w:val="nil"/>
              <w:right w:val="nil"/>
            </w:tcBorders>
            <w:shd w:val="clear" w:color="auto" w:fill="auto"/>
          </w:tcPr>
          <w:p w14:paraId="3A7BB725" w14:textId="3A341236" w:rsidR="00D21711" w:rsidRPr="00176D3F" w:rsidRDefault="00D21711" w:rsidP="00E55D80">
            <w:pPr>
              <w:pStyle w:val="Source"/>
            </w:pPr>
            <w:r>
              <w:rPr>
                <w:i/>
              </w:rPr>
              <w:t>S</w:t>
            </w:r>
            <w:r w:rsidRPr="00784A05">
              <w:rPr>
                <w:i/>
              </w:rPr>
              <w:t>ource</w:t>
            </w:r>
            <w:r w:rsidRPr="00176D3F">
              <w:t xml:space="preserve">: </w:t>
            </w:r>
            <w:r w:rsidR="00B852A3" w:rsidRPr="00821F91">
              <w:t xml:space="preserve">NCVER, </w:t>
            </w:r>
            <w:r w:rsidR="00E55D80" w:rsidRPr="00821F91">
              <w:t>National VET Funding Collection</w:t>
            </w:r>
            <w:r w:rsidRPr="00971C29">
              <w:rPr>
                <w:i/>
              </w:rPr>
              <w:t>;</w:t>
            </w:r>
            <w:r w:rsidRPr="008C068F">
              <w:t xml:space="preserve"> ABS </w:t>
            </w:r>
            <w:r w:rsidR="003B0810" w:rsidRPr="008C068F">
              <w:t>20</w:t>
            </w:r>
            <w:r w:rsidR="003B0810">
              <w:t>18</w:t>
            </w:r>
            <w:r w:rsidRPr="008C068F">
              <w:t xml:space="preserve">, </w:t>
            </w:r>
            <w:r w:rsidRPr="008C068F">
              <w:rPr>
                <w:i/>
              </w:rPr>
              <w:t>Australian S</w:t>
            </w:r>
            <w:r>
              <w:rPr>
                <w:i/>
              </w:rPr>
              <w:t xml:space="preserve">ystem of National Accounts, </w:t>
            </w:r>
            <w:r w:rsidR="0082608B">
              <w:rPr>
                <w:i/>
              </w:rPr>
              <w:t>2017</w:t>
            </w:r>
            <w:r w:rsidR="0082608B">
              <w:rPr>
                <w:i/>
              </w:rPr>
              <w:noBreakHyphen/>
              <w:t>18</w:t>
            </w:r>
            <w:r w:rsidRPr="008C068F">
              <w:t>, Cat. no. 5204.0;</w:t>
            </w:r>
            <w:r w:rsidRPr="00171E10">
              <w:t xml:space="preserve"> table</w:t>
            </w:r>
            <w:r>
              <w:t> </w:t>
            </w:r>
            <w:r w:rsidRPr="00171E10">
              <w:t>5A.</w:t>
            </w:r>
            <w:r>
              <w:t>2</w:t>
            </w:r>
            <w:r w:rsidRPr="00171E10">
              <w:t>.</w:t>
            </w:r>
          </w:p>
        </w:tc>
      </w:tr>
      <w:tr w:rsidR="00D21711" w14:paraId="21F1DB67" w14:textId="77777777" w:rsidTr="002E0AA0">
        <w:tc>
          <w:tcPr>
            <w:tcW w:w="5000" w:type="pct"/>
            <w:tcBorders>
              <w:top w:val="nil"/>
              <w:left w:val="nil"/>
              <w:bottom w:val="single" w:sz="6" w:space="0" w:color="78A22F"/>
              <w:right w:val="nil"/>
            </w:tcBorders>
            <w:shd w:val="clear" w:color="auto" w:fill="auto"/>
          </w:tcPr>
          <w:p w14:paraId="74920C61" w14:textId="77777777" w:rsidR="00D21711" w:rsidRDefault="00D21711" w:rsidP="002E0AA0">
            <w:pPr>
              <w:pStyle w:val="Figurespace"/>
            </w:pPr>
          </w:p>
        </w:tc>
      </w:tr>
      <w:tr w:rsidR="00D21711" w:rsidRPr="000863A5" w14:paraId="3E9C921E" w14:textId="77777777" w:rsidTr="002E0AA0">
        <w:tc>
          <w:tcPr>
            <w:tcW w:w="5000" w:type="pct"/>
            <w:tcBorders>
              <w:top w:val="single" w:sz="6" w:space="0" w:color="78A22F"/>
              <w:left w:val="nil"/>
              <w:bottom w:val="nil"/>
              <w:right w:val="nil"/>
            </w:tcBorders>
          </w:tcPr>
          <w:p w14:paraId="567AC320" w14:textId="5EA1F494" w:rsidR="00D21711" w:rsidRPr="00626D32" w:rsidRDefault="00D21711" w:rsidP="002E0AA0">
            <w:pPr>
              <w:pStyle w:val="BoxSpaceBelow"/>
            </w:pPr>
          </w:p>
        </w:tc>
      </w:tr>
    </w:tbl>
    <w:p w14:paraId="179E6D88" w14:textId="77777777" w:rsidR="00C57336" w:rsidRPr="00EF5A5F" w:rsidRDefault="00C57336" w:rsidP="00281C53">
      <w:pPr>
        <w:pStyle w:val="Heading3"/>
      </w:pPr>
      <w:r w:rsidRPr="00EF5A5F">
        <w:t>Outcomes</w:t>
      </w:r>
    </w:p>
    <w:p w14:paraId="33DCABB6" w14:textId="7412BEA0" w:rsidR="00C57336" w:rsidRPr="00EF5A5F" w:rsidRDefault="007B2759" w:rsidP="00C57336">
      <w:pPr>
        <w:pStyle w:val="BodyText"/>
      </w:pPr>
      <w:r w:rsidRPr="00EF5A5F">
        <w:t xml:space="preserve">Outcomes are the impact of services on the status of an individual or group (see </w:t>
      </w:r>
      <w:r w:rsidR="00B605EA">
        <w:t>section</w:t>
      </w:r>
      <w:r w:rsidR="000A3C68">
        <w:t> </w:t>
      </w:r>
      <w:r w:rsidRPr="00EF5A5F">
        <w:t xml:space="preserve">1). </w:t>
      </w:r>
    </w:p>
    <w:p w14:paraId="33B42C86" w14:textId="77777777" w:rsidR="00E21824" w:rsidRPr="00EF5A5F" w:rsidRDefault="00E21824" w:rsidP="00E21824">
      <w:pPr>
        <w:pStyle w:val="Heading4"/>
      </w:pPr>
      <w:r w:rsidRPr="00C60CDF">
        <w:t>Student employment and further study outcomes</w:t>
      </w:r>
    </w:p>
    <w:p w14:paraId="221CEE7E" w14:textId="01B0C1A3" w:rsidR="00EE6BB5" w:rsidRDefault="00E21824" w:rsidP="00C54280">
      <w:pPr>
        <w:pStyle w:val="BodyText"/>
      </w:pPr>
      <w:r w:rsidRPr="00EF5A5F">
        <w:t xml:space="preserve">‘Student employment and further study outcomes’ is an indicator of governments’ objective </w:t>
      </w:r>
      <w:r>
        <w:t xml:space="preserve">that </w:t>
      </w:r>
      <w:r w:rsidRPr="00EF5A5F">
        <w:t>the VET system</w:t>
      </w:r>
      <w:r w:rsidR="00C54280">
        <w:t xml:space="preserve"> </w:t>
      </w:r>
      <w:r w:rsidR="003312BD">
        <w:t xml:space="preserve">deliver a productive and highly skilled workforce through enabling all working age Australians to develop and use the skills required to </w:t>
      </w:r>
      <w:r w:rsidR="00F917EE">
        <w:t xml:space="preserve">participate </w:t>
      </w:r>
      <w:r w:rsidR="003312BD">
        <w:t xml:space="preserve">effectively in the labour market and contribute to Australia’s economic future </w:t>
      </w:r>
      <w:r w:rsidRPr="00EF5A5F">
        <w:t>(</w:t>
      </w:r>
      <w:r w:rsidRPr="00796192">
        <w:t>box </w:t>
      </w:r>
      <w:r w:rsidR="00C53150">
        <w:t>5.10</w:t>
      </w:r>
      <w:r w:rsidRPr="00796192">
        <w:t>).</w:t>
      </w:r>
    </w:p>
    <w:p w14:paraId="4AF61B22" w14:textId="77777777" w:rsidR="00E21824" w:rsidRDefault="00E21824" w:rsidP="00E2182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1824" w14:paraId="4E6152F2" w14:textId="77777777" w:rsidTr="00606E20">
        <w:tc>
          <w:tcPr>
            <w:tcW w:w="8789" w:type="dxa"/>
            <w:tcBorders>
              <w:top w:val="single" w:sz="6" w:space="0" w:color="78A22F"/>
              <w:left w:val="nil"/>
              <w:bottom w:val="nil"/>
              <w:right w:val="nil"/>
            </w:tcBorders>
            <w:shd w:val="clear" w:color="auto" w:fill="F2F2F2" w:themeFill="background1" w:themeFillShade="F2"/>
          </w:tcPr>
          <w:p w14:paraId="5E7BCC81" w14:textId="086CE602" w:rsidR="00E21824" w:rsidRDefault="00E21824" w:rsidP="00E21824">
            <w:pPr>
              <w:pStyle w:val="BoxTitle"/>
            </w:pPr>
            <w:r>
              <w:rPr>
                <w:b w:val="0"/>
              </w:rPr>
              <w:t xml:space="preserve">Box </w:t>
            </w:r>
            <w:bookmarkStart w:id="23" w:name="OLE_LINK31"/>
            <w:r w:rsidR="00C53150">
              <w:rPr>
                <w:b w:val="0"/>
              </w:rPr>
              <w:t>5.</w:t>
            </w:r>
            <w:r w:rsidR="006300E8">
              <w:rPr>
                <w:b w:val="0"/>
                <w:noProof/>
              </w:rPr>
              <w:t>10</w:t>
            </w:r>
            <w:bookmarkEnd w:id="23"/>
            <w:r>
              <w:tab/>
            </w:r>
            <w:r w:rsidRPr="00EF5A5F">
              <w:t>Student employment and further study outcomes</w:t>
            </w:r>
          </w:p>
        </w:tc>
      </w:tr>
      <w:tr w:rsidR="00E21824" w14:paraId="471B973E" w14:textId="77777777" w:rsidTr="00606E20">
        <w:trPr>
          <w:cantSplit/>
        </w:trPr>
        <w:tc>
          <w:tcPr>
            <w:tcW w:w="8789" w:type="dxa"/>
            <w:tcBorders>
              <w:top w:val="nil"/>
              <w:left w:val="nil"/>
              <w:bottom w:val="nil"/>
              <w:right w:val="nil"/>
            </w:tcBorders>
            <w:shd w:val="clear" w:color="auto" w:fill="F2F2F2" w:themeFill="background1" w:themeFillShade="F2"/>
          </w:tcPr>
          <w:p w14:paraId="06B7DED7" w14:textId="77777777" w:rsidR="00E21824" w:rsidRPr="00EF5A5F" w:rsidRDefault="00E21824" w:rsidP="00E21824">
            <w:pPr>
              <w:pStyle w:val="Box"/>
            </w:pPr>
            <w:r w:rsidRPr="00EF5A5F">
              <w:t>‘Student employment and further st</w:t>
            </w:r>
            <w:r w:rsidR="003312BD">
              <w:t>udy outcomes’ is defined by two</w:t>
            </w:r>
            <w:r w:rsidRPr="00EF5A5F">
              <w:t xml:space="preserve"> measures</w:t>
            </w:r>
            <w:r w:rsidR="00C54280">
              <w:t xml:space="preserve">. The proportion of </w:t>
            </w:r>
            <w:r w:rsidR="00831329">
              <w:t xml:space="preserve">total </w:t>
            </w:r>
            <w:r w:rsidR="00C54280">
              <w:t xml:space="preserve">VET graduates </w:t>
            </w:r>
            <w:r w:rsidR="007B56A8">
              <w:t>aged 20–64 years</w:t>
            </w:r>
            <w:r w:rsidRPr="00EF5A5F">
              <w:t>:</w:t>
            </w:r>
          </w:p>
          <w:p w14:paraId="56EC982C" w14:textId="77777777" w:rsidR="00E21824" w:rsidRPr="00EF5A5F" w:rsidRDefault="00B0613D" w:rsidP="00E21824">
            <w:pPr>
              <w:pStyle w:val="BoxListBullet"/>
            </w:pPr>
            <w:r>
              <w:t>employed</w:t>
            </w:r>
            <w:r w:rsidR="007B56A8">
              <w:t xml:space="preserve"> and/or </w:t>
            </w:r>
            <w:r>
              <w:t xml:space="preserve">in </w:t>
            </w:r>
            <w:r w:rsidR="00E21824" w:rsidRPr="00EF5A5F">
              <w:t xml:space="preserve">further study </w:t>
            </w:r>
            <w:r w:rsidR="009A406A">
              <w:t>after training</w:t>
            </w:r>
            <w:r w:rsidR="00C65DCE">
              <w:t xml:space="preserve"> (</w:t>
            </w:r>
            <w:r w:rsidR="00831329">
              <w:t xml:space="preserve">total and </w:t>
            </w:r>
            <w:r w:rsidR="00E21824" w:rsidRPr="00EF5A5F">
              <w:t xml:space="preserve">by target </w:t>
            </w:r>
            <w:r w:rsidR="00E21824" w:rsidRPr="00EC33F3">
              <w:t>groups</w:t>
            </w:r>
            <w:r w:rsidR="00831329" w:rsidRPr="00EC33F3">
              <w:t xml:space="preserve"> </w:t>
            </w:r>
            <w:r w:rsidR="00C65DCE" w:rsidRPr="00EC33F3">
              <w:t>[</w:t>
            </w:r>
            <w:r w:rsidR="00F917EE">
              <w:t>Aboriginal and Torres Strait Islander Australians, people from remote and very remote areas, and people with disability</w:t>
            </w:r>
            <w:r w:rsidR="00834DDB">
              <w:t>])</w:t>
            </w:r>
          </w:p>
          <w:p w14:paraId="4D96C76B" w14:textId="77777777" w:rsidR="00831329" w:rsidRDefault="00B0613D" w:rsidP="00E21824">
            <w:pPr>
              <w:pStyle w:val="BoxListBullet"/>
            </w:pPr>
            <w:r>
              <w:rPr>
                <w:rFonts w:cs="Arial"/>
                <w:szCs w:val="22"/>
              </w:rPr>
              <w:t xml:space="preserve">who </w:t>
            </w:r>
            <w:r w:rsidR="00F01D5D">
              <w:rPr>
                <w:rFonts w:cs="Arial"/>
                <w:szCs w:val="22"/>
              </w:rPr>
              <w:t xml:space="preserve">improved </w:t>
            </w:r>
            <w:r>
              <w:rPr>
                <w:rFonts w:cs="Arial"/>
                <w:szCs w:val="22"/>
              </w:rPr>
              <w:t xml:space="preserve">their </w:t>
            </w:r>
            <w:r w:rsidR="00E21824" w:rsidRPr="00EF5A5F">
              <w:rPr>
                <w:rFonts w:cs="Arial"/>
                <w:szCs w:val="22"/>
              </w:rPr>
              <w:t xml:space="preserve">employment </w:t>
            </w:r>
            <w:r w:rsidR="00831329">
              <w:rPr>
                <w:rFonts w:cs="Arial"/>
                <w:szCs w:val="22"/>
              </w:rPr>
              <w:t xml:space="preserve">status </w:t>
            </w:r>
            <w:r w:rsidR="009A406A">
              <w:rPr>
                <w:rFonts w:cs="Arial"/>
                <w:szCs w:val="22"/>
              </w:rPr>
              <w:t>after training</w:t>
            </w:r>
            <w:r w:rsidR="00C65DCE">
              <w:t xml:space="preserve"> (</w:t>
            </w:r>
            <w:r w:rsidR="00831329">
              <w:t xml:space="preserve">total and </w:t>
            </w:r>
            <w:r w:rsidR="00E21824" w:rsidRPr="00EF5A5F">
              <w:t>by target groups</w:t>
            </w:r>
            <w:r w:rsidR="00C65DCE">
              <w:t xml:space="preserve"> </w:t>
            </w:r>
            <w:r w:rsidR="00EC33F3" w:rsidRPr="00EC33F3">
              <w:t>[</w:t>
            </w:r>
            <w:r w:rsidR="00F917EE">
              <w:t>Aboriginal and Torres Strait Islander Australians, people from remote and very remote areas, and people with disability</w:t>
            </w:r>
            <w:r w:rsidR="00834DDB">
              <w:t>]).</w:t>
            </w:r>
          </w:p>
          <w:p w14:paraId="2C6D423E" w14:textId="77777777" w:rsidR="00E21824" w:rsidRPr="00EF5A5F" w:rsidRDefault="00E21824" w:rsidP="00831329">
            <w:pPr>
              <w:pStyle w:val="BoxListBullet"/>
              <w:numPr>
                <w:ilvl w:val="0"/>
                <w:numId w:val="0"/>
              </w:numPr>
              <w:ind w:left="284"/>
            </w:pPr>
            <w:r w:rsidRPr="00EF5A5F">
              <w:t>‘</w:t>
            </w:r>
            <w:r w:rsidR="00C54280" w:rsidRPr="00EF5A5F">
              <w:rPr>
                <w:rFonts w:cs="Arial"/>
                <w:szCs w:val="22"/>
              </w:rPr>
              <w:t xml:space="preserve">Improved </w:t>
            </w:r>
            <w:r w:rsidR="00831329">
              <w:rPr>
                <w:rFonts w:cs="Arial"/>
                <w:szCs w:val="22"/>
              </w:rPr>
              <w:t>employment status</w:t>
            </w:r>
            <w:r w:rsidRPr="00EF5A5F">
              <w:rPr>
                <w:rFonts w:cs="Arial"/>
                <w:szCs w:val="22"/>
              </w:rPr>
              <w:t>’ is at least one of</w:t>
            </w:r>
            <w:r w:rsidRPr="00EF5A5F">
              <w:t>:</w:t>
            </w:r>
          </w:p>
          <w:p w14:paraId="76930D5A" w14:textId="317F658A" w:rsidR="00E21824" w:rsidRPr="00EF5A5F" w:rsidRDefault="00E21824" w:rsidP="006D3D94">
            <w:pPr>
              <w:pStyle w:val="BoxListBullet2"/>
            </w:pPr>
            <w:bookmarkStart w:id="24" w:name="OLE_LINK73"/>
            <w:r w:rsidRPr="00821F91">
              <w:t>employment status changing from not employed before training  to employed either full</w:t>
            </w:r>
            <w:r w:rsidRPr="00821F91">
              <w:noBreakHyphen/>
              <w:t>time or part</w:t>
            </w:r>
            <w:r w:rsidRPr="00821F91">
              <w:noBreakHyphen/>
              <w:t>time after training</w:t>
            </w:r>
            <w:r w:rsidR="002F4E05" w:rsidRPr="00821F91">
              <w:t>.</w:t>
            </w:r>
            <w:r w:rsidR="006D3D94" w:rsidRPr="00821F91">
              <w:t xml:space="preserve"> ‘Not employed’ is defined as unemployed, not in the labour force, or not employed (no further information).</w:t>
            </w:r>
          </w:p>
          <w:p w14:paraId="027424D1" w14:textId="02681AE3" w:rsidR="00E21824" w:rsidRPr="00EF5A5F" w:rsidRDefault="00E21824" w:rsidP="002F4E05">
            <w:pPr>
              <w:pStyle w:val="BoxListBullet2"/>
            </w:pPr>
            <w:r w:rsidRPr="00EF5A5F">
              <w:t>employed at a higher skill level after training</w:t>
            </w:r>
          </w:p>
          <w:p w14:paraId="3CB527CA" w14:textId="465DC95D" w:rsidR="00E21824" w:rsidRPr="006C5A10" w:rsidRDefault="00E21824" w:rsidP="002C6DF3">
            <w:pPr>
              <w:pStyle w:val="BoxListBullet2"/>
            </w:pPr>
            <w:r w:rsidRPr="00EF5A5F">
              <w:t>received a job</w:t>
            </w:r>
            <w:r>
              <w:noBreakHyphen/>
            </w:r>
            <w:r w:rsidRPr="00EF5A5F">
              <w:t xml:space="preserve">related benefit after completing their training, including set up or </w:t>
            </w:r>
            <w:r w:rsidRPr="006C5A10">
              <w:t>expanded their own business, got a promotion,</w:t>
            </w:r>
            <w:r w:rsidRPr="00812A9A">
              <w:t xml:space="preserve"> </w:t>
            </w:r>
            <w:r w:rsidR="002C6DF3" w:rsidRPr="00821F91">
              <w:t>gained extra skills,</w:t>
            </w:r>
            <w:r w:rsidR="002C6DF3" w:rsidRPr="00812A9A">
              <w:t xml:space="preserve"> </w:t>
            </w:r>
            <w:r w:rsidRPr="006C5A10">
              <w:t>increased earnings, or other job</w:t>
            </w:r>
            <w:r w:rsidRPr="006C5A10">
              <w:noBreakHyphen/>
              <w:t>related benefits</w:t>
            </w:r>
            <w:r w:rsidR="00006731">
              <w:t>.</w:t>
            </w:r>
          </w:p>
          <w:bookmarkEnd w:id="24"/>
          <w:p w14:paraId="43BC998C" w14:textId="59126B0A" w:rsidR="00AF4E09" w:rsidRDefault="00AF4E09" w:rsidP="00E21824">
            <w:pPr>
              <w:pStyle w:val="Box"/>
            </w:pPr>
            <w:r>
              <w:t>Survey data for a year (</w:t>
            </w:r>
            <w:r w:rsidR="00B208C2">
              <w:t>for example</w:t>
            </w:r>
            <w:r>
              <w:t>, 2019) refer to the cohort of students that graduated the year before (</w:t>
            </w:r>
            <w:r w:rsidR="00B208C2">
              <w:t>for example</w:t>
            </w:r>
            <w:r>
              <w:t>, 2018).</w:t>
            </w:r>
          </w:p>
          <w:p w14:paraId="0CC43D44" w14:textId="77777777" w:rsidR="00E21824" w:rsidRPr="00EF5A5F" w:rsidRDefault="00E21824" w:rsidP="00E21824">
            <w:pPr>
              <w:pStyle w:val="Box"/>
            </w:pPr>
            <w:r w:rsidRPr="00EF5A5F">
              <w:t>Holding other factors constant, high</w:t>
            </w:r>
            <w:r>
              <w:t>er</w:t>
            </w:r>
            <w:r w:rsidRPr="00EF5A5F">
              <w:t xml:space="preserve"> or increasing proportions indicate positive employment or further study outcomes after training. </w:t>
            </w:r>
          </w:p>
          <w:p w14:paraId="5F6F0BC1" w14:textId="41D77200" w:rsidR="00E21824" w:rsidRPr="00EF5A5F" w:rsidRDefault="00E21824" w:rsidP="00E21824">
            <w:pPr>
              <w:pStyle w:val="Box"/>
            </w:pPr>
            <w:r w:rsidRPr="00EF5A5F">
              <w:t xml:space="preserve">Comparison of labour market outcomes </w:t>
            </w:r>
            <w:r w:rsidR="00C54280">
              <w:t xml:space="preserve">should </w:t>
            </w:r>
            <w:r w:rsidRPr="00EF5A5F">
              <w:t>also account for the general economic conditions in each jurisdiction.</w:t>
            </w:r>
          </w:p>
          <w:p w14:paraId="4EF45D07" w14:textId="2FF17588" w:rsidR="00E56A9A" w:rsidRDefault="00E56A9A" w:rsidP="007C1CD1">
            <w:pPr>
              <w:pStyle w:val="Box"/>
            </w:pPr>
            <w:r>
              <w:t xml:space="preserve">Data reported for </w:t>
            </w:r>
            <w:r w:rsidR="00B66359">
              <w:t>‘</w:t>
            </w:r>
            <w:r>
              <w:t xml:space="preserve">the </w:t>
            </w:r>
            <w:r w:rsidR="00B66359" w:rsidRPr="00B66359">
              <w:t xml:space="preserve">proportion of total VET graduates aged 20–64 years </w:t>
            </w:r>
            <w:r>
              <w:t xml:space="preserve">employed and/or in </w:t>
            </w:r>
            <w:r w:rsidRPr="00EF5A5F">
              <w:t xml:space="preserve">further study </w:t>
            </w:r>
            <w:r>
              <w:t>after training</w:t>
            </w:r>
            <w:r>
              <w:rPr>
                <w:rFonts w:cs="Arial"/>
                <w:szCs w:val="22"/>
              </w:rPr>
              <w:t>’</w:t>
            </w:r>
            <w:r>
              <w:t xml:space="preserve"> </w:t>
            </w:r>
            <w:r w:rsidR="00B66359">
              <w:t xml:space="preserve">measure </w:t>
            </w:r>
            <w:r>
              <w:t>are:</w:t>
            </w:r>
          </w:p>
          <w:p w14:paraId="7642526A" w14:textId="77777777" w:rsidR="00E56A9A" w:rsidRDefault="00E56A9A" w:rsidP="00E56A9A">
            <w:pPr>
              <w:pStyle w:val="Box"/>
              <w:spacing w:before="100"/>
              <w:ind w:left="283"/>
            </w:pPr>
            <w:r>
              <w:rPr>
                <w:shd w:val="clear" w:color="auto" w:fill="F15A25"/>
              </w:rPr>
              <w:t xml:space="preserve">    </w:t>
            </w:r>
            <w:r w:rsidRPr="00DC1D90">
              <w:t xml:space="preserve"> </w:t>
            </w:r>
            <w:r>
              <w:t>comparable (subject to caveats) across jurisdictions and over time.</w:t>
            </w:r>
          </w:p>
          <w:p w14:paraId="295EEB52" w14:textId="3CD1930E" w:rsidR="00E56A9A" w:rsidRDefault="00E56A9A" w:rsidP="00E56A9A">
            <w:pPr>
              <w:pStyle w:val="Box"/>
              <w:ind w:left="284"/>
            </w:pPr>
            <w:r>
              <w:rPr>
                <w:shd w:val="clear" w:color="auto" w:fill="F15A25"/>
              </w:rPr>
              <w:t xml:space="preserve">    </w:t>
            </w:r>
            <w:r w:rsidRPr="00DC1D90">
              <w:t xml:space="preserve"> </w:t>
            </w:r>
            <w:r>
              <w:t>complete for the current reporting period (subject to caveats). All required 2019 data are available for all jurisdictions.</w:t>
            </w:r>
          </w:p>
          <w:p w14:paraId="4CD90011" w14:textId="0293C94A" w:rsidR="00E21824" w:rsidRDefault="00E21824" w:rsidP="007C1CD1">
            <w:pPr>
              <w:pStyle w:val="Box"/>
            </w:pPr>
            <w:r>
              <w:t>Data reported for</w:t>
            </w:r>
            <w:r w:rsidR="00E56A9A">
              <w:t xml:space="preserve"> </w:t>
            </w:r>
            <w:r w:rsidR="00B66359">
              <w:t>‘</w:t>
            </w:r>
            <w:r w:rsidR="00E56A9A">
              <w:t xml:space="preserve">the </w:t>
            </w:r>
            <w:r w:rsidR="00B66359">
              <w:t>proportion of total VET graduates aged 20–64 years</w:t>
            </w:r>
            <w:r w:rsidR="00B66359">
              <w:rPr>
                <w:rFonts w:cs="Arial"/>
                <w:szCs w:val="22"/>
              </w:rPr>
              <w:t xml:space="preserve"> who </w:t>
            </w:r>
            <w:r w:rsidR="00E56A9A">
              <w:rPr>
                <w:rFonts w:cs="Arial"/>
                <w:szCs w:val="22"/>
              </w:rPr>
              <w:t xml:space="preserve">improved their </w:t>
            </w:r>
            <w:r w:rsidR="00E56A9A" w:rsidRPr="00EF5A5F">
              <w:rPr>
                <w:rFonts w:cs="Arial"/>
                <w:szCs w:val="22"/>
              </w:rPr>
              <w:t xml:space="preserve">employment </w:t>
            </w:r>
            <w:r w:rsidR="00E56A9A">
              <w:rPr>
                <w:rFonts w:cs="Arial"/>
                <w:szCs w:val="22"/>
              </w:rPr>
              <w:t>status after training’</w:t>
            </w:r>
            <w:r w:rsidR="00B66359">
              <w:rPr>
                <w:rFonts w:cs="Arial"/>
                <w:szCs w:val="22"/>
              </w:rPr>
              <w:t xml:space="preserve"> measure</w:t>
            </w:r>
            <w:r>
              <w:t xml:space="preserve"> are:</w:t>
            </w:r>
          </w:p>
          <w:p w14:paraId="43F52AA0" w14:textId="6827BE40" w:rsidR="00586876" w:rsidRDefault="00B84180" w:rsidP="00586876">
            <w:pPr>
              <w:pStyle w:val="Box"/>
              <w:spacing w:before="100"/>
              <w:ind w:left="284"/>
              <w:rPr>
                <w:shd w:val="clear" w:color="auto" w:fill="F15A25"/>
              </w:rPr>
            </w:pPr>
            <w:r>
              <w:rPr>
                <w:shd w:val="clear" w:color="auto" w:fill="FCDED3"/>
              </w:rPr>
              <w:t xml:space="preserve">    </w:t>
            </w:r>
            <w:r w:rsidRPr="00821F91">
              <w:t xml:space="preserve"> comparable across jurisdictions, but not comparable over time (2019 data are not comparable with earlier years)</w:t>
            </w:r>
          </w:p>
          <w:p w14:paraId="3BE479A6" w14:textId="377755CB" w:rsidR="00E21824" w:rsidRPr="00EF5A5F" w:rsidRDefault="00FB1856" w:rsidP="0082608B">
            <w:pPr>
              <w:pStyle w:val="Box"/>
              <w:spacing w:before="100"/>
              <w:ind w:left="283"/>
            </w:pPr>
            <w:r>
              <w:rPr>
                <w:shd w:val="clear" w:color="auto" w:fill="F15A25"/>
              </w:rPr>
              <w:t xml:space="preserve">    </w:t>
            </w:r>
            <w:r w:rsidRPr="00DC1D90">
              <w:t xml:space="preserve"> </w:t>
            </w:r>
            <w:r w:rsidR="00E21824">
              <w:t xml:space="preserve">complete for the current reporting period (subject to caveats). All required </w:t>
            </w:r>
            <w:r w:rsidR="0082608B">
              <w:t xml:space="preserve">2019 </w:t>
            </w:r>
            <w:r w:rsidR="00E21824">
              <w:t>data are available for all jurisdictions</w:t>
            </w:r>
            <w:r w:rsidR="004877AC">
              <w:t>.</w:t>
            </w:r>
          </w:p>
        </w:tc>
      </w:tr>
      <w:tr w:rsidR="00E21824" w14:paraId="16BC6ECE"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0885F95F" w14:textId="77777777" w:rsidR="00E21824" w:rsidRDefault="00187F10" w:rsidP="00E21824">
            <w:pPr>
              <w:pStyle w:val="Box"/>
              <w:spacing w:before="0" w:line="120" w:lineRule="exact"/>
            </w:pPr>
            <w:r>
              <w:t xml:space="preserve">            </w:t>
            </w:r>
          </w:p>
        </w:tc>
      </w:tr>
      <w:tr w:rsidR="00E21824" w:rsidRPr="000863A5" w14:paraId="7E19D031" w14:textId="77777777" w:rsidTr="00606E20">
        <w:tc>
          <w:tcPr>
            <w:tcW w:w="8789" w:type="dxa"/>
            <w:tcBorders>
              <w:top w:val="single" w:sz="6" w:space="0" w:color="78A22F"/>
              <w:left w:val="nil"/>
              <w:bottom w:val="nil"/>
              <w:right w:val="nil"/>
            </w:tcBorders>
          </w:tcPr>
          <w:p w14:paraId="55F39EA4" w14:textId="77777777" w:rsidR="00E21824" w:rsidRPr="00626D32" w:rsidRDefault="00E21824" w:rsidP="00E21824">
            <w:pPr>
              <w:pStyle w:val="BoxSpaceBelow"/>
            </w:pPr>
          </w:p>
        </w:tc>
      </w:tr>
    </w:tbl>
    <w:p w14:paraId="3F54E71B" w14:textId="187A115C" w:rsidR="00E21824" w:rsidRPr="00EF5A5F" w:rsidRDefault="00E21824" w:rsidP="00E21824">
      <w:pPr>
        <w:pStyle w:val="Heading5"/>
      </w:pPr>
      <w:r>
        <w:t>G</w:t>
      </w:r>
      <w:r w:rsidR="00C42F5C">
        <w:t>raduates employed</w:t>
      </w:r>
      <w:r w:rsidRPr="00EF5A5F">
        <w:t xml:space="preserve"> and/or </w:t>
      </w:r>
      <w:r w:rsidR="00C42F5C">
        <w:t xml:space="preserve">in </w:t>
      </w:r>
      <w:r w:rsidRPr="00EF5A5F">
        <w:t xml:space="preserve">further study </w:t>
      </w:r>
      <w:r w:rsidR="00B66359">
        <w:t>after training</w:t>
      </w:r>
    </w:p>
    <w:p w14:paraId="313C5BD8" w14:textId="62BAE86E" w:rsidR="00C43C47" w:rsidRPr="00D74951" w:rsidRDefault="00E859BC" w:rsidP="00ED76E8">
      <w:pPr>
        <w:pStyle w:val="BodyText"/>
      </w:pPr>
      <w:r>
        <w:t xml:space="preserve">Nationally in </w:t>
      </w:r>
      <w:r w:rsidR="0082608B">
        <w:t>2019</w:t>
      </w:r>
      <w:r>
        <w:t xml:space="preserve">, </w:t>
      </w:r>
      <w:r w:rsidR="00E03B62" w:rsidRPr="00B05D55">
        <w:t>86.2</w:t>
      </w:r>
      <w:r w:rsidRPr="00A07E7F">
        <w:t xml:space="preserve"> per cent </w:t>
      </w:r>
      <w:r w:rsidR="004C6B70" w:rsidRPr="00A07E7F">
        <w:t xml:space="preserve">of 20–64 </w:t>
      </w:r>
      <w:r w:rsidRPr="00A07E7F">
        <w:t xml:space="preserve">year old total </w:t>
      </w:r>
      <w:r w:rsidRPr="00D74951">
        <w:t xml:space="preserve">VET graduates </w:t>
      </w:r>
      <w:r w:rsidR="00ED76E8" w:rsidRPr="00D74951">
        <w:t xml:space="preserve">from </w:t>
      </w:r>
      <w:r w:rsidR="00C17A9A" w:rsidRPr="00D74951">
        <w:t xml:space="preserve">2018 </w:t>
      </w:r>
      <w:r w:rsidRPr="00D74951">
        <w:t xml:space="preserve">were employed </w:t>
      </w:r>
      <w:r w:rsidR="00804D4D" w:rsidRPr="00D74951">
        <w:t>and/or</w:t>
      </w:r>
      <w:r w:rsidR="003367F8" w:rsidRPr="00D74951">
        <w:t xml:space="preserve"> </w:t>
      </w:r>
      <w:r w:rsidR="00804D4D" w:rsidRPr="00D74951">
        <w:t>continued on to further study after training</w:t>
      </w:r>
      <w:r w:rsidR="0096752E" w:rsidRPr="00D74951">
        <w:t xml:space="preserve"> (figure </w:t>
      </w:r>
      <w:r w:rsidR="00706E9E" w:rsidRPr="00D74951">
        <w:t>5.</w:t>
      </w:r>
      <w:r w:rsidR="00F36604" w:rsidRPr="00D74951">
        <w:t>8</w:t>
      </w:r>
      <w:r w:rsidR="0096752E" w:rsidRPr="00D74951">
        <w:t>)</w:t>
      </w:r>
      <w:r w:rsidR="0083276B" w:rsidRPr="00D74951">
        <w:t xml:space="preserve"> — </w:t>
      </w:r>
      <w:r w:rsidR="00E03B62" w:rsidRPr="00B05D55">
        <w:t>up</w:t>
      </w:r>
      <w:r w:rsidR="00E03B62" w:rsidRPr="00E53992">
        <w:t xml:space="preserve"> </w:t>
      </w:r>
      <w:r w:rsidR="007F76C5" w:rsidRPr="00D74951">
        <w:t xml:space="preserve">from </w:t>
      </w:r>
      <w:r w:rsidR="00E03B62" w:rsidRPr="00B05D55">
        <w:t>85.7</w:t>
      </w:r>
      <w:r w:rsidR="00D50636" w:rsidRPr="00B05D55">
        <w:t> </w:t>
      </w:r>
      <w:r w:rsidR="00D50636" w:rsidRPr="00D74951">
        <w:t>per </w:t>
      </w:r>
      <w:r w:rsidR="0083276B" w:rsidRPr="00D74951">
        <w:t xml:space="preserve">cent in </w:t>
      </w:r>
      <w:r w:rsidR="00387D05" w:rsidRPr="00D74951">
        <w:t>2018</w:t>
      </w:r>
      <w:r w:rsidR="00681AB9" w:rsidRPr="00D74951">
        <w:t xml:space="preserve"> (table</w:t>
      </w:r>
      <w:r w:rsidR="00DD5279" w:rsidRPr="00D74951">
        <w:t> </w:t>
      </w:r>
      <w:r w:rsidR="00681AB9" w:rsidRPr="00D74951">
        <w:t>5A.1</w:t>
      </w:r>
      <w:r w:rsidR="00EA04EB" w:rsidRPr="00D74951">
        <w:t>7</w:t>
      </w:r>
      <w:r w:rsidR="00681AB9" w:rsidRPr="00D74951">
        <w:t>)</w:t>
      </w:r>
      <w:r w:rsidR="0096752E" w:rsidRPr="00D74951">
        <w:t>.</w:t>
      </w:r>
      <w:r w:rsidR="00F253E2" w:rsidRPr="00D74951">
        <w:t xml:space="preserve"> The</w:t>
      </w:r>
      <w:r w:rsidR="00804D4D" w:rsidRPr="00D74951">
        <w:t xml:space="preserve"> proportion was </w:t>
      </w:r>
      <w:r w:rsidR="00804D4D" w:rsidRPr="000D17D8">
        <w:t>higher for people from re</w:t>
      </w:r>
      <w:r w:rsidR="000462B5" w:rsidRPr="000D17D8">
        <w:t>mote and very remote areas (</w:t>
      </w:r>
      <w:r w:rsidR="000D17D8" w:rsidRPr="00B05D55">
        <w:t>91.8</w:t>
      </w:r>
      <w:r w:rsidR="00804D4D" w:rsidRPr="00B05D55">
        <w:t xml:space="preserve"> </w:t>
      </w:r>
      <w:r w:rsidR="00804D4D" w:rsidRPr="000D17D8">
        <w:t>per cent) and lower for Abo</w:t>
      </w:r>
      <w:r w:rsidR="00804D4D" w:rsidRPr="00D74951">
        <w:t>riginal and Tor</w:t>
      </w:r>
      <w:r w:rsidR="000462B5" w:rsidRPr="00D74951">
        <w:t xml:space="preserve">res Strait Islander </w:t>
      </w:r>
      <w:r w:rsidR="006B7EBF" w:rsidRPr="00D74951">
        <w:t>Australians</w:t>
      </w:r>
      <w:r w:rsidR="000462B5" w:rsidRPr="00D74951">
        <w:t xml:space="preserve"> (</w:t>
      </w:r>
      <w:r w:rsidR="000D17D8" w:rsidRPr="00B05D55">
        <w:t>84.1</w:t>
      </w:r>
      <w:r w:rsidR="00804D4D" w:rsidRPr="00B05D55">
        <w:t xml:space="preserve"> </w:t>
      </w:r>
      <w:r w:rsidR="00804D4D" w:rsidRPr="00D74951">
        <w:t xml:space="preserve">per cent) </w:t>
      </w:r>
      <w:r w:rsidR="000462B5" w:rsidRPr="00D74951">
        <w:t>and people with disability (</w:t>
      </w:r>
      <w:r w:rsidR="000D17D8" w:rsidRPr="00B05D55">
        <w:t>73.7</w:t>
      </w:r>
      <w:r w:rsidR="00804D4D" w:rsidRPr="00B05D55">
        <w:t xml:space="preserve"> </w:t>
      </w:r>
      <w:r w:rsidR="00804D4D" w:rsidRPr="00D74951">
        <w:t>per cent)</w:t>
      </w:r>
      <w:r w:rsidR="0096752E" w:rsidRPr="00D74951">
        <w:t xml:space="preserve"> (table</w:t>
      </w:r>
      <w:r w:rsidR="00DD5279" w:rsidRPr="00D74951">
        <w:t> </w:t>
      </w:r>
      <w:r w:rsidR="0096752E" w:rsidRPr="00D74951">
        <w:t>5A.1</w:t>
      </w:r>
      <w:r w:rsidR="00EA04EB" w:rsidRPr="00D74951">
        <w:t>7</w:t>
      </w:r>
      <w:r w:rsidR="0096752E" w:rsidRPr="00D74951">
        <w:t>)</w:t>
      </w:r>
      <w:r w:rsidR="00F1548A">
        <w:t>.</w:t>
      </w:r>
    </w:p>
    <w:p w14:paraId="739C3313" w14:textId="7B37C52D" w:rsidR="00804D4D" w:rsidRPr="00D74951" w:rsidRDefault="00AA6DA0" w:rsidP="00C54280">
      <w:pPr>
        <w:pStyle w:val="BodyText"/>
      </w:pPr>
      <w:r w:rsidRPr="00D74951">
        <w:lastRenderedPageBreak/>
        <w:t xml:space="preserve">For </w:t>
      </w:r>
      <w:r w:rsidR="00804D4D" w:rsidRPr="00D74951">
        <w:t>government</w:t>
      </w:r>
      <w:r w:rsidR="00891079" w:rsidRPr="00D74951">
        <w:noBreakHyphen/>
      </w:r>
      <w:r w:rsidR="00804D4D" w:rsidRPr="00D74951">
        <w:t xml:space="preserve">funded </w:t>
      </w:r>
      <w:r w:rsidR="00F253E2" w:rsidRPr="00D74951">
        <w:t xml:space="preserve">VET </w:t>
      </w:r>
      <w:r w:rsidR="004C158A" w:rsidRPr="00D74951">
        <w:t>graduates</w:t>
      </w:r>
      <w:r w:rsidRPr="00D74951">
        <w:t xml:space="preserve">, </w:t>
      </w:r>
      <w:r w:rsidR="00611A44" w:rsidRPr="00B05D55">
        <w:t>84.4</w:t>
      </w:r>
      <w:r w:rsidR="00804D4D" w:rsidRPr="00B05D55">
        <w:t xml:space="preserve"> </w:t>
      </w:r>
      <w:r w:rsidR="00804D4D" w:rsidRPr="00D74951">
        <w:t>per cent were</w:t>
      </w:r>
      <w:r w:rsidR="00804D4D" w:rsidRPr="000B1E53">
        <w:t xml:space="preserve"> employed and/or continued on to further study</w:t>
      </w:r>
      <w:r w:rsidRPr="000B1E53">
        <w:t xml:space="preserve"> in </w:t>
      </w:r>
      <w:r w:rsidR="008369A0" w:rsidRPr="000B1E53">
        <w:t>2019</w:t>
      </w:r>
      <w:r w:rsidRPr="000B1E53">
        <w:t xml:space="preserve"> (</w:t>
      </w:r>
      <w:r w:rsidR="00F31DD0" w:rsidRPr="000B1E53">
        <w:t>lower than</w:t>
      </w:r>
      <w:r w:rsidRPr="000B1E53">
        <w:t xml:space="preserve"> the proportion for total VET graduates)</w:t>
      </w:r>
      <w:r w:rsidR="0083276B" w:rsidRPr="000B1E53">
        <w:t xml:space="preserve"> —</w:t>
      </w:r>
      <w:r w:rsidR="00891079" w:rsidRPr="000B1E53">
        <w:t xml:space="preserve"> </w:t>
      </w:r>
      <w:r w:rsidR="00E53992" w:rsidRPr="000B1E53">
        <w:t>up from 83.7</w:t>
      </w:r>
      <w:r w:rsidR="002D3ABD" w:rsidRPr="000B1E53">
        <w:t> </w:t>
      </w:r>
      <w:r w:rsidR="00E53992" w:rsidRPr="000B1E53">
        <w:t>per cent in 2018</w:t>
      </w:r>
      <w:r w:rsidR="0083276B" w:rsidRPr="000B1E53">
        <w:t xml:space="preserve"> </w:t>
      </w:r>
      <w:r w:rsidR="0096752E" w:rsidRPr="000B1E53">
        <w:t>(table</w:t>
      </w:r>
      <w:r w:rsidR="00DD5279" w:rsidRPr="000B1E53">
        <w:t> </w:t>
      </w:r>
      <w:r w:rsidR="0096752E" w:rsidRPr="000B1E53">
        <w:t>5A.1</w:t>
      </w:r>
      <w:r w:rsidR="00AF29CE" w:rsidRPr="000B1E53">
        <w:t>8</w:t>
      </w:r>
      <w:r w:rsidR="0096752E" w:rsidRPr="000B1E53">
        <w:t>)</w:t>
      </w:r>
      <w:r w:rsidR="00804D4D" w:rsidRPr="000B1E53">
        <w:t>.</w:t>
      </w:r>
    </w:p>
    <w:p w14:paraId="6CDB2E6B" w14:textId="0DFB52EC" w:rsidR="00375B42" w:rsidRDefault="00375B42"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B42" w14:paraId="5F5829B7" w14:textId="77777777" w:rsidTr="00DD0399">
        <w:trPr>
          <w:tblHeader/>
        </w:trPr>
        <w:tc>
          <w:tcPr>
            <w:tcW w:w="5000" w:type="pct"/>
            <w:tcBorders>
              <w:top w:val="single" w:sz="6" w:space="0" w:color="78A22F"/>
              <w:left w:val="nil"/>
              <w:bottom w:val="nil"/>
              <w:right w:val="nil"/>
            </w:tcBorders>
            <w:shd w:val="clear" w:color="auto" w:fill="auto"/>
          </w:tcPr>
          <w:p w14:paraId="2F90C166" w14:textId="0D70D5D5" w:rsidR="00375B42" w:rsidRPr="00333E4C" w:rsidRDefault="00375B42" w:rsidP="00333E4C">
            <w:pPr>
              <w:pStyle w:val="FigureTitle"/>
              <w:ind w:left="1418" w:hanging="1418"/>
              <w:rPr>
                <w:position w:val="6"/>
                <w:sz w:val="18"/>
              </w:rPr>
            </w:pPr>
            <w:r w:rsidRPr="00784A05">
              <w:rPr>
                <w:b w:val="0"/>
              </w:rPr>
              <w:t xml:space="preserve">Figure </w:t>
            </w:r>
            <w:r>
              <w:rPr>
                <w:b w:val="0"/>
              </w:rPr>
              <w:t>5.</w:t>
            </w:r>
            <w:r w:rsidR="006300E8">
              <w:rPr>
                <w:b w:val="0"/>
                <w:noProof/>
              </w:rPr>
              <w:t>8</w:t>
            </w:r>
            <w:r>
              <w:tab/>
              <w:t>Total VET graduates aged 20–64 years employed</w:t>
            </w:r>
            <w:r w:rsidRPr="008240EB">
              <w:t xml:space="preserve"> and/or </w:t>
            </w:r>
            <w:r>
              <w:t xml:space="preserve">in </w:t>
            </w:r>
            <w:r w:rsidRPr="008240EB">
              <w:t xml:space="preserve">further study </w:t>
            </w:r>
            <w:r>
              <w:t xml:space="preserve">after training, </w:t>
            </w:r>
            <w:r w:rsidR="008369A0">
              <w:t>2019</w:t>
            </w:r>
            <w:r w:rsidRPr="008240EB">
              <w:rPr>
                <w:rStyle w:val="NoteLabel"/>
                <w:b/>
              </w:rPr>
              <w:t>a, b</w:t>
            </w:r>
          </w:p>
        </w:tc>
      </w:tr>
      <w:tr w:rsidR="00375B42" w14:paraId="0511436F" w14:textId="77777777" w:rsidTr="00DD0399">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4533F" w:rsidRPr="00B1465D" w14:paraId="0C14F4F3" w14:textId="77777777" w:rsidTr="00242A60">
              <w:trPr>
                <w:tblHeader/>
                <w:jc w:val="center"/>
              </w:trPr>
              <w:tc>
                <w:tcPr>
                  <w:tcW w:w="5000" w:type="pct"/>
                  <w:tcBorders>
                    <w:top w:val="nil"/>
                    <w:bottom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4533F" w:rsidRPr="00C96187" w14:paraId="363C966F" w14:textId="77777777" w:rsidTr="00D75B20">
                    <w:tc>
                      <w:tcPr>
                        <w:tcW w:w="304" w:type="dxa"/>
                        <w:tcBorders>
                          <w:top w:val="nil"/>
                          <w:left w:val="nil"/>
                          <w:bottom w:val="nil"/>
                          <w:right w:val="nil"/>
                        </w:tcBorders>
                        <w:shd w:val="clear" w:color="auto" w:fill="auto"/>
                        <w:tcMar>
                          <w:top w:w="28" w:type="dxa"/>
                          <w:bottom w:w="28" w:type="dxa"/>
                        </w:tcMar>
                      </w:tcPr>
                      <w:p w14:paraId="54452C25" w14:textId="77777777" w:rsidR="0094533F" w:rsidRPr="00C96187" w:rsidRDefault="0094533F" w:rsidP="0094533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CBB5909" w14:textId="77777777" w:rsidR="0094533F" w:rsidRPr="00C90895" w:rsidRDefault="0094533F" w:rsidP="0094533F">
                        <w:pPr>
                          <w:keepNext/>
                          <w:keepLines/>
                          <w:spacing w:before="60" w:after="60" w:line="240" w:lineRule="atLeast"/>
                          <w:jc w:val="center"/>
                        </w:pPr>
                      </w:p>
                    </w:tc>
                    <w:tc>
                      <w:tcPr>
                        <w:tcW w:w="7938" w:type="dxa"/>
                        <w:tcBorders>
                          <w:top w:val="nil"/>
                          <w:left w:val="nil"/>
                          <w:bottom w:val="nil"/>
                          <w:right w:val="nil"/>
                        </w:tcBorders>
                        <w:shd w:val="clear" w:color="auto" w:fill="auto"/>
                      </w:tcPr>
                      <w:p w14:paraId="3A53A70E" w14:textId="77777777" w:rsidR="0094533F" w:rsidRPr="00C96187" w:rsidRDefault="0094533F" w:rsidP="002D2019">
                        <w:pPr>
                          <w:keepNext/>
                          <w:keepLines/>
                          <w:spacing w:before="60" w:after="60" w:line="240" w:lineRule="atLeast"/>
                          <w:rPr>
                            <w:rFonts w:ascii="Arial" w:hAnsi="Arial" w:cs="Arial"/>
                            <w:sz w:val="18"/>
                            <w:szCs w:val="18"/>
                          </w:rPr>
                        </w:pPr>
                        <w:r>
                          <w:rPr>
                            <w:rFonts w:ascii="Arial" w:hAnsi="Arial" w:cs="Arial"/>
                            <w:sz w:val="18"/>
                            <w:szCs w:val="18"/>
                          </w:rPr>
                          <w:t>Data are c</w:t>
                        </w:r>
                        <w:r w:rsidRPr="00C96187">
                          <w:rPr>
                            <w:rFonts w:ascii="Arial" w:hAnsi="Arial" w:cs="Arial"/>
                            <w:sz w:val="18"/>
                            <w:szCs w:val="18"/>
                          </w:rPr>
                          <w:t xml:space="preserve">omparable (subject to caveats) </w:t>
                        </w:r>
                        <w:r w:rsidRPr="00992FD4">
                          <w:rPr>
                            <w:rFonts w:ascii="Arial" w:hAnsi="Arial" w:cs="Arial"/>
                            <w:sz w:val="18"/>
                            <w:szCs w:val="18"/>
                          </w:rPr>
                          <w:t>across jurisdictions</w:t>
                        </w:r>
                        <w:r w:rsidR="002D2019">
                          <w:rPr>
                            <w:rFonts w:ascii="Arial" w:hAnsi="Arial" w:cs="Arial"/>
                            <w:sz w:val="18"/>
                            <w:szCs w:val="18"/>
                          </w:rPr>
                          <w:t>.</w:t>
                        </w:r>
                      </w:p>
                    </w:tc>
                  </w:tr>
                  <w:tr w:rsidR="0094533F" w:rsidRPr="00C96187" w14:paraId="20A7774A" w14:textId="77777777" w:rsidTr="00D75B20">
                    <w:tc>
                      <w:tcPr>
                        <w:tcW w:w="304" w:type="dxa"/>
                        <w:tcBorders>
                          <w:top w:val="nil"/>
                          <w:left w:val="nil"/>
                          <w:bottom w:val="nil"/>
                          <w:right w:val="nil"/>
                        </w:tcBorders>
                        <w:shd w:val="clear" w:color="auto" w:fill="auto"/>
                        <w:tcMar>
                          <w:top w:w="28" w:type="dxa"/>
                          <w:bottom w:w="28" w:type="dxa"/>
                        </w:tcMar>
                      </w:tcPr>
                      <w:p w14:paraId="4D63EBB4" w14:textId="77777777" w:rsidR="0094533F" w:rsidRPr="00C96187" w:rsidRDefault="0094533F" w:rsidP="0094533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D5627E5" w14:textId="77777777" w:rsidR="0094533F" w:rsidRPr="00C90895" w:rsidRDefault="0094533F" w:rsidP="0094533F">
                        <w:pPr>
                          <w:keepNext/>
                          <w:keepLines/>
                          <w:spacing w:before="60" w:after="60" w:line="240" w:lineRule="atLeast"/>
                          <w:jc w:val="center"/>
                        </w:pPr>
                      </w:p>
                    </w:tc>
                    <w:tc>
                      <w:tcPr>
                        <w:tcW w:w="7938" w:type="dxa"/>
                        <w:tcBorders>
                          <w:top w:val="nil"/>
                          <w:left w:val="nil"/>
                          <w:bottom w:val="nil"/>
                          <w:right w:val="nil"/>
                        </w:tcBorders>
                        <w:shd w:val="clear" w:color="auto" w:fill="auto"/>
                      </w:tcPr>
                      <w:p w14:paraId="3D4524F4" w14:textId="77777777" w:rsidR="0094533F" w:rsidRPr="00C96187" w:rsidRDefault="0094533F" w:rsidP="00C7218B">
                        <w:pPr>
                          <w:keepNext/>
                          <w:keepLines/>
                          <w:spacing w:before="60" w:after="60" w:line="240" w:lineRule="atLeast"/>
                          <w:rPr>
                            <w:rFonts w:ascii="Arial" w:hAnsi="Arial" w:cs="Arial"/>
                            <w:sz w:val="18"/>
                            <w:szCs w:val="18"/>
                          </w:rPr>
                        </w:pPr>
                        <w:r w:rsidRPr="00C96187">
                          <w:rPr>
                            <w:rFonts w:ascii="Arial" w:hAnsi="Arial" w:cs="Arial"/>
                            <w:sz w:val="18"/>
                            <w:szCs w:val="18"/>
                          </w:rPr>
                          <w:t>Data are complete (subject to caveats) fo</w:t>
                        </w:r>
                        <w:r w:rsidR="00C7218B">
                          <w:rPr>
                            <w:rFonts w:ascii="Arial" w:hAnsi="Arial" w:cs="Arial"/>
                            <w:sz w:val="18"/>
                            <w:szCs w:val="18"/>
                          </w:rPr>
                          <w:t>r the current reporting period.</w:t>
                        </w:r>
                      </w:p>
                    </w:tc>
                  </w:tr>
                </w:tbl>
                <w:p w14:paraId="539812C5" w14:textId="77777777" w:rsidR="0094533F" w:rsidRDefault="0094533F" w:rsidP="002E0AA0">
                  <w:pPr>
                    <w:pStyle w:val="Figure"/>
                    <w:spacing w:before="60" w:after="60"/>
                    <w:rPr>
                      <w:rFonts w:ascii="Arial" w:hAnsi="Arial" w:cs="Arial"/>
                      <w:noProof/>
                      <w:sz w:val="18"/>
                      <w:szCs w:val="18"/>
                    </w:rPr>
                  </w:pPr>
                </w:p>
              </w:tc>
            </w:tr>
            <w:tr w:rsidR="00375B42" w:rsidRPr="00B1465D" w14:paraId="45854AB1" w14:textId="77777777" w:rsidTr="00B05D55">
              <w:tblPrEx>
                <w:tblCellMar>
                  <w:left w:w="108" w:type="dxa"/>
                  <w:right w:w="108" w:type="dxa"/>
                </w:tblCellMar>
              </w:tblPrEx>
              <w:trPr>
                <w:tblHeader/>
                <w:jc w:val="center"/>
              </w:trPr>
              <w:tc>
                <w:tcPr>
                  <w:tcW w:w="5000" w:type="pct"/>
                  <w:tcBorders>
                    <w:top w:val="nil"/>
                    <w:bottom w:val="nil"/>
                  </w:tcBorders>
                  <w:shd w:val="clear" w:color="auto" w:fill="auto"/>
                </w:tcPr>
                <w:p w14:paraId="1B05B88A" w14:textId="44B1A91F" w:rsidR="00375B42" w:rsidRPr="00B1465D" w:rsidRDefault="00D90A15" w:rsidP="002E0AA0">
                  <w:pPr>
                    <w:pStyle w:val="Figure"/>
                    <w:spacing w:before="60" w:after="60"/>
                    <w:rPr>
                      <w:rFonts w:ascii="Arial" w:hAnsi="Arial" w:cs="Arial"/>
                      <w:sz w:val="18"/>
                      <w:szCs w:val="18"/>
                    </w:rPr>
                  </w:pPr>
                  <w:r>
                    <w:rPr>
                      <w:noProof/>
                    </w:rPr>
                    <w:drawing>
                      <wp:inline distT="0" distB="0" distL="0" distR="0" wp14:anchorId="6EB1D3D7" wp14:editId="4D8A576E">
                        <wp:extent cx="5316415" cy="2631831"/>
                        <wp:effectExtent l="0" t="0" r="0" b="0"/>
                        <wp:docPr id="14" name="Chart 14" descr="Figure 5.8 Total VET graduates aged 20-64 years employed and/or in further study after training,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258F49DC" w14:textId="77777777" w:rsidR="00375B42" w:rsidRDefault="00375B42" w:rsidP="002E0AA0">
            <w:pPr>
              <w:pStyle w:val="Figure"/>
            </w:pPr>
          </w:p>
        </w:tc>
      </w:tr>
      <w:tr w:rsidR="00375B42" w:rsidRPr="00176D3F" w14:paraId="0505EB31" w14:textId="77777777" w:rsidTr="00780AD7">
        <w:tc>
          <w:tcPr>
            <w:tcW w:w="5000" w:type="pct"/>
            <w:tcBorders>
              <w:top w:val="nil"/>
              <w:left w:val="nil"/>
              <w:bottom w:val="nil"/>
              <w:right w:val="nil"/>
            </w:tcBorders>
            <w:shd w:val="clear" w:color="auto" w:fill="auto"/>
          </w:tcPr>
          <w:p w14:paraId="0254A9E2" w14:textId="69EE99E3" w:rsidR="00375B42" w:rsidRPr="00176D3F" w:rsidRDefault="00375B42" w:rsidP="00AF29CE">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171E10">
              <w:t xml:space="preserve"> </w:t>
            </w:r>
            <w:r w:rsidRPr="006D3797">
              <w:t xml:space="preserve">See </w:t>
            </w:r>
            <w:r>
              <w:t>box 5.10 and table 5A.1</w:t>
            </w:r>
            <w:r w:rsidR="00AF29CE">
              <w:t>7</w:t>
            </w:r>
            <w:r>
              <w:t xml:space="preserve"> </w:t>
            </w:r>
            <w:r w:rsidRPr="006D3797">
              <w:t>for detailed definitions, footnotes and caveats</w:t>
            </w:r>
            <w:r w:rsidRPr="004B1B81">
              <w:t>.</w:t>
            </w:r>
          </w:p>
        </w:tc>
      </w:tr>
      <w:tr w:rsidR="00375B42" w:rsidRPr="00176D3F" w14:paraId="112BA2B1" w14:textId="77777777" w:rsidTr="00780AD7">
        <w:tc>
          <w:tcPr>
            <w:tcW w:w="5000" w:type="pct"/>
            <w:tcBorders>
              <w:top w:val="nil"/>
              <w:left w:val="nil"/>
              <w:bottom w:val="nil"/>
              <w:right w:val="nil"/>
            </w:tcBorders>
            <w:shd w:val="clear" w:color="auto" w:fill="auto"/>
          </w:tcPr>
          <w:p w14:paraId="4F1C7119" w14:textId="20E8F5C8" w:rsidR="00375B42" w:rsidRPr="00176D3F" w:rsidRDefault="00375B42" w:rsidP="00AF29CE">
            <w:pPr>
              <w:pStyle w:val="Source"/>
            </w:pPr>
            <w:r>
              <w:rPr>
                <w:i/>
              </w:rPr>
              <w:t>S</w:t>
            </w:r>
            <w:r w:rsidRPr="00784A05">
              <w:rPr>
                <w:i/>
              </w:rPr>
              <w:t>ource</w:t>
            </w:r>
            <w:r w:rsidRPr="00176D3F">
              <w:t xml:space="preserve">: </w:t>
            </w:r>
            <w:r w:rsidR="00E55D80" w:rsidRPr="00821F91">
              <w:t>NCVER, National Student Outcomes Survey</w:t>
            </w:r>
            <w:r w:rsidRPr="00171E10">
              <w:t>; table</w:t>
            </w:r>
            <w:r>
              <w:t> </w:t>
            </w:r>
            <w:r w:rsidRPr="00171E10">
              <w:t>5A.</w:t>
            </w:r>
            <w:r>
              <w:t>1</w:t>
            </w:r>
            <w:r w:rsidR="00AF29CE">
              <w:t>7</w:t>
            </w:r>
            <w:r w:rsidRPr="00171E10">
              <w:t>.</w:t>
            </w:r>
          </w:p>
        </w:tc>
      </w:tr>
      <w:tr w:rsidR="00375B42" w14:paraId="5E0F64AF" w14:textId="77777777" w:rsidTr="002E0AA0">
        <w:tc>
          <w:tcPr>
            <w:tcW w:w="5000" w:type="pct"/>
            <w:tcBorders>
              <w:top w:val="nil"/>
              <w:left w:val="nil"/>
              <w:bottom w:val="single" w:sz="6" w:space="0" w:color="78A22F"/>
              <w:right w:val="nil"/>
            </w:tcBorders>
            <w:shd w:val="clear" w:color="auto" w:fill="auto"/>
          </w:tcPr>
          <w:p w14:paraId="520D29F4" w14:textId="77777777" w:rsidR="00375B42" w:rsidRDefault="00375B42" w:rsidP="002E0AA0">
            <w:pPr>
              <w:pStyle w:val="Figurespace"/>
            </w:pPr>
          </w:p>
        </w:tc>
      </w:tr>
      <w:tr w:rsidR="00375B42" w:rsidRPr="000863A5" w14:paraId="1923D282" w14:textId="77777777" w:rsidTr="002E0AA0">
        <w:tc>
          <w:tcPr>
            <w:tcW w:w="5000" w:type="pct"/>
            <w:tcBorders>
              <w:top w:val="single" w:sz="6" w:space="0" w:color="78A22F"/>
              <w:left w:val="nil"/>
              <w:bottom w:val="nil"/>
              <w:right w:val="nil"/>
            </w:tcBorders>
          </w:tcPr>
          <w:p w14:paraId="0F966EC2" w14:textId="7DA8DCA1" w:rsidR="00375B42" w:rsidRPr="00626D32" w:rsidRDefault="00375B42" w:rsidP="002E0AA0">
            <w:pPr>
              <w:pStyle w:val="BoxSpaceBelow"/>
            </w:pPr>
          </w:p>
        </w:tc>
      </w:tr>
    </w:tbl>
    <w:p w14:paraId="0E4F8A64" w14:textId="3368785F" w:rsidR="00E21824" w:rsidRPr="00EF5A5F" w:rsidRDefault="00E21824" w:rsidP="00E21824">
      <w:pPr>
        <w:pStyle w:val="Heading5"/>
      </w:pPr>
      <w:r>
        <w:t>G</w:t>
      </w:r>
      <w:r w:rsidR="00893238">
        <w:t>raduates who</w:t>
      </w:r>
      <w:r w:rsidRPr="00EF5A5F">
        <w:t xml:space="preserve"> impro</w:t>
      </w:r>
      <w:r w:rsidR="00F01D5D">
        <w:t xml:space="preserve">ved employment status </w:t>
      </w:r>
      <w:r w:rsidR="00B66359" w:rsidRPr="00B66359">
        <w:t>after training</w:t>
      </w:r>
    </w:p>
    <w:p w14:paraId="798CD465" w14:textId="0100FB3E" w:rsidR="00893238" w:rsidRPr="00D74951" w:rsidRDefault="000462B5" w:rsidP="00893238">
      <w:pPr>
        <w:pStyle w:val="BodyText"/>
      </w:pPr>
      <w:r>
        <w:t xml:space="preserve">Nationally in </w:t>
      </w:r>
      <w:r w:rsidR="008369A0">
        <w:t>2019</w:t>
      </w:r>
      <w:r>
        <w:t xml:space="preserve">, </w:t>
      </w:r>
      <w:r w:rsidR="003F109C" w:rsidRPr="00B05D55">
        <w:t>67.0</w:t>
      </w:r>
      <w:r w:rsidR="00ED76E8" w:rsidRPr="00B05D55">
        <w:t xml:space="preserve"> </w:t>
      </w:r>
      <w:r w:rsidR="00ED76E8" w:rsidRPr="00D74951">
        <w:t>per cent of 20–64 year old</w:t>
      </w:r>
      <w:r w:rsidR="00F64315" w:rsidRPr="00D74951">
        <w:t xml:space="preserve"> </w:t>
      </w:r>
      <w:r w:rsidR="00893238" w:rsidRPr="00D74951">
        <w:t>total VET g</w:t>
      </w:r>
      <w:r w:rsidR="00893238" w:rsidRPr="003F109C">
        <w:t xml:space="preserve">raduates </w:t>
      </w:r>
      <w:r w:rsidR="00ED76E8" w:rsidRPr="003F109C">
        <w:t xml:space="preserve">from </w:t>
      </w:r>
      <w:r w:rsidR="000553A0" w:rsidRPr="003F109C">
        <w:t xml:space="preserve">2018 </w:t>
      </w:r>
      <w:r w:rsidR="00893238" w:rsidRPr="003F109C">
        <w:t>improved their e</w:t>
      </w:r>
      <w:r w:rsidR="0009471D" w:rsidRPr="003F109C">
        <w:t>mployment status after training</w:t>
      </w:r>
      <w:r w:rsidR="00844783" w:rsidRPr="003F109C">
        <w:t xml:space="preserve"> (</w:t>
      </w:r>
      <w:r w:rsidR="005B3097" w:rsidRPr="003F109C">
        <w:t>table</w:t>
      </w:r>
      <w:r w:rsidR="00DD5279" w:rsidRPr="003F109C">
        <w:t> </w:t>
      </w:r>
      <w:r w:rsidR="005B3097" w:rsidRPr="003F109C">
        <w:t>5A.1</w:t>
      </w:r>
      <w:r w:rsidR="00AF29CE" w:rsidRPr="003F109C">
        <w:t>9</w:t>
      </w:r>
      <w:r w:rsidR="00681AB9" w:rsidRPr="003F109C">
        <w:t>)</w:t>
      </w:r>
      <w:r w:rsidR="004A28BF" w:rsidRPr="003F109C">
        <w:t xml:space="preserve">. </w:t>
      </w:r>
      <w:r w:rsidR="00337DE2" w:rsidRPr="003F109C">
        <w:t>T</w:t>
      </w:r>
      <w:r w:rsidR="004A28BF" w:rsidRPr="003F109C">
        <w:t>he</w:t>
      </w:r>
      <w:r w:rsidR="00893238" w:rsidRPr="003F109C">
        <w:t xml:space="preserve"> proportion was higher for people from </w:t>
      </w:r>
      <w:r w:rsidRPr="003F109C">
        <w:t>remote and very remote areas (</w:t>
      </w:r>
      <w:r w:rsidR="003F109C" w:rsidRPr="00B05D55">
        <w:t>75.9</w:t>
      </w:r>
      <w:r w:rsidR="00F4381C" w:rsidRPr="00B05D55">
        <w:t> </w:t>
      </w:r>
      <w:r w:rsidR="00337DE2" w:rsidRPr="003F109C">
        <w:t xml:space="preserve">per cent), </w:t>
      </w:r>
      <w:r w:rsidR="00893238" w:rsidRPr="003F109C">
        <w:t xml:space="preserve">lower for </w:t>
      </w:r>
      <w:r w:rsidR="000B0277" w:rsidRPr="003F109C">
        <w:t>people with di</w:t>
      </w:r>
      <w:r w:rsidRPr="003F109C">
        <w:t>sability (</w:t>
      </w:r>
      <w:r w:rsidR="003F109C" w:rsidRPr="00B05D55">
        <w:t>45.5</w:t>
      </w:r>
      <w:r w:rsidR="00893238" w:rsidRPr="00B05D55">
        <w:t xml:space="preserve"> per cent)</w:t>
      </w:r>
      <w:r w:rsidR="00337DE2" w:rsidRPr="00B05D55">
        <w:t xml:space="preserve"> and similar for Aboriginal and Torres Strait Islander </w:t>
      </w:r>
      <w:r w:rsidR="00E53992" w:rsidRPr="00B05D55">
        <w:t xml:space="preserve">people </w:t>
      </w:r>
      <w:r w:rsidR="00337DE2" w:rsidRPr="00B05D55">
        <w:t>(</w:t>
      </w:r>
      <w:r w:rsidR="003F109C" w:rsidRPr="00B05D55">
        <w:t>65.9</w:t>
      </w:r>
      <w:r w:rsidR="00337DE2" w:rsidRPr="00B05D55">
        <w:t xml:space="preserve"> </w:t>
      </w:r>
      <w:r w:rsidR="00337DE2" w:rsidRPr="00D74951">
        <w:t>per cent)</w:t>
      </w:r>
      <w:r w:rsidR="000B0277" w:rsidRPr="00D74951">
        <w:t xml:space="preserve"> (table</w:t>
      </w:r>
      <w:r w:rsidR="00DD5279" w:rsidRPr="00D74951">
        <w:t> </w:t>
      </w:r>
      <w:r w:rsidR="000B0277" w:rsidRPr="00D74951">
        <w:t>5A.1</w:t>
      </w:r>
      <w:r w:rsidR="00AF29CE" w:rsidRPr="00D74951">
        <w:t>9</w:t>
      </w:r>
      <w:r w:rsidR="00893238" w:rsidRPr="00D74951">
        <w:t xml:space="preserve">). </w:t>
      </w:r>
    </w:p>
    <w:p w14:paraId="2ABD26F8" w14:textId="7B11EA5B" w:rsidR="00893238" w:rsidRPr="00D16B95" w:rsidRDefault="00D16B95" w:rsidP="00893238">
      <w:pPr>
        <w:pStyle w:val="BodyText"/>
      </w:pPr>
      <w:r>
        <w:t>For</w:t>
      </w:r>
      <w:r w:rsidR="00893238" w:rsidRPr="00D74951">
        <w:t xml:space="preserve"> governmen</w:t>
      </w:r>
      <w:r w:rsidR="00F359A2" w:rsidRPr="00D74951">
        <w:t>t</w:t>
      </w:r>
      <w:r w:rsidR="00891079" w:rsidRPr="00D74951">
        <w:noBreakHyphen/>
      </w:r>
      <w:r w:rsidR="00F359A2" w:rsidRPr="00D74951">
        <w:t>funded graduates</w:t>
      </w:r>
      <w:r w:rsidR="002169B9" w:rsidRPr="00D74951">
        <w:t>,</w:t>
      </w:r>
      <w:r w:rsidR="000462B5" w:rsidRPr="00D74951">
        <w:t xml:space="preserve"> </w:t>
      </w:r>
      <w:r w:rsidRPr="00B05D55">
        <w:t>64.7</w:t>
      </w:r>
      <w:r w:rsidR="000B0277" w:rsidRPr="00D74951">
        <w:t xml:space="preserve"> per cent </w:t>
      </w:r>
      <w:r w:rsidR="008D26CA" w:rsidRPr="00D74951">
        <w:t xml:space="preserve">had </w:t>
      </w:r>
      <w:r w:rsidR="000B0277" w:rsidRPr="00D74951">
        <w:t>improved employment status</w:t>
      </w:r>
      <w:r w:rsidR="002169B9" w:rsidRPr="00D74951">
        <w:t xml:space="preserve"> in </w:t>
      </w:r>
      <w:r w:rsidR="008369A0" w:rsidRPr="00D74951">
        <w:t>2019</w:t>
      </w:r>
      <w:r w:rsidR="002169B9" w:rsidRPr="00D74951">
        <w:t xml:space="preserve"> </w:t>
      </w:r>
      <w:r w:rsidR="002169B9" w:rsidRPr="00D16B95">
        <w:t>(</w:t>
      </w:r>
      <w:r w:rsidR="00F31DD0" w:rsidRPr="00D16B95">
        <w:t>lower than</w:t>
      </w:r>
      <w:r w:rsidR="002169B9" w:rsidRPr="00D16B95">
        <w:t xml:space="preserve"> the</w:t>
      </w:r>
      <w:r w:rsidR="00012918" w:rsidRPr="00D16B95">
        <w:t xml:space="preserve"> proportion for total VET gradu</w:t>
      </w:r>
      <w:r w:rsidR="002169B9" w:rsidRPr="00D16B95">
        <w:t>ates)</w:t>
      </w:r>
      <w:r w:rsidR="000B0277" w:rsidRPr="00D16B95">
        <w:t xml:space="preserve"> (table</w:t>
      </w:r>
      <w:r w:rsidR="00DD5279" w:rsidRPr="00D16B95">
        <w:t> </w:t>
      </w:r>
      <w:r w:rsidR="000B0277" w:rsidRPr="00D16B95">
        <w:t>5A.</w:t>
      </w:r>
      <w:r w:rsidR="00AF29CE" w:rsidRPr="00D16B95">
        <w:t>20</w:t>
      </w:r>
      <w:r w:rsidR="00893238" w:rsidRPr="00D16B95">
        <w:t>).</w:t>
      </w:r>
      <w:r w:rsidR="00891079" w:rsidRPr="00D16B95">
        <w:t xml:space="preserve"> </w:t>
      </w:r>
    </w:p>
    <w:p w14:paraId="358CD0BC" w14:textId="5E02DC85" w:rsidR="00FD7B10" w:rsidRPr="00D16B95" w:rsidRDefault="00FD7B10" w:rsidP="00893238">
      <w:pPr>
        <w:pStyle w:val="BodyText"/>
      </w:pPr>
      <w:r w:rsidRPr="00D36222">
        <w:t>By type of improved employment status</w:t>
      </w:r>
      <w:r w:rsidR="006B7EBF" w:rsidRPr="00A70E66">
        <w:t xml:space="preserve"> for total VET graduates</w:t>
      </w:r>
      <w:r w:rsidRPr="00A70E66">
        <w:t xml:space="preserve">, the proportion was </w:t>
      </w:r>
      <w:r w:rsidRPr="00D16B95">
        <w:t>highest for graduates receiving a job</w:t>
      </w:r>
      <w:r w:rsidR="00891079" w:rsidRPr="00D16B95">
        <w:noBreakHyphen/>
      </w:r>
      <w:r w:rsidRPr="00D16B95">
        <w:t>related benefit (</w:t>
      </w:r>
      <w:r w:rsidR="00D16B95" w:rsidRPr="00B05D55">
        <w:t>84.3</w:t>
      </w:r>
      <w:r w:rsidRPr="00D16B95">
        <w:t xml:space="preserve"> per cent), followed by </w:t>
      </w:r>
      <w:r w:rsidR="00272C42" w:rsidRPr="00D16B95">
        <w:t xml:space="preserve">graduates </w:t>
      </w:r>
      <w:r w:rsidRPr="00D16B95">
        <w:t>employed after training</w:t>
      </w:r>
      <w:r w:rsidR="00535BE5" w:rsidRPr="00D16B95">
        <w:t xml:space="preserve"> (who were not employed before training)</w:t>
      </w:r>
      <w:r w:rsidRPr="00D16B95">
        <w:t xml:space="preserve"> </w:t>
      </w:r>
      <w:r w:rsidRPr="00B05D55">
        <w:t>(</w:t>
      </w:r>
      <w:r w:rsidR="00D16B95" w:rsidRPr="00B05D55">
        <w:t>47.9</w:t>
      </w:r>
      <w:r w:rsidRPr="00B05D55">
        <w:t xml:space="preserve"> per cent) and employed at a higher skill level after training (</w:t>
      </w:r>
      <w:r w:rsidR="00D16B95" w:rsidRPr="00B05D55">
        <w:t>17.8</w:t>
      </w:r>
      <w:r w:rsidR="00947493" w:rsidRPr="00D16B95">
        <w:t> </w:t>
      </w:r>
      <w:r w:rsidRPr="00D16B95">
        <w:t>per cent) (figure</w:t>
      </w:r>
      <w:r w:rsidR="00DD5279" w:rsidRPr="00D16B95">
        <w:t> </w:t>
      </w:r>
      <w:r w:rsidR="00F36604" w:rsidRPr="00D16B95">
        <w:t>5.9</w:t>
      </w:r>
      <w:r w:rsidRPr="00D16B95">
        <w:t>).</w:t>
      </w:r>
    </w:p>
    <w:p w14:paraId="76309190" w14:textId="4F03F1EA" w:rsidR="00C871D5" w:rsidRDefault="002B27A1" w:rsidP="007F3DBE">
      <w:pPr>
        <w:pStyle w:val="BodyText"/>
        <w:shd w:val="clear" w:color="auto" w:fill="FFFFFF" w:themeFill="background1"/>
      </w:pPr>
      <w:r w:rsidRPr="00D36222">
        <w:lastRenderedPageBreak/>
        <w:t xml:space="preserve">In </w:t>
      </w:r>
      <w:r w:rsidR="008369A0" w:rsidRPr="00D36222">
        <w:t>2019</w:t>
      </w:r>
      <w:r w:rsidRPr="00A70E66">
        <w:t>, f</w:t>
      </w:r>
      <w:r w:rsidR="00A6463E" w:rsidRPr="00A70E66">
        <w:t>or both total VET and government</w:t>
      </w:r>
      <w:r w:rsidR="00891079" w:rsidRPr="00A70E66">
        <w:noBreakHyphen/>
      </w:r>
      <w:r w:rsidR="00A6463E" w:rsidRPr="00A70E66">
        <w:t xml:space="preserve">funded graduates, the proportion </w:t>
      </w:r>
      <w:r w:rsidR="004A28BF" w:rsidRPr="00A70E66">
        <w:t xml:space="preserve">who improved their employment status </w:t>
      </w:r>
      <w:r w:rsidR="00A6463E" w:rsidRPr="00A70E66">
        <w:t xml:space="preserve">was </w:t>
      </w:r>
      <w:r w:rsidR="00A6463E" w:rsidRPr="00D16B95">
        <w:t xml:space="preserve">lower for </w:t>
      </w:r>
      <w:r w:rsidR="00A6463E" w:rsidRPr="00F14BC8">
        <w:t>graduates completing a Certificate I</w:t>
      </w:r>
      <w:r w:rsidR="000462B5" w:rsidRPr="00F14BC8">
        <w:t>/II qualification (</w:t>
      </w:r>
      <w:r w:rsidR="00A70E66" w:rsidRPr="00B05D55">
        <w:t>51.5</w:t>
      </w:r>
      <w:r w:rsidR="000462B5" w:rsidRPr="00B05D55">
        <w:t xml:space="preserve"> and </w:t>
      </w:r>
      <w:r w:rsidR="00A70E66" w:rsidRPr="00B05D55">
        <w:t>43.1</w:t>
      </w:r>
      <w:r w:rsidR="00C53150" w:rsidRPr="00B05D55">
        <w:t xml:space="preserve"> per cent</w:t>
      </w:r>
      <w:r w:rsidR="00A6463E" w:rsidRPr="00B05D55">
        <w:t xml:space="preserve"> respectively</w:t>
      </w:r>
      <w:r w:rsidR="00A6463E" w:rsidRPr="00A07E7F">
        <w:t xml:space="preserve">), compared </w:t>
      </w:r>
      <w:r w:rsidR="00DC7CFE" w:rsidRPr="00A07E7F">
        <w:t xml:space="preserve">with </w:t>
      </w:r>
      <w:r w:rsidR="00A6463E" w:rsidRPr="00A07E7F">
        <w:t>graduates completing a Certificate III</w:t>
      </w:r>
      <w:r w:rsidR="000462B5" w:rsidRPr="00A07E7F">
        <w:t xml:space="preserve">/IV </w:t>
      </w:r>
      <w:r w:rsidR="000462B5" w:rsidRPr="00B05D55">
        <w:t>qualification (</w:t>
      </w:r>
      <w:r w:rsidR="00A70E66" w:rsidRPr="00B05D55">
        <w:t>69.1</w:t>
      </w:r>
      <w:r w:rsidR="000462B5" w:rsidRPr="00B05D55">
        <w:t xml:space="preserve"> and </w:t>
      </w:r>
      <w:r w:rsidR="00A70E66" w:rsidRPr="00B05D55">
        <w:t>67.1</w:t>
      </w:r>
      <w:r w:rsidR="00C53150" w:rsidRPr="00B05D55">
        <w:t xml:space="preserve"> per cent</w:t>
      </w:r>
      <w:r w:rsidR="00A6463E" w:rsidRPr="00B05D55">
        <w:t xml:space="preserve"> respectively) or a Diploma and above qualif</w:t>
      </w:r>
      <w:r w:rsidR="000462B5" w:rsidRPr="00B05D55">
        <w:t>ication (</w:t>
      </w:r>
      <w:r w:rsidR="00A70E66" w:rsidRPr="00B05D55">
        <w:t>68.9</w:t>
      </w:r>
      <w:r w:rsidR="00DA5C65" w:rsidRPr="00B05D55">
        <w:t> </w:t>
      </w:r>
      <w:r w:rsidR="000462B5" w:rsidRPr="00B05D55">
        <w:t xml:space="preserve">and </w:t>
      </w:r>
      <w:r w:rsidR="00A70E66" w:rsidRPr="00B05D55">
        <w:t>68.5</w:t>
      </w:r>
      <w:r w:rsidR="00C53150">
        <w:t xml:space="preserve"> per cent</w:t>
      </w:r>
      <w:r w:rsidR="00A6463E" w:rsidRPr="00A6463E">
        <w:t xml:space="preserve"> respectively) (table</w:t>
      </w:r>
      <w:r w:rsidR="00F95ACF">
        <w:t>s</w:t>
      </w:r>
      <w:r w:rsidR="00DD5279">
        <w:t> </w:t>
      </w:r>
      <w:r w:rsidR="00A6463E" w:rsidRPr="00A6463E">
        <w:t>5A.</w:t>
      </w:r>
      <w:r w:rsidR="00F95ACF">
        <w:t>21</w:t>
      </w:r>
      <w:r w:rsidR="00611A44">
        <w:t>–</w:t>
      </w:r>
      <w:r w:rsidR="00F95ACF">
        <w:t>22</w:t>
      </w:r>
      <w:r w:rsidR="00A6463E" w:rsidRPr="00A6463E">
        <w:t xml:space="preserve">). </w:t>
      </w:r>
    </w:p>
    <w:p w14:paraId="404D3647" w14:textId="522515D5" w:rsidR="005D600D" w:rsidRDefault="005D600D"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D600D" w14:paraId="341845C9" w14:textId="77777777" w:rsidTr="00DD0399">
        <w:trPr>
          <w:tblHeader/>
        </w:trPr>
        <w:tc>
          <w:tcPr>
            <w:tcW w:w="5000" w:type="pct"/>
            <w:tcBorders>
              <w:top w:val="single" w:sz="6" w:space="0" w:color="78A22F"/>
              <w:left w:val="nil"/>
              <w:bottom w:val="nil"/>
              <w:right w:val="nil"/>
            </w:tcBorders>
            <w:shd w:val="clear" w:color="auto" w:fill="auto"/>
          </w:tcPr>
          <w:p w14:paraId="6D280A19" w14:textId="537A4AC5" w:rsidR="005D600D" w:rsidRPr="00333E4C" w:rsidRDefault="005D600D" w:rsidP="00333E4C">
            <w:pPr>
              <w:pStyle w:val="FigureTitle"/>
              <w:rPr>
                <w:position w:val="6"/>
                <w:sz w:val="18"/>
              </w:rPr>
            </w:pPr>
            <w:r w:rsidRPr="00784A05">
              <w:rPr>
                <w:b w:val="0"/>
              </w:rPr>
              <w:t xml:space="preserve">Figure </w:t>
            </w:r>
            <w:bookmarkStart w:id="25" w:name="OLE_LINK2"/>
            <w:r>
              <w:rPr>
                <w:b w:val="0"/>
              </w:rPr>
              <w:t>5.</w:t>
            </w:r>
            <w:r w:rsidR="006300E8">
              <w:rPr>
                <w:b w:val="0"/>
                <w:noProof/>
              </w:rPr>
              <w:t>9</w:t>
            </w:r>
            <w:bookmarkEnd w:id="25"/>
            <w:r>
              <w:tab/>
              <w:t xml:space="preserve">Total </w:t>
            </w:r>
            <w:r w:rsidRPr="00CC723C">
              <w:t xml:space="preserve">VET graduates </w:t>
            </w:r>
            <w:r>
              <w:t xml:space="preserve">aged 20–64 years </w:t>
            </w:r>
            <w:r w:rsidRPr="00CC723C">
              <w:t>who improved their empl</w:t>
            </w:r>
            <w:r>
              <w:t>oyment status</w:t>
            </w:r>
            <w:r w:rsidRPr="00CC723C">
              <w:t xml:space="preserve"> after </w:t>
            </w:r>
            <w:r>
              <w:t>traini</w:t>
            </w:r>
            <w:r w:rsidR="00844783">
              <w:t>ng</w:t>
            </w:r>
            <w:r w:rsidR="00FD7B10">
              <w:t xml:space="preserve">, by type of improvement, </w:t>
            </w:r>
            <w:r w:rsidR="008369A0">
              <w:t>2019</w:t>
            </w:r>
            <w:r>
              <w:rPr>
                <w:rStyle w:val="NoteLabel"/>
                <w:b/>
              </w:rPr>
              <w:t>a, b</w:t>
            </w:r>
            <w:r w:rsidR="007F3DBE">
              <w:rPr>
                <w:rStyle w:val="NoteLabel"/>
                <w:b/>
              </w:rPr>
              <w:t xml:space="preserve"> </w:t>
            </w:r>
          </w:p>
        </w:tc>
      </w:tr>
      <w:tr w:rsidR="005D600D" w14:paraId="54BAA3F3" w14:textId="77777777" w:rsidTr="00DD0399">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D2D19" w:rsidRPr="00B1465D" w14:paraId="1EB6E39A" w14:textId="77777777" w:rsidTr="007D2D19">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7D2D19" w:rsidRPr="00C96187" w14:paraId="1C6B59E0" w14:textId="77777777" w:rsidTr="00821F91">
                    <w:tc>
                      <w:tcPr>
                        <w:tcW w:w="304" w:type="dxa"/>
                        <w:tcBorders>
                          <w:top w:val="nil"/>
                          <w:left w:val="nil"/>
                          <w:bottom w:val="nil"/>
                          <w:right w:val="nil"/>
                        </w:tcBorders>
                        <w:shd w:val="clear" w:color="auto" w:fill="auto"/>
                        <w:tcMar>
                          <w:top w:w="28" w:type="dxa"/>
                          <w:bottom w:w="28" w:type="dxa"/>
                        </w:tcMar>
                      </w:tcPr>
                      <w:p w14:paraId="223A0EA8" w14:textId="77777777" w:rsidR="007D2D19" w:rsidRPr="00C96187" w:rsidRDefault="007D2D19" w:rsidP="007D2D19">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8510652" w14:textId="77777777" w:rsidR="007D2D19" w:rsidRPr="00C96187" w:rsidRDefault="007D2D19" w:rsidP="007D2D1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76C2F9C" w14:textId="7E9A93C3" w:rsidR="007D2D19" w:rsidRPr="00C96187" w:rsidRDefault="00973AED" w:rsidP="001676BA">
                        <w:pPr>
                          <w:pStyle w:val="TableBodyText"/>
                          <w:jc w:val="left"/>
                        </w:pPr>
                        <w:r>
                          <w:t xml:space="preserve">Data are </w:t>
                        </w:r>
                        <w:r w:rsidR="00926F99" w:rsidRPr="00926F99">
                          <w:t>comparable across jurisdictions, but not comparable over time (2019 data are not comparable with earlier years)</w:t>
                        </w:r>
                      </w:p>
                    </w:tc>
                  </w:tr>
                  <w:tr w:rsidR="00973AED" w:rsidRPr="00C96187" w14:paraId="52DC8F91" w14:textId="77777777" w:rsidTr="00D75B20">
                    <w:tc>
                      <w:tcPr>
                        <w:tcW w:w="304" w:type="dxa"/>
                        <w:tcBorders>
                          <w:top w:val="nil"/>
                          <w:left w:val="nil"/>
                          <w:bottom w:val="nil"/>
                          <w:right w:val="nil"/>
                        </w:tcBorders>
                        <w:shd w:val="clear" w:color="auto" w:fill="auto"/>
                        <w:tcMar>
                          <w:top w:w="28" w:type="dxa"/>
                          <w:bottom w:w="28" w:type="dxa"/>
                        </w:tcMar>
                      </w:tcPr>
                      <w:p w14:paraId="425A5AC7" w14:textId="77777777" w:rsidR="00973AED" w:rsidRPr="00C96187" w:rsidRDefault="00973AED" w:rsidP="007D2D1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F595E22" w14:textId="77777777" w:rsidR="00973AED" w:rsidRPr="00C90895" w:rsidRDefault="00973AED" w:rsidP="007D2D1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7D1006" w14:textId="711358E9" w:rsidR="00973AED" w:rsidRDefault="00973AED" w:rsidP="001676BA">
                        <w:pPr>
                          <w:pStyle w:val="TableBodyText"/>
                          <w:jc w:val="left"/>
                        </w:pPr>
                        <w:r w:rsidRPr="00C96187">
                          <w:t>Data are complete (subject to caveats) fo</w:t>
                        </w:r>
                        <w:r>
                          <w:t>r the current reporting period.</w:t>
                        </w:r>
                      </w:p>
                    </w:tc>
                  </w:tr>
                </w:tbl>
                <w:p w14:paraId="15920AD9" w14:textId="77777777" w:rsidR="007D2D19" w:rsidRDefault="007D2D19" w:rsidP="002E0AA0">
                  <w:pPr>
                    <w:pStyle w:val="Figure"/>
                    <w:spacing w:before="60" w:after="60"/>
                    <w:rPr>
                      <w:rFonts w:ascii="Arial" w:hAnsi="Arial" w:cs="Arial"/>
                      <w:sz w:val="18"/>
                      <w:szCs w:val="18"/>
                    </w:rPr>
                  </w:pPr>
                </w:p>
              </w:tc>
            </w:tr>
            <w:tr w:rsidR="005D600D" w:rsidRPr="00B1465D" w14:paraId="489E9258" w14:textId="77777777" w:rsidTr="00B05D55">
              <w:tblPrEx>
                <w:tblCellMar>
                  <w:left w:w="108" w:type="dxa"/>
                  <w:right w:w="108" w:type="dxa"/>
                </w:tblCellMar>
              </w:tblPrEx>
              <w:trPr>
                <w:tblHeader/>
                <w:jc w:val="center"/>
              </w:trPr>
              <w:tc>
                <w:tcPr>
                  <w:tcW w:w="5000" w:type="pct"/>
                  <w:tcBorders>
                    <w:top w:val="nil"/>
                    <w:bottom w:val="nil"/>
                  </w:tcBorders>
                  <w:shd w:val="clear" w:color="auto" w:fill="auto"/>
                </w:tcPr>
                <w:p w14:paraId="69464A55" w14:textId="763F318C" w:rsidR="005D600D" w:rsidRPr="00B1465D" w:rsidRDefault="00974F5D" w:rsidP="002E0AA0">
                  <w:pPr>
                    <w:pStyle w:val="Figure"/>
                    <w:spacing w:before="60" w:after="60"/>
                    <w:rPr>
                      <w:rFonts w:ascii="Arial" w:hAnsi="Arial" w:cs="Arial"/>
                      <w:sz w:val="18"/>
                      <w:szCs w:val="18"/>
                    </w:rPr>
                  </w:pPr>
                  <w:r>
                    <w:rPr>
                      <w:noProof/>
                    </w:rPr>
                    <w:drawing>
                      <wp:inline distT="0" distB="0" distL="0" distR="0" wp14:anchorId="715CB46E" wp14:editId="0573230B">
                        <wp:extent cx="5400000" cy="2700000"/>
                        <wp:effectExtent l="0" t="0" r="0" b="5715"/>
                        <wp:docPr id="2" name="Chart 2" descr="Figure 5.9 Total VET graduates aged 20-64 years who improved their employment status after training, by type of improvement,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661104A" w14:textId="77777777" w:rsidR="005D600D" w:rsidRDefault="005D600D" w:rsidP="002E0AA0">
            <w:pPr>
              <w:pStyle w:val="Figure"/>
            </w:pPr>
          </w:p>
        </w:tc>
      </w:tr>
      <w:tr w:rsidR="005D600D" w:rsidRPr="00176D3F" w14:paraId="3A269D1D" w14:textId="77777777" w:rsidTr="002E0AA0">
        <w:tc>
          <w:tcPr>
            <w:tcW w:w="5000" w:type="pct"/>
            <w:tcBorders>
              <w:top w:val="nil"/>
              <w:left w:val="nil"/>
              <w:bottom w:val="nil"/>
              <w:right w:val="nil"/>
            </w:tcBorders>
            <w:shd w:val="clear" w:color="auto" w:fill="auto"/>
          </w:tcPr>
          <w:p w14:paraId="17307C8B" w14:textId="414D7ADF" w:rsidR="005D600D" w:rsidRPr="00176D3F" w:rsidRDefault="005D600D" w:rsidP="00F95ACF">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t> </w:t>
            </w:r>
            <w:r w:rsidRPr="006D3797">
              <w:t>See</w:t>
            </w:r>
            <w:r>
              <w:t xml:space="preserve"> </w:t>
            </w:r>
            <w:r w:rsidRPr="006D3797">
              <w:t>box</w:t>
            </w:r>
            <w:r>
              <w:t> 5.10</w:t>
            </w:r>
            <w:r w:rsidR="00FD7B10">
              <w:t xml:space="preserve"> and table 5A.</w:t>
            </w:r>
            <w:r w:rsidR="00F95ACF">
              <w:t>2</w:t>
            </w:r>
            <w:r w:rsidR="00FD7B10">
              <w:t>1</w:t>
            </w:r>
            <w:r>
              <w:t xml:space="preserve"> </w:t>
            </w:r>
            <w:r w:rsidRPr="006D3797">
              <w:t>for detailed definitions, footnotes and caveats</w:t>
            </w:r>
            <w:r w:rsidRPr="004B1B81">
              <w:t>.</w:t>
            </w:r>
          </w:p>
        </w:tc>
      </w:tr>
      <w:tr w:rsidR="005D600D" w:rsidRPr="00176D3F" w14:paraId="4AB3070A" w14:textId="77777777" w:rsidTr="002E0AA0">
        <w:tc>
          <w:tcPr>
            <w:tcW w:w="5000" w:type="pct"/>
            <w:tcBorders>
              <w:top w:val="nil"/>
              <w:left w:val="nil"/>
              <w:bottom w:val="nil"/>
              <w:right w:val="nil"/>
            </w:tcBorders>
            <w:shd w:val="clear" w:color="auto" w:fill="auto"/>
          </w:tcPr>
          <w:p w14:paraId="76663959" w14:textId="53510F9D" w:rsidR="005D600D" w:rsidRPr="00176D3F" w:rsidRDefault="005D600D" w:rsidP="00DB7346">
            <w:pPr>
              <w:pStyle w:val="Source"/>
            </w:pPr>
            <w:r>
              <w:rPr>
                <w:i/>
              </w:rPr>
              <w:t>S</w:t>
            </w:r>
            <w:r w:rsidRPr="00784A05">
              <w:rPr>
                <w:i/>
              </w:rPr>
              <w:t>ource</w:t>
            </w:r>
            <w:r w:rsidRPr="00176D3F">
              <w:t xml:space="preserve">: </w:t>
            </w:r>
            <w:r w:rsidR="00E55D80" w:rsidRPr="00821F91">
              <w:t>NCVER, National Student Outcomes Survey</w:t>
            </w:r>
            <w:r w:rsidRPr="00821F91">
              <w:t>; table</w:t>
            </w:r>
            <w:r>
              <w:t> </w:t>
            </w:r>
            <w:r w:rsidRPr="008C1DD2">
              <w:t>5A.</w:t>
            </w:r>
            <w:r w:rsidR="00F95ACF">
              <w:t>2</w:t>
            </w:r>
            <w:r w:rsidR="00FD7B10">
              <w:t>1</w:t>
            </w:r>
            <w:r w:rsidRPr="008C1DD2">
              <w:t>.</w:t>
            </w:r>
          </w:p>
        </w:tc>
      </w:tr>
      <w:tr w:rsidR="005D600D" w14:paraId="1BA5CEE0" w14:textId="77777777" w:rsidTr="002E0AA0">
        <w:tc>
          <w:tcPr>
            <w:tcW w:w="5000" w:type="pct"/>
            <w:tcBorders>
              <w:top w:val="nil"/>
              <w:left w:val="nil"/>
              <w:bottom w:val="single" w:sz="6" w:space="0" w:color="78A22F"/>
              <w:right w:val="nil"/>
            </w:tcBorders>
            <w:shd w:val="clear" w:color="auto" w:fill="auto"/>
          </w:tcPr>
          <w:p w14:paraId="5121E046" w14:textId="77777777" w:rsidR="005D600D" w:rsidRDefault="005D600D" w:rsidP="002E0AA0">
            <w:pPr>
              <w:pStyle w:val="Figurespace"/>
            </w:pPr>
          </w:p>
        </w:tc>
      </w:tr>
      <w:tr w:rsidR="005D600D" w:rsidRPr="000863A5" w14:paraId="295EAE9C" w14:textId="77777777" w:rsidTr="002E0AA0">
        <w:tc>
          <w:tcPr>
            <w:tcW w:w="5000" w:type="pct"/>
            <w:tcBorders>
              <w:top w:val="single" w:sz="6" w:space="0" w:color="78A22F"/>
              <w:left w:val="nil"/>
              <w:bottom w:val="nil"/>
              <w:right w:val="nil"/>
            </w:tcBorders>
          </w:tcPr>
          <w:p w14:paraId="42FE1B00" w14:textId="73C36444" w:rsidR="005D600D" w:rsidRPr="00626D32" w:rsidRDefault="005D600D" w:rsidP="002E0AA0">
            <w:pPr>
              <w:pStyle w:val="BoxSpaceBelow"/>
            </w:pPr>
          </w:p>
        </w:tc>
      </w:tr>
    </w:tbl>
    <w:p w14:paraId="305D67D2" w14:textId="77777777" w:rsidR="00852FD4" w:rsidRDefault="00852FD4" w:rsidP="00852FD4">
      <w:pPr>
        <w:pStyle w:val="Heading4"/>
      </w:pPr>
      <w:r>
        <w:t>S</w:t>
      </w:r>
      <w:r w:rsidRPr="00C87EAE">
        <w:t>tudent completions and qualifications</w:t>
      </w:r>
    </w:p>
    <w:p w14:paraId="0A64B244" w14:textId="5E0FFAB7" w:rsidR="000D5247" w:rsidRDefault="00852FD4" w:rsidP="008F5111">
      <w:pPr>
        <w:pStyle w:val="BodyText"/>
      </w:pPr>
      <w:r w:rsidRPr="00EF5A5F">
        <w:t>‘</w:t>
      </w:r>
      <w:r>
        <w:t>S</w:t>
      </w:r>
      <w:r w:rsidRPr="00EF5A5F">
        <w:t xml:space="preserve">tudent </w:t>
      </w:r>
      <w:r>
        <w:t>completions and qualifications</w:t>
      </w:r>
      <w:r w:rsidRPr="00EF5A5F">
        <w:t xml:space="preserve">’ is an indicator of governments’ </w:t>
      </w:r>
      <w:r w:rsidR="000D5247" w:rsidRPr="00EF5A5F">
        <w:t xml:space="preserve">objective </w:t>
      </w:r>
      <w:r w:rsidR="000D5247">
        <w:t xml:space="preserve">that </w:t>
      </w:r>
      <w:r w:rsidR="000D5247" w:rsidRPr="00EF5A5F">
        <w:t>the VET system</w:t>
      </w:r>
      <w:r w:rsidR="00A913EE" w:rsidRPr="00A913EE">
        <w:t xml:space="preserve"> </w:t>
      </w:r>
      <w:r w:rsidR="00A913EE">
        <w:t>deliver a productive and highly skilled workforce through enabling all working age Australians to develop and use the skills required to effectively participate in the labour market and contribute to Australia’s economic future</w:t>
      </w:r>
      <w:r w:rsidR="008F5111">
        <w:t xml:space="preserve"> </w:t>
      </w:r>
      <w:r w:rsidRPr="00EF5A5F">
        <w:t>(box</w:t>
      </w:r>
      <w:r>
        <w:t> </w:t>
      </w:r>
      <w:r w:rsidR="00C53150">
        <w:t>5.11</w:t>
      </w:r>
      <w:r w:rsidRPr="00EF5A5F">
        <w:t>)</w:t>
      </w:r>
      <w:r w:rsidRPr="00E4296A">
        <w:t xml:space="preserve">. </w:t>
      </w:r>
    </w:p>
    <w:p w14:paraId="54179F69" w14:textId="77777777" w:rsidR="00852FD4" w:rsidRPr="007C0ADB" w:rsidRDefault="00852FD4" w:rsidP="00852FD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52FD4" w:rsidRPr="00952247" w14:paraId="4DE047D8" w14:textId="77777777" w:rsidTr="00606E20">
        <w:tc>
          <w:tcPr>
            <w:tcW w:w="8789" w:type="dxa"/>
            <w:tcBorders>
              <w:top w:val="single" w:sz="6" w:space="0" w:color="78A22F"/>
              <w:left w:val="nil"/>
              <w:bottom w:val="nil"/>
              <w:right w:val="nil"/>
            </w:tcBorders>
            <w:shd w:val="clear" w:color="auto" w:fill="F2F2F2" w:themeFill="background1" w:themeFillShade="F2"/>
          </w:tcPr>
          <w:p w14:paraId="294B6EA4" w14:textId="58837D35" w:rsidR="00852FD4" w:rsidRPr="00983184" w:rsidRDefault="00852FD4" w:rsidP="00A4511E">
            <w:pPr>
              <w:pStyle w:val="BoxTitle"/>
            </w:pPr>
            <w:r>
              <w:rPr>
                <w:b w:val="0"/>
              </w:rPr>
              <w:t xml:space="preserve">Box </w:t>
            </w:r>
            <w:bookmarkStart w:id="26" w:name="OLE_LINK10"/>
            <w:r w:rsidR="00C53150">
              <w:rPr>
                <w:b w:val="0"/>
              </w:rPr>
              <w:t>5.</w:t>
            </w:r>
            <w:r w:rsidR="006300E8">
              <w:rPr>
                <w:b w:val="0"/>
                <w:noProof/>
              </w:rPr>
              <w:t>11</w:t>
            </w:r>
            <w:bookmarkEnd w:id="26"/>
            <w:r w:rsidRPr="00983184">
              <w:tab/>
            </w:r>
            <w:r w:rsidR="00A4511E">
              <w:t>S</w:t>
            </w:r>
            <w:r w:rsidRPr="00EF5A5F">
              <w:t xml:space="preserve">tudent </w:t>
            </w:r>
            <w:r w:rsidRPr="00983184">
              <w:t>completions and qualifications</w:t>
            </w:r>
          </w:p>
        </w:tc>
      </w:tr>
      <w:tr w:rsidR="00852FD4" w:rsidRPr="00952247" w14:paraId="0C99790D" w14:textId="77777777" w:rsidTr="00606E20">
        <w:trPr>
          <w:cantSplit/>
        </w:trPr>
        <w:tc>
          <w:tcPr>
            <w:tcW w:w="8789" w:type="dxa"/>
            <w:tcBorders>
              <w:top w:val="nil"/>
              <w:left w:val="nil"/>
              <w:bottom w:val="nil"/>
              <w:right w:val="nil"/>
            </w:tcBorders>
            <w:shd w:val="clear" w:color="auto" w:fill="F2F2F2" w:themeFill="background1" w:themeFillShade="F2"/>
          </w:tcPr>
          <w:p w14:paraId="30310123" w14:textId="77777777" w:rsidR="001B2AEA" w:rsidRPr="00FB2B54" w:rsidRDefault="00852FD4" w:rsidP="00902829">
            <w:pPr>
              <w:pStyle w:val="Box"/>
            </w:pPr>
            <w:r w:rsidRPr="00983184">
              <w:t>‘</w:t>
            </w:r>
            <w:r w:rsidR="00A4511E">
              <w:t>Student</w:t>
            </w:r>
            <w:r w:rsidRPr="00983184">
              <w:t xml:space="preserve"> completions and qualificat</w:t>
            </w:r>
            <w:r w:rsidR="00A913EE">
              <w:t xml:space="preserve">ions’ is defined </w:t>
            </w:r>
            <w:r w:rsidR="00A4511E">
              <w:t xml:space="preserve">as </w:t>
            </w:r>
            <w:r w:rsidR="00A913EE">
              <w:t xml:space="preserve">the number of </w:t>
            </w:r>
            <w:r w:rsidR="00371E06">
              <w:t xml:space="preserve">total </w:t>
            </w:r>
            <w:r w:rsidR="00B445FF">
              <w:t xml:space="preserve">VET AQF </w:t>
            </w:r>
            <w:r w:rsidR="00A913EE">
              <w:t>qualifications completed each year by students aged 15–64 years</w:t>
            </w:r>
            <w:r w:rsidR="00A4511E">
              <w:t>,</w:t>
            </w:r>
            <w:r w:rsidR="00A913EE">
              <w:t xml:space="preserve"> per 1000 people aged 15–64 years</w:t>
            </w:r>
            <w:r w:rsidR="00EC33F3">
              <w:t xml:space="preserve"> (total and by target groups </w:t>
            </w:r>
            <w:r w:rsidR="00EC33F3" w:rsidRPr="00EC33F3">
              <w:t>[</w:t>
            </w:r>
            <w:r w:rsidR="00D21B84">
              <w:t>Aboriginal and Torres Strait Islander Australians, people from remote and very remote areas, and people with disability</w:t>
            </w:r>
            <w:r w:rsidR="00EC33F3" w:rsidRPr="00EC33F3">
              <w:t>])</w:t>
            </w:r>
            <w:r w:rsidR="00A913EE">
              <w:t>.</w:t>
            </w:r>
          </w:p>
          <w:p w14:paraId="78DF3694" w14:textId="40DF308E" w:rsidR="00D55BE8" w:rsidRDefault="00AC01D4" w:rsidP="00A913EE">
            <w:pPr>
              <w:pStyle w:val="BoxListBullet"/>
              <w:numPr>
                <w:ilvl w:val="0"/>
                <w:numId w:val="0"/>
              </w:numPr>
            </w:pPr>
            <w:r w:rsidRPr="00F74889">
              <w:t>Q</w:t>
            </w:r>
            <w:r w:rsidR="004A28BF">
              <w:t>ualification completions</w:t>
            </w:r>
            <w:r w:rsidRPr="00F74889">
              <w:t xml:space="preserve"> data are ‘preliminary’ for </w:t>
            </w:r>
            <w:r w:rsidR="00387D05">
              <w:t>2018</w:t>
            </w:r>
            <w:r w:rsidRPr="00F74889">
              <w:t xml:space="preserve"> and ‘final’ for </w:t>
            </w:r>
            <w:r w:rsidR="008F3C12">
              <w:t>earlier</w:t>
            </w:r>
            <w:r w:rsidR="00FE2BC4">
              <w:t xml:space="preserve"> years</w:t>
            </w:r>
            <w:r>
              <w:t>.</w:t>
            </w:r>
          </w:p>
          <w:p w14:paraId="60B87A12" w14:textId="77777777" w:rsidR="006E183D" w:rsidRDefault="006E183D" w:rsidP="006E183D">
            <w:pPr>
              <w:pStyle w:val="Box"/>
            </w:pPr>
            <w:r>
              <w:t>A h</w:t>
            </w:r>
            <w:r w:rsidR="00AC01D4" w:rsidRPr="00983184">
              <w:t>igh</w:t>
            </w:r>
            <w:r w:rsidR="00AC01D4">
              <w:t>er</w:t>
            </w:r>
            <w:r w:rsidR="00AC01D4" w:rsidRPr="00983184">
              <w:t xml:space="preserve"> or increasing </w:t>
            </w:r>
            <w:r>
              <w:t>rate of c</w:t>
            </w:r>
            <w:r w:rsidR="00B445FF">
              <w:t xml:space="preserve">ompleted </w:t>
            </w:r>
            <w:r w:rsidR="00AC01D4">
              <w:t>qualification</w:t>
            </w:r>
            <w:r w:rsidR="00AC01D4" w:rsidRPr="00983184">
              <w:t xml:space="preserve">s increases the national pool of skilled </w:t>
            </w:r>
            <w:r w:rsidR="00D270F6" w:rsidRPr="00D93FAE">
              <w:t>people in Australia</w:t>
            </w:r>
            <w:r w:rsidR="00AC01D4" w:rsidRPr="00D93FAE">
              <w:t>.</w:t>
            </w:r>
            <w:r>
              <w:t xml:space="preserve"> </w:t>
            </w:r>
            <w:r w:rsidRPr="007B76C5">
              <w:t>However</w:t>
            </w:r>
            <w:r>
              <w:t>, this measure</w:t>
            </w:r>
            <w:r w:rsidRPr="007B76C5">
              <w:t xml:space="preserve"> need</w:t>
            </w:r>
            <w:r w:rsidR="00C53150">
              <w:t>s</w:t>
            </w:r>
            <w:r w:rsidRPr="007B76C5">
              <w:t xml:space="preserve"> to be interpreted with care as</w:t>
            </w:r>
            <w:r>
              <w:t xml:space="preserve"> the rate of qualification completions</w:t>
            </w:r>
            <w:r w:rsidRPr="007B76C5">
              <w:t>:</w:t>
            </w:r>
          </w:p>
          <w:p w14:paraId="202FEE44" w14:textId="77777777" w:rsidR="006E183D" w:rsidRDefault="006E183D" w:rsidP="006E183D">
            <w:pPr>
              <w:pStyle w:val="BoxListBullet"/>
            </w:pPr>
            <w:r>
              <w:t>by target group</w:t>
            </w:r>
            <w:r w:rsidRPr="00EF5A5F">
              <w:t xml:space="preserve"> </w:t>
            </w:r>
            <w:r>
              <w:t xml:space="preserve">(other than for remoteness) </w:t>
            </w:r>
            <w:r w:rsidRPr="00EF5A5F">
              <w:t xml:space="preserve">depend on </w:t>
            </w:r>
            <w:r>
              <w:t xml:space="preserve">obtaining accurate responses to </w:t>
            </w:r>
            <w:r w:rsidRPr="00EF5A5F">
              <w:t>self</w:t>
            </w:r>
            <w:r>
              <w:noBreakHyphen/>
            </w:r>
            <w:r w:rsidRPr="00EF5A5F">
              <w:t xml:space="preserve">identification </w:t>
            </w:r>
            <w:r>
              <w:t xml:space="preserve">questions </w:t>
            </w:r>
            <w:r w:rsidRPr="00EF5A5F">
              <w:t xml:space="preserve">at the time of </w:t>
            </w:r>
            <w:r>
              <w:t>enrolment, which may vary across jurisdictions. A large unknown (or not stated) response could mean that the completion rate for the target group is understated</w:t>
            </w:r>
          </w:p>
          <w:p w14:paraId="69D4657E" w14:textId="77777777" w:rsidR="00AC01D4" w:rsidRDefault="006E183D" w:rsidP="006E183D">
            <w:pPr>
              <w:pStyle w:val="BoxListBullet"/>
            </w:pPr>
            <w:r>
              <w:t>use</w:t>
            </w:r>
            <w:r w:rsidR="004A28BF">
              <w:t>s</w:t>
            </w:r>
            <w:r>
              <w:t xml:space="preserve"> a different data source for the numerator and denominator, which can affect comparability.</w:t>
            </w:r>
          </w:p>
          <w:p w14:paraId="144674DC" w14:textId="77777777" w:rsidR="00FE2BC4" w:rsidRPr="00983184" w:rsidRDefault="00FE2BC4" w:rsidP="00FE2BC4">
            <w:pPr>
              <w:pStyle w:val="Box"/>
            </w:pPr>
            <w:r w:rsidRPr="00983184">
              <w:t>Data reported for th</w:t>
            </w:r>
            <w:r w:rsidR="00902829">
              <w:t>is measure</w:t>
            </w:r>
            <w:r w:rsidRPr="00983184">
              <w:t xml:space="preserve"> are:</w:t>
            </w:r>
          </w:p>
          <w:p w14:paraId="6DFDC67B" w14:textId="77777777" w:rsidR="00FE2BC4" w:rsidRDefault="00FB1856" w:rsidP="00297089">
            <w:pPr>
              <w:pStyle w:val="Box"/>
              <w:spacing w:before="100"/>
              <w:ind w:left="283"/>
            </w:pPr>
            <w:r>
              <w:rPr>
                <w:shd w:val="clear" w:color="auto" w:fill="F15A25"/>
              </w:rPr>
              <w:t xml:space="preserve">    </w:t>
            </w:r>
            <w:r w:rsidRPr="00DC1D90">
              <w:t xml:space="preserve"> </w:t>
            </w:r>
            <w:r w:rsidR="00FE2BC4" w:rsidRPr="00983184">
              <w:t xml:space="preserve">comparable (subject to caveats) </w:t>
            </w:r>
            <w:r w:rsidR="00C53150">
              <w:t xml:space="preserve">across jurisdictions and </w:t>
            </w:r>
            <w:r w:rsidR="00FE2BC4" w:rsidRPr="00983184">
              <w:t>over time</w:t>
            </w:r>
            <w:r w:rsidR="00891079">
              <w:t xml:space="preserve"> </w:t>
            </w:r>
          </w:p>
          <w:p w14:paraId="3BB43D1E" w14:textId="52406134" w:rsidR="00FE2BC4" w:rsidRPr="00983184" w:rsidRDefault="00FB1856" w:rsidP="00297089">
            <w:pPr>
              <w:pStyle w:val="Box"/>
              <w:spacing w:before="100"/>
              <w:ind w:left="283"/>
            </w:pPr>
            <w:r>
              <w:rPr>
                <w:shd w:val="clear" w:color="auto" w:fill="F15A25"/>
              </w:rPr>
              <w:t xml:space="preserve">    </w:t>
            </w:r>
            <w:r w:rsidRPr="00DC1D90">
              <w:t xml:space="preserve"> </w:t>
            </w:r>
            <w:r w:rsidR="00FE2BC4" w:rsidRPr="00983184">
              <w:t xml:space="preserve">complete for the current reporting period (subject to caveats). All required </w:t>
            </w:r>
            <w:r w:rsidR="00387D05">
              <w:t>2018</w:t>
            </w:r>
            <w:r w:rsidR="00FE2BC4" w:rsidRPr="00983184">
              <w:t xml:space="preserve"> data are available for all jurisdictions.</w:t>
            </w:r>
          </w:p>
        </w:tc>
      </w:tr>
      <w:tr w:rsidR="00FE2BC4" w:rsidRPr="00952247" w14:paraId="143EF7F4"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76C59055" w14:textId="77777777" w:rsidR="00FE2BC4" w:rsidRPr="00952247" w:rsidRDefault="00FE2BC4" w:rsidP="00FE2BC4">
            <w:pPr>
              <w:pStyle w:val="Box"/>
              <w:keepNext w:val="0"/>
              <w:spacing w:before="0" w:line="120" w:lineRule="exact"/>
              <w:rPr>
                <w:color w:val="FF0000"/>
              </w:rPr>
            </w:pPr>
          </w:p>
        </w:tc>
      </w:tr>
      <w:tr w:rsidR="00FE2BC4" w:rsidRPr="000863A5" w14:paraId="7A1B8E10" w14:textId="77777777" w:rsidTr="00606E20">
        <w:tc>
          <w:tcPr>
            <w:tcW w:w="8789" w:type="dxa"/>
            <w:tcBorders>
              <w:top w:val="single" w:sz="6" w:space="0" w:color="78A22F"/>
              <w:left w:val="nil"/>
              <w:bottom w:val="nil"/>
              <w:right w:val="nil"/>
            </w:tcBorders>
          </w:tcPr>
          <w:p w14:paraId="4EBB14D8" w14:textId="29EA8761" w:rsidR="00FE2BC4" w:rsidRPr="00626D32" w:rsidRDefault="00FE2BC4" w:rsidP="000E1E24">
            <w:pPr>
              <w:pStyle w:val="BoxSpaceBelow"/>
            </w:pPr>
          </w:p>
        </w:tc>
      </w:tr>
    </w:tbl>
    <w:p w14:paraId="0E25F5B9" w14:textId="7F21CE4D" w:rsidR="004C64D1" w:rsidRPr="00D11A80" w:rsidRDefault="00852FD4" w:rsidP="00852FD4">
      <w:pPr>
        <w:pStyle w:val="BodyText"/>
        <w:rPr>
          <w:b/>
          <w:sz w:val="22"/>
          <w:szCs w:val="22"/>
          <w:highlight w:val="yellow"/>
          <w:u w:val="dotted"/>
        </w:rPr>
      </w:pPr>
      <w:r w:rsidRPr="00D11A80">
        <w:t xml:space="preserve">Nationally in </w:t>
      </w:r>
      <w:r w:rsidR="00387D05" w:rsidRPr="00D11A80">
        <w:t>2018</w:t>
      </w:r>
      <w:r w:rsidR="00FE473A" w:rsidRPr="00D11A80">
        <w:t>,</w:t>
      </w:r>
      <w:r w:rsidRPr="00D11A80">
        <w:t xml:space="preserve"> </w:t>
      </w:r>
      <w:r w:rsidR="004C64D1" w:rsidRPr="00D11A80">
        <w:t xml:space="preserve">around </w:t>
      </w:r>
      <w:r w:rsidR="00696F79" w:rsidRPr="00A07E7F">
        <w:t>722 200</w:t>
      </w:r>
      <w:r w:rsidR="004C64D1" w:rsidRPr="00A07E7F">
        <w:t xml:space="preserve"> qualifications were completed by total VET students aged 15–64 years — equivalent to </w:t>
      </w:r>
      <w:r w:rsidR="00696F79" w:rsidRPr="00A07E7F">
        <w:t>44.1</w:t>
      </w:r>
      <w:r w:rsidR="004C64D1" w:rsidRPr="00A07E7F">
        <w:t xml:space="preserve"> qualifications per 1000 people aged 15–64 years (table</w:t>
      </w:r>
      <w:r w:rsidR="00DF4E95" w:rsidRPr="00A07E7F">
        <w:t> </w:t>
      </w:r>
      <w:r w:rsidR="004C64D1" w:rsidRPr="00A07E7F">
        <w:t>5A.23). The rate was higher for Aboriginal and Torres Strait Islander people (</w:t>
      </w:r>
      <w:r w:rsidR="00696F79" w:rsidRPr="00A07E7F">
        <w:t>58.7</w:t>
      </w:r>
      <w:r w:rsidR="004C64D1" w:rsidRPr="00A07E7F">
        <w:t>)</w:t>
      </w:r>
      <w:r w:rsidR="008524EA">
        <w:t>, similar for</w:t>
      </w:r>
      <w:r w:rsidR="004C64D1" w:rsidRPr="00A07E7F">
        <w:t xml:space="preserve"> people from remote and very remote areas (</w:t>
      </w:r>
      <w:r w:rsidR="00696F79" w:rsidRPr="00A07E7F">
        <w:t>43.1</w:t>
      </w:r>
      <w:r w:rsidR="004C64D1" w:rsidRPr="00D11A80">
        <w:t>)</w:t>
      </w:r>
      <w:r w:rsidR="00696F79" w:rsidRPr="00D11A80">
        <w:t xml:space="preserve">, and </w:t>
      </w:r>
      <w:r w:rsidR="00696F79" w:rsidRPr="00643DFF">
        <w:t xml:space="preserve">lower </w:t>
      </w:r>
      <w:r w:rsidR="00696F79" w:rsidRPr="00D11A80">
        <w:t xml:space="preserve">for people with disability </w:t>
      </w:r>
      <w:r w:rsidR="00696F79" w:rsidRPr="00821F91">
        <w:t>(</w:t>
      </w:r>
      <w:r w:rsidR="00CB304E" w:rsidRPr="00821F91">
        <w:t>20.6</w:t>
      </w:r>
      <w:r w:rsidR="005B0FED" w:rsidRPr="00821F91">
        <w:t>)</w:t>
      </w:r>
      <w:r w:rsidR="004C64D1" w:rsidRPr="00821F91">
        <w:t xml:space="preserve"> (table 5A.23).</w:t>
      </w:r>
      <w:r w:rsidR="000318A4" w:rsidRPr="00821F91">
        <w:t xml:space="preserve"> The number of qualification completions by total VET students declined </w:t>
      </w:r>
      <w:r w:rsidR="00643DFF" w:rsidRPr="00821F91">
        <w:t>17.8</w:t>
      </w:r>
      <w:r w:rsidR="000318A4" w:rsidRPr="006579FA">
        <w:t> per cent from 201</w:t>
      </w:r>
      <w:r w:rsidR="009F62E7">
        <w:t>5</w:t>
      </w:r>
      <w:r w:rsidR="000318A4" w:rsidRPr="006579FA">
        <w:t xml:space="preserve"> to 2018 (table 5A.23). Data disaggregation by target group are provided in table 5A.23.</w:t>
      </w:r>
    </w:p>
    <w:p w14:paraId="008BF113" w14:textId="3B73247B" w:rsidR="00817620" w:rsidRDefault="004C64D1" w:rsidP="00852FD4">
      <w:pPr>
        <w:pStyle w:val="BodyText"/>
      </w:pPr>
      <w:r w:rsidRPr="00D11A80">
        <w:t>A</w:t>
      </w:r>
      <w:r w:rsidR="001E49FD" w:rsidRPr="00D11A80">
        <w:t xml:space="preserve">round </w:t>
      </w:r>
      <w:r w:rsidR="00696F79" w:rsidRPr="00A07E7F">
        <w:t>346 800</w:t>
      </w:r>
      <w:r w:rsidR="001E49FD" w:rsidRPr="00A07E7F">
        <w:t xml:space="preserve"> </w:t>
      </w:r>
      <w:r w:rsidR="00852FD4" w:rsidRPr="00A07E7F">
        <w:t xml:space="preserve">qualifications </w:t>
      </w:r>
      <w:r w:rsidR="00FE473A" w:rsidRPr="00A07E7F">
        <w:t xml:space="preserve">were </w:t>
      </w:r>
      <w:r w:rsidR="00852FD4" w:rsidRPr="00A07E7F">
        <w:t xml:space="preserve">completed by </w:t>
      </w:r>
      <w:r w:rsidR="00B445FF" w:rsidRPr="00A07E7F">
        <w:t>government</w:t>
      </w:r>
      <w:r w:rsidR="00891079" w:rsidRPr="00A07E7F">
        <w:noBreakHyphen/>
      </w:r>
      <w:r w:rsidR="00B445FF" w:rsidRPr="00A07E7F">
        <w:t xml:space="preserve">funded </w:t>
      </w:r>
      <w:r w:rsidR="00852FD4" w:rsidRPr="00A07E7F">
        <w:t>VET students</w:t>
      </w:r>
      <w:r w:rsidR="00FE473A" w:rsidRPr="00A07E7F">
        <w:t xml:space="preserve"> aged 15–64 years </w:t>
      </w:r>
      <w:r w:rsidR="00852FD4" w:rsidRPr="00A07E7F">
        <w:t xml:space="preserve">— equivalent to </w:t>
      </w:r>
      <w:r w:rsidR="00696F79" w:rsidRPr="00A07E7F">
        <w:t>21.2</w:t>
      </w:r>
      <w:r w:rsidR="00852FD4" w:rsidRPr="00A07E7F">
        <w:t xml:space="preserve"> qualifications per 1000 </w:t>
      </w:r>
      <w:r w:rsidR="00C21849" w:rsidRPr="00A07E7F">
        <w:t>people aged 15–64 years (</w:t>
      </w:r>
      <w:r w:rsidR="00FE473A" w:rsidRPr="00A07E7F">
        <w:t>table</w:t>
      </w:r>
      <w:r w:rsidR="00852FD4" w:rsidRPr="00A07E7F">
        <w:t> 5A.</w:t>
      </w:r>
      <w:r w:rsidR="00423949" w:rsidRPr="00A07E7F">
        <w:t>24</w:t>
      </w:r>
      <w:r w:rsidR="00852FD4" w:rsidRPr="00A07E7F">
        <w:t xml:space="preserve">). </w:t>
      </w:r>
      <w:r w:rsidR="00B445FF" w:rsidRPr="00A07E7F">
        <w:t>The number of government</w:t>
      </w:r>
      <w:r w:rsidR="00891079" w:rsidRPr="00A07E7F">
        <w:noBreakHyphen/>
      </w:r>
      <w:r w:rsidR="00B445FF" w:rsidRPr="00A07E7F">
        <w:t>funded VET qualification co</w:t>
      </w:r>
      <w:r w:rsidR="004A28BF" w:rsidRPr="00A07E7F">
        <w:t>mpletions decl</w:t>
      </w:r>
      <w:r w:rsidR="005E7824" w:rsidRPr="00A07E7F">
        <w:t xml:space="preserve">ined </w:t>
      </w:r>
      <w:r w:rsidR="00696F79" w:rsidRPr="00A07E7F">
        <w:t>32.2</w:t>
      </w:r>
      <w:r w:rsidR="005E7824" w:rsidRPr="00D11A80">
        <w:t xml:space="preserve"> per cent </w:t>
      </w:r>
      <w:r w:rsidR="00B445FF" w:rsidRPr="00D11A80">
        <w:t xml:space="preserve">from </w:t>
      </w:r>
      <w:r w:rsidR="00696F79" w:rsidRPr="00D11A80">
        <w:t xml:space="preserve">2014 </w:t>
      </w:r>
      <w:r w:rsidR="00B445FF" w:rsidRPr="00D11A80">
        <w:t xml:space="preserve">to </w:t>
      </w:r>
      <w:r w:rsidR="00387D05" w:rsidRPr="00D11A80">
        <w:t>2018</w:t>
      </w:r>
      <w:r w:rsidR="000318A4">
        <w:t xml:space="preserve"> (</w:t>
      </w:r>
      <w:r w:rsidR="000318A4" w:rsidRPr="00D11A80">
        <w:t>table 5A.24</w:t>
      </w:r>
      <w:r w:rsidR="000318A4">
        <w:t>).</w:t>
      </w:r>
      <w:r w:rsidR="00847C7C">
        <w:t xml:space="preserve"> </w:t>
      </w:r>
      <w:r w:rsidR="000318A4">
        <w:t xml:space="preserve">Data </w:t>
      </w:r>
      <w:r w:rsidR="00847C7C">
        <w:t xml:space="preserve">disaggregation by target group </w:t>
      </w:r>
      <w:r w:rsidR="000318A4">
        <w:t xml:space="preserve">are provided </w:t>
      </w:r>
      <w:r w:rsidR="00847C7C">
        <w:t xml:space="preserve">in </w:t>
      </w:r>
      <w:r w:rsidR="00B445FF" w:rsidRPr="00D11A80">
        <w:t>table</w:t>
      </w:r>
      <w:r w:rsidR="00DD5279" w:rsidRPr="00D11A80">
        <w:t> </w:t>
      </w:r>
      <w:r w:rsidR="00B445FF" w:rsidRPr="00D11A80">
        <w:t>5A.</w:t>
      </w:r>
      <w:r w:rsidR="00F95ACF" w:rsidRPr="00D11A80">
        <w:t>24</w:t>
      </w:r>
      <w:r w:rsidR="001D479B" w:rsidRPr="00D11A80">
        <w:t>.</w:t>
      </w:r>
    </w:p>
    <w:p w14:paraId="7074E241" w14:textId="79631B16" w:rsidR="00817620" w:rsidRPr="00D11A80" w:rsidRDefault="00817620" w:rsidP="00852FD4">
      <w:pPr>
        <w:pStyle w:val="BodyText"/>
        <w:rPr>
          <w:highlight w:val="yellow"/>
        </w:rPr>
      </w:pPr>
      <w:r>
        <w:t xml:space="preserve">Of the 722 200 qualifications completed by total VET students, 53.9 per cent were for Certificate III/IV, 28.0 per cent for Certificate I/II and 18.0 per cent for Diploma and above (table 5A.25). For the 346 800 completed by government-funded VET students, there was a greater concentration in Certificate </w:t>
      </w:r>
      <w:r w:rsidR="00891C7B" w:rsidRPr="00821F91">
        <w:t>III</w:t>
      </w:r>
      <w:r w:rsidRPr="00821F91">
        <w:t>/</w:t>
      </w:r>
      <w:r w:rsidRPr="00B43CAD">
        <w:t xml:space="preserve">IV </w:t>
      </w:r>
      <w:r>
        <w:t>(62.4 per cent were for Certificate III/IV, 25.9 per cent for Certificate I/II and 11.7 per cent for Diploma and above) (table 5A.26).</w:t>
      </w:r>
    </w:p>
    <w:p w14:paraId="689A8111" w14:textId="6A84AE35" w:rsidR="005C4DB4" w:rsidRPr="00D11A80" w:rsidRDefault="005C4DB4" w:rsidP="008F5111">
      <w:pPr>
        <w:pStyle w:val="BodyText"/>
      </w:pPr>
      <w:r w:rsidRPr="00D11A80">
        <w:t xml:space="preserve">By qualification level, the rate of total VET qualifications completed </w:t>
      </w:r>
      <w:r w:rsidR="00D21B84" w:rsidRPr="00D11A80">
        <w:t>per 1000 people aged</w:t>
      </w:r>
      <w:r w:rsidRPr="00D11A80">
        <w:t xml:space="preserve"> 15−64 year</w:t>
      </w:r>
      <w:r w:rsidR="00D21B84" w:rsidRPr="00D11A80">
        <w:t>s</w:t>
      </w:r>
      <w:r w:rsidRPr="00D11A80">
        <w:t xml:space="preserve"> was highest for Certificate III</w:t>
      </w:r>
      <w:r w:rsidR="0022646E">
        <w:t>/</w:t>
      </w:r>
      <w:r w:rsidRPr="00D11A80">
        <w:t>IV (</w:t>
      </w:r>
      <w:r w:rsidR="00F20B3E" w:rsidRPr="00A07E7F">
        <w:t>23.8</w:t>
      </w:r>
      <w:r w:rsidRPr="00A07E7F">
        <w:t>), followed by Certificate I</w:t>
      </w:r>
      <w:r w:rsidR="0022646E">
        <w:t>/</w:t>
      </w:r>
      <w:r w:rsidRPr="00A07E7F">
        <w:t>II (</w:t>
      </w:r>
      <w:r w:rsidR="00F20B3E" w:rsidRPr="00A07E7F">
        <w:t>12.4</w:t>
      </w:r>
      <w:r w:rsidRPr="00A07E7F">
        <w:t>) and Diploma and above (</w:t>
      </w:r>
      <w:r w:rsidR="006A4E2F" w:rsidRPr="00A07E7F">
        <w:t>8.0</w:t>
      </w:r>
      <w:r w:rsidRPr="00D11A80">
        <w:t>) (figure 5.1</w:t>
      </w:r>
      <w:r w:rsidR="00F36604" w:rsidRPr="00D11A80">
        <w:t>0</w:t>
      </w:r>
      <w:r w:rsidRPr="00D11A80">
        <w:t xml:space="preserve">). </w:t>
      </w:r>
      <w:r w:rsidR="00817620">
        <w:t xml:space="preserve">Data on government-funded VET students are in </w:t>
      </w:r>
      <w:r w:rsidR="00817620">
        <w:lastRenderedPageBreak/>
        <w:t>table</w:t>
      </w:r>
      <w:r w:rsidR="00344829">
        <w:t> </w:t>
      </w:r>
      <w:r w:rsidR="00817620">
        <w:t>5A.25 and d</w:t>
      </w:r>
      <w:r w:rsidR="00847C7C">
        <w:t>ata on Aboriginal and To</w:t>
      </w:r>
      <w:r w:rsidR="00817620">
        <w:t>rres Strait Islander students are</w:t>
      </w:r>
      <w:r w:rsidR="00847C7C">
        <w:t xml:space="preserve"> in </w:t>
      </w:r>
      <w:r w:rsidRPr="00D11A80">
        <w:t>table</w:t>
      </w:r>
      <w:r w:rsidR="00817620">
        <w:t>s</w:t>
      </w:r>
      <w:r w:rsidRPr="00D11A80">
        <w:t> 5A.25</w:t>
      </w:r>
      <w:r w:rsidR="00817620">
        <w:noBreakHyphen/>
        <w:t>26</w:t>
      </w:r>
      <w:r w:rsidRPr="00D11A80">
        <w:t>.</w:t>
      </w:r>
    </w:p>
    <w:p w14:paraId="2EC24F2C" w14:textId="255865B0" w:rsidR="00DE335E" w:rsidRDefault="00DE335E"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E335E" w14:paraId="6DF71A91" w14:textId="77777777" w:rsidTr="00A04698">
        <w:trPr>
          <w:tblHeader/>
        </w:trPr>
        <w:tc>
          <w:tcPr>
            <w:tcW w:w="5000" w:type="pct"/>
            <w:tcBorders>
              <w:top w:val="single" w:sz="6" w:space="0" w:color="78A22F"/>
              <w:left w:val="nil"/>
              <w:bottom w:val="nil"/>
              <w:right w:val="nil"/>
            </w:tcBorders>
            <w:shd w:val="clear" w:color="auto" w:fill="auto"/>
          </w:tcPr>
          <w:p w14:paraId="6F6417EF" w14:textId="04C285A8" w:rsidR="00DE335E" w:rsidRPr="00176D3F" w:rsidRDefault="00DE335E" w:rsidP="009A7881">
            <w:pPr>
              <w:pStyle w:val="FigureTitle"/>
            </w:pPr>
            <w:r w:rsidRPr="00784A05">
              <w:rPr>
                <w:b w:val="0"/>
              </w:rPr>
              <w:t xml:space="preserve">Figure </w:t>
            </w:r>
            <w:r>
              <w:rPr>
                <w:b w:val="0"/>
              </w:rPr>
              <w:t>5.</w:t>
            </w:r>
            <w:r w:rsidR="006300E8">
              <w:rPr>
                <w:b w:val="0"/>
                <w:noProof/>
              </w:rPr>
              <w:t>10</w:t>
            </w:r>
            <w:r>
              <w:tab/>
            </w:r>
            <w:r w:rsidR="00510CE6" w:rsidRPr="00E91B87">
              <w:t>Total VET</w:t>
            </w:r>
            <w:r w:rsidRPr="00E91B87">
              <w:t xml:space="preserve"> qualifications completed per 1000 people aged </w:t>
            </w:r>
            <w:r w:rsidR="001045E5">
              <w:br/>
            </w:r>
            <w:r w:rsidRPr="00E91B87">
              <w:t>15–64 years, by AQF level</w:t>
            </w:r>
            <w:r w:rsidRPr="00E91B87">
              <w:rPr>
                <w:rStyle w:val="NoteLabel"/>
                <w:b/>
              </w:rPr>
              <w:t>a</w:t>
            </w:r>
            <w:r w:rsidR="00982ECD">
              <w:rPr>
                <w:rStyle w:val="NoteLabel"/>
                <w:b/>
              </w:rPr>
              <w:t xml:space="preserve"> </w:t>
            </w:r>
          </w:p>
        </w:tc>
      </w:tr>
      <w:tr w:rsidR="00DE335E" w14:paraId="39C6E941" w14:textId="77777777" w:rsidTr="00A0469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E0803" w:rsidRPr="00B1465D" w14:paraId="6D4F7B06" w14:textId="77777777" w:rsidTr="00DE0803">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0803" w:rsidRPr="00C96187" w14:paraId="72B116BB" w14:textId="77777777" w:rsidTr="00D75B20">
                    <w:tc>
                      <w:tcPr>
                        <w:tcW w:w="304" w:type="dxa"/>
                        <w:tcBorders>
                          <w:top w:val="nil"/>
                          <w:left w:val="nil"/>
                          <w:bottom w:val="nil"/>
                          <w:right w:val="nil"/>
                        </w:tcBorders>
                        <w:shd w:val="clear" w:color="auto" w:fill="auto"/>
                        <w:tcMar>
                          <w:top w:w="28" w:type="dxa"/>
                          <w:bottom w:w="28" w:type="dxa"/>
                        </w:tcMar>
                      </w:tcPr>
                      <w:p w14:paraId="3BC31880"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68FA8A9" w14:textId="77777777" w:rsidR="00DE0803" w:rsidRPr="00C90895" w:rsidRDefault="00DE0803" w:rsidP="00DE0803">
                        <w:pPr>
                          <w:keepNext/>
                          <w:keepLines/>
                          <w:spacing w:before="60" w:after="60" w:line="240" w:lineRule="atLeast"/>
                          <w:jc w:val="center"/>
                        </w:pPr>
                      </w:p>
                    </w:tc>
                    <w:tc>
                      <w:tcPr>
                        <w:tcW w:w="7938" w:type="dxa"/>
                        <w:tcBorders>
                          <w:top w:val="nil"/>
                          <w:left w:val="nil"/>
                          <w:bottom w:val="nil"/>
                          <w:right w:val="nil"/>
                        </w:tcBorders>
                        <w:shd w:val="clear" w:color="auto" w:fill="auto"/>
                      </w:tcPr>
                      <w:p w14:paraId="10464426" w14:textId="77777777" w:rsidR="00DE0803" w:rsidRPr="00C96187" w:rsidRDefault="00DE0803" w:rsidP="005648A0">
                        <w:pPr>
                          <w:pStyle w:val="TableBodyText"/>
                          <w:jc w:val="left"/>
                        </w:pPr>
                        <w:r>
                          <w:t>Data are c</w:t>
                        </w:r>
                        <w:r w:rsidRPr="00C96187">
                          <w:t xml:space="preserve">omparable (subject to caveats) </w:t>
                        </w:r>
                        <w:r w:rsidRPr="00992FD4">
                          <w:t>across jurisdictions and over time</w:t>
                        </w:r>
                        <w:r w:rsidRPr="00C96187">
                          <w:t>.</w:t>
                        </w:r>
                      </w:p>
                    </w:tc>
                  </w:tr>
                  <w:tr w:rsidR="00DE0803" w:rsidRPr="00C96187" w14:paraId="2FB94FEF" w14:textId="77777777" w:rsidTr="00D75B20">
                    <w:tc>
                      <w:tcPr>
                        <w:tcW w:w="304" w:type="dxa"/>
                        <w:tcBorders>
                          <w:top w:val="nil"/>
                          <w:left w:val="nil"/>
                          <w:bottom w:val="nil"/>
                          <w:right w:val="nil"/>
                        </w:tcBorders>
                        <w:shd w:val="clear" w:color="auto" w:fill="auto"/>
                        <w:tcMar>
                          <w:top w:w="28" w:type="dxa"/>
                          <w:bottom w:w="28" w:type="dxa"/>
                        </w:tcMar>
                      </w:tcPr>
                      <w:p w14:paraId="0EC1F53A"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1E97E1F" w14:textId="77777777" w:rsidR="00DE0803" w:rsidRPr="00C90895" w:rsidRDefault="00DE0803" w:rsidP="00DE0803">
                        <w:pPr>
                          <w:keepNext/>
                          <w:keepLines/>
                          <w:spacing w:before="60" w:after="60" w:line="240" w:lineRule="atLeast"/>
                          <w:jc w:val="center"/>
                        </w:pPr>
                      </w:p>
                    </w:tc>
                    <w:tc>
                      <w:tcPr>
                        <w:tcW w:w="7938" w:type="dxa"/>
                        <w:tcBorders>
                          <w:top w:val="nil"/>
                          <w:left w:val="nil"/>
                          <w:bottom w:val="nil"/>
                          <w:right w:val="nil"/>
                        </w:tcBorders>
                        <w:shd w:val="clear" w:color="auto" w:fill="auto"/>
                      </w:tcPr>
                      <w:p w14:paraId="3598531D" w14:textId="77777777" w:rsidR="00DE0803" w:rsidRPr="00C96187" w:rsidRDefault="00DE0803" w:rsidP="00C7218B">
                        <w:pPr>
                          <w:pStyle w:val="TableBodyText"/>
                          <w:jc w:val="left"/>
                        </w:pPr>
                        <w:r w:rsidRPr="00C96187">
                          <w:t>Data are complete (subject to caveats) fo</w:t>
                        </w:r>
                        <w:r w:rsidR="00C7218B">
                          <w:t>r the current reporting period.</w:t>
                        </w:r>
                      </w:p>
                    </w:tc>
                  </w:tr>
                </w:tbl>
                <w:p w14:paraId="733C59D7" w14:textId="77777777" w:rsidR="00DE0803" w:rsidRDefault="00DE0803" w:rsidP="002E0AA0">
                  <w:pPr>
                    <w:pStyle w:val="Figure"/>
                    <w:spacing w:before="60" w:after="60"/>
                    <w:rPr>
                      <w:rFonts w:ascii="Arial" w:hAnsi="Arial" w:cs="Arial"/>
                      <w:noProof/>
                      <w:sz w:val="18"/>
                      <w:szCs w:val="18"/>
                    </w:rPr>
                  </w:pPr>
                </w:p>
              </w:tc>
            </w:tr>
            <w:tr w:rsidR="00DE335E" w:rsidRPr="00B1465D" w14:paraId="4274C586" w14:textId="77777777" w:rsidTr="00791DD3">
              <w:tblPrEx>
                <w:tblCellMar>
                  <w:left w:w="108" w:type="dxa"/>
                  <w:right w:w="108" w:type="dxa"/>
                </w:tblCellMar>
              </w:tblPrEx>
              <w:trPr>
                <w:tblHeader/>
                <w:jc w:val="center"/>
              </w:trPr>
              <w:tc>
                <w:tcPr>
                  <w:tcW w:w="5000" w:type="pct"/>
                  <w:tcBorders>
                    <w:top w:val="nil"/>
                    <w:bottom w:val="nil"/>
                  </w:tcBorders>
                </w:tcPr>
                <w:p w14:paraId="1D2F8101" w14:textId="3A0A3935" w:rsidR="00DE335E" w:rsidRPr="00B1465D" w:rsidRDefault="00791DD3" w:rsidP="002E0AA0">
                  <w:pPr>
                    <w:pStyle w:val="Figure"/>
                    <w:spacing w:before="60" w:after="60"/>
                    <w:rPr>
                      <w:rFonts w:ascii="Arial" w:hAnsi="Arial" w:cs="Arial"/>
                      <w:sz w:val="18"/>
                      <w:szCs w:val="18"/>
                    </w:rPr>
                  </w:pPr>
                  <w:r>
                    <w:rPr>
                      <w:noProof/>
                    </w:rPr>
                    <w:drawing>
                      <wp:inline distT="0" distB="0" distL="0" distR="0" wp14:anchorId="354167E4" wp14:editId="1AADBAFA">
                        <wp:extent cx="5349240" cy="2910840"/>
                        <wp:effectExtent l="0" t="0" r="3810" b="3810"/>
                        <wp:docPr id="5" name="Chart 5" descr="Figure 5.10 Total VET qualifications completed per 1000 people aged 15-64 years, by AQF level.&#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2398A" w:rsidDel="00521F2F">
                    <w:rPr>
                      <w:rFonts w:ascii="Arial" w:hAnsi="Arial" w:cs="Arial"/>
                      <w:noProof/>
                      <w:sz w:val="18"/>
                      <w:szCs w:val="18"/>
                    </w:rPr>
                    <w:t xml:space="preserve"> </w:t>
                  </w:r>
                </w:p>
              </w:tc>
            </w:tr>
          </w:tbl>
          <w:p w14:paraId="14CA8E6F" w14:textId="77777777" w:rsidR="00DE335E" w:rsidRDefault="00DE335E" w:rsidP="002E0AA0">
            <w:pPr>
              <w:pStyle w:val="Figure"/>
            </w:pPr>
          </w:p>
        </w:tc>
      </w:tr>
      <w:tr w:rsidR="00DE335E" w:rsidRPr="00176D3F" w14:paraId="58B2F98C" w14:textId="77777777" w:rsidTr="002E0AA0">
        <w:tc>
          <w:tcPr>
            <w:tcW w:w="5000" w:type="pct"/>
            <w:tcBorders>
              <w:top w:val="nil"/>
              <w:left w:val="nil"/>
              <w:bottom w:val="nil"/>
              <w:right w:val="nil"/>
            </w:tcBorders>
            <w:shd w:val="clear" w:color="auto" w:fill="auto"/>
          </w:tcPr>
          <w:p w14:paraId="1EEF2D8B" w14:textId="3F2E7860" w:rsidR="00DE335E" w:rsidRPr="00176D3F" w:rsidRDefault="00DE335E" w:rsidP="00290C7B">
            <w:pPr>
              <w:pStyle w:val="Note"/>
            </w:pPr>
            <w:r>
              <w:rPr>
                <w:rStyle w:val="NoteLabel"/>
              </w:rPr>
              <w:t>a</w:t>
            </w:r>
            <w:r>
              <w:t xml:space="preserve"> </w:t>
            </w:r>
            <w:r w:rsidRPr="006D3797">
              <w:t>See box</w:t>
            </w:r>
            <w:r>
              <w:t xml:space="preserve"> 5.11 </w:t>
            </w:r>
            <w:r w:rsidRPr="006D3797">
              <w:t>and table</w:t>
            </w:r>
            <w:r>
              <w:t> 5</w:t>
            </w:r>
            <w:r w:rsidRPr="006D3797">
              <w:t>A.</w:t>
            </w:r>
            <w:r w:rsidR="00F64FA2">
              <w:t>2</w:t>
            </w:r>
            <w:r w:rsidR="00290C7B">
              <w:t>5</w:t>
            </w:r>
            <w:r w:rsidRPr="006D3797">
              <w:t xml:space="preserve"> for detailed definitions, footnotes and caveats</w:t>
            </w:r>
            <w:r>
              <w:t>.</w:t>
            </w:r>
          </w:p>
        </w:tc>
      </w:tr>
      <w:tr w:rsidR="00DE335E" w:rsidRPr="00176D3F" w14:paraId="0B5DB185" w14:textId="77777777" w:rsidTr="002E0AA0">
        <w:tc>
          <w:tcPr>
            <w:tcW w:w="5000" w:type="pct"/>
            <w:tcBorders>
              <w:top w:val="nil"/>
              <w:left w:val="nil"/>
              <w:bottom w:val="nil"/>
              <w:right w:val="nil"/>
            </w:tcBorders>
            <w:shd w:val="clear" w:color="auto" w:fill="auto"/>
          </w:tcPr>
          <w:p w14:paraId="651C57B5" w14:textId="4EA27D13" w:rsidR="00DE335E" w:rsidRPr="00176D3F" w:rsidRDefault="00DE335E" w:rsidP="00B97AEB">
            <w:pPr>
              <w:pStyle w:val="Source"/>
            </w:pPr>
            <w:r>
              <w:rPr>
                <w:i/>
              </w:rPr>
              <w:t>S</w:t>
            </w:r>
            <w:r w:rsidRPr="00784A05">
              <w:rPr>
                <w:i/>
              </w:rPr>
              <w:t>ource</w:t>
            </w:r>
            <w:r w:rsidRPr="00176D3F">
              <w:t xml:space="preserve">: </w:t>
            </w:r>
            <w:r w:rsidR="00825403" w:rsidRPr="00821F91">
              <w:t>NCVER, National VET Provider Collection and National VET in Schools Collection, 2018 (preliminary completions)</w:t>
            </w:r>
            <w:r w:rsidR="00510CE6" w:rsidRPr="00821F91">
              <w:t>;</w:t>
            </w:r>
            <w:r w:rsidRPr="00821F91">
              <w:t xml:space="preserve"> table 5A.</w:t>
            </w:r>
            <w:r w:rsidR="00F64FA2">
              <w:t>2</w:t>
            </w:r>
            <w:r w:rsidR="00290C7B">
              <w:t>5</w:t>
            </w:r>
            <w:r>
              <w:t>.</w:t>
            </w:r>
          </w:p>
        </w:tc>
      </w:tr>
      <w:tr w:rsidR="00DE335E" w14:paraId="74961A03" w14:textId="77777777" w:rsidTr="002E0AA0">
        <w:tc>
          <w:tcPr>
            <w:tcW w:w="5000" w:type="pct"/>
            <w:tcBorders>
              <w:top w:val="nil"/>
              <w:left w:val="nil"/>
              <w:bottom w:val="single" w:sz="6" w:space="0" w:color="78A22F"/>
              <w:right w:val="nil"/>
            </w:tcBorders>
            <w:shd w:val="clear" w:color="auto" w:fill="auto"/>
          </w:tcPr>
          <w:p w14:paraId="246FEAF9" w14:textId="77777777" w:rsidR="00DE335E" w:rsidRDefault="00DE335E" w:rsidP="002E0AA0">
            <w:pPr>
              <w:pStyle w:val="Figurespace"/>
            </w:pPr>
          </w:p>
        </w:tc>
      </w:tr>
      <w:tr w:rsidR="00DE335E" w:rsidRPr="000863A5" w14:paraId="2C088360" w14:textId="77777777" w:rsidTr="002E0AA0">
        <w:tc>
          <w:tcPr>
            <w:tcW w:w="5000" w:type="pct"/>
            <w:tcBorders>
              <w:top w:val="single" w:sz="6" w:space="0" w:color="78A22F"/>
              <w:left w:val="nil"/>
              <w:bottom w:val="nil"/>
              <w:right w:val="nil"/>
            </w:tcBorders>
          </w:tcPr>
          <w:p w14:paraId="3D70D0D6" w14:textId="4B41D56C" w:rsidR="00DE335E" w:rsidRPr="00626D32" w:rsidRDefault="00DE335E" w:rsidP="002E0AA0">
            <w:pPr>
              <w:pStyle w:val="BoxSpaceBelow"/>
            </w:pPr>
          </w:p>
        </w:tc>
      </w:tr>
    </w:tbl>
    <w:p w14:paraId="5DA4C759" w14:textId="77777777" w:rsidR="00C57336" w:rsidRPr="00F461CA" w:rsidRDefault="00C57336" w:rsidP="008A255F">
      <w:pPr>
        <w:pStyle w:val="Heading4"/>
      </w:pPr>
      <w:r w:rsidRPr="00F461CA">
        <w:t>Student</w:t>
      </w:r>
      <w:r w:rsidR="000D5247">
        <w:t>s</w:t>
      </w:r>
      <w:r w:rsidRPr="00F461CA">
        <w:t xml:space="preserve"> </w:t>
      </w:r>
      <w:r w:rsidR="000D5247">
        <w:t>who improved education status</w:t>
      </w:r>
    </w:p>
    <w:p w14:paraId="15809A7E" w14:textId="7AA5361C" w:rsidR="000E398B" w:rsidRDefault="002A1C67" w:rsidP="007100A5">
      <w:pPr>
        <w:pStyle w:val="BodyText"/>
      </w:pPr>
      <w:r w:rsidRPr="00EF5A5F">
        <w:t>‘</w:t>
      </w:r>
      <w:r w:rsidR="000D5247" w:rsidRPr="00F461CA">
        <w:t>Student</w:t>
      </w:r>
      <w:r w:rsidR="000D5247">
        <w:t>s</w:t>
      </w:r>
      <w:r w:rsidR="000D5247" w:rsidRPr="00F461CA">
        <w:t xml:space="preserve"> </w:t>
      </w:r>
      <w:r w:rsidR="000D5247">
        <w:t>who improved education status</w:t>
      </w:r>
      <w:r w:rsidRPr="00EF5A5F">
        <w:t xml:space="preserve">’ is an indicator of </w:t>
      </w:r>
      <w:r w:rsidR="00CE0D1B" w:rsidRPr="00EF5A5F">
        <w:t xml:space="preserve">governments’ objective </w:t>
      </w:r>
      <w:r w:rsidR="008A255F">
        <w:t xml:space="preserve">that </w:t>
      </w:r>
      <w:r w:rsidR="000D5247">
        <w:t>t</w:t>
      </w:r>
      <w:r w:rsidR="000D5247" w:rsidRPr="00EF5A5F">
        <w:t>he VET system</w:t>
      </w:r>
      <w:r w:rsidR="0060326B" w:rsidRPr="0060326B">
        <w:t xml:space="preserve"> </w:t>
      </w:r>
      <w:r w:rsidR="0060326B">
        <w:t>deliver a productive and highly skilled workforce through enabling all working age Australians to develop and use the skills required to effectively participate in the labour market and contribute to Australia’s economic future</w:t>
      </w:r>
      <w:r w:rsidR="007100A5">
        <w:t xml:space="preserve"> </w:t>
      </w:r>
      <w:r w:rsidR="00E872B2" w:rsidRPr="00EF5A5F">
        <w:t>(box</w:t>
      </w:r>
      <w:r w:rsidR="00DD5279">
        <w:t> </w:t>
      </w:r>
      <w:r w:rsidR="00C53150">
        <w:t>5.12</w:t>
      </w:r>
      <w:r w:rsidR="00E872B2" w:rsidRPr="00EF5A5F">
        <w:t>)</w:t>
      </w:r>
      <w:r w:rsidRPr="00EF5A5F">
        <w:t>.</w:t>
      </w:r>
    </w:p>
    <w:p w14:paraId="01B3A29A" w14:textId="77777777" w:rsidR="00B24610" w:rsidRDefault="00B2461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24610" w14:paraId="19C8F839" w14:textId="77777777" w:rsidTr="00606E20">
        <w:tc>
          <w:tcPr>
            <w:tcW w:w="8789" w:type="dxa"/>
            <w:tcBorders>
              <w:top w:val="single" w:sz="6" w:space="0" w:color="78A22F"/>
              <w:left w:val="nil"/>
              <w:bottom w:val="nil"/>
              <w:right w:val="nil"/>
            </w:tcBorders>
            <w:shd w:val="clear" w:color="auto" w:fill="F2F2F2" w:themeFill="background1" w:themeFillShade="F2"/>
          </w:tcPr>
          <w:p w14:paraId="6371A4B7" w14:textId="12076BA2" w:rsidR="00B24610" w:rsidRDefault="00B24610" w:rsidP="00B24610">
            <w:pPr>
              <w:pStyle w:val="BoxTitle"/>
            </w:pPr>
            <w:r>
              <w:rPr>
                <w:b w:val="0"/>
              </w:rPr>
              <w:t xml:space="preserve">Box </w:t>
            </w:r>
            <w:bookmarkStart w:id="27" w:name="OLE_LINK39"/>
            <w:r w:rsidR="00C53150">
              <w:rPr>
                <w:b w:val="0"/>
              </w:rPr>
              <w:t>5.</w:t>
            </w:r>
            <w:r w:rsidR="006300E8">
              <w:rPr>
                <w:b w:val="0"/>
                <w:noProof/>
              </w:rPr>
              <w:t>12</w:t>
            </w:r>
            <w:bookmarkEnd w:id="27"/>
            <w:r>
              <w:tab/>
            </w:r>
            <w:r w:rsidR="000D5247" w:rsidRPr="00F461CA">
              <w:t>Student</w:t>
            </w:r>
            <w:r w:rsidR="000D5247">
              <w:t>s</w:t>
            </w:r>
            <w:r w:rsidR="000D5247" w:rsidRPr="00F461CA">
              <w:t xml:space="preserve"> </w:t>
            </w:r>
            <w:r w:rsidR="000D5247">
              <w:t>who improved education status</w:t>
            </w:r>
          </w:p>
        </w:tc>
      </w:tr>
      <w:tr w:rsidR="00B24610" w14:paraId="4E699407" w14:textId="77777777" w:rsidTr="00606E20">
        <w:trPr>
          <w:cantSplit/>
        </w:trPr>
        <w:tc>
          <w:tcPr>
            <w:tcW w:w="8789" w:type="dxa"/>
            <w:tcBorders>
              <w:top w:val="nil"/>
              <w:left w:val="nil"/>
              <w:bottom w:val="nil"/>
              <w:right w:val="nil"/>
            </w:tcBorders>
            <w:shd w:val="clear" w:color="auto" w:fill="F2F2F2" w:themeFill="background1" w:themeFillShade="F2"/>
          </w:tcPr>
          <w:p w14:paraId="4DE750DD" w14:textId="649BC793" w:rsidR="0074007C" w:rsidRPr="00FB2B54" w:rsidRDefault="00B24610" w:rsidP="0074007C">
            <w:pPr>
              <w:pStyle w:val="Box"/>
            </w:pPr>
            <w:r w:rsidRPr="00EF5A5F">
              <w:t>‘</w:t>
            </w:r>
            <w:r w:rsidR="00045046" w:rsidRPr="00045046">
              <w:t>Students who improved education status’ is defined as the proportion of total VET AQF qualifications completed by 20–64 year olds which were at a higher education level than their previous highest education level</w:t>
            </w:r>
            <w:r w:rsidR="002C30A9">
              <w:t xml:space="preserve"> </w:t>
            </w:r>
            <w:r w:rsidR="0046635D">
              <w:t xml:space="preserve">(total </w:t>
            </w:r>
            <w:r w:rsidR="006A6194">
              <w:t xml:space="preserve">and by target groups </w:t>
            </w:r>
            <w:r w:rsidR="006A6194" w:rsidRPr="00EC33F3">
              <w:t>[</w:t>
            </w:r>
            <w:r w:rsidR="006A6194">
              <w:t>Aboriginal and Torres Strait Islander Australians, people from remote and very remote areas, and people with disability</w:t>
            </w:r>
            <w:r w:rsidR="006D7963">
              <w:t>])</w:t>
            </w:r>
            <w:r w:rsidR="00FB2B54">
              <w:t>.</w:t>
            </w:r>
          </w:p>
          <w:p w14:paraId="3E1603EE" w14:textId="77777777" w:rsidR="00B24610" w:rsidRPr="003D5EF9" w:rsidRDefault="00045046" w:rsidP="005F14B9">
            <w:pPr>
              <w:pStyle w:val="Box"/>
              <w:spacing w:before="80"/>
            </w:pPr>
            <w:r w:rsidRPr="00045046">
              <w:t>Higher or increasing proportions of students with improved education status after training indicate that the skill levels of the workin</w:t>
            </w:r>
            <w:r>
              <w:t>g age population are increasing</w:t>
            </w:r>
            <w:r w:rsidR="00C81C3B" w:rsidRPr="00C81C3B">
              <w:t>.</w:t>
            </w:r>
          </w:p>
          <w:p w14:paraId="6DA18C89" w14:textId="77777777" w:rsidR="00B24610" w:rsidRDefault="00B24610" w:rsidP="005F14B9">
            <w:pPr>
              <w:pStyle w:val="Box"/>
              <w:spacing w:before="80"/>
            </w:pPr>
            <w:r>
              <w:t>Data reported for th</w:t>
            </w:r>
            <w:r w:rsidR="00037C98">
              <w:t>is</w:t>
            </w:r>
            <w:r>
              <w:t xml:space="preserve"> measure are</w:t>
            </w:r>
            <w:r w:rsidR="000A3C68">
              <w:t>:</w:t>
            </w:r>
            <w:r>
              <w:t xml:space="preserve"> </w:t>
            </w:r>
          </w:p>
          <w:p w14:paraId="6999641F" w14:textId="796A0289" w:rsidR="00B24610" w:rsidRPr="009470A0" w:rsidRDefault="00E753F7" w:rsidP="00297089">
            <w:pPr>
              <w:pStyle w:val="Box"/>
              <w:spacing w:before="100"/>
              <w:ind w:left="284"/>
            </w:pPr>
            <w:r>
              <w:rPr>
                <w:shd w:val="clear" w:color="auto" w:fill="F15A25"/>
              </w:rPr>
              <w:t xml:space="preserve">    </w:t>
            </w:r>
            <w:r w:rsidRPr="00DC1D90">
              <w:t xml:space="preserve"> </w:t>
            </w:r>
            <w:r w:rsidR="00045046" w:rsidRPr="009470A0">
              <w:t>comparable (subject to caveats) ac</w:t>
            </w:r>
            <w:r w:rsidR="00045046">
              <w:t>ross jurisdictions</w:t>
            </w:r>
            <w:r w:rsidR="001E2AE6">
              <w:t xml:space="preserve"> and over time</w:t>
            </w:r>
            <w:r w:rsidR="00045046">
              <w:t>.</w:t>
            </w:r>
          </w:p>
          <w:p w14:paraId="3CA2D8F2" w14:textId="130D670B" w:rsidR="00B24610" w:rsidRPr="00052555" w:rsidRDefault="00E753F7" w:rsidP="00297089">
            <w:pPr>
              <w:pStyle w:val="Box"/>
              <w:spacing w:before="100"/>
              <w:ind w:left="284"/>
              <w:rPr>
                <w:b/>
              </w:rPr>
            </w:pPr>
            <w:r>
              <w:rPr>
                <w:shd w:val="clear" w:color="auto" w:fill="F15A25"/>
              </w:rPr>
              <w:t xml:space="preserve">    </w:t>
            </w:r>
            <w:r w:rsidRPr="00DC1D90">
              <w:t xml:space="preserve"> </w:t>
            </w:r>
            <w:r w:rsidR="00B24610" w:rsidRPr="009470A0">
              <w:t xml:space="preserve">complete for the current reporting period (subject to caveats). All required </w:t>
            </w:r>
            <w:r w:rsidR="00387D05">
              <w:t>2018</w:t>
            </w:r>
            <w:r w:rsidR="00B24610">
              <w:t xml:space="preserve"> </w:t>
            </w:r>
            <w:r w:rsidR="00B24610" w:rsidRPr="009470A0">
              <w:t>data are available for all jur</w:t>
            </w:r>
            <w:r w:rsidR="0046635D">
              <w:t>isdictions</w:t>
            </w:r>
            <w:r w:rsidR="00B24610" w:rsidRPr="009470A0">
              <w:t>.</w:t>
            </w:r>
          </w:p>
        </w:tc>
      </w:tr>
      <w:tr w:rsidR="00B24610" w14:paraId="71F61AEC"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4360C1C2" w14:textId="77777777" w:rsidR="00B24610" w:rsidRDefault="00B24610">
            <w:pPr>
              <w:pStyle w:val="Box"/>
              <w:spacing w:before="0" w:line="120" w:lineRule="exact"/>
            </w:pPr>
          </w:p>
        </w:tc>
      </w:tr>
      <w:tr w:rsidR="00B24610" w:rsidRPr="000863A5" w14:paraId="37F4DEDA" w14:textId="77777777" w:rsidTr="00606E20">
        <w:tc>
          <w:tcPr>
            <w:tcW w:w="8789" w:type="dxa"/>
            <w:tcBorders>
              <w:top w:val="single" w:sz="6" w:space="0" w:color="78A22F"/>
              <w:left w:val="nil"/>
              <w:bottom w:val="nil"/>
              <w:right w:val="nil"/>
            </w:tcBorders>
          </w:tcPr>
          <w:p w14:paraId="0973BBB6" w14:textId="77777777" w:rsidR="00B24610" w:rsidRPr="00626D32" w:rsidRDefault="00B24610" w:rsidP="005F14B9">
            <w:pPr>
              <w:pStyle w:val="BoxSpaceBelow"/>
            </w:pPr>
          </w:p>
        </w:tc>
      </w:tr>
    </w:tbl>
    <w:p w14:paraId="481631B4" w14:textId="0839E4F3" w:rsidR="00872296" w:rsidRPr="002427E0" w:rsidRDefault="00872296" w:rsidP="00872296">
      <w:pPr>
        <w:pStyle w:val="BodyText"/>
      </w:pPr>
      <w:r w:rsidRPr="002427E0">
        <w:t xml:space="preserve">Of all total VET graduates aged 20–64 years that completed an AQF qualification nationally in </w:t>
      </w:r>
      <w:r w:rsidR="00387D05" w:rsidRPr="002427E0">
        <w:t>2018</w:t>
      </w:r>
      <w:r w:rsidRPr="002427E0">
        <w:t xml:space="preserve">, </w:t>
      </w:r>
      <w:r w:rsidR="0009164C" w:rsidRPr="00A07E7F">
        <w:t>48.0</w:t>
      </w:r>
      <w:r w:rsidRPr="00A07E7F">
        <w:t xml:space="preserve"> per cent did so with a higher qualification than their previous highest AQF qualification (figure 5.1</w:t>
      </w:r>
      <w:r w:rsidR="00F36604" w:rsidRPr="00A07E7F">
        <w:t>1</w:t>
      </w:r>
      <w:r w:rsidRPr="00A07E7F">
        <w:t>). The proportion was higher</w:t>
      </w:r>
      <w:r w:rsidR="00215100">
        <w:t xml:space="preserve"> </w:t>
      </w:r>
      <w:r w:rsidR="00FD12D3">
        <w:t xml:space="preserve">for </w:t>
      </w:r>
      <w:r w:rsidR="00215100">
        <w:t>all three target groups —</w:t>
      </w:r>
      <w:r w:rsidRPr="00A07E7F">
        <w:t xml:space="preserve"> Aboriginal and Torres Strait Islander people (</w:t>
      </w:r>
      <w:r w:rsidR="00F56276" w:rsidRPr="00A07E7F">
        <w:t>57.4</w:t>
      </w:r>
      <w:r w:rsidRPr="00A07E7F">
        <w:t xml:space="preserve"> per cent), people from remote and very remote areas (</w:t>
      </w:r>
      <w:r w:rsidR="00463ADF" w:rsidRPr="00A07E7F">
        <w:t>53.1</w:t>
      </w:r>
      <w:r w:rsidRPr="00A07E7F">
        <w:t xml:space="preserve"> per cent) and for people with disability (</w:t>
      </w:r>
      <w:r w:rsidR="00463ADF" w:rsidRPr="00A07E7F">
        <w:t>49.6</w:t>
      </w:r>
      <w:r w:rsidRPr="00A07E7F">
        <w:t xml:space="preserve"> </w:t>
      </w:r>
      <w:r w:rsidRPr="002427E0">
        <w:t xml:space="preserve">per cent) (table 5A.27). </w:t>
      </w:r>
    </w:p>
    <w:p w14:paraId="167D9E6F" w14:textId="0E542FC1" w:rsidR="00872296" w:rsidRPr="002427E0" w:rsidRDefault="00994D4D" w:rsidP="00872296">
      <w:pPr>
        <w:pStyle w:val="BodyText"/>
      </w:pPr>
      <w:r w:rsidRPr="002427E0">
        <w:t>Nationally, f</w:t>
      </w:r>
      <w:r w:rsidR="00C7218B" w:rsidRPr="002427E0">
        <w:t xml:space="preserve">or </w:t>
      </w:r>
      <w:r w:rsidR="00872296" w:rsidRPr="002427E0">
        <w:t>government</w:t>
      </w:r>
      <w:r w:rsidR="00215100">
        <w:t>-</w:t>
      </w:r>
      <w:r w:rsidR="00872296" w:rsidRPr="002427E0">
        <w:t xml:space="preserve">funded VET graduates aged 20–64 years that completed an AQF qualification in </w:t>
      </w:r>
      <w:r w:rsidR="00387D05" w:rsidRPr="002427E0">
        <w:t>2018</w:t>
      </w:r>
      <w:r w:rsidR="00872296" w:rsidRPr="002427E0">
        <w:t xml:space="preserve">, </w:t>
      </w:r>
      <w:r w:rsidR="00463ADF" w:rsidRPr="00A07E7F">
        <w:t>58.7</w:t>
      </w:r>
      <w:r w:rsidR="00872296" w:rsidRPr="00A07E7F">
        <w:t xml:space="preserve"> per cent did so with a higher qualification than their previous highest AQF qualification</w:t>
      </w:r>
      <w:r w:rsidRPr="002427E0">
        <w:t>.</w:t>
      </w:r>
      <w:r w:rsidR="00872296" w:rsidRPr="002427E0">
        <w:t xml:space="preserve"> </w:t>
      </w:r>
      <w:r w:rsidR="00451C69">
        <w:t xml:space="preserve">Data by target group are available in </w:t>
      </w:r>
      <w:r w:rsidR="00872296" w:rsidRPr="002427E0">
        <w:t>table 5A.2</w:t>
      </w:r>
      <w:r w:rsidR="004F5D19" w:rsidRPr="002427E0">
        <w:t>8</w:t>
      </w:r>
      <w:r w:rsidR="00872296" w:rsidRPr="002427E0">
        <w:t xml:space="preserve">. </w:t>
      </w:r>
    </w:p>
    <w:p w14:paraId="6C33CC35" w14:textId="144CBFE8" w:rsidR="00872296" w:rsidRPr="002427E0" w:rsidRDefault="00872296" w:rsidP="00872296">
      <w:pPr>
        <w:pStyle w:val="BodyText"/>
      </w:pPr>
      <w:r w:rsidRPr="002427E0">
        <w:t>For total VET graduates that completed an AQF Certificate III or above</w:t>
      </w:r>
      <w:r w:rsidR="00BA5660" w:rsidRPr="002427E0">
        <w:t xml:space="preserve"> in </w:t>
      </w:r>
      <w:r w:rsidR="00387D05" w:rsidRPr="002427E0">
        <w:t>2018</w:t>
      </w:r>
      <w:r w:rsidRPr="002427E0">
        <w:t xml:space="preserve">, </w:t>
      </w:r>
      <w:r w:rsidR="00A8435B" w:rsidRPr="00A07E7F">
        <w:t>52.4</w:t>
      </w:r>
      <w:r w:rsidR="00D21B84" w:rsidRPr="00A07E7F">
        <w:t> </w:t>
      </w:r>
      <w:r w:rsidRPr="00A07E7F">
        <w:t>per</w:t>
      </w:r>
      <w:r w:rsidR="00D21B84" w:rsidRPr="00A07E7F">
        <w:t> </w:t>
      </w:r>
      <w:r w:rsidRPr="00A07E7F">
        <w:t>cent did so with a higher qualification than their previous AQF –</w:t>
      </w:r>
      <w:r w:rsidR="00451C69">
        <w:t xml:space="preserve"> </w:t>
      </w:r>
      <w:r w:rsidRPr="00A07E7F">
        <w:t>lower</w:t>
      </w:r>
      <w:r w:rsidR="00451C69">
        <w:t xml:space="preserve"> than the</w:t>
      </w:r>
      <w:r w:rsidRPr="00A07E7F">
        <w:t xml:space="preserve"> proportion for government-funded Certificate III or above qualification completions (</w:t>
      </w:r>
      <w:r w:rsidR="00A8435B" w:rsidRPr="00A07E7F">
        <w:t>63.9</w:t>
      </w:r>
      <w:r w:rsidR="00451C69">
        <w:t> </w:t>
      </w:r>
      <w:r w:rsidRPr="002427E0">
        <w:t>per cent) (table</w:t>
      </w:r>
      <w:r w:rsidR="000963A9" w:rsidRPr="002427E0">
        <w:t>s</w:t>
      </w:r>
      <w:r w:rsidRPr="002427E0">
        <w:t xml:space="preserve"> 5A.2</w:t>
      </w:r>
      <w:r w:rsidR="000963A9" w:rsidRPr="002427E0">
        <w:t>9-30</w:t>
      </w:r>
      <w:r w:rsidRPr="002427E0">
        <w:t>).</w:t>
      </w:r>
    </w:p>
    <w:p w14:paraId="1A2DFCD3" w14:textId="37A56AD3" w:rsidR="00AA3E20" w:rsidRDefault="00AA3E20" w:rsidP="002E0AA0">
      <w:pPr>
        <w:pStyle w:val="BoxSpaceAbove"/>
      </w:pPr>
    </w:p>
    <w:p w14:paraId="2B281B40" w14:textId="77777777" w:rsidR="0096101B" w:rsidRDefault="0096101B">
      <w:r>
        <w:rPr>
          <w:b/>
        </w:rPr>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3E20" w14:paraId="162A8AE2" w14:textId="77777777" w:rsidTr="00A04698">
        <w:trPr>
          <w:tblHeader/>
        </w:trPr>
        <w:tc>
          <w:tcPr>
            <w:tcW w:w="5000" w:type="pct"/>
            <w:tcBorders>
              <w:top w:val="single" w:sz="6" w:space="0" w:color="78A22F"/>
              <w:left w:val="nil"/>
              <w:bottom w:val="nil"/>
              <w:right w:val="nil"/>
            </w:tcBorders>
            <w:shd w:val="clear" w:color="auto" w:fill="auto"/>
          </w:tcPr>
          <w:p w14:paraId="7148EFF5" w14:textId="588AF22E" w:rsidR="00AA3E20" w:rsidRPr="00176D3F" w:rsidRDefault="00AA3E20" w:rsidP="009A7881">
            <w:pPr>
              <w:pStyle w:val="FigureTitle"/>
            </w:pPr>
            <w:r w:rsidRPr="00784A05">
              <w:rPr>
                <w:b w:val="0"/>
              </w:rPr>
              <w:lastRenderedPageBreak/>
              <w:t xml:space="preserve">Figure </w:t>
            </w:r>
            <w:r>
              <w:rPr>
                <w:b w:val="0"/>
              </w:rPr>
              <w:t>5.</w:t>
            </w:r>
            <w:r w:rsidR="006300E8">
              <w:rPr>
                <w:b w:val="0"/>
                <w:noProof/>
              </w:rPr>
              <w:t>11</w:t>
            </w:r>
            <w:r>
              <w:tab/>
            </w:r>
            <w:r w:rsidR="00510CE6" w:rsidRPr="003F1B81">
              <w:t>Total VET AQF qualification completions by 20–64 year olds with improved education status</w:t>
            </w:r>
            <w:r w:rsidRPr="0073220E">
              <w:rPr>
                <w:rStyle w:val="NoteLabel"/>
                <w:b/>
              </w:rPr>
              <w:t>a</w:t>
            </w:r>
            <w:r w:rsidR="00982ECD">
              <w:rPr>
                <w:rStyle w:val="NoteLabel"/>
                <w:b/>
              </w:rPr>
              <w:t xml:space="preserve"> </w:t>
            </w:r>
          </w:p>
        </w:tc>
      </w:tr>
      <w:tr w:rsidR="00AA3E20" w14:paraId="770C3DD2" w14:textId="77777777" w:rsidTr="00A0469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E0803" w:rsidRPr="00B1465D" w14:paraId="4898EC0C" w14:textId="77777777" w:rsidTr="00DE0803">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0803" w:rsidRPr="00C96187" w14:paraId="6B77C907" w14:textId="77777777" w:rsidTr="00D75B20">
                    <w:tc>
                      <w:tcPr>
                        <w:tcW w:w="304" w:type="dxa"/>
                        <w:tcBorders>
                          <w:top w:val="nil"/>
                          <w:left w:val="nil"/>
                          <w:bottom w:val="nil"/>
                          <w:right w:val="nil"/>
                        </w:tcBorders>
                        <w:shd w:val="clear" w:color="auto" w:fill="auto"/>
                        <w:tcMar>
                          <w:top w:w="28" w:type="dxa"/>
                          <w:bottom w:w="28" w:type="dxa"/>
                        </w:tcMar>
                      </w:tcPr>
                      <w:p w14:paraId="791EC3C2"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C48EA81" w14:textId="77777777" w:rsidR="00DE0803" w:rsidRPr="00C90895" w:rsidRDefault="00DE0803" w:rsidP="00DE0803">
                        <w:pPr>
                          <w:keepNext/>
                          <w:keepLines/>
                          <w:spacing w:before="60" w:after="60" w:line="240" w:lineRule="atLeast"/>
                          <w:jc w:val="center"/>
                        </w:pPr>
                      </w:p>
                    </w:tc>
                    <w:tc>
                      <w:tcPr>
                        <w:tcW w:w="7938" w:type="dxa"/>
                        <w:tcBorders>
                          <w:top w:val="nil"/>
                          <w:left w:val="nil"/>
                          <w:bottom w:val="nil"/>
                          <w:right w:val="nil"/>
                        </w:tcBorders>
                        <w:shd w:val="clear" w:color="auto" w:fill="auto"/>
                      </w:tcPr>
                      <w:p w14:paraId="0459289D" w14:textId="77777777" w:rsidR="00DE0803" w:rsidRPr="00C96187" w:rsidRDefault="00DE0803" w:rsidP="005648A0">
                        <w:pPr>
                          <w:pStyle w:val="TableBodyText"/>
                          <w:jc w:val="left"/>
                        </w:pPr>
                        <w:r>
                          <w:t>Data are c</w:t>
                        </w:r>
                        <w:r w:rsidRPr="00C96187">
                          <w:t xml:space="preserve">omparable (subject to caveats) </w:t>
                        </w:r>
                        <w:r w:rsidRPr="00992FD4">
                          <w:t>across jurisdictions and over time</w:t>
                        </w:r>
                        <w:r w:rsidRPr="00C96187">
                          <w:t>.</w:t>
                        </w:r>
                      </w:p>
                    </w:tc>
                  </w:tr>
                  <w:tr w:rsidR="00DE0803" w:rsidRPr="00C96187" w14:paraId="152F4B84" w14:textId="77777777" w:rsidTr="00D75B20">
                    <w:tc>
                      <w:tcPr>
                        <w:tcW w:w="304" w:type="dxa"/>
                        <w:tcBorders>
                          <w:top w:val="nil"/>
                          <w:left w:val="nil"/>
                          <w:bottom w:val="nil"/>
                          <w:right w:val="nil"/>
                        </w:tcBorders>
                        <w:shd w:val="clear" w:color="auto" w:fill="auto"/>
                        <w:tcMar>
                          <w:top w:w="28" w:type="dxa"/>
                          <w:bottom w:w="28" w:type="dxa"/>
                        </w:tcMar>
                      </w:tcPr>
                      <w:p w14:paraId="6D680202"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A21F94B" w14:textId="77777777" w:rsidR="00DE0803" w:rsidRPr="00C90895" w:rsidRDefault="00DE0803" w:rsidP="00DE0803">
                        <w:pPr>
                          <w:keepNext/>
                          <w:keepLines/>
                          <w:spacing w:before="60" w:after="60" w:line="240" w:lineRule="atLeast"/>
                          <w:jc w:val="center"/>
                        </w:pPr>
                      </w:p>
                    </w:tc>
                    <w:tc>
                      <w:tcPr>
                        <w:tcW w:w="7938" w:type="dxa"/>
                        <w:tcBorders>
                          <w:top w:val="nil"/>
                          <w:left w:val="nil"/>
                          <w:bottom w:val="nil"/>
                          <w:right w:val="nil"/>
                        </w:tcBorders>
                        <w:shd w:val="clear" w:color="auto" w:fill="auto"/>
                      </w:tcPr>
                      <w:p w14:paraId="146581BF" w14:textId="77777777" w:rsidR="00DE0803" w:rsidRPr="00C96187" w:rsidRDefault="00DE0803" w:rsidP="00C7218B">
                        <w:pPr>
                          <w:pStyle w:val="TableBodyText"/>
                          <w:jc w:val="left"/>
                        </w:pPr>
                        <w:r w:rsidRPr="00C96187">
                          <w:t>Data are complete (subject to caveats) fo</w:t>
                        </w:r>
                        <w:r w:rsidR="00C7218B">
                          <w:t>r the current reporting period.</w:t>
                        </w:r>
                      </w:p>
                    </w:tc>
                  </w:tr>
                </w:tbl>
                <w:p w14:paraId="5270B33C" w14:textId="77777777" w:rsidR="00DE0803" w:rsidRDefault="00DE0803" w:rsidP="00D84914">
                  <w:pPr>
                    <w:pStyle w:val="Figure"/>
                    <w:spacing w:before="60" w:after="60"/>
                    <w:rPr>
                      <w:rFonts w:ascii="Arial" w:hAnsi="Arial" w:cs="Arial"/>
                      <w:sz w:val="18"/>
                      <w:szCs w:val="18"/>
                    </w:rPr>
                  </w:pPr>
                </w:p>
              </w:tc>
            </w:tr>
            <w:tr w:rsidR="00AA3E20" w:rsidRPr="00B1465D" w14:paraId="1812BC49" w14:textId="77777777" w:rsidTr="00B30F9D">
              <w:tblPrEx>
                <w:tblCellMar>
                  <w:left w:w="108" w:type="dxa"/>
                  <w:right w:w="108" w:type="dxa"/>
                </w:tblCellMar>
              </w:tblPrEx>
              <w:trPr>
                <w:tblHeader/>
                <w:jc w:val="center"/>
              </w:trPr>
              <w:tc>
                <w:tcPr>
                  <w:tcW w:w="5000" w:type="pct"/>
                  <w:tcBorders>
                    <w:top w:val="nil"/>
                    <w:bottom w:val="nil"/>
                  </w:tcBorders>
                </w:tcPr>
                <w:p w14:paraId="2DA46DBD" w14:textId="6EA259B2" w:rsidR="00AA3E20" w:rsidRPr="00B1465D" w:rsidRDefault="00B30F9D" w:rsidP="00D84914">
                  <w:pPr>
                    <w:pStyle w:val="Figure"/>
                    <w:spacing w:before="60" w:after="60"/>
                    <w:rPr>
                      <w:rFonts w:ascii="Arial" w:hAnsi="Arial" w:cs="Arial"/>
                      <w:sz w:val="18"/>
                      <w:szCs w:val="18"/>
                    </w:rPr>
                  </w:pPr>
                  <w:r>
                    <w:rPr>
                      <w:noProof/>
                    </w:rPr>
                    <w:drawing>
                      <wp:inline distT="0" distB="0" distL="0" distR="0" wp14:anchorId="6557E6E4" wp14:editId="08D091C9">
                        <wp:extent cx="5395687" cy="2663194"/>
                        <wp:effectExtent l="0" t="0" r="0" b="3810"/>
                        <wp:docPr id="8" name="Chart 8" descr="Figure 5.11 Total VET AQF qualification completions by 20-64 year olds with improved education statu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21CE0115" w14:textId="77777777" w:rsidR="00AA3E20" w:rsidRDefault="00AA3E20" w:rsidP="002E0AA0">
            <w:pPr>
              <w:pStyle w:val="Figure"/>
            </w:pPr>
          </w:p>
        </w:tc>
      </w:tr>
      <w:tr w:rsidR="00AA3E20" w:rsidRPr="00176D3F" w14:paraId="15D691E4" w14:textId="77777777" w:rsidTr="002E0AA0">
        <w:tc>
          <w:tcPr>
            <w:tcW w:w="5000" w:type="pct"/>
            <w:tcBorders>
              <w:top w:val="nil"/>
              <w:left w:val="nil"/>
              <w:bottom w:val="nil"/>
              <w:right w:val="nil"/>
            </w:tcBorders>
            <w:shd w:val="clear" w:color="auto" w:fill="auto"/>
          </w:tcPr>
          <w:p w14:paraId="2BAC8E29" w14:textId="53D4C8E1" w:rsidR="00AA3E20" w:rsidRPr="00176D3F" w:rsidRDefault="00AA3E20" w:rsidP="00290C7B">
            <w:pPr>
              <w:pStyle w:val="Note"/>
            </w:pPr>
            <w:r>
              <w:rPr>
                <w:rStyle w:val="NoteLabel"/>
              </w:rPr>
              <w:t>a</w:t>
            </w:r>
            <w:r>
              <w:t xml:space="preserve"> </w:t>
            </w:r>
            <w:r w:rsidRPr="006D3797">
              <w:t xml:space="preserve">See </w:t>
            </w:r>
            <w:r>
              <w:t>box</w:t>
            </w:r>
            <w:r w:rsidR="00DD5279">
              <w:t> </w:t>
            </w:r>
            <w:r>
              <w:t>5.12 and table 5A.2</w:t>
            </w:r>
            <w:r w:rsidR="00290C7B">
              <w:t>7</w:t>
            </w:r>
            <w:r>
              <w:t xml:space="preserve"> </w:t>
            </w:r>
            <w:r w:rsidRPr="006D3797">
              <w:t>for detailed definitions, footnotes and caveats</w:t>
            </w:r>
            <w:r w:rsidRPr="004B1B81">
              <w:t>.</w:t>
            </w:r>
          </w:p>
        </w:tc>
      </w:tr>
      <w:tr w:rsidR="00AA3E20" w:rsidRPr="00176D3F" w14:paraId="2CEE68A4" w14:textId="77777777" w:rsidTr="002E0AA0">
        <w:tc>
          <w:tcPr>
            <w:tcW w:w="5000" w:type="pct"/>
            <w:tcBorders>
              <w:top w:val="nil"/>
              <w:left w:val="nil"/>
              <w:bottom w:val="nil"/>
              <w:right w:val="nil"/>
            </w:tcBorders>
            <w:shd w:val="clear" w:color="auto" w:fill="auto"/>
          </w:tcPr>
          <w:p w14:paraId="63A786E2" w14:textId="224EF903" w:rsidR="00AA3E20" w:rsidRPr="00176D3F" w:rsidRDefault="00AA3E20" w:rsidP="00825403">
            <w:pPr>
              <w:pStyle w:val="Source"/>
            </w:pPr>
            <w:r>
              <w:rPr>
                <w:i/>
              </w:rPr>
              <w:t>S</w:t>
            </w:r>
            <w:r w:rsidRPr="00784A05">
              <w:rPr>
                <w:i/>
              </w:rPr>
              <w:t>ource</w:t>
            </w:r>
            <w:r w:rsidRPr="00176D3F">
              <w:t xml:space="preserve">: </w:t>
            </w:r>
            <w:r w:rsidR="00825403" w:rsidRPr="00821F91">
              <w:t>NCVER, National VET Provider Collection and National VET in Schools Collection, 2018 (preliminary completions)</w:t>
            </w:r>
            <w:r w:rsidRPr="00821F91">
              <w:t>; table</w:t>
            </w:r>
            <w:r>
              <w:t> </w:t>
            </w:r>
            <w:r w:rsidRPr="008C1DD2">
              <w:t>5A.</w:t>
            </w:r>
            <w:r>
              <w:t>2</w:t>
            </w:r>
            <w:r w:rsidR="00290C7B">
              <w:t>7</w:t>
            </w:r>
            <w:r>
              <w:t>.</w:t>
            </w:r>
          </w:p>
        </w:tc>
      </w:tr>
      <w:tr w:rsidR="00AA3E20" w14:paraId="63FB6829" w14:textId="77777777" w:rsidTr="002E0AA0">
        <w:tc>
          <w:tcPr>
            <w:tcW w:w="5000" w:type="pct"/>
            <w:tcBorders>
              <w:top w:val="nil"/>
              <w:left w:val="nil"/>
              <w:bottom w:val="single" w:sz="6" w:space="0" w:color="78A22F"/>
              <w:right w:val="nil"/>
            </w:tcBorders>
            <w:shd w:val="clear" w:color="auto" w:fill="auto"/>
          </w:tcPr>
          <w:p w14:paraId="51311B91" w14:textId="77777777" w:rsidR="00AA3E20" w:rsidRDefault="00AA3E20" w:rsidP="002E0AA0">
            <w:pPr>
              <w:pStyle w:val="Figurespace"/>
            </w:pPr>
          </w:p>
        </w:tc>
      </w:tr>
      <w:tr w:rsidR="00AA3E20" w:rsidRPr="000863A5" w14:paraId="7737C8BC" w14:textId="77777777" w:rsidTr="002E0AA0">
        <w:tc>
          <w:tcPr>
            <w:tcW w:w="5000" w:type="pct"/>
            <w:tcBorders>
              <w:top w:val="single" w:sz="6" w:space="0" w:color="78A22F"/>
              <w:left w:val="nil"/>
              <w:bottom w:val="nil"/>
              <w:right w:val="nil"/>
            </w:tcBorders>
          </w:tcPr>
          <w:p w14:paraId="3ED7C89B" w14:textId="5FFFEB48" w:rsidR="00AA3E20" w:rsidRPr="00626D32" w:rsidRDefault="00AA3E20" w:rsidP="002E0AA0">
            <w:pPr>
              <w:pStyle w:val="BoxSpaceBelow"/>
            </w:pPr>
          </w:p>
        </w:tc>
      </w:tr>
    </w:tbl>
    <w:p w14:paraId="321CB9C0" w14:textId="559BC69D" w:rsidR="0085503B" w:rsidRPr="00D74951" w:rsidRDefault="004F5D19" w:rsidP="00067E5B">
      <w:pPr>
        <w:pStyle w:val="BodyText"/>
      </w:pPr>
      <w:r w:rsidRPr="0040635A">
        <w:t xml:space="preserve">Additional information is provided on the number of qualifications completed as a proportion of the number of </w:t>
      </w:r>
      <w:r>
        <w:t>enrolments</w:t>
      </w:r>
      <w:r w:rsidR="00451C69">
        <w:t xml:space="preserve"> (rather than the proportion of the number of completions)</w:t>
      </w:r>
      <w:r>
        <w:t xml:space="preserve">. In </w:t>
      </w:r>
      <w:r w:rsidR="00387D05">
        <w:t>2018</w:t>
      </w:r>
      <w:r w:rsidRPr="0040635A">
        <w:t xml:space="preserve">, </w:t>
      </w:r>
      <w:r w:rsidR="00F44DDE" w:rsidRPr="00A07E7F">
        <w:t>14.2</w:t>
      </w:r>
      <w:r>
        <w:t xml:space="preserve"> per cent of total VET enrolments by 20–64 year olds were completed at a higher education </w:t>
      </w:r>
      <w:r w:rsidRPr="00D74951">
        <w:t xml:space="preserve">level – </w:t>
      </w:r>
      <w:r w:rsidR="00F31DD0" w:rsidRPr="00D74951">
        <w:t>lower than</w:t>
      </w:r>
      <w:r w:rsidRPr="00D74951">
        <w:t xml:space="preserve"> government</w:t>
      </w:r>
      <w:r w:rsidRPr="00D74951">
        <w:noBreakHyphen/>
        <w:t>funded VET enrolments (</w:t>
      </w:r>
      <w:r w:rsidR="00306558" w:rsidRPr="00D74951">
        <w:t>17</w:t>
      </w:r>
      <w:r w:rsidRPr="00D74951">
        <w:t>.</w:t>
      </w:r>
      <w:r w:rsidR="00306558" w:rsidRPr="00D74951">
        <w:t>9</w:t>
      </w:r>
      <w:r w:rsidRPr="00D74951">
        <w:t xml:space="preserve"> per cent) (table</w:t>
      </w:r>
      <w:r w:rsidR="008E3C69" w:rsidRPr="00D74951">
        <w:t>s</w:t>
      </w:r>
      <w:r w:rsidRPr="00D74951">
        <w:t> 5A.</w:t>
      </w:r>
      <w:r w:rsidR="008E3C69" w:rsidRPr="00D74951">
        <w:t>27-</w:t>
      </w:r>
      <w:r w:rsidRPr="00D74951">
        <w:t>28).</w:t>
      </w:r>
      <w:r w:rsidR="001B7F65" w:rsidRPr="00D74951">
        <w:rPr>
          <w:rStyle w:val="FootnoteReference"/>
        </w:rPr>
        <w:footnoteReference w:id="6"/>
      </w:r>
    </w:p>
    <w:p w14:paraId="130ED27E" w14:textId="77777777" w:rsidR="00F067CC" w:rsidRPr="00EF5A5F" w:rsidRDefault="00933290" w:rsidP="008B7466">
      <w:pPr>
        <w:pStyle w:val="Heading4"/>
      </w:pPr>
      <w:r>
        <w:t>Skill utilisation</w:t>
      </w:r>
    </w:p>
    <w:p w14:paraId="3AADFA26" w14:textId="6DA3F5F7" w:rsidR="006F4AC9" w:rsidRPr="00EF5A5F" w:rsidRDefault="006F4AC9" w:rsidP="00F067CC">
      <w:pPr>
        <w:pStyle w:val="BodyText"/>
      </w:pPr>
      <w:r w:rsidRPr="00EF5A5F">
        <w:t>‘</w:t>
      </w:r>
      <w:r w:rsidR="00933290">
        <w:t>Skill utilisation</w:t>
      </w:r>
      <w:r>
        <w:t>’ is an indica</w:t>
      </w:r>
      <w:r w:rsidR="0060326B">
        <w:t xml:space="preserve">tor of governments’ objective that the </w:t>
      </w:r>
      <w:r>
        <w:t xml:space="preserve">VET system </w:t>
      </w:r>
      <w:r w:rsidR="00A913EE">
        <w:t xml:space="preserve">deliver a productive and highly skilled workforce through enabling all working age Australians to develop and use the skills required to effectively participate in the labour market and contribute to Australia’s economic future </w:t>
      </w:r>
      <w:r w:rsidRPr="00EF5A5F">
        <w:t>(box</w:t>
      </w:r>
      <w:r w:rsidR="00DD5279">
        <w:t> </w:t>
      </w:r>
      <w:r w:rsidR="00AB1051">
        <w:t>5.13</w:t>
      </w:r>
      <w:r w:rsidRPr="00EF5A5F">
        <w:t>).</w:t>
      </w:r>
    </w:p>
    <w:p w14:paraId="3F625D7F" w14:textId="77777777" w:rsidR="006F4AC9" w:rsidRDefault="006F4AC9" w:rsidP="006F4AC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F4AC9" w14:paraId="73C110A4" w14:textId="77777777" w:rsidTr="00C02515">
        <w:tc>
          <w:tcPr>
            <w:tcW w:w="8789" w:type="dxa"/>
            <w:tcBorders>
              <w:top w:val="single" w:sz="6" w:space="0" w:color="78A22F"/>
              <w:left w:val="nil"/>
              <w:bottom w:val="nil"/>
              <w:right w:val="nil"/>
            </w:tcBorders>
            <w:shd w:val="clear" w:color="auto" w:fill="F2F2F2" w:themeFill="background1" w:themeFillShade="F2"/>
          </w:tcPr>
          <w:p w14:paraId="3BA994DF" w14:textId="69593ED6" w:rsidR="006F4AC9" w:rsidRDefault="006F4AC9" w:rsidP="000914BB">
            <w:pPr>
              <w:pStyle w:val="BoxTitle"/>
            </w:pPr>
            <w:r>
              <w:rPr>
                <w:b w:val="0"/>
              </w:rPr>
              <w:t xml:space="preserve">Box </w:t>
            </w:r>
            <w:bookmarkStart w:id="28" w:name="OLE_LINK41"/>
            <w:r w:rsidR="00AB1051">
              <w:rPr>
                <w:b w:val="0"/>
              </w:rPr>
              <w:t>5.</w:t>
            </w:r>
            <w:r w:rsidR="006300E8">
              <w:rPr>
                <w:b w:val="0"/>
                <w:noProof/>
              </w:rPr>
              <w:t>13</w:t>
            </w:r>
            <w:bookmarkEnd w:id="28"/>
            <w:r>
              <w:tab/>
            </w:r>
            <w:r w:rsidR="009067C9">
              <w:t>Skill utilisation</w:t>
            </w:r>
          </w:p>
        </w:tc>
      </w:tr>
      <w:tr w:rsidR="006F4AC9" w14:paraId="42910CB0" w14:textId="77777777" w:rsidTr="00C02515">
        <w:trPr>
          <w:cantSplit/>
        </w:trPr>
        <w:tc>
          <w:tcPr>
            <w:tcW w:w="8789" w:type="dxa"/>
            <w:tcBorders>
              <w:top w:val="nil"/>
              <w:left w:val="nil"/>
              <w:bottom w:val="nil"/>
              <w:right w:val="nil"/>
            </w:tcBorders>
            <w:shd w:val="clear" w:color="auto" w:fill="F2F2F2" w:themeFill="background1" w:themeFillShade="F2"/>
          </w:tcPr>
          <w:p w14:paraId="50A8576B" w14:textId="77777777" w:rsidR="00355086" w:rsidRDefault="00933290" w:rsidP="00355086">
            <w:pPr>
              <w:pStyle w:val="Box"/>
            </w:pPr>
            <w:r>
              <w:t>‘</w:t>
            </w:r>
            <w:r w:rsidR="00355086">
              <w:t>Skill utilisation</w:t>
            </w:r>
            <w:r w:rsidR="00355086" w:rsidRPr="0014685B">
              <w:t xml:space="preserve">’ </w:t>
            </w:r>
            <w:r w:rsidR="00355086" w:rsidRPr="003E6700">
              <w:t xml:space="preserve">is broadly defined as </w:t>
            </w:r>
            <w:r w:rsidR="00355086">
              <w:t>the proportion of the workforce who have completed VET training in the last five years that are using skills acquired from that qualification</w:t>
            </w:r>
            <w:r w:rsidR="009E54FB">
              <w:t xml:space="preserve"> in the labour market</w:t>
            </w:r>
            <w:r w:rsidR="00355086">
              <w:t xml:space="preserve">. </w:t>
            </w:r>
          </w:p>
          <w:p w14:paraId="652E76D1" w14:textId="77777777" w:rsidR="00A9132D" w:rsidRDefault="00355086" w:rsidP="00355086">
            <w:pPr>
              <w:pStyle w:val="Box"/>
            </w:pPr>
            <w:r w:rsidRPr="00A9132D">
              <w:t>This indicator has been identified for developm</w:t>
            </w:r>
            <w:r>
              <w:t>ent and reporting in the future</w:t>
            </w:r>
            <w:r w:rsidR="00DB6045" w:rsidRPr="00A9132D">
              <w:t>.</w:t>
            </w:r>
          </w:p>
        </w:tc>
      </w:tr>
      <w:tr w:rsidR="006F4AC9" w14:paraId="17E10D81" w14:textId="77777777" w:rsidTr="00C02515">
        <w:trPr>
          <w:cantSplit/>
        </w:trPr>
        <w:tc>
          <w:tcPr>
            <w:tcW w:w="8789" w:type="dxa"/>
            <w:tcBorders>
              <w:top w:val="nil"/>
              <w:left w:val="nil"/>
              <w:bottom w:val="single" w:sz="6" w:space="0" w:color="78A22F"/>
              <w:right w:val="nil"/>
            </w:tcBorders>
            <w:shd w:val="clear" w:color="auto" w:fill="F2F2F2" w:themeFill="background1" w:themeFillShade="F2"/>
          </w:tcPr>
          <w:p w14:paraId="51A090D5" w14:textId="77777777" w:rsidR="006F4AC9" w:rsidRDefault="006F4AC9" w:rsidP="000914BB">
            <w:pPr>
              <w:pStyle w:val="Box"/>
              <w:spacing w:before="0" w:line="120" w:lineRule="exact"/>
            </w:pPr>
          </w:p>
        </w:tc>
      </w:tr>
      <w:tr w:rsidR="006F4AC9" w:rsidRPr="000863A5" w14:paraId="50ABF31B" w14:textId="77777777" w:rsidTr="00C02515">
        <w:tc>
          <w:tcPr>
            <w:tcW w:w="8789" w:type="dxa"/>
            <w:tcBorders>
              <w:top w:val="single" w:sz="6" w:space="0" w:color="78A22F"/>
              <w:left w:val="nil"/>
              <w:bottom w:val="nil"/>
              <w:right w:val="nil"/>
            </w:tcBorders>
          </w:tcPr>
          <w:p w14:paraId="2FCFC456" w14:textId="77777777" w:rsidR="006F4AC9" w:rsidRPr="00626D32" w:rsidRDefault="006F4AC9" w:rsidP="000914BB">
            <w:pPr>
              <w:pStyle w:val="BoxSpaceBelow"/>
            </w:pPr>
          </w:p>
        </w:tc>
      </w:tr>
    </w:tbl>
    <w:p w14:paraId="6F9A20CE" w14:textId="49D0BEB2" w:rsidR="00C57336" w:rsidRPr="00EA6B27" w:rsidRDefault="00136B2A" w:rsidP="00641E93">
      <w:pPr>
        <w:pStyle w:val="Heading2"/>
      </w:pPr>
      <w:bookmarkStart w:id="29" w:name="_Toc341279244"/>
      <w:bookmarkStart w:id="30" w:name="_Toc492379199"/>
      <w:r>
        <w:t>5.</w:t>
      </w:r>
      <w:r w:rsidR="006300E8">
        <w:rPr>
          <w:noProof/>
        </w:rPr>
        <w:t>4</w:t>
      </w:r>
      <w:r w:rsidR="00D660C5">
        <w:tab/>
      </w:r>
      <w:r w:rsidR="00C57336" w:rsidRPr="00EA6B27">
        <w:t xml:space="preserve">Definitions of key </w:t>
      </w:r>
      <w:r w:rsidR="00C57336" w:rsidRPr="00641E93">
        <w:t>terms</w:t>
      </w:r>
      <w:bookmarkEnd w:id="29"/>
      <w:bookmarkEnd w:id="30"/>
    </w:p>
    <w:p w14:paraId="06E9826A" w14:textId="77777777" w:rsidR="004F3A94" w:rsidRPr="00EF5A5F" w:rsidRDefault="004F3A94" w:rsidP="004F3A94">
      <w:pPr>
        <w:pStyle w:val="BoxSpace"/>
      </w:pPr>
    </w:p>
    <w:tbl>
      <w:tblPr>
        <w:tblW w:w="8789" w:type="dxa"/>
        <w:tblCellMar>
          <w:left w:w="57" w:type="dxa"/>
          <w:right w:w="57" w:type="dxa"/>
        </w:tblCellMar>
        <w:tblLook w:val="01E0" w:firstRow="1" w:lastRow="1" w:firstColumn="1" w:lastColumn="1" w:noHBand="0" w:noVBand="0"/>
        <w:tblDescription w:val="5.4 Definitions of key terms&#10;&#10;More details can be found within the text surrounding this image."/>
      </w:tblPr>
      <w:tblGrid>
        <w:gridCol w:w="2517"/>
        <w:gridCol w:w="6272"/>
      </w:tblGrid>
      <w:tr w:rsidR="00DE4470" w:rsidRPr="00EF5A5F" w14:paraId="25A49FEC" w14:textId="77777777" w:rsidTr="00C02515">
        <w:trPr>
          <w:cantSplit/>
        </w:trPr>
        <w:tc>
          <w:tcPr>
            <w:tcW w:w="2517" w:type="dxa"/>
          </w:tcPr>
          <w:p w14:paraId="473CCE7C" w14:textId="77777777" w:rsidR="00DE4470" w:rsidRPr="00D16C57" w:rsidRDefault="00DE4470" w:rsidP="00D16C57">
            <w:pPr>
              <w:pStyle w:val="TableBodyText"/>
              <w:keepNext w:val="0"/>
              <w:spacing w:before="60" w:after="60"/>
              <w:ind w:left="0"/>
              <w:jc w:val="left"/>
              <w:rPr>
                <w:b/>
              </w:rPr>
            </w:pPr>
            <w:r w:rsidRPr="00D16C57">
              <w:rPr>
                <w:b/>
              </w:rPr>
              <w:t>Adult and community education providers</w:t>
            </w:r>
          </w:p>
        </w:tc>
        <w:tc>
          <w:tcPr>
            <w:tcW w:w="6272" w:type="dxa"/>
          </w:tcPr>
          <w:p w14:paraId="02CA4ACF" w14:textId="77777777" w:rsidR="00DE4470" w:rsidRPr="00EF5A5F" w:rsidRDefault="00DE4470" w:rsidP="007D4506">
            <w:pPr>
              <w:pStyle w:val="TableBodyText"/>
              <w:keepNext w:val="0"/>
              <w:spacing w:before="60" w:after="60"/>
              <w:ind w:left="0"/>
              <w:jc w:val="left"/>
            </w:pPr>
            <w:r w:rsidRPr="00EF5A5F">
              <w:t xml:space="preserve">Organisations </w:t>
            </w:r>
            <w:r w:rsidR="000C7F1C" w:rsidRPr="00EF5A5F">
              <w:t>that</w:t>
            </w:r>
            <w:r w:rsidRPr="00EF5A5F">
              <w:t xml:space="preserve"> deliver community</w:t>
            </w:r>
            <w:r w:rsidR="00AD5F7E">
              <w:noBreakHyphen/>
            </w:r>
            <w:r w:rsidRPr="00EF5A5F">
              <w:t>based adult education a</w:t>
            </w:r>
            <w:r w:rsidR="00AB1051">
              <w:t>nd training</w:t>
            </w:r>
            <w:r w:rsidRPr="00EF5A5F">
              <w:t>, including general, vocational, basic and community education, and recreation, leisure and personal enrichment programs.</w:t>
            </w:r>
          </w:p>
        </w:tc>
      </w:tr>
      <w:tr w:rsidR="00D34C36" w:rsidRPr="00EF5A5F" w14:paraId="2E22CF79" w14:textId="77777777" w:rsidTr="00C02515">
        <w:trPr>
          <w:cantSplit/>
        </w:trPr>
        <w:tc>
          <w:tcPr>
            <w:tcW w:w="2517" w:type="dxa"/>
          </w:tcPr>
          <w:p w14:paraId="3797E778" w14:textId="77777777" w:rsidR="00D34C36" w:rsidRPr="00D16C57" w:rsidRDefault="00D34C36" w:rsidP="00D16C57">
            <w:pPr>
              <w:pStyle w:val="TableBodyText"/>
              <w:keepNext w:val="0"/>
              <w:spacing w:before="60" w:after="60"/>
              <w:ind w:left="0"/>
              <w:jc w:val="left"/>
              <w:rPr>
                <w:b/>
              </w:rPr>
            </w:pPr>
            <w:r w:rsidRPr="00D16C57">
              <w:rPr>
                <w:b/>
              </w:rPr>
              <w:t>Annual hours</w:t>
            </w:r>
          </w:p>
        </w:tc>
        <w:tc>
          <w:tcPr>
            <w:tcW w:w="6272" w:type="dxa"/>
          </w:tcPr>
          <w:p w14:paraId="5997C30E" w14:textId="77777777" w:rsidR="00D34C36" w:rsidRPr="00EF5A5F" w:rsidRDefault="00D34C36" w:rsidP="00DD736F">
            <w:pPr>
              <w:pStyle w:val="TableBodyText"/>
              <w:keepNext w:val="0"/>
              <w:spacing w:before="60" w:after="60"/>
              <w:ind w:left="0"/>
              <w:jc w:val="left"/>
            </w:pPr>
            <w:r w:rsidRPr="00EF5A5F">
              <w:t>The total hours of delivery based on the standard nominal hour value for each subject undertaken. These represent the hours of supervised training under a traditional delivery strategy</w:t>
            </w:r>
            <w:r w:rsidR="004043CD" w:rsidRPr="00EF5A5F">
              <w:t xml:space="preserve">. </w:t>
            </w:r>
          </w:p>
        </w:tc>
      </w:tr>
      <w:tr w:rsidR="002823E6" w:rsidRPr="00CD50C4" w14:paraId="6902843B" w14:textId="77777777" w:rsidTr="00C02515">
        <w:tblPrEx>
          <w:tblLook w:val="0000" w:firstRow="0" w:lastRow="0" w:firstColumn="0" w:lastColumn="0" w:noHBand="0" w:noVBand="0"/>
        </w:tblPrEx>
        <w:trPr>
          <w:cantSplit/>
        </w:trPr>
        <w:tc>
          <w:tcPr>
            <w:tcW w:w="2517" w:type="dxa"/>
            <w:shd w:val="clear" w:color="auto" w:fill="auto"/>
          </w:tcPr>
          <w:p w14:paraId="087E1134" w14:textId="77777777" w:rsidR="002823E6" w:rsidRPr="00D16C57" w:rsidRDefault="002823E6" w:rsidP="00D16C57">
            <w:pPr>
              <w:pStyle w:val="TableBodyText"/>
              <w:keepNext w:val="0"/>
              <w:spacing w:before="60" w:after="60"/>
              <w:ind w:left="0"/>
              <w:jc w:val="left"/>
              <w:rPr>
                <w:b/>
              </w:rPr>
            </w:pPr>
            <w:r w:rsidRPr="00D16C57">
              <w:rPr>
                <w:b/>
              </w:rPr>
              <w:t>Australian Qualifications Framework (AQF)</w:t>
            </w:r>
          </w:p>
        </w:tc>
        <w:tc>
          <w:tcPr>
            <w:tcW w:w="6272" w:type="dxa"/>
            <w:shd w:val="clear" w:color="auto" w:fill="auto"/>
          </w:tcPr>
          <w:p w14:paraId="6766ACDD" w14:textId="77777777" w:rsidR="002823E6" w:rsidRPr="0041035E" w:rsidRDefault="002823E6" w:rsidP="00D16C57">
            <w:pPr>
              <w:pStyle w:val="TableBodyText"/>
              <w:keepNext w:val="0"/>
              <w:spacing w:before="60" w:after="60"/>
              <w:ind w:left="0"/>
              <w:jc w:val="left"/>
            </w:pPr>
            <w:r w:rsidRPr="002823E6">
              <w:t xml:space="preserve">The national policy for regulated qualifications in Australian education and training. It incorporates the </w:t>
            </w:r>
            <w:r w:rsidR="006E5D9D">
              <w:t xml:space="preserve">quality assured </w:t>
            </w:r>
            <w:r w:rsidRPr="002823E6">
              <w:t>qualifications from each education and training sector into a single comprehensive national qualifications framework. The AQF was introduced in 1995 to underpin the national system of qualifications, encompassing higher education, VET and schools.</w:t>
            </w:r>
          </w:p>
        </w:tc>
      </w:tr>
      <w:tr w:rsidR="00D34C36" w:rsidRPr="004E7D1A" w14:paraId="4969DBD2" w14:textId="77777777" w:rsidTr="00C02515">
        <w:trPr>
          <w:cantSplit/>
        </w:trPr>
        <w:tc>
          <w:tcPr>
            <w:tcW w:w="2517" w:type="dxa"/>
          </w:tcPr>
          <w:p w14:paraId="2097C57E" w14:textId="77777777" w:rsidR="00D34C36" w:rsidRPr="004E7D1A" w:rsidRDefault="00D34C36" w:rsidP="00D16C57">
            <w:pPr>
              <w:pStyle w:val="TableBodyText"/>
              <w:keepNext w:val="0"/>
              <w:spacing w:before="60" w:after="60"/>
              <w:ind w:left="0"/>
              <w:jc w:val="left"/>
              <w:rPr>
                <w:b/>
              </w:rPr>
            </w:pPr>
            <w:r w:rsidRPr="004E7D1A">
              <w:rPr>
                <w:b/>
              </w:rPr>
              <w:t>Completions</w:t>
            </w:r>
          </w:p>
        </w:tc>
        <w:tc>
          <w:tcPr>
            <w:tcW w:w="6272" w:type="dxa"/>
          </w:tcPr>
          <w:p w14:paraId="7980487D" w14:textId="77777777" w:rsidR="00DA20A2" w:rsidRPr="004E7D1A" w:rsidRDefault="00D34C36" w:rsidP="00D16C57">
            <w:pPr>
              <w:pStyle w:val="TableBodyText"/>
              <w:keepNext w:val="0"/>
              <w:spacing w:before="60" w:after="60"/>
              <w:ind w:left="0"/>
              <w:jc w:val="left"/>
            </w:pPr>
            <w:r w:rsidRPr="004E7D1A">
              <w:t>Fulfilment of all of the requirements of a course enrolment or module enrolment. Completion of a qualification or course is indicated by acknowledging eligibility for a qualification (whether or not the student physically received the acknowledgment).</w:t>
            </w:r>
          </w:p>
        </w:tc>
      </w:tr>
      <w:tr w:rsidR="00D34C36" w:rsidRPr="00EF5A5F" w14:paraId="0CBE2A9F" w14:textId="77777777" w:rsidTr="00C02515">
        <w:trPr>
          <w:cantSplit/>
        </w:trPr>
        <w:tc>
          <w:tcPr>
            <w:tcW w:w="2517" w:type="dxa"/>
          </w:tcPr>
          <w:p w14:paraId="7D22DD3A" w14:textId="77777777" w:rsidR="00D34C36" w:rsidRPr="00D16C57" w:rsidRDefault="00D34C36" w:rsidP="00D16C57">
            <w:pPr>
              <w:pStyle w:val="TableBodyText"/>
              <w:keepNext w:val="0"/>
              <w:spacing w:before="60" w:after="60"/>
              <w:ind w:left="0"/>
              <w:jc w:val="left"/>
              <w:rPr>
                <w:b/>
              </w:rPr>
            </w:pPr>
            <w:r w:rsidRPr="00D16C57">
              <w:rPr>
                <w:b/>
              </w:rPr>
              <w:t>Course</w:t>
            </w:r>
          </w:p>
        </w:tc>
        <w:tc>
          <w:tcPr>
            <w:tcW w:w="6272" w:type="dxa"/>
          </w:tcPr>
          <w:p w14:paraId="3D8E0763" w14:textId="77777777" w:rsidR="00D34C36" w:rsidRPr="00EF5A5F" w:rsidRDefault="00D34C36" w:rsidP="00D16C57">
            <w:pPr>
              <w:pStyle w:val="TableBodyText"/>
              <w:keepNext w:val="0"/>
              <w:spacing w:before="60" w:after="60"/>
              <w:ind w:left="0"/>
              <w:jc w:val="left"/>
            </w:pPr>
            <w:r w:rsidRPr="00EF5A5F">
              <w:t>A structured program of study that leads to the acquisition of identified competencies and includes assessment leading to a qualification.</w:t>
            </w:r>
          </w:p>
        </w:tc>
      </w:tr>
      <w:tr w:rsidR="00D34C36" w:rsidRPr="00EF5A5F" w14:paraId="0B3BA5E8" w14:textId="77777777" w:rsidTr="00C02515">
        <w:trPr>
          <w:cantSplit/>
        </w:trPr>
        <w:tc>
          <w:tcPr>
            <w:tcW w:w="2517" w:type="dxa"/>
          </w:tcPr>
          <w:p w14:paraId="7675DE70" w14:textId="77777777" w:rsidR="00D34C36" w:rsidRPr="00D16C57" w:rsidRDefault="00D34C36" w:rsidP="00D16C57">
            <w:pPr>
              <w:pStyle w:val="TableBodyText"/>
              <w:keepNext w:val="0"/>
              <w:spacing w:before="60" w:after="60"/>
              <w:ind w:left="0"/>
              <w:jc w:val="left"/>
              <w:rPr>
                <w:b/>
              </w:rPr>
            </w:pPr>
            <w:r w:rsidRPr="00D16C57">
              <w:rPr>
                <w:b/>
              </w:rPr>
              <w:t>Course mix weight</w:t>
            </w:r>
          </w:p>
        </w:tc>
        <w:tc>
          <w:tcPr>
            <w:tcW w:w="6272" w:type="dxa"/>
          </w:tcPr>
          <w:p w14:paraId="22E3763C" w14:textId="77777777" w:rsidR="00E63198" w:rsidRPr="00EF5A5F" w:rsidRDefault="008004F0" w:rsidP="00D16C57">
            <w:pPr>
              <w:pStyle w:val="TableBodyText"/>
              <w:keepNext w:val="0"/>
              <w:spacing w:before="60" w:after="60"/>
              <w:ind w:left="0"/>
              <w:jc w:val="left"/>
            </w:pPr>
            <w:r>
              <w:t>A</w:t>
            </w:r>
            <w:r w:rsidR="00A97788" w:rsidRPr="00A97788">
              <w:t>nnual hour</w:t>
            </w:r>
            <w:r>
              <w:t>s of delivery are</w:t>
            </w:r>
            <w:r w:rsidR="00A97788" w:rsidRPr="00A97788">
              <w:t xml:space="preserve"> weighted to recognise the different proportions of relatively more expensive and less expensive training programs </w:t>
            </w:r>
            <w:r w:rsidR="00A97788" w:rsidRPr="009F0F4A">
              <w:t xml:space="preserve">which occur across jurisdictions. One method of calculating these course mix weights applies to all years in this Report. Under this method, cost relativities by subject field of education are applied to tabulations of annual hours by subject field of education and state/territory. </w:t>
            </w:r>
            <w:r w:rsidR="00E63198" w:rsidRPr="009F0F4A">
              <w:t>A course mix weighting greater than 1.000 indicates</w:t>
            </w:r>
            <w:r w:rsidR="00E63198" w:rsidRPr="00EF5A5F">
              <w:t xml:space="preserve"> that the </w:t>
            </w:r>
            <w:r w:rsidR="00B1111A" w:rsidRPr="00EF5A5F">
              <w:t>S</w:t>
            </w:r>
            <w:r w:rsidR="00E63198" w:rsidRPr="00EF5A5F">
              <w:t xml:space="preserve">tate or </w:t>
            </w:r>
            <w:r w:rsidR="00B1111A" w:rsidRPr="00EF5A5F">
              <w:t>T</w:t>
            </w:r>
            <w:r w:rsidR="00E63198" w:rsidRPr="00EF5A5F">
              <w:t xml:space="preserve">erritory is offering relatively more expensive programs </w:t>
            </w:r>
            <w:r w:rsidR="00E5210A" w:rsidRPr="00EF5A5F">
              <w:t>compared with</w:t>
            </w:r>
            <w:r w:rsidR="00E63198" w:rsidRPr="00EF5A5F">
              <w:t xml:space="preserve"> the national profile.</w:t>
            </w:r>
          </w:p>
        </w:tc>
      </w:tr>
      <w:tr w:rsidR="00395F2A" w:rsidRPr="00EF5A5F" w14:paraId="58FE5534" w14:textId="77777777" w:rsidTr="00C02515">
        <w:trPr>
          <w:cantSplit/>
        </w:trPr>
        <w:tc>
          <w:tcPr>
            <w:tcW w:w="2517" w:type="dxa"/>
          </w:tcPr>
          <w:p w14:paraId="0A585B0C" w14:textId="77777777" w:rsidR="00395F2A" w:rsidRPr="00D16C57" w:rsidRDefault="00395F2A" w:rsidP="00D16C57">
            <w:pPr>
              <w:pStyle w:val="TableBodyText"/>
              <w:keepNext w:val="0"/>
              <w:spacing w:before="60" w:after="60"/>
              <w:ind w:left="0"/>
              <w:jc w:val="left"/>
              <w:rPr>
                <w:b/>
              </w:rPr>
            </w:pPr>
            <w:r>
              <w:rPr>
                <w:b/>
              </w:rPr>
              <w:t>Disability</w:t>
            </w:r>
          </w:p>
        </w:tc>
        <w:tc>
          <w:tcPr>
            <w:tcW w:w="6272" w:type="dxa"/>
          </w:tcPr>
          <w:p w14:paraId="7AA9A3D0" w14:textId="77777777" w:rsidR="00395F2A" w:rsidRDefault="00395F2A" w:rsidP="00D16C57">
            <w:pPr>
              <w:pStyle w:val="TableBodyText"/>
              <w:keepNext w:val="0"/>
              <w:spacing w:before="60" w:after="60"/>
              <w:ind w:left="0"/>
              <w:jc w:val="left"/>
            </w:pPr>
            <w:r>
              <w:t>In the National VET Provider Collection</w:t>
            </w:r>
            <w:r w:rsidR="00F34E92">
              <w:t>,</w:t>
            </w:r>
            <w:r>
              <w:t xml:space="preserve"> refers to whether the student self</w:t>
            </w:r>
            <w:r w:rsidR="00891079">
              <w:noBreakHyphen/>
            </w:r>
            <w:r>
              <w:t>identifies as having a disability, impairment or long</w:t>
            </w:r>
            <w:r w:rsidR="00891079">
              <w:noBreakHyphen/>
            </w:r>
            <w:r>
              <w:t>term condition. In the ABS Survey of Disability, Ageing and Carers, a person has disability if they report they have a limitation, restriction or impairment, which has lasted, or is likely to last, for at least six months and restricts everyday activities.</w:t>
            </w:r>
          </w:p>
        </w:tc>
      </w:tr>
      <w:tr w:rsidR="0021451A" w:rsidRPr="00EF5A5F" w14:paraId="5391B521" w14:textId="77777777" w:rsidTr="00C02515">
        <w:trPr>
          <w:cantSplit/>
        </w:trPr>
        <w:tc>
          <w:tcPr>
            <w:tcW w:w="2517" w:type="dxa"/>
          </w:tcPr>
          <w:p w14:paraId="3017826F" w14:textId="77777777" w:rsidR="0021451A" w:rsidRPr="00D16C57" w:rsidRDefault="0021451A" w:rsidP="00D16C57">
            <w:pPr>
              <w:pStyle w:val="TableBodyText"/>
              <w:keepNext w:val="0"/>
              <w:spacing w:before="60" w:after="60"/>
              <w:ind w:left="0"/>
              <w:jc w:val="left"/>
              <w:rPr>
                <w:b/>
              </w:rPr>
            </w:pPr>
            <w:r w:rsidRPr="00D16C57">
              <w:rPr>
                <w:b/>
              </w:rPr>
              <w:lastRenderedPageBreak/>
              <w:t>Entitlement funding</w:t>
            </w:r>
          </w:p>
        </w:tc>
        <w:tc>
          <w:tcPr>
            <w:tcW w:w="6272" w:type="dxa"/>
          </w:tcPr>
          <w:p w14:paraId="10F3AE4D" w14:textId="77777777" w:rsidR="0021451A" w:rsidRDefault="0021451A" w:rsidP="00D16C57">
            <w:pPr>
              <w:pStyle w:val="TableBodyText"/>
              <w:keepNext w:val="0"/>
              <w:spacing w:before="60" w:after="60"/>
              <w:ind w:left="0"/>
              <w:jc w:val="left"/>
            </w:pPr>
            <w:r>
              <w:t>Entitlement funding models have been progressively introduced acro</w:t>
            </w:r>
            <w:r w:rsidR="00AB1051">
              <w:t>ss jurisdictions from mid</w:t>
            </w:r>
            <w:r w:rsidR="00AB1051">
              <w:noBreakHyphen/>
              <w:t>2009. A</w:t>
            </w:r>
            <w:r w:rsidRPr="00F74889">
              <w:t>lthough each State or Territory’s entitlement funding system has its own characteristics</w:t>
            </w:r>
            <w:r w:rsidR="00AB1051">
              <w:t>, e</w:t>
            </w:r>
            <w:r>
              <w:t>ntitlement funding programs consist of two key features:</w:t>
            </w:r>
          </w:p>
          <w:p w14:paraId="6F726882" w14:textId="4CF92C1B" w:rsidR="0021451A" w:rsidRDefault="0021451A" w:rsidP="008004F0">
            <w:pPr>
              <w:pStyle w:val="TableBullet"/>
            </w:pPr>
            <w:r>
              <w:t>Student enti</w:t>
            </w:r>
            <w:r w:rsidR="00AB1051">
              <w:t>tlement to VET training — P</w:t>
            </w:r>
            <w:r>
              <w:t>rovide</w:t>
            </w:r>
            <w:r w:rsidR="004242F4">
              <w:t>s</w:t>
            </w:r>
            <w:r>
              <w:t xml:space="preserve"> a guaranteed government</w:t>
            </w:r>
            <w:r>
              <w:noBreakHyphen/>
              <w:t xml:space="preserve">subsidised training place for working age residents to obtain qualifications. Restrictions on the entitlement schemes vary across jurisdictions. Restrictions include: caps on the number of places that may be filled in a year; </w:t>
            </w:r>
            <w:r w:rsidRPr="00F74889">
              <w:t>financial caps on the total level of funding;</w:t>
            </w:r>
            <w:r>
              <w:t xml:space="preserve"> levels of qualification people have an entitlement to; and whether it is a person’s ‘initial’ qualification. </w:t>
            </w:r>
          </w:p>
          <w:p w14:paraId="13202755" w14:textId="77777777" w:rsidR="0021451A" w:rsidRPr="00EF5A5F" w:rsidRDefault="0021451A" w:rsidP="008004F0">
            <w:pPr>
              <w:pStyle w:val="TableBullet"/>
            </w:pPr>
            <w:r>
              <w:t>Demand driven VET training — Government subsidies are contestable and are allocated to the RTO (government or private) of the students’ choice. Governments may place some limits on student choice, by restricting the number of RTOs that offer entitlement funding places.</w:t>
            </w:r>
          </w:p>
        </w:tc>
      </w:tr>
      <w:tr w:rsidR="00D34C36" w:rsidRPr="00EF5A5F" w14:paraId="77F12220" w14:textId="77777777" w:rsidTr="00C02515">
        <w:trPr>
          <w:cantSplit/>
        </w:trPr>
        <w:tc>
          <w:tcPr>
            <w:tcW w:w="2517" w:type="dxa"/>
          </w:tcPr>
          <w:p w14:paraId="17DE973F" w14:textId="77777777" w:rsidR="00D34C36" w:rsidRPr="00D16C57" w:rsidRDefault="00D34C36" w:rsidP="00D16C57">
            <w:pPr>
              <w:pStyle w:val="TableBodyText"/>
              <w:keepNext w:val="0"/>
              <w:spacing w:before="60" w:after="60"/>
              <w:ind w:left="0"/>
              <w:jc w:val="left"/>
              <w:rPr>
                <w:b/>
              </w:rPr>
            </w:pPr>
            <w:r w:rsidRPr="00D16C57">
              <w:rPr>
                <w:b/>
              </w:rPr>
              <w:t>Enrolment</w:t>
            </w:r>
          </w:p>
        </w:tc>
        <w:tc>
          <w:tcPr>
            <w:tcW w:w="6272" w:type="dxa"/>
          </w:tcPr>
          <w:p w14:paraId="515D00B6" w14:textId="77777777" w:rsidR="00E51F0B" w:rsidRPr="00EF5A5F" w:rsidRDefault="00D34C36" w:rsidP="00B619B8">
            <w:pPr>
              <w:pStyle w:val="TableBodyText"/>
              <w:keepNext w:val="0"/>
              <w:spacing w:before="60" w:after="60"/>
              <w:ind w:left="0"/>
              <w:jc w:val="left"/>
            </w:pPr>
            <w:r w:rsidRPr="00EF5A5F">
              <w:t>The registration of a stude</w:t>
            </w:r>
            <w:r w:rsidR="006C2DAA">
              <w:t xml:space="preserve">nt at a training </w:t>
            </w:r>
            <w:r w:rsidRPr="00EF5A5F">
              <w:t>delivery location for the purpose o</w:t>
            </w:r>
            <w:r w:rsidR="006C2DAA">
              <w:t>f undertaking a program of study</w:t>
            </w:r>
            <w:r w:rsidRPr="00EF5A5F">
              <w:t>. The enrolment is considered valid only if the student has undertaken enrolment procedures, met their fee obligations, and has engaged in learning activity regardless of the mode of delivery.</w:t>
            </w:r>
            <w:r w:rsidR="00F758BD" w:rsidRPr="00EF5A5F">
              <w:t xml:space="preserve"> </w:t>
            </w:r>
          </w:p>
        </w:tc>
      </w:tr>
      <w:tr w:rsidR="00D34C36" w:rsidRPr="00EF5A5F" w14:paraId="41713936" w14:textId="77777777" w:rsidTr="00C02515">
        <w:trPr>
          <w:cantSplit/>
        </w:trPr>
        <w:tc>
          <w:tcPr>
            <w:tcW w:w="2517" w:type="dxa"/>
          </w:tcPr>
          <w:p w14:paraId="78B727EC" w14:textId="77777777" w:rsidR="00D34C36" w:rsidRPr="00D16C57" w:rsidRDefault="00D34C36" w:rsidP="00D16C57">
            <w:pPr>
              <w:pStyle w:val="TableBodyText"/>
              <w:keepNext w:val="0"/>
              <w:spacing w:before="60" w:after="60"/>
              <w:ind w:left="0"/>
              <w:jc w:val="left"/>
              <w:rPr>
                <w:b/>
              </w:rPr>
            </w:pPr>
            <w:r w:rsidRPr="00D16C57">
              <w:rPr>
                <w:b/>
              </w:rPr>
              <w:t>Fee</w:t>
            </w:r>
            <w:r w:rsidR="00AD5F7E" w:rsidRPr="00D16C57">
              <w:rPr>
                <w:b/>
              </w:rPr>
              <w:noBreakHyphen/>
            </w:r>
            <w:r w:rsidRPr="00D16C57">
              <w:rPr>
                <w:b/>
              </w:rPr>
              <w:t>for</w:t>
            </w:r>
            <w:r w:rsidR="00AD5F7E" w:rsidRPr="00D16C57">
              <w:rPr>
                <w:b/>
              </w:rPr>
              <w:noBreakHyphen/>
            </w:r>
            <w:r w:rsidRPr="00D16C57">
              <w:rPr>
                <w:b/>
              </w:rPr>
              <w:t>service activity</w:t>
            </w:r>
          </w:p>
        </w:tc>
        <w:tc>
          <w:tcPr>
            <w:tcW w:w="6272" w:type="dxa"/>
          </w:tcPr>
          <w:p w14:paraId="25838425" w14:textId="77777777" w:rsidR="00D34C36" w:rsidRPr="00EF5A5F" w:rsidRDefault="00D34C36" w:rsidP="00D16C57">
            <w:pPr>
              <w:pStyle w:val="TableBodyText"/>
              <w:keepNext w:val="0"/>
              <w:spacing w:before="60" w:after="60"/>
              <w:ind w:left="0"/>
              <w:jc w:val="left"/>
            </w:pPr>
            <w:r w:rsidRPr="00EF5A5F">
              <w:t>Training for which most or all of the cost is borne by the student or a person or organisation on behalf of the student.</w:t>
            </w:r>
          </w:p>
        </w:tc>
      </w:tr>
      <w:tr w:rsidR="00317B7A" w:rsidRPr="00EF5A5F" w14:paraId="52E6F09B" w14:textId="77777777" w:rsidTr="007300EA">
        <w:trPr>
          <w:cantSplit/>
        </w:trPr>
        <w:tc>
          <w:tcPr>
            <w:tcW w:w="2517" w:type="dxa"/>
          </w:tcPr>
          <w:p w14:paraId="43360B43" w14:textId="77777777" w:rsidR="00317B7A" w:rsidRPr="00D16C57" w:rsidRDefault="00317B7A" w:rsidP="007300EA">
            <w:pPr>
              <w:pStyle w:val="TableBodyText"/>
              <w:keepNext w:val="0"/>
              <w:spacing w:before="60" w:after="60"/>
              <w:ind w:left="0"/>
              <w:jc w:val="left"/>
              <w:rPr>
                <w:b/>
              </w:rPr>
            </w:pPr>
            <w:r>
              <w:rPr>
                <w:b/>
              </w:rPr>
              <w:t xml:space="preserve">Formal and </w:t>
            </w:r>
            <w:r w:rsidRPr="0048719E">
              <w:rPr>
                <w:b/>
              </w:rPr>
              <w:t>non-formal learning</w:t>
            </w:r>
          </w:p>
        </w:tc>
        <w:tc>
          <w:tcPr>
            <w:tcW w:w="6272" w:type="dxa"/>
          </w:tcPr>
          <w:p w14:paraId="0B5AF0E5" w14:textId="77777777" w:rsidR="00317B7A" w:rsidRDefault="00317B7A" w:rsidP="007300EA">
            <w:pPr>
              <w:pStyle w:val="TableBodyText"/>
              <w:spacing w:before="60" w:after="60"/>
              <w:jc w:val="left"/>
            </w:pPr>
            <w:r>
              <w:t>The ABS Survey of Work-Related Training and Learning (WRTAL) defines formal and non</w:t>
            </w:r>
            <w:r>
              <w:noBreakHyphen/>
              <w:t>formal learning as:</w:t>
            </w:r>
          </w:p>
          <w:p w14:paraId="3AD835B7" w14:textId="77777777" w:rsidR="00317B7A" w:rsidRDefault="00317B7A" w:rsidP="007300EA">
            <w:pPr>
              <w:pStyle w:val="TableBullet"/>
            </w:pPr>
            <w:r>
              <w:t>formal learning activities lead to a qualification recognised by the Australian Qualification Framework (AQF) such as a Degree, Diploma or Certificate, and also includes VET study at school</w:t>
            </w:r>
          </w:p>
          <w:p w14:paraId="139193FC" w14:textId="77777777" w:rsidR="00317B7A" w:rsidRPr="00EF5A5F" w:rsidRDefault="00317B7A" w:rsidP="007300EA">
            <w:pPr>
              <w:pStyle w:val="TableBullet"/>
            </w:pPr>
            <w:r>
              <w:t>non-formal learning activities are structured training or courses that do not form part of an award or qualification recognised by AQF (ABS 2017).</w:t>
            </w:r>
          </w:p>
        </w:tc>
      </w:tr>
      <w:tr w:rsidR="00D34C36" w:rsidRPr="00EF5A5F" w14:paraId="1DE6233A" w14:textId="77777777" w:rsidTr="00C02515">
        <w:trPr>
          <w:cantSplit/>
        </w:trPr>
        <w:tc>
          <w:tcPr>
            <w:tcW w:w="2517" w:type="dxa"/>
          </w:tcPr>
          <w:p w14:paraId="2FACA82E" w14:textId="77777777" w:rsidR="00D34C36" w:rsidRPr="00D16C57" w:rsidRDefault="00D34C36" w:rsidP="00D16C57">
            <w:pPr>
              <w:pStyle w:val="TableBodyText"/>
              <w:keepNext w:val="0"/>
              <w:spacing w:before="60" w:after="60"/>
              <w:ind w:left="0"/>
              <w:jc w:val="left"/>
              <w:rPr>
                <w:b/>
              </w:rPr>
            </w:pPr>
            <w:r w:rsidRPr="00D16C57">
              <w:rPr>
                <w:b/>
              </w:rPr>
              <w:t>Government</w:t>
            </w:r>
            <w:r w:rsidR="00D3506B" w:rsidRPr="00D16C57">
              <w:rPr>
                <w:b/>
              </w:rPr>
              <w:noBreakHyphen/>
            </w:r>
            <w:r w:rsidR="006C2DAA">
              <w:rPr>
                <w:b/>
              </w:rPr>
              <w:t xml:space="preserve">funded VET </w:t>
            </w:r>
          </w:p>
        </w:tc>
        <w:tc>
          <w:tcPr>
            <w:tcW w:w="6272" w:type="dxa"/>
          </w:tcPr>
          <w:p w14:paraId="0DBCC534" w14:textId="77777777" w:rsidR="00CB1385" w:rsidRPr="00293967" w:rsidRDefault="006C2DAA" w:rsidP="006C2DAA">
            <w:pPr>
              <w:pStyle w:val="TableBodyText"/>
              <w:keepNext w:val="0"/>
              <w:spacing w:before="60" w:after="60"/>
              <w:ind w:left="0"/>
              <w:jc w:val="left"/>
              <w:rPr>
                <w:szCs w:val="18"/>
              </w:rPr>
            </w:pPr>
            <w:r w:rsidRPr="00B53973">
              <w:t>Government</w:t>
            </w:r>
            <w:r w:rsidR="00891079">
              <w:noBreakHyphen/>
            </w:r>
            <w:r w:rsidRPr="00B53973">
              <w:t xml:space="preserve">funded VET refers </w:t>
            </w:r>
            <w:r w:rsidR="00AB1051">
              <w:t xml:space="preserve">to </w:t>
            </w:r>
            <w:r>
              <w:t>domestic government</w:t>
            </w:r>
            <w:r w:rsidR="00891079">
              <w:noBreakHyphen/>
            </w:r>
            <w:r>
              <w:t>funded VET activity delivered by all types of Australian training providers.</w:t>
            </w:r>
          </w:p>
        </w:tc>
      </w:tr>
      <w:tr w:rsidR="00D34C36" w:rsidRPr="00EF5A5F" w14:paraId="2425FE2C" w14:textId="77777777" w:rsidTr="00C02515">
        <w:trPr>
          <w:cantSplit/>
        </w:trPr>
        <w:tc>
          <w:tcPr>
            <w:tcW w:w="2517" w:type="dxa"/>
          </w:tcPr>
          <w:p w14:paraId="20E2188D" w14:textId="77777777" w:rsidR="00D34C36" w:rsidRPr="00D16C57" w:rsidRDefault="00D34C36" w:rsidP="00D16C57">
            <w:pPr>
              <w:pStyle w:val="TableBodyText"/>
              <w:keepNext w:val="0"/>
              <w:spacing w:before="60" w:after="60"/>
              <w:ind w:left="0"/>
              <w:jc w:val="left"/>
              <w:rPr>
                <w:b/>
              </w:rPr>
            </w:pPr>
            <w:r w:rsidRPr="00D16C57">
              <w:rPr>
                <w:b/>
              </w:rPr>
              <w:t>Graduate</w:t>
            </w:r>
          </w:p>
        </w:tc>
        <w:tc>
          <w:tcPr>
            <w:tcW w:w="6272" w:type="dxa"/>
          </w:tcPr>
          <w:p w14:paraId="1CD4A0B5" w14:textId="77777777" w:rsidR="00D34C36" w:rsidRPr="00EF5A5F" w:rsidRDefault="00F84C1C" w:rsidP="00D16C57">
            <w:pPr>
              <w:pStyle w:val="TableBodyText"/>
              <w:keepNext w:val="0"/>
              <w:spacing w:before="60" w:after="60"/>
              <w:ind w:left="0"/>
              <w:jc w:val="left"/>
            </w:pPr>
            <w:r>
              <w:t xml:space="preserve">A student </w:t>
            </w:r>
            <w:r w:rsidR="006C2DAA">
              <w:t>who completed all the requirements of a qualification</w:t>
            </w:r>
            <w:r>
              <w:t>.</w:t>
            </w:r>
          </w:p>
        </w:tc>
      </w:tr>
      <w:tr w:rsidR="003F7551" w:rsidRPr="00EF5A5F" w14:paraId="5017D15B" w14:textId="77777777" w:rsidTr="00C02515">
        <w:trPr>
          <w:cantSplit/>
        </w:trPr>
        <w:tc>
          <w:tcPr>
            <w:tcW w:w="2517" w:type="dxa"/>
          </w:tcPr>
          <w:p w14:paraId="60949D39" w14:textId="77777777" w:rsidR="003F7551" w:rsidRPr="00D16C57" w:rsidRDefault="003F7551" w:rsidP="00D16C57">
            <w:pPr>
              <w:pStyle w:val="TableBodyText"/>
              <w:keepNext w:val="0"/>
              <w:spacing w:before="60" w:after="60"/>
              <w:ind w:left="0"/>
              <w:jc w:val="left"/>
              <w:rPr>
                <w:b/>
              </w:rPr>
            </w:pPr>
            <w:r w:rsidRPr="00D16C57">
              <w:rPr>
                <w:b/>
              </w:rPr>
              <w:t>Group Training Organisations</w:t>
            </w:r>
          </w:p>
        </w:tc>
        <w:tc>
          <w:tcPr>
            <w:tcW w:w="6272" w:type="dxa"/>
          </w:tcPr>
          <w:p w14:paraId="4060793C" w14:textId="77777777" w:rsidR="003F7551" w:rsidRPr="00EF5A5F" w:rsidRDefault="003F7551" w:rsidP="00D16C57">
            <w:pPr>
              <w:pStyle w:val="TableBodyText"/>
              <w:keepNext w:val="0"/>
              <w:spacing w:before="60" w:after="60"/>
              <w:ind w:left="0"/>
              <w:jc w:val="left"/>
            </w:pPr>
            <w:r w:rsidRPr="00171D95">
              <w:t>Group Training Organisation</w:t>
            </w:r>
            <w:r>
              <w:t>s</w:t>
            </w:r>
            <w:r w:rsidRPr="00171D95">
              <w:t xml:space="preserve"> </w:t>
            </w:r>
            <w:r>
              <w:t>recruit</w:t>
            </w:r>
            <w:r w:rsidRPr="00171D95">
              <w:t xml:space="preserve"> potential or existing Australian Apprentices under an Apprenticeship/Traineeship Training Contract and place them with ‘host’ employers while they undertake their training</w:t>
            </w:r>
            <w:r w:rsidR="0048560A">
              <w:t>.</w:t>
            </w:r>
          </w:p>
        </w:tc>
      </w:tr>
      <w:tr w:rsidR="00D34C36" w:rsidRPr="00EF5A5F" w14:paraId="1CA44F8F" w14:textId="77777777" w:rsidTr="00C02515">
        <w:trPr>
          <w:cantSplit/>
        </w:trPr>
        <w:tc>
          <w:tcPr>
            <w:tcW w:w="2517" w:type="dxa"/>
          </w:tcPr>
          <w:p w14:paraId="3CC772BD" w14:textId="77777777" w:rsidR="00D34C36" w:rsidRPr="00D16C57" w:rsidRDefault="00D34C36" w:rsidP="00D16C57">
            <w:pPr>
              <w:pStyle w:val="TableBodyText"/>
              <w:keepNext w:val="0"/>
              <w:spacing w:before="60" w:after="60"/>
              <w:ind w:left="0"/>
              <w:jc w:val="left"/>
              <w:rPr>
                <w:b/>
              </w:rPr>
            </w:pPr>
            <w:r w:rsidRPr="00D16C57">
              <w:rPr>
                <w:b/>
              </w:rPr>
              <w:t>Module</w:t>
            </w:r>
          </w:p>
        </w:tc>
        <w:tc>
          <w:tcPr>
            <w:tcW w:w="6272" w:type="dxa"/>
          </w:tcPr>
          <w:p w14:paraId="4A899EF7" w14:textId="77777777" w:rsidR="00D34C36" w:rsidRPr="00EF5A5F" w:rsidRDefault="00D34C36" w:rsidP="00D16C57">
            <w:pPr>
              <w:pStyle w:val="TableBodyText"/>
              <w:keepNext w:val="0"/>
              <w:spacing w:before="60" w:after="60"/>
              <w:ind w:left="0"/>
              <w:jc w:val="left"/>
            </w:pPr>
            <w:r w:rsidRPr="00EF5A5F">
              <w:t>A unit of training in which a student can enrol and be assessed.</w:t>
            </w:r>
          </w:p>
        </w:tc>
      </w:tr>
      <w:tr w:rsidR="00C26FF0" w:rsidRPr="00EF5A5F" w14:paraId="5334BDE5" w14:textId="77777777" w:rsidTr="00C02515">
        <w:trPr>
          <w:cantSplit/>
        </w:trPr>
        <w:tc>
          <w:tcPr>
            <w:tcW w:w="2517" w:type="dxa"/>
          </w:tcPr>
          <w:p w14:paraId="668CF504" w14:textId="77777777" w:rsidR="00C26FF0" w:rsidRPr="00D16C57" w:rsidRDefault="00C26FF0" w:rsidP="00D16C57">
            <w:pPr>
              <w:pStyle w:val="TableBodyText"/>
              <w:keepNext w:val="0"/>
              <w:spacing w:before="60" w:after="60"/>
              <w:ind w:left="0"/>
              <w:jc w:val="left"/>
              <w:rPr>
                <w:b/>
              </w:rPr>
            </w:pPr>
            <w:r w:rsidRPr="00D16C57">
              <w:rPr>
                <w:b/>
              </w:rPr>
              <w:t>Multi</w:t>
            </w:r>
            <w:r w:rsidRPr="00D16C57">
              <w:rPr>
                <w:b/>
              </w:rPr>
              <w:noBreakHyphen/>
              <w:t>sector training providers</w:t>
            </w:r>
          </w:p>
        </w:tc>
        <w:tc>
          <w:tcPr>
            <w:tcW w:w="6272" w:type="dxa"/>
          </w:tcPr>
          <w:p w14:paraId="48A09303" w14:textId="77777777" w:rsidR="00C26FF0" w:rsidRPr="00EF5A5F" w:rsidRDefault="00C26FF0" w:rsidP="00D16C57">
            <w:pPr>
              <w:pStyle w:val="TableBodyText"/>
              <w:keepNext w:val="0"/>
              <w:spacing w:before="60" w:after="60"/>
              <w:ind w:left="0"/>
              <w:jc w:val="left"/>
            </w:pPr>
            <w:r w:rsidRPr="007B523A">
              <w:t>Multi</w:t>
            </w:r>
            <w:r w:rsidR="00632E90">
              <w:noBreakHyphen/>
              <w:t xml:space="preserve">sector training providers </w:t>
            </w:r>
            <w:r w:rsidRPr="008E0F2F">
              <w:t xml:space="preserve">offer both higher education and </w:t>
            </w:r>
            <w:r>
              <w:t>VET courses.</w:t>
            </w:r>
          </w:p>
        </w:tc>
      </w:tr>
      <w:tr w:rsidR="00D34C36" w:rsidRPr="00EF5A5F" w14:paraId="4E965A37" w14:textId="77777777" w:rsidTr="00C02515">
        <w:trPr>
          <w:cantSplit/>
        </w:trPr>
        <w:tc>
          <w:tcPr>
            <w:tcW w:w="2517" w:type="dxa"/>
          </w:tcPr>
          <w:p w14:paraId="2965D1EF" w14:textId="77777777" w:rsidR="00D34C36" w:rsidRPr="00D16C57" w:rsidRDefault="005C47E6" w:rsidP="00D16C57">
            <w:pPr>
              <w:pStyle w:val="TableBodyText"/>
              <w:keepNext w:val="0"/>
              <w:spacing w:before="60" w:after="60"/>
              <w:ind w:left="0"/>
              <w:jc w:val="left"/>
              <w:rPr>
                <w:b/>
              </w:rPr>
            </w:pPr>
            <w:r w:rsidRPr="00D16C57">
              <w:rPr>
                <w:b/>
              </w:rPr>
              <w:t>Real expenditure/</w:t>
            </w:r>
            <w:r w:rsidRPr="00D16C57">
              <w:rPr>
                <w:b/>
              </w:rPr>
              <w:br/>
              <w:t>funding/assets</w:t>
            </w:r>
          </w:p>
        </w:tc>
        <w:tc>
          <w:tcPr>
            <w:tcW w:w="6272" w:type="dxa"/>
          </w:tcPr>
          <w:p w14:paraId="42338C33" w14:textId="77777777" w:rsidR="00D34C36" w:rsidRPr="00EF5A5F" w:rsidRDefault="00D34C36" w:rsidP="00D16C57">
            <w:pPr>
              <w:pStyle w:val="TableBodyText"/>
              <w:keepNext w:val="0"/>
              <w:spacing w:before="60" w:after="60"/>
              <w:ind w:left="0"/>
              <w:jc w:val="left"/>
            </w:pPr>
            <w:r w:rsidRPr="00EF5A5F">
              <w:t>Actual expenditure/funding/assets adjusted for changes in prices. Ad</w:t>
            </w:r>
            <w:r w:rsidR="009D51E6">
              <w:t>justments are made using the gross domestic product</w:t>
            </w:r>
            <w:r w:rsidRPr="00EF5A5F">
              <w:t xml:space="preserve"> chain price deflator and expressed in terms of final year prices.</w:t>
            </w:r>
          </w:p>
        </w:tc>
      </w:tr>
      <w:tr w:rsidR="00D34C36" w:rsidRPr="00EF5A5F" w14:paraId="3297CF1B" w14:textId="77777777" w:rsidTr="00C02515">
        <w:trPr>
          <w:cantSplit/>
        </w:trPr>
        <w:tc>
          <w:tcPr>
            <w:tcW w:w="2517" w:type="dxa"/>
          </w:tcPr>
          <w:p w14:paraId="790FDA13" w14:textId="77777777" w:rsidR="00D34C36" w:rsidRPr="00D16C57" w:rsidRDefault="00D34C36" w:rsidP="00D16C57">
            <w:pPr>
              <w:pStyle w:val="TableBodyText"/>
              <w:keepNext w:val="0"/>
              <w:spacing w:before="60" w:after="60"/>
              <w:ind w:left="0"/>
              <w:jc w:val="left"/>
              <w:rPr>
                <w:b/>
              </w:rPr>
            </w:pPr>
            <w:r w:rsidRPr="00D16C57">
              <w:rPr>
                <w:b/>
              </w:rPr>
              <w:t>Recurrent funding</w:t>
            </w:r>
          </w:p>
        </w:tc>
        <w:tc>
          <w:tcPr>
            <w:tcW w:w="6272" w:type="dxa"/>
            <w:shd w:val="clear" w:color="auto" w:fill="auto"/>
          </w:tcPr>
          <w:p w14:paraId="702E12E5" w14:textId="77777777" w:rsidR="00D34C36" w:rsidRPr="00EF5A5F" w:rsidRDefault="00D34C36" w:rsidP="00D16C57">
            <w:pPr>
              <w:pStyle w:val="TableBodyText"/>
              <w:keepNext w:val="0"/>
              <w:spacing w:before="60" w:after="60"/>
              <w:ind w:left="0"/>
              <w:jc w:val="left"/>
            </w:pPr>
            <w:r w:rsidRPr="00EF5A5F">
              <w:t>Funding provided by the Australian, State and Territory governments to cover operating costs, salaries and rent.</w:t>
            </w:r>
          </w:p>
        </w:tc>
      </w:tr>
      <w:tr w:rsidR="00D34C36" w:rsidRPr="00EF5A5F" w14:paraId="62F666D7" w14:textId="77777777" w:rsidTr="00C02515">
        <w:trPr>
          <w:cantSplit/>
        </w:trPr>
        <w:tc>
          <w:tcPr>
            <w:tcW w:w="2517" w:type="dxa"/>
          </w:tcPr>
          <w:p w14:paraId="04F118A7" w14:textId="77777777" w:rsidR="00D34C36" w:rsidRPr="00D16C57" w:rsidRDefault="00D34C36" w:rsidP="00D16C57">
            <w:pPr>
              <w:pStyle w:val="TableBodyText"/>
              <w:keepNext w:val="0"/>
              <w:spacing w:before="60" w:after="60"/>
              <w:ind w:left="0"/>
              <w:jc w:val="left"/>
              <w:rPr>
                <w:b/>
              </w:rPr>
            </w:pPr>
            <w:r w:rsidRPr="00D16C57">
              <w:rPr>
                <w:b/>
              </w:rPr>
              <w:t>Registered training organisation</w:t>
            </w:r>
            <w:r w:rsidR="000C7F1C" w:rsidRPr="00D16C57">
              <w:rPr>
                <w:b/>
              </w:rPr>
              <w:t xml:space="preserve"> (RTO)</w:t>
            </w:r>
          </w:p>
        </w:tc>
        <w:tc>
          <w:tcPr>
            <w:tcW w:w="6272" w:type="dxa"/>
            <w:shd w:val="clear" w:color="auto" w:fill="auto"/>
          </w:tcPr>
          <w:p w14:paraId="304B69FA" w14:textId="77777777" w:rsidR="00891291" w:rsidRDefault="00192DB3" w:rsidP="00D16C57">
            <w:pPr>
              <w:pStyle w:val="TableBodyText"/>
              <w:keepNext w:val="0"/>
              <w:spacing w:before="60" w:after="60"/>
              <w:ind w:left="0"/>
              <w:jc w:val="left"/>
            </w:pPr>
            <w:r>
              <w:t>RTOs are training providers</w:t>
            </w:r>
            <w:r w:rsidR="00891291" w:rsidRPr="00F74889">
              <w:t xml:space="preserve"> registered by ASQA, the </w:t>
            </w:r>
            <w:r w:rsidR="00DA3A01" w:rsidRPr="00247713">
              <w:t>Victorian Registration and Qualifications Authority</w:t>
            </w:r>
            <w:r w:rsidR="00891291" w:rsidRPr="00F74889">
              <w:t xml:space="preserve"> (Victoria) or the Training Accreditation Council (WA) to deliver training and/or conduct assessment and issue nationally recognised qualifica</w:t>
            </w:r>
            <w:r w:rsidR="00D915CD">
              <w:t>tions in accordance with the Australian Quality Training Framework or the VET Quality Framework</w:t>
            </w:r>
            <w:r w:rsidR="00891291" w:rsidRPr="00F74889">
              <w:t xml:space="preserve">. </w:t>
            </w:r>
          </w:p>
          <w:p w14:paraId="582D7535" w14:textId="77777777" w:rsidR="00376460" w:rsidRPr="00EF5A5F" w:rsidRDefault="00D34C36" w:rsidP="00D16C57">
            <w:pPr>
              <w:pStyle w:val="TableBodyText"/>
              <w:keepNext w:val="0"/>
              <w:spacing w:before="60" w:after="60"/>
              <w:ind w:left="0"/>
              <w:jc w:val="left"/>
            </w:pPr>
            <w:r w:rsidRPr="00EF5A5F">
              <w:t>RTOs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w:t>
            </w:r>
          </w:p>
        </w:tc>
      </w:tr>
      <w:tr w:rsidR="00376460" w:rsidRPr="00EF5A5F" w14:paraId="21A35075" w14:textId="77777777" w:rsidTr="00C02515">
        <w:trPr>
          <w:cantSplit/>
        </w:trPr>
        <w:tc>
          <w:tcPr>
            <w:tcW w:w="2517" w:type="dxa"/>
            <w:shd w:val="clear" w:color="auto" w:fill="FFFFFF" w:themeFill="background1"/>
          </w:tcPr>
          <w:p w14:paraId="21D43839" w14:textId="77777777" w:rsidR="00376460" w:rsidRPr="00D16C57" w:rsidRDefault="00376460" w:rsidP="00D16C57">
            <w:pPr>
              <w:pStyle w:val="TableBodyText"/>
              <w:keepNext w:val="0"/>
              <w:spacing w:before="60" w:after="60"/>
              <w:ind w:left="0"/>
              <w:jc w:val="left"/>
              <w:rPr>
                <w:b/>
              </w:rPr>
            </w:pPr>
            <w:r w:rsidRPr="00D16C57">
              <w:rPr>
                <w:b/>
              </w:rPr>
              <w:lastRenderedPageBreak/>
              <w:t>Remoteness</w:t>
            </w:r>
          </w:p>
        </w:tc>
        <w:tc>
          <w:tcPr>
            <w:tcW w:w="6272" w:type="dxa"/>
            <w:shd w:val="clear" w:color="auto" w:fill="auto"/>
          </w:tcPr>
          <w:p w14:paraId="657DAEAF" w14:textId="77777777" w:rsidR="00376460" w:rsidRPr="00EF5A5F" w:rsidRDefault="0013512B" w:rsidP="009D51E6">
            <w:pPr>
              <w:pStyle w:val="TableBodyText"/>
              <w:keepNext w:val="0"/>
              <w:spacing w:before="60" w:after="60"/>
              <w:ind w:left="0"/>
              <w:jc w:val="left"/>
            </w:pPr>
            <w:r>
              <w:t>Remoteness areas are</w:t>
            </w:r>
            <w:r w:rsidRPr="0013512B">
              <w:t xml:space="preserve"> based on the </w:t>
            </w:r>
            <w:r w:rsidR="00F34E92">
              <w:t>Access/Remoteness Index of Australia (</w:t>
            </w:r>
            <w:r w:rsidRPr="0013512B">
              <w:t>ARIA+</w:t>
            </w:r>
            <w:r w:rsidR="00F34E92">
              <w:t>)</w:t>
            </w:r>
            <w:r w:rsidRPr="0013512B">
              <w:t xml:space="preserve">, developed by the </w:t>
            </w:r>
            <w:r w:rsidR="00F34E92">
              <w:t>National Centre for Social Applications of Geographic Information Syste</w:t>
            </w:r>
            <w:r w:rsidR="009D51E6">
              <w:t>ms</w:t>
            </w:r>
            <w:r w:rsidRPr="0013512B">
              <w:t xml:space="preserve">. ARIA+ is based on ABS </w:t>
            </w:r>
            <w:r>
              <w:t>Australian Statistical Geography</w:t>
            </w:r>
            <w:r w:rsidR="00F34E92">
              <w:t xml:space="preserve"> Standard Statistical Area Level 2</w:t>
            </w:r>
            <w:r w:rsidRPr="0013512B">
              <w:t xml:space="preserve"> regions.</w:t>
            </w:r>
            <w:r>
              <w:t xml:space="preserve"> Remoteness areas include major cities, inner and outer regional areas, and remote and very remote areas.</w:t>
            </w:r>
          </w:p>
        </w:tc>
      </w:tr>
      <w:tr w:rsidR="00884327" w:rsidRPr="00EF5A5F" w14:paraId="401BEDBB" w14:textId="77777777" w:rsidTr="00C02515">
        <w:trPr>
          <w:cantSplit/>
        </w:trPr>
        <w:tc>
          <w:tcPr>
            <w:tcW w:w="2517" w:type="dxa"/>
            <w:shd w:val="clear" w:color="auto" w:fill="FFFFFF" w:themeFill="background1"/>
          </w:tcPr>
          <w:p w14:paraId="11526D07" w14:textId="77777777" w:rsidR="00884327" w:rsidRPr="00D16C57" w:rsidRDefault="00884327" w:rsidP="00D16C57">
            <w:pPr>
              <w:pStyle w:val="TableBodyText"/>
              <w:keepNext w:val="0"/>
              <w:spacing w:before="60" w:after="60"/>
              <w:ind w:left="0"/>
              <w:jc w:val="left"/>
              <w:rPr>
                <w:b/>
              </w:rPr>
            </w:pPr>
            <w:r>
              <w:rPr>
                <w:b/>
              </w:rPr>
              <w:t>Skill sets</w:t>
            </w:r>
          </w:p>
        </w:tc>
        <w:tc>
          <w:tcPr>
            <w:tcW w:w="6272" w:type="dxa"/>
            <w:shd w:val="clear" w:color="auto" w:fill="auto"/>
          </w:tcPr>
          <w:p w14:paraId="222D54D3" w14:textId="77777777" w:rsidR="00884327" w:rsidRDefault="00884327" w:rsidP="00D16C57">
            <w:pPr>
              <w:pStyle w:val="TableBodyText"/>
              <w:keepNext w:val="0"/>
              <w:spacing w:before="60" w:after="60"/>
              <w:ind w:left="0"/>
              <w:jc w:val="left"/>
            </w:pPr>
            <w:r>
              <w:t>Are groupings of units of competency that are combined to provide a clearly defined statement of the skills and knowledge required by an individual to meet industry needs or licensing or regulatory requirement. They may be either a nationally recognised skill set, which is endorsed in a national training package, or a locally recognised skill set.</w:t>
            </w:r>
          </w:p>
        </w:tc>
      </w:tr>
      <w:tr w:rsidR="00884327" w:rsidRPr="00EF5A5F" w14:paraId="6E1BE21D" w14:textId="77777777" w:rsidTr="00C02515">
        <w:trPr>
          <w:cantSplit/>
        </w:trPr>
        <w:tc>
          <w:tcPr>
            <w:tcW w:w="2517" w:type="dxa"/>
            <w:shd w:val="clear" w:color="auto" w:fill="FFFFFF" w:themeFill="background1"/>
          </w:tcPr>
          <w:p w14:paraId="0A7BF8ED" w14:textId="77777777" w:rsidR="00884327" w:rsidRDefault="00884327" w:rsidP="00D16C57">
            <w:pPr>
              <w:pStyle w:val="TableBodyText"/>
              <w:keepNext w:val="0"/>
              <w:spacing w:before="60" w:after="60"/>
              <w:ind w:left="0"/>
              <w:jc w:val="left"/>
              <w:rPr>
                <w:b/>
              </w:rPr>
            </w:pPr>
            <w:r>
              <w:rPr>
                <w:b/>
              </w:rPr>
              <w:t>Students</w:t>
            </w:r>
          </w:p>
        </w:tc>
        <w:tc>
          <w:tcPr>
            <w:tcW w:w="6272" w:type="dxa"/>
            <w:shd w:val="clear" w:color="auto" w:fill="auto"/>
          </w:tcPr>
          <w:p w14:paraId="51095558" w14:textId="77777777" w:rsidR="00884327" w:rsidRDefault="00884327" w:rsidP="00D16C57">
            <w:pPr>
              <w:pStyle w:val="TableBodyText"/>
              <w:keepNext w:val="0"/>
              <w:spacing w:before="60" w:after="60"/>
              <w:ind w:left="0"/>
              <w:jc w:val="left"/>
            </w:pPr>
            <w:r>
              <w:t>Are individuals who were enrolled in a subject or completed a qualificat</w:t>
            </w:r>
            <w:r w:rsidR="00FE2E02">
              <w:t>ion during the reporting period.</w:t>
            </w:r>
          </w:p>
        </w:tc>
      </w:tr>
      <w:tr w:rsidR="00D34C36" w:rsidRPr="00EF5A5F" w14:paraId="0A38F1DE" w14:textId="77777777" w:rsidTr="00C02515">
        <w:trPr>
          <w:cantSplit/>
        </w:trPr>
        <w:tc>
          <w:tcPr>
            <w:tcW w:w="2517" w:type="dxa"/>
          </w:tcPr>
          <w:p w14:paraId="3EBE67E0" w14:textId="77777777" w:rsidR="00D34C36" w:rsidRPr="00D16C57" w:rsidRDefault="008B530A" w:rsidP="00D16C57">
            <w:pPr>
              <w:pStyle w:val="TableBodyText"/>
              <w:keepNext w:val="0"/>
              <w:spacing w:before="60" w:after="60"/>
              <w:ind w:left="0"/>
              <w:jc w:val="left"/>
              <w:rPr>
                <w:b/>
              </w:rPr>
            </w:pPr>
            <w:r>
              <w:rPr>
                <w:b/>
              </w:rPr>
              <w:t>Technical and further education (</w:t>
            </w:r>
            <w:r w:rsidR="00D34C36" w:rsidRPr="00D16C57">
              <w:rPr>
                <w:b/>
              </w:rPr>
              <w:t>TAFE</w:t>
            </w:r>
            <w:r>
              <w:rPr>
                <w:b/>
              </w:rPr>
              <w:t>) institutes</w:t>
            </w:r>
          </w:p>
        </w:tc>
        <w:tc>
          <w:tcPr>
            <w:tcW w:w="6272" w:type="dxa"/>
            <w:shd w:val="clear" w:color="auto" w:fill="auto"/>
          </w:tcPr>
          <w:p w14:paraId="29A3C13C" w14:textId="77777777" w:rsidR="00D34C36" w:rsidRPr="00EF5A5F" w:rsidRDefault="008B530A" w:rsidP="008B530A">
            <w:pPr>
              <w:pStyle w:val="TableBodyText"/>
              <w:keepNext w:val="0"/>
              <w:spacing w:before="60" w:after="60"/>
              <w:ind w:left="0"/>
              <w:jc w:val="left"/>
            </w:pPr>
            <w:r>
              <w:t>Are government training providers that provide a range of technical and vocational education and training courses and other programs.</w:t>
            </w:r>
          </w:p>
        </w:tc>
      </w:tr>
      <w:tr w:rsidR="006C2DAA" w:rsidRPr="00EF5A5F" w14:paraId="54BAC348" w14:textId="77777777" w:rsidTr="00C02515">
        <w:trPr>
          <w:cantSplit/>
        </w:trPr>
        <w:tc>
          <w:tcPr>
            <w:tcW w:w="2517" w:type="dxa"/>
          </w:tcPr>
          <w:p w14:paraId="45A387AC" w14:textId="77777777" w:rsidR="006C2DAA" w:rsidRPr="00D16C57" w:rsidRDefault="006C2DAA" w:rsidP="00D16C57">
            <w:pPr>
              <w:pStyle w:val="TableBodyText"/>
              <w:keepNext w:val="0"/>
              <w:spacing w:before="60" w:after="60"/>
              <w:ind w:left="0"/>
              <w:jc w:val="left"/>
              <w:rPr>
                <w:b/>
              </w:rPr>
            </w:pPr>
            <w:r>
              <w:rPr>
                <w:b/>
              </w:rPr>
              <w:t>Total VET</w:t>
            </w:r>
          </w:p>
        </w:tc>
        <w:tc>
          <w:tcPr>
            <w:tcW w:w="6272" w:type="dxa"/>
            <w:shd w:val="clear" w:color="auto" w:fill="auto"/>
          </w:tcPr>
          <w:p w14:paraId="2D98A9E7" w14:textId="166A7140" w:rsidR="006C2DAA" w:rsidRPr="00EF5A5F" w:rsidRDefault="00903468" w:rsidP="00903468">
            <w:pPr>
              <w:pStyle w:val="TableBodyText"/>
              <w:keepNext w:val="0"/>
              <w:spacing w:before="60" w:after="60"/>
              <w:ind w:left="0"/>
              <w:jc w:val="left"/>
            </w:pPr>
            <w:r w:rsidRPr="00903468">
              <w:t>Total VET refers to nationally recognised vocational education and training activity delivered by Australian registered training organisations (RTOs) to students who undertook nationally recognised VET on a government funded or fee-for-service basis. All data for non-nationally recognised training and delivery from non-registered training providers have been excluded from reporting of total VET activity (backdated to, and including, data for 2015).</w:t>
            </w:r>
          </w:p>
        </w:tc>
      </w:tr>
      <w:tr w:rsidR="00D34C36" w:rsidRPr="00EF5A5F" w14:paraId="24D69673" w14:textId="77777777" w:rsidTr="00C02515">
        <w:trPr>
          <w:cantSplit/>
        </w:trPr>
        <w:tc>
          <w:tcPr>
            <w:tcW w:w="2517" w:type="dxa"/>
          </w:tcPr>
          <w:p w14:paraId="1BE27C1F" w14:textId="77777777" w:rsidR="00D34C36" w:rsidRPr="00D16C57" w:rsidRDefault="00D34C36" w:rsidP="00D16C57">
            <w:pPr>
              <w:pStyle w:val="TableBodyText"/>
              <w:keepNext w:val="0"/>
              <w:spacing w:before="60" w:after="60"/>
              <w:ind w:left="0"/>
              <w:jc w:val="left"/>
              <w:rPr>
                <w:b/>
              </w:rPr>
            </w:pPr>
            <w:r w:rsidRPr="00D16C57">
              <w:rPr>
                <w:b/>
              </w:rPr>
              <w:t>Training packages</w:t>
            </w:r>
          </w:p>
        </w:tc>
        <w:tc>
          <w:tcPr>
            <w:tcW w:w="6272" w:type="dxa"/>
            <w:shd w:val="clear" w:color="auto" w:fill="auto"/>
          </w:tcPr>
          <w:p w14:paraId="5AC0785E" w14:textId="77777777" w:rsidR="00891291" w:rsidRPr="00EF5A5F" w:rsidRDefault="00884327" w:rsidP="00D16C57">
            <w:pPr>
              <w:pStyle w:val="TableBodyText"/>
              <w:keepNext w:val="0"/>
              <w:spacing w:before="60" w:after="60"/>
              <w:ind w:left="0"/>
              <w:jc w:val="left"/>
            </w:pPr>
            <w:r>
              <w:t xml:space="preserve">Comprise a set of nationally endorsed standards, guidelines and qualifications for training and for recognising and assessing skills. They are developed by industry with the aim of meeting the needs of an industry or group of industries. </w:t>
            </w:r>
          </w:p>
        </w:tc>
      </w:tr>
      <w:tr w:rsidR="000116A4" w:rsidRPr="00EF5A5F" w14:paraId="16AB02AE" w14:textId="77777777" w:rsidTr="00C02515">
        <w:trPr>
          <w:cantSplit/>
        </w:trPr>
        <w:tc>
          <w:tcPr>
            <w:tcW w:w="2517" w:type="dxa"/>
          </w:tcPr>
          <w:p w14:paraId="57568D9F" w14:textId="77777777" w:rsidR="000116A4" w:rsidRPr="00D16C57" w:rsidRDefault="000116A4" w:rsidP="00D16C57">
            <w:pPr>
              <w:pStyle w:val="TableBodyText"/>
              <w:keepNext w:val="0"/>
              <w:spacing w:before="60" w:after="60"/>
              <w:ind w:left="0"/>
              <w:jc w:val="left"/>
              <w:rPr>
                <w:b/>
              </w:rPr>
            </w:pPr>
            <w:r>
              <w:rPr>
                <w:b/>
              </w:rPr>
              <w:t>Training providers</w:t>
            </w:r>
          </w:p>
        </w:tc>
        <w:tc>
          <w:tcPr>
            <w:tcW w:w="6272" w:type="dxa"/>
            <w:shd w:val="clear" w:color="auto" w:fill="auto"/>
          </w:tcPr>
          <w:p w14:paraId="2E83F06B" w14:textId="77777777" w:rsidR="000116A4" w:rsidRDefault="000116A4" w:rsidP="00D16C57">
            <w:pPr>
              <w:pStyle w:val="TableBodyText"/>
              <w:keepNext w:val="0"/>
              <w:spacing w:before="60" w:after="60"/>
              <w:ind w:left="0"/>
              <w:jc w:val="left"/>
            </w:pPr>
            <w:r>
              <w:t>Are organisations that deliver VET programs. Training providers include private training providers, schools, community education providers, enterprise providers, TAFE institutes and universities.</w:t>
            </w:r>
          </w:p>
        </w:tc>
      </w:tr>
      <w:tr w:rsidR="00D34C36" w:rsidRPr="00EF5A5F" w14:paraId="2059BDC4" w14:textId="77777777" w:rsidTr="00C02515">
        <w:trPr>
          <w:cantSplit/>
        </w:trPr>
        <w:tc>
          <w:tcPr>
            <w:tcW w:w="2517" w:type="dxa"/>
          </w:tcPr>
          <w:p w14:paraId="39927D77" w14:textId="77777777" w:rsidR="00D34C36" w:rsidRPr="00D16C57" w:rsidRDefault="00D34C36" w:rsidP="00D16C57">
            <w:pPr>
              <w:pStyle w:val="TableBodyText"/>
              <w:keepNext w:val="0"/>
              <w:spacing w:before="60" w:after="60"/>
              <w:ind w:left="0"/>
              <w:jc w:val="left"/>
              <w:rPr>
                <w:b/>
              </w:rPr>
            </w:pPr>
            <w:r w:rsidRPr="00D16C57">
              <w:rPr>
                <w:b/>
              </w:rPr>
              <w:t>Unit of competency</w:t>
            </w:r>
          </w:p>
        </w:tc>
        <w:tc>
          <w:tcPr>
            <w:tcW w:w="6272" w:type="dxa"/>
            <w:shd w:val="clear" w:color="auto" w:fill="auto"/>
          </w:tcPr>
          <w:p w14:paraId="43E4172C" w14:textId="77777777" w:rsidR="00D34C36" w:rsidRPr="00EF5A5F" w:rsidRDefault="00D34C36" w:rsidP="00D16C57">
            <w:pPr>
              <w:pStyle w:val="TableBodyText"/>
              <w:keepNext w:val="0"/>
              <w:spacing w:before="60" w:after="60"/>
              <w:ind w:left="0"/>
              <w:jc w:val="left"/>
            </w:pPr>
            <w:r w:rsidRPr="00EF5A5F">
              <w:t xml:space="preserve">A unit of competency is the smallest component </w:t>
            </w:r>
            <w:r w:rsidR="00E629A5" w:rsidRPr="00EF5A5F">
              <w:t>of a VET program that</w:t>
            </w:r>
            <w:r w:rsidRPr="00EF5A5F">
              <w:t xml:space="preserve"> can be assessed and recognised in the VET system for collection purposes.</w:t>
            </w:r>
          </w:p>
        </w:tc>
      </w:tr>
      <w:tr w:rsidR="003F412D" w:rsidRPr="00EF5A5F" w14:paraId="3EF11AF7" w14:textId="77777777" w:rsidTr="00C02515">
        <w:trPr>
          <w:cantSplit/>
        </w:trPr>
        <w:tc>
          <w:tcPr>
            <w:tcW w:w="2517" w:type="dxa"/>
          </w:tcPr>
          <w:p w14:paraId="2DD1C652" w14:textId="77777777" w:rsidR="003F412D" w:rsidRPr="00D16C57" w:rsidRDefault="003F412D" w:rsidP="003545E2">
            <w:pPr>
              <w:pStyle w:val="TableBodyText"/>
              <w:keepNext w:val="0"/>
              <w:spacing w:before="60" w:after="60"/>
              <w:ind w:left="0"/>
              <w:jc w:val="left"/>
              <w:rPr>
                <w:b/>
              </w:rPr>
            </w:pPr>
            <w:r w:rsidRPr="00D16C57">
              <w:rPr>
                <w:b/>
              </w:rPr>
              <w:t xml:space="preserve">User cost of capital </w:t>
            </w:r>
          </w:p>
        </w:tc>
        <w:tc>
          <w:tcPr>
            <w:tcW w:w="6272" w:type="dxa"/>
            <w:shd w:val="clear" w:color="auto" w:fill="auto"/>
          </w:tcPr>
          <w:p w14:paraId="63B20184" w14:textId="77777777" w:rsidR="007000E7" w:rsidRPr="00EF5A5F" w:rsidRDefault="003545E2" w:rsidP="003545E2">
            <w:pPr>
              <w:pStyle w:val="TableBodyText"/>
              <w:keepNext w:val="0"/>
              <w:spacing w:before="60" w:after="60"/>
              <w:ind w:left="0"/>
              <w:jc w:val="left"/>
            </w:pPr>
            <w:r>
              <w:t>T</w:t>
            </w:r>
            <w:r w:rsidR="007000E7" w:rsidRPr="00EF5A5F">
              <w:t>he opportunity cost of funds tied up in the capital used to deliver services, calculated as 8 per cent of the total value of the physical non</w:t>
            </w:r>
            <w:r w:rsidR="00AD5F7E">
              <w:noBreakHyphen/>
            </w:r>
            <w:r>
              <w:t>current assets.</w:t>
            </w:r>
          </w:p>
        </w:tc>
      </w:tr>
      <w:tr w:rsidR="000116A4" w:rsidRPr="00EF5A5F" w14:paraId="355799CE" w14:textId="77777777" w:rsidTr="00C02515">
        <w:trPr>
          <w:cantSplit/>
        </w:trPr>
        <w:tc>
          <w:tcPr>
            <w:tcW w:w="2517" w:type="dxa"/>
          </w:tcPr>
          <w:p w14:paraId="42A452CB" w14:textId="77777777" w:rsidR="000116A4" w:rsidRPr="00D16C57" w:rsidRDefault="000116A4" w:rsidP="003545E2">
            <w:pPr>
              <w:pStyle w:val="TableBodyText"/>
              <w:keepNext w:val="0"/>
              <w:spacing w:before="60" w:after="60"/>
              <w:ind w:left="0"/>
              <w:jc w:val="left"/>
              <w:rPr>
                <w:b/>
              </w:rPr>
            </w:pPr>
            <w:r>
              <w:rPr>
                <w:b/>
              </w:rPr>
              <w:t>Vocational education and training (VET)</w:t>
            </w:r>
          </w:p>
        </w:tc>
        <w:tc>
          <w:tcPr>
            <w:tcW w:w="6272" w:type="dxa"/>
            <w:shd w:val="clear" w:color="auto" w:fill="auto"/>
          </w:tcPr>
          <w:p w14:paraId="35090027" w14:textId="77777777" w:rsidR="000116A4" w:rsidRDefault="000116A4" w:rsidP="003545E2">
            <w:pPr>
              <w:pStyle w:val="TableBodyText"/>
              <w:keepNext w:val="0"/>
              <w:spacing w:before="60" w:after="60"/>
              <w:ind w:left="0"/>
              <w:jc w:val="left"/>
            </w:pPr>
            <w:r>
              <w:t>Is post</w:t>
            </w:r>
            <w:r w:rsidR="00891079">
              <w:noBreakHyphen/>
            </w:r>
            <w:r>
              <w:t>compulsory education and training that provides people with occupational or work</w:t>
            </w:r>
            <w:r w:rsidR="00891079">
              <w:noBreakHyphen/>
            </w:r>
            <w:r>
              <w:t>related knowledge and skills. VET also includes programs that provide the basis for subsequent vocational programs.</w:t>
            </w:r>
          </w:p>
        </w:tc>
      </w:tr>
      <w:tr w:rsidR="00D34C36" w:rsidRPr="00EF5A5F" w14:paraId="09E173E4" w14:textId="77777777" w:rsidTr="00C02515">
        <w:trPr>
          <w:cantSplit/>
        </w:trPr>
        <w:tc>
          <w:tcPr>
            <w:tcW w:w="2517" w:type="dxa"/>
          </w:tcPr>
          <w:p w14:paraId="7CB4522B" w14:textId="77777777" w:rsidR="00D34C36" w:rsidRPr="00D16C57" w:rsidRDefault="00D34C36" w:rsidP="00D16C57">
            <w:pPr>
              <w:pStyle w:val="TableBodyText"/>
              <w:keepNext w:val="0"/>
              <w:spacing w:before="60" w:after="60"/>
              <w:ind w:left="0"/>
              <w:jc w:val="left"/>
              <w:rPr>
                <w:b/>
              </w:rPr>
            </w:pPr>
            <w:r w:rsidRPr="00D16C57">
              <w:rPr>
                <w:b/>
              </w:rPr>
              <w:t>VET participation</w:t>
            </w:r>
          </w:p>
        </w:tc>
        <w:tc>
          <w:tcPr>
            <w:tcW w:w="6272" w:type="dxa"/>
          </w:tcPr>
          <w:p w14:paraId="2CC12FC3" w14:textId="77777777" w:rsidR="00F758BD" w:rsidRPr="00EF5A5F" w:rsidRDefault="00DD736F" w:rsidP="00D16C57">
            <w:pPr>
              <w:pStyle w:val="TableBodyText"/>
              <w:keepNext w:val="0"/>
              <w:spacing w:before="60" w:after="60"/>
              <w:ind w:left="0"/>
              <w:jc w:val="left"/>
            </w:pPr>
            <w:r>
              <w:t xml:space="preserve">VET participation is measured by students, which are defined as individuals who were enrolled in a subject or completed a qualification during the reporting period. </w:t>
            </w:r>
          </w:p>
          <w:p w14:paraId="0A52144D" w14:textId="77777777" w:rsidR="00744EE9" w:rsidRPr="00EF5A5F" w:rsidRDefault="00F758BD" w:rsidP="00B619B8">
            <w:pPr>
              <w:pStyle w:val="TableBodyText"/>
              <w:keepNext w:val="0"/>
              <w:spacing w:before="60" w:after="60"/>
              <w:ind w:left="0"/>
              <w:jc w:val="left"/>
            </w:pPr>
            <w:r w:rsidRPr="00EF5A5F">
              <w:t>A VET student may be enrolled in more than one VET training program</w:t>
            </w:r>
            <w:r w:rsidR="00B619B8">
              <w:t>, and therefore there are more enrolments in the VET system than students</w:t>
            </w:r>
            <w:r w:rsidRPr="00EF5A5F">
              <w:t xml:space="preserve">. </w:t>
            </w:r>
          </w:p>
        </w:tc>
      </w:tr>
      <w:tr w:rsidR="00D34C36" w:rsidRPr="00EF5A5F" w14:paraId="758AE624" w14:textId="77777777" w:rsidTr="00C02515">
        <w:trPr>
          <w:cantSplit/>
        </w:trPr>
        <w:tc>
          <w:tcPr>
            <w:tcW w:w="2517" w:type="dxa"/>
          </w:tcPr>
          <w:p w14:paraId="2927A1DC" w14:textId="77777777" w:rsidR="00D34C36" w:rsidRPr="00D16C57" w:rsidRDefault="00D34C36" w:rsidP="00D16C57">
            <w:pPr>
              <w:pStyle w:val="TableBodyText"/>
              <w:keepNext w:val="0"/>
              <w:spacing w:before="60" w:after="60"/>
              <w:ind w:left="0"/>
              <w:jc w:val="left"/>
              <w:rPr>
                <w:b/>
              </w:rPr>
            </w:pPr>
            <w:r w:rsidRPr="00D16C57">
              <w:rPr>
                <w:b/>
              </w:rPr>
              <w:t>VET program</w:t>
            </w:r>
          </w:p>
        </w:tc>
        <w:tc>
          <w:tcPr>
            <w:tcW w:w="6272" w:type="dxa"/>
          </w:tcPr>
          <w:p w14:paraId="707938F4" w14:textId="77777777" w:rsidR="00D34C36" w:rsidRPr="00EF5A5F" w:rsidRDefault="00D34C36" w:rsidP="00D16C57">
            <w:pPr>
              <w:pStyle w:val="TableBodyText"/>
              <w:keepNext w:val="0"/>
              <w:spacing w:before="60" w:after="60"/>
              <w:ind w:left="0"/>
              <w:jc w:val="left"/>
            </w:pPr>
            <w:r w:rsidRPr="00EF5A5F">
              <w:t xml:space="preserve">A course or module offered by a training organisation in which students may enrol </w:t>
            </w:r>
            <w:r w:rsidR="00002875">
              <w:t xml:space="preserve">to develop </w:t>
            </w:r>
            <w:r w:rsidRPr="00EF5A5F">
              <w:t>work</w:t>
            </w:r>
            <w:r w:rsidR="00AD5F7E">
              <w:noBreakHyphen/>
            </w:r>
            <w:r w:rsidRPr="00EF5A5F">
              <w:t>related knowledge and skills.</w:t>
            </w:r>
          </w:p>
        </w:tc>
      </w:tr>
      <w:tr w:rsidR="00AA7776" w:rsidRPr="00EF5A5F" w14:paraId="29628A5B" w14:textId="77777777" w:rsidTr="00C02515">
        <w:trPr>
          <w:cantSplit/>
        </w:trPr>
        <w:tc>
          <w:tcPr>
            <w:tcW w:w="2517" w:type="dxa"/>
          </w:tcPr>
          <w:p w14:paraId="6CABFCDE" w14:textId="77777777" w:rsidR="00AA7776" w:rsidRPr="00D16C57" w:rsidRDefault="00AA7776" w:rsidP="00D16C57">
            <w:pPr>
              <w:pStyle w:val="TableBodyText"/>
              <w:keepNext w:val="0"/>
              <w:spacing w:before="60" w:after="60"/>
              <w:ind w:left="0"/>
              <w:jc w:val="left"/>
              <w:rPr>
                <w:b/>
              </w:rPr>
            </w:pPr>
            <w:r>
              <w:rPr>
                <w:b/>
              </w:rPr>
              <w:t>VET Student Loans</w:t>
            </w:r>
          </w:p>
        </w:tc>
        <w:tc>
          <w:tcPr>
            <w:tcW w:w="6272" w:type="dxa"/>
          </w:tcPr>
          <w:p w14:paraId="1D10D25A" w14:textId="77777777" w:rsidR="00AA7776" w:rsidRPr="00EF5A5F" w:rsidRDefault="00AA7776" w:rsidP="00D16C57">
            <w:pPr>
              <w:pStyle w:val="TableBodyText"/>
              <w:keepNext w:val="0"/>
              <w:spacing w:before="60" w:after="60"/>
              <w:ind w:left="0"/>
              <w:jc w:val="left"/>
            </w:pPr>
            <w:r>
              <w:t>Commenced on 1</w:t>
            </w:r>
            <w:r w:rsidR="00891079">
              <w:t> </w:t>
            </w:r>
            <w:r>
              <w:t>January 2017, replacing the VET FEE</w:t>
            </w:r>
            <w:r w:rsidR="00891079">
              <w:noBreakHyphen/>
            </w:r>
            <w:r>
              <w:t>HELP scheme. It offers income contingent loan support to eligible students studying diploma level and above VET qualifications.</w:t>
            </w:r>
          </w:p>
        </w:tc>
      </w:tr>
    </w:tbl>
    <w:p w14:paraId="44629FB9" w14:textId="48C3B10D" w:rsidR="001B62F2" w:rsidRDefault="00136B2A" w:rsidP="00660FA7">
      <w:pPr>
        <w:pStyle w:val="Heading2"/>
      </w:pPr>
      <w:bookmarkStart w:id="31" w:name="_Toc341279246"/>
      <w:bookmarkStart w:id="32" w:name="_Toc492379200"/>
      <w:r>
        <w:t>5.</w:t>
      </w:r>
      <w:r w:rsidR="006300E8">
        <w:rPr>
          <w:noProof/>
        </w:rPr>
        <w:t>5</w:t>
      </w:r>
      <w:r w:rsidR="00D660C5">
        <w:tab/>
      </w:r>
      <w:r w:rsidR="00C57336" w:rsidRPr="00EF5A5F">
        <w:t>References</w:t>
      </w:r>
      <w:bookmarkEnd w:id="31"/>
      <w:bookmarkEnd w:id="32"/>
    </w:p>
    <w:p w14:paraId="1AFC18EA" w14:textId="0A689E87" w:rsidR="003E0620" w:rsidRDefault="003E0620" w:rsidP="003E0620">
      <w:pPr>
        <w:pStyle w:val="Reference"/>
      </w:pPr>
      <w:r w:rsidRPr="007162F2">
        <w:t>ABS (Australian Bureau of Statistics)</w:t>
      </w:r>
      <w:r>
        <w:t xml:space="preserve"> 2017</w:t>
      </w:r>
      <w:r w:rsidRPr="007162F2">
        <w:t xml:space="preserve">, </w:t>
      </w:r>
      <w:r w:rsidRPr="003E0620">
        <w:rPr>
          <w:i/>
        </w:rPr>
        <w:t>Work-Related Training and Learning</w:t>
      </w:r>
      <w:r w:rsidRPr="007162F2">
        <w:rPr>
          <w:i/>
        </w:rPr>
        <w:t>,</w:t>
      </w:r>
      <w:r>
        <w:rPr>
          <w:i/>
        </w:rPr>
        <w:t xml:space="preserve"> Australia</w:t>
      </w:r>
      <w:r>
        <w:t xml:space="preserve"> 2016</w:t>
      </w:r>
      <w:r>
        <w:noBreakHyphen/>
        <w:t>17 Cat. no. 4234</w:t>
      </w:r>
      <w:r w:rsidRPr="007162F2">
        <w:t xml:space="preserve">.0, Canberra. </w:t>
      </w:r>
    </w:p>
    <w:p w14:paraId="34854F2C" w14:textId="68A256A1" w:rsidR="00A407DD" w:rsidRPr="007162F2" w:rsidRDefault="00A407DD" w:rsidP="003E0620">
      <w:pPr>
        <w:pStyle w:val="Reference"/>
      </w:pPr>
      <w:r>
        <w:t xml:space="preserve">ASQA (Australian Skills Quality Authority) 2019, </w:t>
      </w:r>
      <w:r w:rsidRPr="00206DBC">
        <w:rPr>
          <w:i/>
        </w:rPr>
        <w:t>Regulatory Strategy 2019-21</w:t>
      </w:r>
      <w:r>
        <w:t>, Canberra.</w:t>
      </w:r>
    </w:p>
    <w:p w14:paraId="1F33AA42" w14:textId="5108729C" w:rsidR="00383496" w:rsidRPr="00EF5A5F" w:rsidRDefault="00C57336" w:rsidP="00293967">
      <w:pPr>
        <w:pStyle w:val="Reference"/>
      </w:pPr>
      <w:r w:rsidRPr="0013512B">
        <w:lastRenderedPageBreak/>
        <w:t>NCVER (National Centre for Vocational Education Research)</w:t>
      </w:r>
      <w:r w:rsidR="006561F7" w:rsidRPr="0013512B">
        <w:t> </w:t>
      </w:r>
      <w:r w:rsidR="00387D05">
        <w:t>2019</w:t>
      </w:r>
      <w:r w:rsidR="00FA54E9" w:rsidRPr="0013512B">
        <w:t xml:space="preserve">, </w:t>
      </w:r>
      <w:r w:rsidR="00EA7E08" w:rsidRPr="0013512B">
        <w:rPr>
          <w:i/>
        </w:rPr>
        <w:t xml:space="preserve">Australian vocational education and training statistics: </w:t>
      </w:r>
      <w:r w:rsidR="00660FA7" w:rsidRPr="0013512B">
        <w:rPr>
          <w:i/>
        </w:rPr>
        <w:t>VET student o</w:t>
      </w:r>
      <w:r w:rsidR="00EC50D4">
        <w:rPr>
          <w:i/>
        </w:rPr>
        <w:t xml:space="preserve">utcomes </w:t>
      </w:r>
      <w:r w:rsidR="00387D05">
        <w:rPr>
          <w:i/>
        </w:rPr>
        <w:t>2019</w:t>
      </w:r>
      <w:r w:rsidR="00FA54E9" w:rsidRPr="0013512B">
        <w:t>, Adelaide.</w:t>
      </w:r>
    </w:p>
    <w:sectPr w:rsidR="00383496" w:rsidRPr="00EF5A5F" w:rsidSect="00056584">
      <w:headerReference w:type="even" r:id="rId19"/>
      <w:headerReference w:type="default" r:id="rId20"/>
      <w:footerReference w:type="even" r:id="rId21"/>
      <w:footerReference w:type="default" r:id="rId22"/>
      <w:pgSz w:w="11907" w:h="16840" w:code="9"/>
      <w:pgMar w:top="1984" w:right="1304" w:bottom="993"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644A6" w14:textId="77777777" w:rsidR="009374D8" w:rsidRDefault="009374D8">
      <w:r>
        <w:separator/>
      </w:r>
    </w:p>
  </w:endnote>
  <w:endnote w:type="continuationSeparator" w:id="0">
    <w:p w14:paraId="2A833B52" w14:textId="77777777" w:rsidR="009374D8" w:rsidRDefault="0093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374D8" w14:paraId="5B1C97F5" w14:textId="77777777" w:rsidTr="00B56B5F">
      <w:trPr>
        <w:trHeight w:hRule="exact" w:val="567"/>
      </w:trPr>
      <w:tc>
        <w:tcPr>
          <w:tcW w:w="510" w:type="dxa"/>
        </w:tcPr>
        <w:p w14:paraId="1833C28D" w14:textId="77777777" w:rsidR="009374D8" w:rsidRPr="00A24443" w:rsidRDefault="009374D8" w:rsidP="00B56B5F">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26EF3">
            <w:rPr>
              <w:rStyle w:val="PageNumber"/>
              <w:caps w:val="0"/>
              <w:noProof/>
            </w:rPr>
            <w:t>2</w:t>
          </w:r>
          <w:r w:rsidRPr="00A24443">
            <w:rPr>
              <w:rStyle w:val="PageNumber"/>
              <w:caps w:val="0"/>
            </w:rPr>
            <w:fldChar w:fldCharType="end"/>
          </w:r>
        </w:p>
      </w:tc>
      <w:tc>
        <w:tcPr>
          <w:tcW w:w="7767" w:type="dxa"/>
        </w:tcPr>
        <w:p w14:paraId="14BB60D6" w14:textId="493B5C91" w:rsidR="009374D8" w:rsidRPr="0013739A" w:rsidRDefault="009374D8" w:rsidP="00405B5B">
          <w:pPr>
            <w:pStyle w:val="Footer"/>
            <w:rPr>
              <w:rFonts w:cs="Arial"/>
            </w:rPr>
          </w:pPr>
          <w:bookmarkStart w:id="33" w:name="DraftReportEven"/>
          <w:bookmarkEnd w:id="33"/>
          <w:r>
            <w:rPr>
              <w:rFonts w:cs="Arial"/>
            </w:rPr>
            <w:t>REPORT ON GOVERNMENT SERVICES 2020</w:t>
          </w:r>
        </w:p>
      </w:tc>
      <w:tc>
        <w:tcPr>
          <w:tcW w:w="510" w:type="dxa"/>
        </w:tcPr>
        <w:p w14:paraId="737E9B66" w14:textId="77777777" w:rsidR="009374D8" w:rsidRDefault="009374D8" w:rsidP="00B56B5F">
          <w:pPr>
            <w:pStyle w:val="Footer"/>
          </w:pPr>
        </w:p>
      </w:tc>
    </w:tr>
  </w:tbl>
  <w:p w14:paraId="72FE6E3D" w14:textId="77777777" w:rsidR="009374D8" w:rsidRDefault="009374D8" w:rsidP="00B56B5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374D8" w14:paraId="624F2920" w14:textId="77777777" w:rsidTr="002F6696">
      <w:trPr>
        <w:trHeight w:hRule="exact" w:val="567"/>
      </w:trPr>
      <w:tc>
        <w:tcPr>
          <w:tcW w:w="510" w:type="dxa"/>
        </w:tcPr>
        <w:p w14:paraId="6C2AEE1E" w14:textId="77777777" w:rsidR="009374D8" w:rsidRDefault="009374D8">
          <w:pPr>
            <w:pStyle w:val="Footer"/>
            <w:ind w:right="360" w:firstLine="360"/>
          </w:pPr>
        </w:p>
      </w:tc>
      <w:tc>
        <w:tcPr>
          <w:tcW w:w="7767" w:type="dxa"/>
        </w:tcPr>
        <w:p w14:paraId="45FDDD0C" w14:textId="09100441" w:rsidR="009374D8" w:rsidRPr="00BA5B14" w:rsidRDefault="009374D8" w:rsidP="002F6696">
          <w:pPr>
            <w:pStyle w:val="Footer"/>
            <w:jc w:val="right"/>
            <w:rPr>
              <w:rFonts w:cs="Arial"/>
            </w:rPr>
          </w:pPr>
          <w:r>
            <w:rPr>
              <w:rFonts w:cs="Arial"/>
            </w:rPr>
            <w:t>Vocational education and training</w:t>
          </w:r>
        </w:p>
      </w:tc>
      <w:tc>
        <w:tcPr>
          <w:tcW w:w="510" w:type="dxa"/>
        </w:tcPr>
        <w:p w14:paraId="371601C8" w14:textId="77777777" w:rsidR="009374D8" w:rsidRPr="00A24443" w:rsidRDefault="009374D8">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26EF3">
            <w:rPr>
              <w:rStyle w:val="PageNumber"/>
              <w:caps w:val="0"/>
              <w:noProof/>
            </w:rPr>
            <w:t>1</w:t>
          </w:r>
          <w:r w:rsidRPr="00A24443">
            <w:rPr>
              <w:rStyle w:val="PageNumber"/>
              <w:caps w:val="0"/>
            </w:rPr>
            <w:fldChar w:fldCharType="end"/>
          </w:r>
        </w:p>
      </w:tc>
    </w:tr>
  </w:tbl>
  <w:p w14:paraId="11E997CE" w14:textId="77777777" w:rsidR="009374D8" w:rsidRDefault="009374D8">
    <w:pPr>
      <w:pStyle w:val="FooterEnd"/>
    </w:pPr>
  </w:p>
  <w:p w14:paraId="497171E2" w14:textId="77777777" w:rsidR="009374D8" w:rsidRDefault="009374D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58DE" w14:textId="77777777" w:rsidR="009374D8" w:rsidRDefault="009374D8">
      <w:r>
        <w:separator/>
      </w:r>
    </w:p>
  </w:footnote>
  <w:footnote w:type="continuationSeparator" w:id="0">
    <w:p w14:paraId="51672AB1" w14:textId="77777777" w:rsidR="009374D8" w:rsidRDefault="009374D8">
      <w:r>
        <w:continuationSeparator/>
      </w:r>
    </w:p>
  </w:footnote>
  <w:footnote w:id="1">
    <w:p w14:paraId="04E9FA89" w14:textId="2B1F7A1E" w:rsidR="009374D8" w:rsidRDefault="009374D8">
      <w:pPr>
        <w:pStyle w:val="FootnoteText"/>
      </w:pPr>
      <w:r>
        <w:rPr>
          <w:rStyle w:val="FootnoteReference"/>
        </w:rPr>
        <w:footnoteRef/>
      </w:r>
      <w:r>
        <w:tab/>
      </w:r>
      <w:r w:rsidRPr="00DD0399">
        <w:t>Total VET refers to nationally recognised vocational education and training activity delivered by Australian registered training organisations (RTOs) to students who undertook nationally recognised VET on a government funded or fee-for-service basis. All data for non-nationally recognised training and delivery</w:t>
      </w:r>
      <w:r w:rsidRPr="00752422">
        <w:rPr>
          <w:shd w:val="clear" w:color="auto" w:fill="FFFF00"/>
        </w:rPr>
        <w:t xml:space="preserve"> </w:t>
      </w:r>
      <w:r w:rsidRPr="00DD0399">
        <w:t>from non-registered training providers have been excluded from reporting of total VET activity in this Report.</w:t>
      </w:r>
    </w:p>
  </w:footnote>
  <w:footnote w:id="2">
    <w:p w14:paraId="0F628BB4" w14:textId="163E7B43" w:rsidR="009374D8" w:rsidRDefault="009374D8" w:rsidP="00D243F3">
      <w:pPr>
        <w:pStyle w:val="FootnoteText"/>
      </w:pPr>
      <w:r>
        <w:rPr>
          <w:rStyle w:val="FootnoteReference"/>
        </w:rPr>
        <w:footnoteRef/>
      </w:r>
      <w:r>
        <w:tab/>
      </w:r>
      <w:r w:rsidRPr="00FF5874">
        <w:t xml:space="preserve">The Australian Government ministerial arrangement changed on </w:t>
      </w:r>
      <w:r>
        <w:t>29 May 2019</w:t>
      </w:r>
      <w:r w:rsidRPr="00FF5874">
        <w:t>.</w:t>
      </w:r>
    </w:p>
  </w:footnote>
  <w:footnote w:id="3">
    <w:p w14:paraId="3331735F" w14:textId="7DAB0D59" w:rsidR="009374D8" w:rsidRDefault="009374D8">
      <w:pPr>
        <w:pStyle w:val="FootnoteText"/>
      </w:pPr>
      <w:r w:rsidRPr="00821F91">
        <w:rPr>
          <w:rStyle w:val="FootnoteReference"/>
        </w:rPr>
        <w:footnoteRef/>
      </w:r>
      <w:r w:rsidRPr="00821F91">
        <w:tab/>
        <w:t>This figure references arrangement up to 30 June 2019. At its August 2019 meeting, COAG announced a new COAG Skills Council, which replaces the COAG Industry and Skills Council.</w:t>
      </w:r>
    </w:p>
  </w:footnote>
  <w:footnote w:id="4">
    <w:p w14:paraId="0FC1446E" w14:textId="038CABBA" w:rsidR="009374D8" w:rsidRDefault="009374D8">
      <w:pPr>
        <w:pStyle w:val="FootnoteText"/>
      </w:pPr>
      <w:r>
        <w:rPr>
          <w:rStyle w:val="FootnoteReference"/>
        </w:rPr>
        <w:footnoteRef/>
      </w:r>
      <w:r>
        <w:tab/>
      </w:r>
      <w:r w:rsidRPr="00821F91">
        <w:t xml:space="preserve">The six jurisdictions are NSW, WA, SA, Tasmania, the ACT and the NT. The </w:t>
      </w:r>
      <w:r w:rsidRPr="00821F91">
        <w:rPr>
          <w:i/>
        </w:rPr>
        <w:t xml:space="preserve">National Partnership Agreement on Skills Reform </w:t>
      </w:r>
      <w:r w:rsidRPr="00821F91">
        <w:t>ceased on 30 June 2017.</w:t>
      </w:r>
    </w:p>
  </w:footnote>
  <w:footnote w:id="5">
    <w:p w14:paraId="5F397E7A" w14:textId="77777777" w:rsidR="009374D8" w:rsidRDefault="009374D8">
      <w:pPr>
        <w:pStyle w:val="FootnoteText"/>
      </w:pPr>
      <w:r>
        <w:rPr>
          <w:rStyle w:val="FootnoteReference"/>
        </w:rPr>
        <w:footnoteRef/>
      </w:r>
      <w:r>
        <w:tab/>
        <w:t>As government-funded VET engagement of employers cannot be determined from the survey.</w:t>
      </w:r>
    </w:p>
  </w:footnote>
  <w:footnote w:id="6">
    <w:p w14:paraId="3BB60947" w14:textId="77777777" w:rsidR="009374D8" w:rsidRDefault="009374D8">
      <w:pPr>
        <w:pStyle w:val="FootnoteText"/>
      </w:pPr>
      <w:r>
        <w:rPr>
          <w:rStyle w:val="FootnoteReference"/>
        </w:rPr>
        <w:footnoteRef/>
      </w:r>
      <w:r>
        <w:tab/>
      </w:r>
      <w:r w:rsidRPr="00247713">
        <w:t xml:space="preserve">Care needs to be taken when interpreting changes over time in the proportion of </w:t>
      </w:r>
      <w:r>
        <w:t xml:space="preserve">enrolments </w:t>
      </w:r>
      <w:r w:rsidRPr="00247713">
        <w:t xml:space="preserve">completed </w:t>
      </w:r>
      <w:r>
        <w:t>at a higher qualification level</w:t>
      </w:r>
      <w:r w:rsidRPr="00247713">
        <w:t>. Due to the time lag between course enrolment (the denominator) and qualification completion (the numerator), this proportion may be affected by relatively large changes in enrolments year to year.</w:t>
      </w:r>
      <w:r w:rsidRPr="00B075B3">
        <w:rPr>
          <w:shd w:val="clear" w:color="auto" w:fill="FFFF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9374D8" w:rsidRPr="00E01A05" w14:paraId="2C6F301F" w14:textId="77777777">
      <w:tc>
        <w:tcPr>
          <w:tcW w:w="2155" w:type="dxa"/>
          <w:tcBorders>
            <w:top w:val="single" w:sz="24" w:space="0" w:color="auto"/>
          </w:tcBorders>
        </w:tcPr>
        <w:p w14:paraId="7298EFA1" w14:textId="77777777" w:rsidR="009374D8" w:rsidRPr="00E01A05" w:rsidRDefault="009374D8">
          <w:pPr>
            <w:pStyle w:val="HeaderEven"/>
          </w:pPr>
        </w:p>
      </w:tc>
      <w:tc>
        <w:tcPr>
          <w:tcW w:w="6634" w:type="dxa"/>
          <w:tcBorders>
            <w:top w:val="single" w:sz="6" w:space="0" w:color="auto"/>
          </w:tcBorders>
        </w:tcPr>
        <w:p w14:paraId="702DE9CC" w14:textId="426C3FA8" w:rsidR="009374D8" w:rsidRPr="00E01A05" w:rsidRDefault="009374D8" w:rsidP="004223A8">
          <w:pPr>
            <w:pStyle w:val="HeaderEven"/>
          </w:pPr>
        </w:p>
      </w:tc>
    </w:tr>
  </w:tbl>
  <w:p w14:paraId="4095D63A" w14:textId="77777777" w:rsidR="009374D8" w:rsidRPr="00061388" w:rsidRDefault="009374D8">
    <w:pPr>
      <w:pStyle w:val="HeaderEnd"/>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374D8" w14:paraId="7598AA6A" w14:textId="77777777">
      <w:tc>
        <w:tcPr>
          <w:tcW w:w="6634" w:type="dxa"/>
          <w:tcBorders>
            <w:top w:val="single" w:sz="6" w:space="0" w:color="auto"/>
          </w:tcBorders>
        </w:tcPr>
        <w:p w14:paraId="20282697" w14:textId="5E0A0B9C" w:rsidR="009374D8" w:rsidRDefault="009374D8" w:rsidP="002D6B8E">
          <w:pPr>
            <w:pStyle w:val="HeaderOdd"/>
          </w:pPr>
        </w:p>
      </w:tc>
      <w:tc>
        <w:tcPr>
          <w:tcW w:w="2155" w:type="dxa"/>
          <w:tcBorders>
            <w:top w:val="single" w:sz="24" w:space="0" w:color="auto"/>
          </w:tcBorders>
        </w:tcPr>
        <w:p w14:paraId="3F5D33CA" w14:textId="77777777" w:rsidR="009374D8" w:rsidRDefault="009374D8" w:rsidP="002F6696">
          <w:pPr>
            <w:pStyle w:val="HeaderOdd"/>
          </w:pPr>
        </w:p>
      </w:tc>
    </w:tr>
  </w:tbl>
  <w:p w14:paraId="7CCEA322" w14:textId="77777777" w:rsidR="009374D8" w:rsidRDefault="009374D8" w:rsidP="002F6696">
    <w:pPr>
      <w:pStyle w:val="HeaderEnd"/>
    </w:pPr>
  </w:p>
  <w:p w14:paraId="1E554EA8" w14:textId="77777777" w:rsidR="009374D8" w:rsidRPr="00061388" w:rsidRDefault="009374D8">
    <w:pPr>
      <w:pStyle w:val="HeaderEnd"/>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723213"/>
    <w:multiLevelType w:val="hybridMultilevel"/>
    <w:tmpl w:val="A3F80FD2"/>
    <w:lvl w:ilvl="0" w:tplc="DF1E429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509606D"/>
    <w:multiLevelType w:val="hybridMultilevel"/>
    <w:tmpl w:val="65A6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B8823CA"/>
    <w:multiLevelType w:val="hybridMultilevel"/>
    <w:tmpl w:val="82F0CFFE"/>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4634391"/>
    <w:multiLevelType w:val="multilevel"/>
    <w:tmpl w:val="B4BE7C3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CD85103"/>
    <w:multiLevelType w:val="multilevel"/>
    <w:tmpl w:val="254E8602"/>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5BD0D4D"/>
    <w:multiLevelType w:val="hybridMultilevel"/>
    <w:tmpl w:val="36C0D07A"/>
    <w:lvl w:ilvl="0" w:tplc="3FB470D0">
      <w:start w:val="20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E18105C"/>
    <w:multiLevelType w:val="hybridMultilevel"/>
    <w:tmpl w:val="A498080E"/>
    <w:lvl w:ilvl="0" w:tplc="0A7C9474">
      <w:start w:val="5"/>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15264B4"/>
    <w:multiLevelType w:val="hybridMultilevel"/>
    <w:tmpl w:val="EB9EBE92"/>
    <w:lvl w:ilvl="0" w:tplc="408A65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F6778"/>
    <w:multiLevelType w:val="hybridMultilevel"/>
    <w:tmpl w:val="65E0BC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74247"/>
    <w:multiLevelType w:val="multilevel"/>
    <w:tmpl w:val="76B0D57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15:restartNumberingAfterBreak="0">
    <w:nsid w:val="55015BCC"/>
    <w:multiLevelType w:val="hybridMultilevel"/>
    <w:tmpl w:val="D4FA39A6"/>
    <w:lvl w:ilvl="0" w:tplc="BD5E5A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15:restartNumberingAfterBreak="0">
    <w:nsid w:val="57504F04"/>
    <w:multiLevelType w:val="hybridMultilevel"/>
    <w:tmpl w:val="05D4035C"/>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C4A4774"/>
    <w:multiLevelType w:val="hybridMultilevel"/>
    <w:tmpl w:val="D0DC2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FA7A21"/>
    <w:multiLevelType w:val="multilevel"/>
    <w:tmpl w:val="14567720"/>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8622D0"/>
    <w:multiLevelType w:val="hybridMultilevel"/>
    <w:tmpl w:val="D162476E"/>
    <w:lvl w:ilvl="0" w:tplc="6EF4FEE8">
      <w:start w:val="20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8" w15:restartNumberingAfterBreak="0">
    <w:nsid w:val="7BFB21C6"/>
    <w:multiLevelType w:val="multilevel"/>
    <w:tmpl w:val="2BCCC082"/>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3"/>
  </w:num>
  <w:num w:numId="2">
    <w:abstractNumId w:val="5"/>
  </w:num>
  <w:num w:numId="3">
    <w:abstractNumId w:val="7"/>
  </w:num>
  <w:num w:numId="4">
    <w:abstractNumId w:val="11"/>
  </w:num>
  <w:num w:numId="5">
    <w:abstractNumId w:val="24"/>
  </w:num>
  <w:num w:numId="6">
    <w:abstractNumId w:val="19"/>
  </w:num>
  <w:num w:numId="7">
    <w:abstractNumId w:val="36"/>
  </w:num>
  <w:num w:numId="8">
    <w:abstractNumId w:val="37"/>
  </w:num>
  <w:num w:numId="9">
    <w:abstractNumId w:val="15"/>
  </w:num>
  <w:num w:numId="10">
    <w:abstractNumId w:val="25"/>
  </w:num>
  <w:num w:numId="11">
    <w:abstractNumId w:val="27"/>
  </w:num>
  <w:num w:numId="12">
    <w:abstractNumId w:val="4"/>
  </w:num>
  <w:num w:numId="13">
    <w:abstractNumId w:val="10"/>
  </w:num>
  <w:num w:numId="14">
    <w:abstractNumId w:val="9"/>
  </w:num>
  <w:num w:numId="15">
    <w:abstractNumId w:val="17"/>
  </w:num>
  <w:num w:numId="16">
    <w:abstractNumId w:val="22"/>
  </w:num>
  <w:num w:numId="17">
    <w:abstractNumId w:val="29"/>
  </w:num>
  <w:num w:numId="18">
    <w:abstractNumId w:val="32"/>
  </w:num>
  <w:num w:numId="19">
    <w:abstractNumId w:val="12"/>
  </w:num>
  <w:num w:numId="20">
    <w:abstractNumId w:val="34"/>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3"/>
  </w:num>
  <w:num w:numId="24">
    <w:abstractNumId w:val="19"/>
  </w:num>
  <w:num w:numId="25">
    <w:abstractNumId w:val="14"/>
  </w:num>
  <w:num w:numId="26">
    <w:abstractNumId w:val="13"/>
  </w:num>
  <w:num w:numId="27">
    <w:abstractNumId w:val="31"/>
  </w:num>
  <w:num w:numId="28">
    <w:abstractNumId w:val="38"/>
  </w:num>
  <w:num w:numId="29">
    <w:abstractNumId w:val="28"/>
  </w:num>
  <w:num w:numId="30">
    <w:abstractNumId w:val="8"/>
  </w:num>
  <w:num w:numId="31">
    <w:abstractNumId w:val="19"/>
  </w:num>
  <w:num w:numId="32">
    <w:abstractNumId w:val="19"/>
  </w:num>
  <w:num w:numId="33">
    <w:abstractNumId w:val="1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6"/>
  </w:num>
  <w:num w:numId="37">
    <w:abstractNumId w:val="21"/>
  </w:num>
  <w:num w:numId="38">
    <w:abstractNumId w:val="26"/>
  </w:num>
  <w:num w:numId="39">
    <w:abstractNumId w:val="24"/>
  </w:num>
  <w:num w:numId="40">
    <w:abstractNumId w:val="1"/>
  </w:num>
  <w:num w:numId="41">
    <w:abstractNumId w:val="19"/>
  </w:num>
  <w:num w:numId="42">
    <w:abstractNumId w:val="3"/>
  </w:num>
  <w:num w:numId="43">
    <w:abstractNumId w:val="20"/>
  </w:num>
  <w:num w:numId="44">
    <w:abstractNumId w:val="16"/>
  </w:num>
  <w:num w:numId="45">
    <w:abstractNumId w:val="25"/>
  </w:num>
  <w:num w:numId="46">
    <w:abstractNumId w:val="25"/>
  </w:num>
  <w:num w:numId="47">
    <w:abstractNumId w:val="30"/>
  </w:num>
  <w:num w:numId="48">
    <w:abstractNumId w:val="19"/>
  </w:num>
  <w:num w:numId="49">
    <w:abstractNumId w:val="18"/>
  </w:num>
  <w:num w:numId="5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40"/>
  <w:evenAndOddHeaders/>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VOCATIONAL EDUCATION AND TRAINING"/>
    <w:docVar w:name="ShortReportTitle" w:val="REPORT ON GOVERNMENT SERVICES 2015"/>
    <w:docVar w:name="SideNote" w:val="1"/>
    <w:docVar w:name="UseShortChapter" w:val="0"/>
    <w:docVar w:name="UseShortReport" w:val="0"/>
  </w:docVars>
  <w:rsids>
    <w:rsidRoot w:val="00260968"/>
    <w:rsid w:val="00000312"/>
    <w:rsid w:val="0000069A"/>
    <w:rsid w:val="00000709"/>
    <w:rsid w:val="00000CB0"/>
    <w:rsid w:val="00000F1C"/>
    <w:rsid w:val="0000144F"/>
    <w:rsid w:val="000019A7"/>
    <w:rsid w:val="00001D47"/>
    <w:rsid w:val="00001DB0"/>
    <w:rsid w:val="00002278"/>
    <w:rsid w:val="00002875"/>
    <w:rsid w:val="00003604"/>
    <w:rsid w:val="00003696"/>
    <w:rsid w:val="00003905"/>
    <w:rsid w:val="00003951"/>
    <w:rsid w:val="00003BBA"/>
    <w:rsid w:val="00003F4F"/>
    <w:rsid w:val="000040CE"/>
    <w:rsid w:val="000045E9"/>
    <w:rsid w:val="00004607"/>
    <w:rsid w:val="0000489F"/>
    <w:rsid w:val="00004931"/>
    <w:rsid w:val="000058E6"/>
    <w:rsid w:val="00005AE2"/>
    <w:rsid w:val="00005FDF"/>
    <w:rsid w:val="00006171"/>
    <w:rsid w:val="00006640"/>
    <w:rsid w:val="00006731"/>
    <w:rsid w:val="00006E79"/>
    <w:rsid w:val="0000717C"/>
    <w:rsid w:val="0000751B"/>
    <w:rsid w:val="00007AE0"/>
    <w:rsid w:val="000100D1"/>
    <w:rsid w:val="00010D5F"/>
    <w:rsid w:val="00010DB9"/>
    <w:rsid w:val="00010FDC"/>
    <w:rsid w:val="00011150"/>
    <w:rsid w:val="000116A4"/>
    <w:rsid w:val="000117AD"/>
    <w:rsid w:val="00011966"/>
    <w:rsid w:val="00011D95"/>
    <w:rsid w:val="00011DAE"/>
    <w:rsid w:val="00011F1A"/>
    <w:rsid w:val="000126FF"/>
    <w:rsid w:val="00012918"/>
    <w:rsid w:val="0001291F"/>
    <w:rsid w:val="00012B5D"/>
    <w:rsid w:val="00013586"/>
    <w:rsid w:val="000136C1"/>
    <w:rsid w:val="000137A4"/>
    <w:rsid w:val="00013FBD"/>
    <w:rsid w:val="00014134"/>
    <w:rsid w:val="0001465A"/>
    <w:rsid w:val="00014736"/>
    <w:rsid w:val="00014887"/>
    <w:rsid w:val="00014E9C"/>
    <w:rsid w:val="00015562"/>
    <w:rsid w:val="00015651"/>
    <w:rsid w:val="0001583B"/>
    <w:rsid w:val="000165D3"/>
    <w:rsid w:val="00016925"/>
    <w:rsid w:val="00016E6C"/>
    <w:rsid w:val="00017220"/>
    <w:rsid w:val="0001745A"/>
    <w:rsid w:val="00017903"/>
    <w:rsid w:val="00017E1A"/>
    <w:rsid w:val="00020268"/>
    <w:rsid w:val="000206DE"/>
    <w:rsid w:val="0002094F"/>
    <w:rsid w:val="00020A5A"/>
    <w:rsid w:val="00020B41"/>
    <w:rsid w:val="00020F96"/>
    <w:rsid w:val="0002116F"/>
    <w:rsid w:val="000212AC"/>
    <w:rsid w:val="000212E9"/>
    <w:rsid w:val="0002179D"/>
    <w:rsid w:val="00021D35"/>
    <w:rsid w:val="00022F9E"/>
    <w:rsid w:val="00023511"/>
    <w:rsid w:val="000238E7"/>
    <w:rsid w:val="00023CAF"/>
    <w:rsid w:val="00023DE3"/>
    <w:rsid w:val="000242F6"/>
    <w:rsid w:val="000242F9"/>
    <w:rsid w:val="000243B3"/>
    <w:rsid w:val="00024C02"/>
    <w:rsid w:val="00025073"/>
    <w:rsid w:val="000254A5"/>
    <w:rsid w:val="00025594"/>
    <w:rsid w:val="00025617"/>
    <w:rsid w:val="000259A7"/>
    <w:rsid w:val="00025F5F"/>
    <w:rsid w:val="00026592"/>
    <w:rsid w:val="00026909"/>
    <w:rsid w:val="00026ABC"/>
    <w:rsid w:val="00026E6F"/>
    <w:rsid w:val="00027913"/>
    <w:rsid w:val="0002794C"/>
    <w:rsid w:val="0003011D"/>
    <w:rsid w:val="000302A3"/>
    <w:rsid w:val="000303B7"/>
    <w:rsid w:val="000304B1"/>
    <w:rsid w:val="00030C08"/>
    <w:rsid w:val="00030EE2"/>
    <w:rsid w:val="00031297"/>
    <w:rsid w:val="000317EE"/>
    <w:rsid w:val="000318A4"/>
    <w:rsid w:val="00032B1E"/>
    <w:rsid w:val="00032D47"/>
    <w:rsid w:val="0003308F"/>
    <w:rsid w:val="00033A0B"/>
    <w:rsid w:val="000343AD"/>
    <w:rsid w:val="000347C1"/>
    <w:rsid w:val="00034A56"/>
    <w:rsid w:val="00034BDF"/>
    <w:rsid w:val="000354E2"/>
    <w:rsid w:val="00035620"/>
    <w:rsid w:val="00035708"/>
    <w:rsid w:val="00035A8E"/>
    <w:rsid w:val="00035D2D"/>
    <w:rsid w:val="0003640D"/>
    <w:rsid w:val="00036429"/>
    <w:rsid w:val="00036973"/>
    <w:rsid w:val="00036BBD"/>
    <w:rsid w:val="00036D60"/>
    <w:rsid w:val="00037932"/>
    <w:rsid w:val="000379FD"/>
    <w:rsid w:val="00037C98"/>
    <w:rsid w:val="00037CBC"/>
    <w:rsid w:val="00040061"/>
    <w:rsid w:val="0004044B"/>
    <w:rsid w:val="0004052A"/>
    <w:rsid w:val="00040CBD"/>
    <w:rsid w:val="00040CE6"/>
    <w:rsid w:val="00040DCF"/>
    <w:rsid w:val="00040E4E"/>
    <w:rsid w:val="00040EAC"/>
    <w:rsid w:val="00040FB3"/>
    <w:rsid w:val="00041548"/>
    <w:rsid w:val="00041A5B"/>
    <w:rsid w:val="000420D1"/>
    <w:rsid w:val="00042343"/>
    <w:rsid w:val="00042725"/>
    <w:rsid w:val="00042870"/>
    <w:rsid w:val="00042A66"/>
    <w:rsid w:val="00042C6D"/>
    <w:rsid w:val="00042E27"/>
    <w:rsid w:val="00042FB1"/>
    <w:rsid w:val="000430D0"/>
    <w:rsid w:val="0004313A"/>
    <w:rsid w:val="000438B3"/>
    <w:rsid w:val="000444D7"/>
    <w:rsid w:val="00044872"/>
    <w:rsid w:val="00044FC0"/>
    <w:rsid w:val="00045046"/>
    <w:rsid w:val="0004538F"/>
    <w:rsid w:val="000457C4"/>
    <w:rsid w:val="00045989"/>
    <w:rsid w:val="00045B74"/>
    <w:rsid w:val="000462B5"/>
    <w:rsid w:val="000468DE"/>
    <w:rsid w:val="00046D9F"/>
    <w:rsid w:val="0004792C"/>
    <w:rsid w:val="00047D07"/>
    <w:rsid w:val="00047F11"/>
    <w:rsid w:val="00050248"/>
    <w:rsid w:val="0005062D"/>
    <w:rsid w:val="0005067D"/>
    <w:rsid w:val="00050CDF"/>
    <w:rsid w:val="000513F6"/>
    <w:rsid w:val="00051930"/>
    <w:rsid w:val="000519B8"/>
    <w:rsid w:val="00051FEA"/>
    <w:rsid w:val="00052555"/>
    <w:rsid w:val="00052704"/>
    <w:rsid w:val="00052A61"/>
    <w:rsid w:val="00052BE3"/>
    <w:rsid w:val="0005301F"/>
    <w:rsid w:val="00053D73"/>
    <w:rsid w:val="000543C4"/>
    <w:rsid w:val="000545C7"/>
    <w:rsid w:val="000547D7"/>
    <w:rsid w:val="00054C68"/>
    <w:rsid w:val="000553A0"/>
    <w:rsid w:val="0005591D"/>
    <w:rsid w:val="00055D8A"/>
    <w:rsid w:val="00056151"/>
    <w:rsid w:val="00056391"/>
    <w:rsid w:val="00056430"/>
    <w:rsid w:val="000564F3"/>
    <w:rsid w:val="00056584"/>
    <w:rsid w:val="000567DE"/>
    <w:rsid w:val="00056C88"/>
    <w:rsid w:val="00056DA7"/>
    <w:rsid w:val="000576D2"/>
    <w:rsid w:val="00057A11"/>
    <w:rsid w:val="0006000D"/>
    <w:rsid w:val="000602D0"/>
    <w:rsid w:val="000609E4"/>
    <w:rsid w:val="00060A4F"/>
    <w:rsid w:val="00060F17"/>
    <w:rsid w:val="00061388"/>
    <w:rsid w:val="00061391"/>
    <w:rsid w:val="00061473"/>
    <w:rsid w:val="000617EA"/>
    <w:rsid w:val="00061E36"/>
    <w:rsid w:val="000620F3"/>
    <w:rsid w:val="000625F8"/>
    <w:rsid w:val="00062754"/>
    <w:rsid w:val="00062941"/>
    <w:rsid w:val="00062D01"/>
    <w:rsid w:val="000634E3"/>
    <w:rsid w:val="00063704"/>
    <w:rsid w:val="00063721"/>
    <w:rsid w:val="00063F1A"/>
    <w:rsid w:val="000641BB"/>
    <w:rsid w:val="00064240"/>
    <w:rsid w:val="00064324"/>
    <w:rsid w:val="0006468F"/>
    <w:rsid w:val="000650DF"/>
    <w:rsid w:val="000652BC"/>
    <w:rsid w:val="000652E3"/>
    <w:rsid w:val="00065F76"/>
    <w:rsid w:val="00066023"/>
    <w:rsid w:val="00066632"/>
    <w:rsid w:val="000668DD"/>
    <w:rsid w:val="0006695F"/>
    <w:rsid w:val="00066F27"/>
    <w:rsid w:val="00066FD8"/>
    <w:rsid w:val="000672CF"/>
    <w:rsid w:val="000675D6"/>
    <w:rsid w:val="00067834"/>
    <w:rsid w:val="0006789C"/>
    <w:rsid w:val="00067E5B"/>
    <w:rsid w:val="00067FC9"/>
    <w:rsid w:val="00070462"/>
    <w:rsid w:val="00070892"/>
    <w:rsid w:val="00071702"/>
    <w:rsid w:val="00071718"/>
    <w:rsid w:val="00071B10"/>
    <w:rsid w:val="00071BD6"/>
    <w:rsid w:val="00071C95"/>
    <w:rsid w:val="00071FC5"/>
    <w:rsid w:val="00072078"/>
    <w:rsid w:val="00072410"/>
    <w:rsid w:val="00072703"/>
    <w:rsid w:val="0007274E"/>
    <w:rsid w:val="000730C8"/>
    <w:rsid w:val="000732C9"/>
    <w:rsid w:val="0007335C"/>
    <w:rsid w:val="00073813"/>
    <w:rsid w:val="00073C18"/>
    <w:rsid w:val="00073D38"/>
    <w:rsid w:val="000740B1"/>
    <w:rsid w:val="00074120"/>
    <w:rsid w:val="00074980"/>
    <w:rsid w:val="00075201"/>
    <w:rsid w:val="00075444"/>
    <w:rsid w:val="0007623E"/>
    <w:rsid w:val="0007665E"/>
    <w:rsid w:val="000767BC"/>
    <w:rsid w:val="00076D55"/>
    <w:rsid w:val="00076F48"/>
    <w:rsid w:val="0007710E"/>
    <w:rsid w:val="0007756B"/>
    <w:rsid w:val="00077C7E"/>
    <w:rsid w:val="000802A5"/>
    <w:rsid w:val="000804DB"/>
    <w:rsid w:val="00080676"/>
    <w:rsid w:val="00080748"/>
    <w:rsid w:val="00081B9E"/>
    <w:rsid w:val="00081BD0"/>
    <w:rsid w:val="00081EAA"/>
    <w:rsid w:val="00081EE0"/>
    <w:rsid w:val="00082023"/>
    <w:rsid w:val="00082225"/>
    <w:rsid w:val="00082945"/>
    <w:rsid w:val="0008299E"/>
    <w:rsid w:val="00083161"/>
    <w:rsid w:val="000831D4"/>
    <w:rsid w:val="000836A4"/>
    <w:rsid w:val="00083F00"/>
    <w:rsid w:val="00083F48"/>
    <w:rsid w:val="00084325"/>
    <w:rsid w:val="00084466"/>
    <w:rsid w:val="00085222"/>
    <w:rsid w:val="0008539C"/>
    <w:rsid w:val="0008596E"/>
    <w:rsid w:val="000863DD"/>
    <w:rsid w:val="00086708"/>
    <w:rsid w:val="00086A9B"/>
    <w:rsid w:val="00086D1F"/>
    <w:rsid w:val="000871E0"/>
    <w:rsid w:val="000871EF"/>
    <w:rsid w:val="000872F1"/>
    <w:rsid w:val="00087CD1"/>
    <w:rsid w:val="00087FEA"/>
    <w:rsid w:val="00090130"/>
    <w:rsid w:val="00090EC7"/>
    <w:rsid w:val="00090F21"/>
    <w:rsid w:val="00091207"/>
    <w:rsid w:val="000914BB"/>
    <w:rsid w:val="0009164C"/>
    <w:rsid w:val="00091CBF"/>
    <w:rsid w:val="00092124"/>
    <w:rsid w:val="00092420"/>
    <w:rsid w:val="000924C9"/>
    <w:rsid w:val="000928EA"/>
    <w:rsid w:val="0009354E"/>
    <w:rsid w:val="00093D6E"/>
    <w:rsid w:val="000942ED"/>
    <w:rsid w:val="000943EF"/>
    <w:rsid w:val="0009471D"/>
    <w:rsid w:val="00094FB7"/>
    <w:rsid w:val="000955BA"/>
    <w:rsid w:val="000957BB"/>
    <w:rsid w:val="00095B5B"/>
    <w:rsid w:val="00095CAA"/>
    <w:rsid w:val="000963A9"/>
    <w:rsid w:val="000963B4"/>
    <w:rsid w:val="000964DF"/>
    <w:rsid w:val="000964EE"/>
    <w:rsid w:val="0009650F"/>
    <w:rsid w:val="00096BAC"/>
    <w:rsid w:val="00096F25"/>
    <w:rsid w:val="000970A5"/>
    <w:rsid w:val="00097277"/>
    <w:rsid w:val="00097492"/>
    <w:rsid w:val="00097AE9"/>
    <w:rsid w:val="000A089B"/>
    <w:rsid w:val="000A0913"/>
    <w:rsid w:val="000A0961"/>
    <w:rsid w:val="000A0E7C"/>
    <w:rsid w:val="000A100D"/>
    <w:rsid w:val="000A127B"/>
    <w:rsid w:val="000A16E5"/>
    <w:rsid w:val="000A173D"/>
    <w:rsid w:val="000A1D3D"/>
    <w:rsid w:val="000A1D9A"/>
    <w:rsid w:val="000A22BE"/>
    <w:rsid w:val="000A25C1"/>
    <w:rsid w:val="000A2948"/>
    <w:rsid w:val="000A29A0"/>
    <w:rsid w:val="000A2BBE"/>
    <w:rsid w:val="000A3181"/>
    <w:rsid w:val="000A32E5"/>
    <w:rsid w:val="000A32F1"/>
    <w:rsid w:val="000A3951"/>
    <w:rsid w:val="000A3BDE"/>
    <w:rsid w:val="000A3BFA"/>
    <w:rsid w:val="000A3C68"/>
    <w:rsid w:val="000A4259"/>
    <w:rsid w:val="000A45EB"/>
    <w:rsid w:val="000A4654"/>
    <w:rsid w:val="000A486A"/>
    <w:rsid w:val="000A5261"/>
    <w:rsid w:val="000A5839"/>
    <w:rsid w:val="000A5B6F"/>
    <w:rsid w:val="000A5CAA"/>
    <w:rsid w:val="000A601C"/>
    <w:rsid w:val="000A6644"/>
    <w:rsid w:val="000A6A10"/>
    <w:rsid w:val="000A6B52"/>
    <w:rsid w:val="000A706F"/>
    <w:rsid w:val="000A7C13"/>
    <w:rsid w:val="000A7DBA"/>
    <w:rsid w:val="000B0277"/>
    <w:rsid w:val="000B0372"/>
    <w:rsid w:val="000B0456"/>
    <w:rsid w:val="000B065D"/>
    <w:rsid w:val="000B0787"/>
    <w:rsid w:val="000B0F3C"/>
    <w:rsid w:val="000B0F7F"/>
    <w:rsid w:val="000B14CE"/>
    <w:rsid w:val="000B15D5"/>
    <w:rsid w:val="000B1E09"/>
    <w:rsid w:val="000B1E53"/>
    <w:rsid w:val="000B2691"/>
    <w:rsid w:val="000B28F2"/>
    <w:rsid w:val="000B298D"/>
    <w:rsid w:val="000B3410"/>
    <w:rsid w:val="000B3AEE"/>
    <w:rsid w:val="000B3F9C"/>
    <w:rsid w:val="000B472C"/>
    <w:rsid w:val="000B4793"/>
    <w:rsid w:val="000B51EB"/>
    <w:rsid w:val="000B635D"/>
    <w:rsid w:val="000B6694"/>
    <w:rsid w:val="000B6CE4"/>
    <w:rsid w:val="000B76AB"/>
    <w:rsid w:val="000B7981"/>
    <w:rsid w:val="000B7A53"/>
    <w:rsid w:val="000C043D"/>
    <w:rsid w:val="000C05EE"/>
    <w:rsid w:val="000C0701"/>
    <w:rsid w:val="000C0D1D"/>
    <w:rsid w:val="000C1156"/>
    <w:rsid w:val="000C122B"/>
    <w:rsid w:val="000C17D9"/>
    <w:rsid w:val="000C17DA"/>
    <w:rsid w:val="000C1C75"/>
    <w:rsid w:val="000C1D9E"/>
    <w:rsid w:val="000C215C"/>
    <w:rsid w:val="000C2576"/>
    <w:rsid w:val="000C29B1"/>
    <w:rsid w:val="000C3BF5"/>
    <w:rsid w:val="000C3CF4"/>
    <w:rsid w:val="000C4541"/>
    <w:rsid w:val="000C4780"/>
    <w:rsid w:val="000C47B5"/>
    <w:rsid w:val="000C48EE"/>
    <w:rsid w:val="000C49C8"/>
    <w:rsid w:val="000C4F11"/>
    <w:rsid w:val="000C590E"/>
    <w:rsid w:val="000C623B"/>
    <w:rsid w:val="000C682B"/>
    <w:rsid w:val="000C70A3"/>
    <w:rsid w:val="000C725A"/>
    <w:rsid w:val="000C7349"/>
    <w:rsid w:val="000C780D"/>
    <w:rsid w:val="000C7B12"/>
    <w:rsid w:val="000C7C06"/>
    <w:rsid w:val="000C7C2D"/>
    <w:rsid w:val="000C7F1C"/>
    <w:rsid w:val="000D02C6"/>
    <w:rsid w:val="000D0E51"/>
    <w:rsid w:val="000D0F42"/>
    <w:rsid w:val="000D11F5"/>
    <w:rsid w:val="000D1385"/>
    <w:rsid w:val="000D1625"/>
    <w:rsid w:val="000D1630"/>
    <w:rsid w:val="000D17D8"/>
    <w:rsid w:val="000D19DD"/>
    <w:rsid w:val="000D1A1D"/>
    <w:rsid w:val="000D1C47"/>
    <w:rsid w:val="000D228D"/>
    <w:rsid w:val="000D22F2"/>
    <w:rsid w:val="000D2802"/>
    <w:rsid w:val="000D2B39"/>
    <w:rsid w:val="000D309A"/>
    <w:rsid w:val="000D41E2"/>
    <w:rsid w:val="000D4578"/>
    <w:rsid w:val="000D462B"/>
    <w:rsid w:val="000D514D"/>
    <w:rsid w:val="000D5247"/>
    <w:rsid w:val="000D5388"/>
    <w:rsid w:val="000D55ED"/>
    <w:rsid w:val="000D5832"/>
    <w:rsid w:val="000D5868"/>
    <w:rsid w:val="000D5BE9"/>
    <w:rsid w:val="000D63DB"/>
    <w:rsid w:val="000D68FC"/>
    <w:rsid w:val="000D6B78"/>
    <w:rsid w:val="000D6BBB"/>
    <w:rsid w:val="000D7078"/>
    <w:rsid w:val="000D7FF8"/>
    <w:rsid w:val="000E026D"/>
    <w:rsid w:val="000E03ED"/>
    <w:rsid w:val="000E061F"/>
    <w:rsid w:val="000E0803"/>
    <w:rsid w:val="000E0E98"/>
    <w:rsid w:val="000E13F2"/>
    <w:rsid w:val="000E14BD"/>
    <w:rsid w:val="000E19E9"/>
    <w:rsid w:val="000E1B12"/>
    <w:rsid w:val="000E1D98"/>
    <w:rsid w:val="000E1E24"/>
    <w:rsid w:val="000E1F12"/>
    <w:rsid w:val="000E1F3F"/>
    <w:rsid w:val="000E1F7E"/>
    <w:rsid w:val="000E214B"/>
    <w:rsid w:val="000E2531"/>
    <w:rsid w:val="000E2547"/>
    <w:rsid w:val="000E2F60"/>
    <w:rsid w:val="000E32E0"/>
    <w:rsid w:val="000E3766"/>
    <w:rsid w:val="000E398B"/>
    <w:rsid w:val="000E3CF0"/>
    <w:rsid w:val="000E41A1"/>
    <w:rsid w:val="000E47DE"/>
    <w:rsid w:val="000E49DF"/>
    <w:rsid w:val="000E4B05"/>
    <w:rsid w:val="000E50C7"/>
    <w:rsid w:val="000E53B7"/>
    <w:rsid w:val="000E5A0B"/>
    <w:rsid w:val="000E602C"/>
    <w:rsid w:val="000E628F"/>
    <w:rsid w:val="000E6798"/>
    <w:rsid w:val="000E6B6E"/>
    <w:rsid w:val="000E6DE2"/>
    <w:rsid w:val="000E6EC9"/>
    <w:rsid w:val="000E70E1"/>
    <w:rsid w:val="000E74B6"/>
    <w:rsid w:val="000E7546"/>
    <w:rsid w:val="000E777D"/>
    <w:rsid w:val="000E7F82"/>
    <w:rsid w:val="000E7F98"/>
    <w:rsid w:val="000F01EB"/>
    <w:rsid w:val="000F0398"/>
    <w:rsid w:val="000F03DC"/>
    <w:rsid w:val="000F0D6E"/>
    <w:rsid w:val="000F127B"/>
    <w:rsid w:val="000F15B5"/>
    <w:rsid w:val="000F1706"/>
    <w:rsid w:val="000F1D6C"/>
    <w:rsid w:val="000F2658"/>
    <w:rsid w:val="000F2910"/>
    <w:rsid w:val="000F2B14"/>
    <w:rsid w:val="000F3824"/>
    <w:rsid w:val="000F390C"/>
    <w:rsid w:val="000F3BF4"/>
    <w:rsid w:val="000F3C32"/>
    <w:rsid w:val="000F434A"/>
    <w:rsid w:val="000F4799"/>
    <w:rsid w:val="000F4C41"/>
    <w:rsid w:val="000F50BB"/>
    <w:rsid w:val="000F5309"/>
    <w:rsid w:val="000F5550"/>
    <w:rsid w:val="000F5A05"/>
    <w:rsid w:val="000F6376"/>
    <w:rsid w:val="000F6913"/>
    <w:rsid w:val="000F6D72"/>
    <w:rsid w:val="000F6EB6"/>
    <w:rsid w:val="000F7134"/>
    <w:rsid w:val="000F742A"/>
    <w:rsid w:val="000F7592"/>
    <w:rsid w:val="000F7C26"/>
    <w:rsid w:val="000F7DCC"/>
    <w:rsid w:val="000F7FD3"/>
    <w:rsid w:val="001002D5"/>
    <w:rsid w:val="001005B6"/>
    <w:rsid w:val="00100647"/>
    <w:rsid w:val="001007CB"/>
    <w:rsid w:val="00100935"/>
    <w:rsid w:val="00100A14"/>
    <w:rsid w:val="00100F31"/>
    <w:rsid w:val="001012DF"/>
    <w:rsid w:val="001014BF"/>
    <w:rsid w:val="00101550"/>
    <w:rsid w:val="001015D5"/>
    <w:rsid w:val="00101B09"/>
    <w:rsid w:val="0010226E"/>
    <w:rsid w:val="00102487"/>
    <w:rsid w:val="001024A5"/>
    <w:rsid w:val="001033D0"/>
    <w:rsid w:val="0010386B"/>
    <w:rsid w:val="00103DEE"/>
    <w:rsid w:val="001045E5"/>
    <w:rsid w:val="001055D0"/>
    <w:rsid w:val="001056EA"/>
    <w:rsid w:val="00105A60"/>
    <w:rsid w:val="00105AD9"/>
    <w:rsid w:val="001060F3"/>
    <w:rsid w:val="001064B6"/>
    <w:rsid w:val="00106CB7"/>
    <w:rsid w:val="00106D66"/>
    <w:rsid w:val="00106E94"/>
    <w:rsid w:val="00107405"/>
    <w:rsid w:val="00107825"/>
    <w:rsid w:val="00107AFA"/>
    <w:rsid w:val="00110182"/>
    <w:rsid w:val="001106F6"/>
    <w:rsid w:val="00110720"/>
    <w:rsid w:val="00110835"/>
    <w:rsid w:val="00110AF6"/>
    <w:rsid w:val="00110C13"/>
    <w:rsid w:val="00110E9A"/>
    <w:rsid w:val="00110EEB"/>
    <w:rsid w:val="001117F2"/>
    <w:rsid w:val="00111918"/>
    <w:rsid w:val="00111EE9"/>
    <w:rsid w:val="00112149"/>
    <w:rsid w:val="001121A3"/>
    <w:rsid w:val="00112304"/>
    <w:rsid w:val="00112585"/>
    <w:rsid w:val="0011289D"/>
    <w:rsid w:val="00112967"/>
    <w:rsid w:val="00113607"/>
    <w:rsid w:val="00113689"/>
    <w:rsid w:val="001147A6"/>
    <w:rsid w:val="00114CD0"/>
    <w:rsid w:val="00114FE2"/>
    <w:rsid w:val="00115304"/>
    <w:rsid w:val="00115498"/>
    <w:rsid w:val="001158CC"/>
    <w:rsid w:val="00116071"/>
    <w:rsid w:val="001163DF"/>
    <w:rsid w:val="001172E8"/>
    <w:rsid w:val="0011740F"/>
    <w:rsid w:val="00117777"/>
    <w:rsid w:val="00117AF4"/>
    <w:rsid w:val="00117BF5"/>
    <w:rsid w:val="00117CD5"/>
    <w:rsid w:val="0012002A"/>
    <w:rsid w:val="00120335"/>
    <w:rsid w:val="001205BB"/>
    <w:rsid w:val="00120B01"/>
    <w:rsid w:val="00120E55"/>
    <w:rsid w:val="0012103B"/>
    <w:rsid w:val="0012127E"/>
    <w:rsid w:val="0012147B"/>
    <w:rsid w:val="0012157F"/>
    <w:rsid w:val="001219AD"/>
    <w:rsid w:val="00121C75"/>
    <w:rsid w:val="00121EBF"/>
    <w:rsid w:val="00121FE9"/>
    <w:rsid w:val="0012257B"/>
    <w:rsid w:val="00122864"/>
    <w:rsid w:val="00122F21"/>
    <w:rsid w:val="001239DD"/>
    <w:rsid w:val="00123ADD"/>
    <w:rsid w:val="00123B3D"/>
    <w:rsid w:val="00123D29"/>
    <w:rsid w:val="0012454C"/>
    <w:rsid w:val="00124BAC"/>
    <w:rsid w:val="00124DBD"/>
    <w:rsid w:val="00124F57"/>
    <w:rsid w:val="001252EF"/>
    <w:rsid w:val="00125645"/>
    <w:rsid w:val="00125867"/>
    <w:rsid w:val="001258FF"/>
    <w:rsid w:val="0012610B"/>
    <w:rsid w:val="001261E7"/>
    <w:rsid w:val="0012678E"/>
    <w:rsid w:val="00126889"/>
    <w:rsid w:val="001271EA"/>
    <w:rsid w:val="0012769F"/>
    <w:rsid w:val="0012776E"/>
    <w:rsid w:val="00127AB8"/>
    <w:rsid w:val="00127E1C"/>
    <w:rsid w:val="00130113"/>
    <w:rsid w:val="00130440"/>
    <w:rsid w:val="00130D7A"/>
    <w:rsid w:val="0013166D"/>
    <w:rsid w:val="00131D28"/>
    <w:rsid w:val="0013232B"/>
    <w:rsid w:val="00132606"/>
    <w:rsid w:val="00132C7E"/>
    <w:rsid w:val="00132DB2"/>
    <w:rsid w:val="00132E20"/>
    <w:rsid w:val="00133110"/>
    <w:rsid w:val="00133246"/>
    <w:rsid w:val="001334A1"/>
    <w:rsid w:val="00133CD9"/>
    <w:rsid w:val="00134483"/>
    <w:rsid w:val="00134938"/>
    <w:rsid w:val="00134A00"/>
    <w:rsid w:val="00134E5B"/>
    <w:rsid w:val="0013512B"/>
    <w:rsid w:val="001355AB"/>
    <w:rsid w:val="00136524"/>
    <w:rsid w:val="00136AD8"/>
    <w:rsid w:val="00136B2A"/>
    <w:rsid w:val="00136D72"/>
    <w:rsid w:val="00137623"/>
    <w:rsid w:val="00137754"/>
    <w:rsid w:val="001378EE"/>
    <w:rsid w:val="00137F60"/>
    <w:rsid w:val="00140228"/>
    <w:rsid w:val="00140B19"/>
    <w:rsid w:val="00140D58"/>
    <w:rsid w:val="0014100F"/>
    <w:rsid w:val="0014151B"/>
    <w:rsid w:val="001419E7"/>
    <w:rsid w:val="00142303"/>
    <w:rsid w:val="00142638"/>
    <w:rsid w:val="001426AC"/>
    <w:rsid w:val="001431E1"/>
    <w:rsid w:val="001431E9"/>
    <w:rsid w:val="00143433"/>
    <w:rsid w:val="00143A29"/>
    <w:rsid w:val="00143F81"/>
    <w:rsid w:val="001441FB"/>
    <w:rsid w:val="00144292"/>
    <w:rsid w:val="00144425"/>
    <w:rsid w:val="001446ED"/>
    <w:rsid w:val="00144F41"/>
    <w:rsid w:val="00144FD1"/>
    <w:rsid w:val="00145045"/>
    <w:rsid w:val="00145422"/>
    <w:rsid w:val="00145964"/>
    <w:rsid w:val="00145970"/>
    <w:rsid w:val="00145A63"/>
    <w:rsid w:val="00145B24"/>
    <w:rsid w:val="001460EE"/>
    <w:rsid w:val="00146411"/>
    <w:rsid w:val="001467FA"/>
    <w:rsid w:val="00146834"/>
    <w:rsid w:val="0014685B"/>
    <w:rsid w:val="00146F37"/>
    <w:rsid w:val="001471A1"/>
    <w:rsid w:val="00147691"/>
    <w:rsid w:val="001477DB"/>
    <w:rsid w:val="00147C1A"/>
    <w:rsid w:val="001506DB"/>
    <w:rsid w:val="001508A9"/>
    <w:rsid w:val="00150A17"/>
    <w:rsid w:val="00151061"/>
    <w:rsid w:val="001511E6"/>
    <w:rsid w:val="00151210"/>
    <w:rsid w:val="001516A2"/>
    <w:rsid w:val="00151FB4"/>
    <w:rsid w:val="0015204E"/>
    <w:rsid w:val="001521A4"/>
    <w:rsid w:val="0015233E"/>
    <w:rsid w:val="001527CE"/>
    <w:rsid w:val="00153196"/>
    <w:rsid w:val="0015331E"/>
    <w:rsid w:val="001536AA"/>
    <w:rsid w:val="00154102"/>
    <w:rsid w:val="00154528"/>
    <w:rsid w:val="00154792"/>
    <w:rsid w:val="00154911"/>
    <w:rsid w:val="00154C8C"/>
    <w:rsid w:val="00154D20"/>
    <w:rsid w:val="001551A3"/>
    <w:rsid w:val="00155253"/>
    <w:rsid w:val="0015552C"/>
    <w:rsid w:val="00155B62"/>
    <w:rsid w:val="00155BAF"/>
    <w:rsid w:val="00155C01"/>
    <w:rsid w:val="00155EF9"/>
    <w:rsid w:val="00155F55"/>
    <w:rsid w:val="001565E4"/>
    <w:rsid w:val="0015693C"/>
    <w:rsid w:val="00157620"/>
    <w:rsid w:val="00157F63"/>
    <w:rsid w:val="00160015"/>
    <w:rsid w:val="00160852"/>
    <w:rsid w:val="00160A3B"/>
    <w:rsid w:val="00160A52"/>
    <w:rsid w:val="001611BE"/>
    <w:rsid w:val="001611E3"/>
    <w:rsid w:val="001613E3"/>
    <w:rsid w:val="001615E7"/>
    <w:rsid w:val="00161693"/>
    <w:rsid w:val="00161741"/>
    <w:rsid w:val="001621FF"/>
    <w:rsid w:val="0016221C"/>
    <w:rsid w:val="001622AA"/>
    <w:rsid w:val="00162792"/>
    <w:rsid w:val="00162F3C"/>
    <w:rsid w:val="001630F6"/>
    <w:rsid w:val="0016328C"/>
    <w:rsid w:val="0016342E"/>
    <w:rsid w:val="00163942"/>
    <w:rsid w:val="00163F44"/>
    <w:rsid w:val="00164168"/>
    <w:rsid w:val="0016459D"/>
    <w:rsid w:val="00164896"/>
    <w:rsid w:val="001648F6"/>
    <w:rsid w:val="00164DDC"/>
    <w:rsid w:val="00164E5F"/>
    <w:rsid w:val="00164E87"/>
    <w:rsid w:val="001653AF"/>
    <w:rsid w:val="00165932"/>
    <w:rsid w:val="00165B8D"/>
    <w:rsid w:val="00165F0A"/>
    <w:rsid w:val="00165F6E"/>
    <w:rsid w:val="00166178"/>
    <w:rsid w:val="001664B1"/>
    <w:rsid w:val="001664C0"/>
    <w:rsid w:val="00166C7C"/>
    <w:rsid w:val="00167611"/>
    <w:rsid w:val="001676BA"/>
    <w:rsid w:val="00167936"/>
    <w:rsid w:val="00170077"/>
    <w:rsid w:val="00170293"/>
    <w:rsid w:val="00170869"/>
    <w:rsid w:val="0017088D"/>
    <w:rsid w:val="00170E2C"/>
    <w:rsid w:val="00170E40"/>
    <w:rsid w:val="001714DB"/>
    <w:rsid w:val="0017185D"/>
    <w:rsid w:val="00171AE4"/>
    <w:rsid w:val="00171D95"/>
    <w:rsid w:val="00171E10"/>
    <w:rsid w:val="00172143"/>
    <w:rsid w:val="001728CE"/>
    <w:rsid w:val="00172B6C"/>
    <w:rsid w:val="00172EFC"/>
    <w:rsid w:val="001735ED"/>
    <w:rsid w:val="00173ADE"/>
    <w:rsid w:val="00173B7E"/>
    <w:rsid w:val="00174142"/>
    <w:rsid w:val="00174492"/>
    <w:rsid w:val="001744C0"/>
    <w:rsid w:val="00174549"/>
    <w:rsid w:val="00174584"/>
    <w:rsid w:val="00174BDD"/>
    <w:rsid w:val="00174D55"/>
    <w:rsid w:val="00174F58"/>
    <w:rsid w:val="0017580D"/>
    <w:rsid w:val="00175C4F"/>
    <w:rsid w:val="00175DC9"/>
    <w:rsid w:val="00176039"/>
    <w:rsid w:val="001763EF"/>
    <w:rsid w:val="00176652"/>
    <w:rsid w:val="00176B2C"/>
    <w:rsid w:val="0017761A"/>
    <w:rsid w:val="00177742"/>
    <w:rsid w:val="00177BBD"/>
    <w:rsid w:val="0018017E"/>
    <w:rsid w:val="001803EF"/>
    <w:rsid w:val="001805AA"/>
    <w:rsid w:val="00180664"/>
    <w:rsid w:val="001806CC"/>
    <w:rsid w:val="00180A1D"/>
    <w:rsid w:val="00180B31"/>
    <w:rsid w:val="00180E9F"/>
    <w:rsid w:val="0018104F"/>
    <w:rsid w:val="001810D2"/>
    <w:rsid w:val="001812D4"/>
    <w:rsid w:val="001815C7"/>
    <w:rsid w:val="001816A5"/>
    <w:rsid w:val="00181969"/>
    <w:rsid w:val="00181AA8"/>
    <w:rsid w:val="00181F99"/>
    <w:rsid w:val="001820CB"/>
    <w:rsid w:val="0018231A"/>
    <w:rsid w:val="0018255C"/>
    <w:rsid w:val="0018277A"/>
    <w:rsid w:val="001836FE"/>
    <w:rsid w:val="001838B0"/>
    <w:rsid w:val="00183977"/>
    <w:rsid w:val="00183ADF"/>
    <w:rsid w:val="00183C99"/>
    <w:rsid w:val="00183D06"/>
    <w:rsid w:val="0018428E"/>
    <w:rsid w:val="001847E6"/>
    <w:rsid w:val="00184BEB"/>
    <w:rsid w:val="00184F4A"/>
    <w:rsid w:val="00185C3C"/>
    <w:rsid w:val="00186950"/>
    <w:rsid w:val="00186D6A"/>
    <w:rsid w:val="00186DD1"/>
    <w:rsid w:val="0018734F"/>
    <w:rsid w:val="00187962"/>
    <w:rsid w:val="00187F10"/>
    <w:rsid w:val="00187FF2"/>
    <w:rsid w:val="001900EA"/>
    <w:rsid w:val="0019020B"/>
    <w:rsid w:val="00190546"/>
    <w:rsid w:val="001915FF"/>
    <w:rsid w:val="00191922"/>
    <w:rsid w:val="0019198C"/>
    <w:rsid w:val="00191A0C"/>
    <w:rsid w:val="00191ACF"/>
    <w:rsid w:val="001920FB"/>
    <w:rsid w:val="00192403"/>
    <w:rsid w:val="0019278C"/>
    <w:rsid w:val="00192DB3"/>
    <w:rsid w:val="0019343C"/>
    <w:rsid w:val="001934BC"/>
    <w:rsid w:val="00193559"/>
    <w:rsid w:val="00193B22"/>
    <w:rsid w:val="00193B3A"/>
    <w:rsid w:val="00193EE6"/>
    <w:rsid w:val="00194035"/>
    <w:rsid w:val="001943B2"/>
    <w:rsid w:val="001946F6"/>
    <w:rsid w:val="0019486C"/>
    <w:rsid w:val="00194B8E"/>
    <w:rsid w:val="00195897"/>
    <w:rsid w:val="00195BA6"/>
    <w:rsid w:val="00195CF6"/>
    <w:rsid w:val="001963CD"/>
    <w:rsid w:val="0019653B"/>
    <w:rsid w:val="0019679D"/>
    <w:rsid w:val="00197152"/>
    <w:rsid w:val="00197A91"/>
    <w:rsid w:val="00197B39"/>
    <w:rsid w:val="00197C0A"/>
    <w:rsid w:val="00197F89"/>
    <w:rsid w:val="001A00BE"/>
    <w:rsid w:val="001A0BC6"/>
    <w:rsid w:val="001A1065"/>
    <w:rsid w:val="001A123C"/>
    <w:rsid w:val="001A12E0"/>
    <w:rsid w:val="001A16DD"/>
    <w:rsid w:val="001A19B3"/>
    <w:rsid w:val="001A1B30"/>
    <w:rsid w:val="001A1EBC"/>
    <w:rsid w:val="001A1F53"/>
    <w:rsid w:val="001A22EA"/>
    <w:rsid w:val="001A2659"/>
    <w:rsid w:val="001A27B1"/>
    <w:rsid w:val="001A28BB"/>
    <w:rsid w:val="001A28D9"/>
    <w:rsid w:val="001A32C2"/>
    <w:rsid w:val="001A3840"/>
    <w:rsid w:val="001A3C4D"/>
    <w:rsid w:val="001A3F5A"/>
    <w:rsid w:val="001A42BA"/>
    <w:rsid w:val="001A44F3"/>
    <w:rsid w:val="001A4D94"/>
    <w:rsid w:val="001A4E1D"/>
    <w:rsid w:val="001A4F63"/>
    <w:rsid w:val="001A50DF"/>
    <w:rsid w:val="001A5134"/>
    <w:rsid w:val="001A5364"/>
    <w:rsid w:val="001A591A"/>
    <w:rsid w:val="001A5B92"/>
    <w:rsid w:val="001A6196"/>
    <w:rsid w:val="001A6305"/>
    <w:rsid w:val="001A65D3"/>
    <w:rsid w:val="001A6AA0"/>
    <w:rsid w:val="001A6BB0"/>
    <w:rsid w:val="001A70A8"/>
    <w:rsid w:val="001A72D5"/>
    <w:rsid w:val="001A7691"/>
    <w:rsid w:val="001A7C01"/>
    <w:rsid w:val="001A7DF1"/>
    <w:rsid w:val="001A7F6F"/>
    <w:rsid w:val="001A7FAA"/>
    <w:rsid w:val="001B00CC"/>
    <w:rsid w:val="001B02E2"/>
    <w:rsid w:val="001B0C5E"/>
    <w:rsid w:val="001B0D2F"/>
    <w:rsid w:val="001B15D1"/>
    <w:rsid w:val="001B1670"/>
    <w:rsid w:val="001B1759"/>
    <w:rsid w:val="001B1925"/>
    <w:rsid w:val="001B1E1F"/>
    <w:rsid w:val="001B2213"/>
    <w:rsid w:val="001B23AB"/>
    <w:rsid w:val="001B2666"/>
    <w:rsid w:val="001B271B"/>
    <w:rsid w:val="001B2925"/>
    <w:rsid w:val="001B293C"/>
    <w:rsid w:val="001B2AEA"/>
    <w:rsid w:val="001B2B48"/>
    <w:rsid w:val="001B2BB8"/>
    <w:rsid w:val="001B32CD"/>
    <w:rsid w:val="001B3566"/>
    <w:rsid w:val="001B3BAD"/>
    <w:rsid w:val="001B42F2"/>
    <w:rsid w:val="001B476F"/>
    <w:rsid w:val="001B4F65"/>
    <w:rsid w:val="001B5673"/>
    <w:rsid w:val="001B57C2"/>
    <w:rsid w:val="001B5815"/>
    <w:rsid w:val="001B5855"/>
    <w:rsid w:val="001B5E46"/>
    <w:rsid w:val="001B60BA"/>
    <w:rsid w:val="001B62F2"/>
    <w:rsid w:val="001B663E"/>
    <w:rsid w:val="001B742A"/>
    <w:rsid w:val="001B7550"/>
    <w:rsid w:val="001B77B2"/>
    <w:rsid w:val="001B7B5C"/>
    <w:rsid w:val="001B7BFD"/>
    <w:rsid w:val="001B7E71"/>
    <w:rsid w:val="001B7F65"/>
    <w:rsid w:val="001C00B3"/>
    <w:rsid w:val="001C011C"/>
    <w:rsid w:val="001C0F08"/>
    <w:rsid w:val="001C0F0F"/>
    <w:rsid w:val="001C1368"/>
    <w:rsid w:val="001C1385"/>
    <w:rsid w:val="001C15D3"/>
    <w:rsid w:val="001C1B0B"/>
    <w:rsid w:val="001C1E26"/>
    <w:rsid w:val="001C233B"/>
    <w:rsid w:val="001C262D"/>
    <w:rsid w:val="001C289A"/>
    <w:rsid w:val="001C2AB2"/>
    <w:rsid w:val="001C3711"/>
    <w:rsid w:val="001C3B2B"/>
    <w:rsid w:val="001C3BE7"/>
    <w:rsid w:val="001C40B9"/>
    <w:rsid w:val="001C4160"/>
    <w:rsid w:val="001C4782"/>
    <w:rsid w:val="001C4D02"/>
    <w:rsid w:val="001C4D99"/>
    <w:rsid w:val="001C4F55"/>
    <w:rsid w:val="001C528B"/>
    <w:rsid w:val="001C5539"/>
    <w:rsid w:val="001C55D3"/>
    <w:rsid w:val="001C5C9E"/>
    <w:rsid w:val="001C5F7F"/>
    <w:rsid w:val="001C6568"/>
    <w:rsid w:val="001C6FAE"/>
    <w:rsid w:val="001C7344"/>
    <w:rsid w:val="001C78BA"/>
    <w:rsid w:val="001C7B22"/>
    <w:rsid w:val="001C7E84"/>
    <w:rsid w:val="001C7EB2"/>
    <w:rsid w:val="001D0328"/>
    <w:rsid w:val="001D035B"/>
    <w:rsid w:val="001D03A6"/>
    <w:rsid w:val="001D0A94"/>
    <w:rsid w:val="001D10E4"/>
    <w:rsid w:val="001D1308"/>
    <w:rsid w:val="001D155A"/>
    <w:rsid w:val="001D1AA8"/>
    <w:rsid w:val="001D1C55"/>
    <w:rsid w:val="001D1E8C"/>
    <w:rsid w:val="001D1FEE"/>
    <w:rsid w:val="001D25CB"/>
    <w:rsid w:val="001D2776"/>
    <w:rsid w:val="001D30C4"/>
    <w:rsid w:val="001D32B2"/>
    <w:rsid w:val="001D347A"/>
    <w:rsid w:val="001D37E8"/>
    <w:rsid w:val="001D43CC"/>
    <w:rsid w:val="001D479B"/>
    <w:rsid w:val="001D4AE7"/>
    <w:rsid w:val="001D5118"/>
    <w:rsid w:val="001D5321"/>
    <w:rsid w:val="001D5370"/>
    <w:rsid w:val="001D5886"/>
    <w:rsid w:val="001D5BFF"/>
    <w:rsid w:val="001D658D"/>
    <w:rsid w:val="001D67B1"/>
    <w:rsid w:val="001D6A75"/>
    <w:rsid w:val="001D6B05"/>
    <w:rsid w:val="001D6CC1"/>
    <w:rsid w:val="001D7105"/>
    <w:rsid w:val="001D7B81"/>
    <w:rsid w:val="001D7D91"/>
    <w:rsid w:val="001E00F5"/>
    <w:rsid w:val="001E0132"/>
    <w:rsid w:val="001E0F7D"/>
    <w:rsid w:val="001E109A"/>
    <w:rsid w:val="001E1130"/>
    <w:rsid w:val="001E117E"/>
    <w:rsid w:val="001E12D2"/>
    <w:rsid w:val="001E1524"/>
    <w:rsid w:val="001E19D7"/>
    <w:rsid w:val="001E1C1E"/>
    <w:rsid w:val="001E2450"/>
    <w:rsid w:val="001E27B3"/>
    <w:rsid w:val="001E2A7F"/>
    <w:rsid w:val="001E2AE6"/>
    <w:rsid w:val="001E2AEE"/>
    <w:rsid w:val="001E2C19"/>
    <w:rsid w:val="001E2C46"/>
    <w:rsid w:val="001E2E0D"/>
    <w:rsid w:val="001E357A"/>
    <w:rsid w:val="001E393A"/>
    <w:rsid w:val="001E40E4"/>
    <w:rsid w:val="001E41AD"/>
    <w:rsid w:val="001E46E5"/>
    <w:rsid w:val="001E472A"/>
    <w:rsid w:val="001E488A"/>
    <w:rsid w:val="001E49FD"/>
    <w:rsid w:val="001E57D4"/>
    <w:rsid w:val="001E6028"/>
    <w:rsid w:val="001E621B"/>
    <w:rsid w:val="001E637D"/>
    <w:rsid w:val="001E6ABD"/>
    <w:rsid w:val="001E6DF5"/>
    <w:rsid w:val="001E6EAF"/>
    <w:rsid w:val="001E7136"/>
    <w:rsid w:val="001E7398"/>
    <w:rsid w:val="001E7600"/>
    <w:rsid w:val="001E77B6"/>
    <w:rsid w:val="001E784D"/>
    <w:rsid w:val="001E7B0D"/>
    <w:rsid w:val="001E7FD2"/>
    <w:rsid w:val="001F0029"/>
    <w:rsid w:val="001F03A6"/>
    <w:rsid w:val="001F0983"/>
    <w:rsid w:val="001F0EAB"/>
    <w:rsid w:val="001F126A"/>
    <w:rsid w:val="001F1293"/>
    <w:rsid w:val="001F1356"/>
    <w:rsid w:val="001F2CB6"/>
    <w:rsid w:val="001F307F"/>
    <w:rsid w:val="001F3301"/>
    <w:rsid w:val="001F37E1"/>
    <w:rsid w:val="001F39C6"/>
    <w:rsid w:val="001F39C8"/>
    <w:rsid w:val="001F3FAE"/>
    <w:rsid w:val="001F44C9"/>
    <w:rsid w:val="001F462C"/>
    <w:rsid w:val="001F4B1C"/>
    <w:rsid w:val="001F4C20"/>
    <w:rsid w:val="001F630B"/>
    <w:rsid w:val="001F69DB"/>
    <w:rsid w:val="001F6CB0"/>
    <w:rsid w:val="001F75E7"/>
    <w:rsid w:val="001F76CF"/>
    <w:rsid w:val="00200496"/>
    <w:rsid w:val="002008D2"/>
    <w:rsid w:val="00200BE2"/>
    <w:rsid w:val="00201144"/>
    <w:rsid w:val="00201195"/>
    <w:rsid w:val="0020121B"/>
    <w:rsid w:val="002018EB"/>
    <w:rsid w:val="00201B24"/>
    <w:rsid w:val="00201C60"/>
    <w:rsid w:val="002028F2"/>
    <w:rsid w:val="00202997"/>
    <w:rsid w:val="002030D7"/>
    <w:rsid w:val="00203390"/>
    <w:rsid w:val="00203B6F"/>
    <w:rsid w:val="002041CD"/>
    <w:rsid w:val="00204C83"/>
    <w:rsid w:val="00205211"/>
    <w:rsid w:val="0020538C"/>
    <w:rsid w:val="002055A3"/>
    <w:rsid w:val="002058BD"/>
    <w:rsid w:val="00205AE1"/>
    <w:rsid w:val="00205B44"/>
    <w:rsid w:val="002060E6"/>
    <w:rsid w:val="00206327"/>
    <w:rsid w:val="00206448"/>
    <w:rsid w:val="002067EF"/>
    <w:rsid w:val="00206B22"/>
    <w:rsid w:val="00206CB6"/>
    <w:rsid w:val="00206DBC"/>
    <w:rsid w:val="0020711C"/>
    <w:rsid w:val="002072E9"/>
    <w:rsid w:val="002074EF"/>
    <w:rsid w:val="0020762A"/>
    <w:rsid w:val="00207E80"/>
    <w:rsid w:val="00210048"/>
    <w:rsid w:val="002100DC"/>
    <w:rsid w:val="00210AB4"/>
    <w:rsid w:val="00210FF6"/>
    <w:rsid w:val="0021159C"/>
    <w:rsid w:val="00212079"/>
    <w:rsid w:val="002128E0"/>
    <w:rsid w:val="00212C6A"/>
    <w:rsid w:val="00212D36"/>
    <w:rsid w:val="0021323F"/>
    <w:rsid w:val="00213455"/>
    <w:rsid w:val="00213708"/>
    <w:rsid w:val="002138BB"/>
    <w:rsid w:val="00213A12"/>
    <w:rsid w:val="00213ECD"/>
    <w:rsid w:val="00214049"/>
    <w:rsid w:val="0021451A"/>
    <w:rsid w:val="002146F0"/>
    <w:rsid w:val="002148C2"/>
    <w:rsid w:val="00214E6B"/>
    <w:rsid w:val="00215100"/>
    <w:rsid w:val="002151F0"/>
    <w:rsid w:val="00215A6C"/>
    <w:rsid w:val="00215B01"/>
    <w:rsid w:val="00215DF3"/>
    <w:rsid w:val="0021655B"/>
    <w:rsid w:val="002169B9"/>
    <w:rsid w:val="002175D4"/>
    <w:rsid w:val="00217ED2"/>
    <w:rsid w:val="002202A2"/>
    <w:rsid w:val="0022040E"/>
    <w:rsid w:val="00221CCE"/>
    <w:rsid w:val="00221D24"/>
    <w:rsid w:val="0022206F"/>
    <w:rsid w:val="0022207E"/>
    <w:rsid w:val="0022213A"/>
    <w:rsid w:val="00223731"/>
    <w:rsid w:val="002237DA"/>
    <w:rsid w:val="00223904"/>
    <w:rsid w:val="0022398A"/>
    <w:rsid w:val="00223AD8"/>
    <w:rsid w:val="00223B64"/>
    <w:rsid w:val="00223F08"/>
    <w:rsid w:val="00224681"/>
    <w:rsid w:val="0022479B"/>
    <w:rsid w:val="00224929"/>
    <w:rsid w:val="00224989"/>
    <w:rsid w:val="00224D5B"/>
    <w:rsid w:val="00225597"/>
    <w:rsid w:val="002258A5"/>
    <w:rsid w:val="002260C2"/>
    <w:rsid w:val="00226247"/>
    <w:rsid w:val="0022646E"/>
    <w:rsid w:val="00226998"/>
    <w:rsid w:val="002271A0"/>
    <w:rsid w:val="00227C8D"/>
    <w:rsid w:val="0023011C"/>
    <w:rsid w:val="00230ACB"/>
    <w:rsid w:val="00230B2E"/>
    <w:rsid w:val="00230D36"/>
    <w:rsid w:val="00231152"/>
    <w:rsid w:val="002312FF"/>
    <w:rsid w:val="0023140C"/>
    <w:rsid w:val="002316C9"/>
    <w:rsid w:val="00231CB3"/>
    <w:rsid w:val="00232E00"/>
    <w:rsid w:val="00233108"/>
    <w:rsid w:val="0023312B"/>
    <w:rsid w:val="002336C7"/>
    <w:rsid w:val="00233A33"/>
    <w:rsid w:val="00233A92"/>
    <w:rsid w:val="00233C9E"/>
    <w:rsid w:val="002342A3"/>
    <w:rsid w:val="00234363"/>
    <w:rsid w:val="002346D8"/>
    <w:rsid w:val="00234B5E"/>
    <w:rsid w:val="00234BF4"/>
    <w:rsid w:val="00234CB3"/>
    <w:rsid w:val="00234FC5"/>
    <w:rsid w:val="00235438"/>
    <w:rsid w:val="00235488"/>
    <w:rsid w:val="00235E6A"/>
    <w:rsid w:val="00235F5A"/>
    <w:rsid w:val="0023604D"/>
    <w:rsid w:val="0023610D"/>
    <w:rsid w:val="002361FA"/>
    <w:rsid w:val="002368EE"/>
    <w:rsid w:val="00237092"/>
    <w:rsid w:val="002370B0"/>
    <w:rsid w:val="00237D70"/>
    <w:rsid w:val="00240186"/>
    <w:rsid w:val="00240960"/>
    <w:rsid w:val="00240DEB"/>
    <w:rsid w:val="002413F3"/>
    <w:rsid w:val="002420E8"/>
    <w:rsid w:val="002427E0"/>
    <w:rsid w:val="00242898"/>
    <w:rsid w:val="00242A60"/>
    <w:rsid w:val="002430AA"/>
    <w:rsid w:val="00243414"/>
    <w:rsid w:val="00243596"/>
    <w:rsid w:val="002439CC"/>
    <w:rsid w:val="00243D05"/>
    <w:rsid w:val="00243EC2"/>
    <w:rsid w:val="00243F36"/>
    <w:rsid w:val="00244846"/>
    <w:rsid w:val="00244D24"/>
    <w:rsid w:val="00244D2B"/>
    <w:rsid w:val="00244EE0"/>
    <w:rsid w:val="00245390"/>
    <w:rsid w:val="00245457"/>
    <w:rsid w:val="0024560C"/>
    <w:rsid w:val="00245649"/>
    <w:rsid w:val="002461D7"/>
    <w:rsid w:val="00246370"/>
    <w:rsid w:val="0024684E"/>
    <w:rsid w:val="00246888"/>
    <w:rsid w:val="00246991"/>
    <w:rsid w:val="00247713"/>
    <w:rsid w:val="002479EE"/>
    <w:rsid w:val="00247A94"/>
    <w:rsid w:val="0025021C"/>
    <w:rsid w:val="00250452"/>
    <w:rsid w:val="00250737"/>
    <w:rsid w:val="00250878"/>
    <w:rsid w:val="00250A25"/>
    <w:rsid w:val="00250AC2"/>
    <w:rsid w:val="00250F4B"/>
    <w:rsid w:val="0025100C"/>
    <w:rsid w:val="0025117B"/>
    <w:rsid w:val="00251B6D"/>
    <w:rsid w:val="00251D0B"/>
    <w:rsid w:val="00251D58"/>
    <w:rsid w:val="0025217B"/>
    <w:rsid w:val="002522AF"/>
    <w:rsid w:val="00252446"/>
    <w:rsid w:val="002526EB"/>
    <w:rsid w:val="00252D60"/>
    <w:rsid w:val="002533A0"/>
    <w:rsid w:val="002537B4"/>
    <w:rsid w:val="00253A1D"/>
    <w:rsid w:val="00254173"/>
    <w:rsid w:val="002541C4"/>
    <w:rsid w:val="00254556"/>
    <w:rsid w:val="00254C71"/>
    <w:rsid w:val="00255954"/>
    <w:rsid w:val="002566A9"/>
    <w:rsid w:val="00256877"/>
    <w:rsid w:val="00256AC4"/>
    <w:rsid w:val="0025708D"/>
    <w:rsid w:val="002570D4"/>
    <w:rsid w:val="00260001"/>
    <w:rsid w:val="0026030A"/>
    <w:rsid w:val="00260479"/>
    <w:rsid w:val="002605A5"/>
    <w:rsid w:val="00260968"/>
    <w:rsid w:val="00260A1A"/>
    <w:rsid w:val="00261058"/>
    <w:rsid w:val="002616E7"/>
    <w:rsid w:val="002621DC"/>
    <w:rsid w:val="002624CF"/>
    <w:rsid w:val="00262978"/>
    <w:rsid w:val="00262CFA"/>
    <w:rsid w:val="00262E98"/>
    <w:rsid w:val="00263715"/>
    <w:rsid w:val="00263BA3"/>
    <w:rsid w:val="00263C2F"/>
    <w:rsid w:val="00263C6F"/>
    <w:rsid w:val="00263ECC"/>
    <w:rsid w:val="0026522E"/>
    <w:rsid w:val="0026535E"/>
    <w:rsid w:val="00265432"/>
    <w:rsid w:val="00265625"/>
    <w:rsid w:val="00265937"/>
    <w:rsid w:val="002661A9"/>
    <w:rsid w:val="00266AF5"/>
    <w:rsid w:val="0026720E"/>
    <w:rsid w:val="002675A9"/>
    <w:rsid w:val="00267644"/>
    <w:rsid w:val="002679D7"/>
    <w:rsid w:val="00267F99"/>
    <w:rsid w:val="00270504"/>
    <w:rsid w:val="00270C96"/>
    <w:rsid w:val="00270E46"/>
    <w:rsid w:val="0027110B"/>
    <w:rsid w:val="00271541"/>
    <w:rsid w:val="00271650"/>
    <w:rsid w:val="00271795"/>
    <w:rsid w:val="002718BE"/>
    <w:rsid w:val="002718CF"/>
    <w:rsid w:val="00271A60"/>
    <w:rsid w:val="00272295"/>
    <w:rsid w:val="002727D1"/>
    <w:rsid w:val="00272940"/>
    <w:rsid w:val="00272C42"/>
    <w:rsid w:val="00272CA7"/>
    <w:rsid w:val="00272CEF"/>
    <w:rsid w:val="00272DA9"/>
    <w:rsid w:val="00272EDB"/>
    <w:rsid w:val="002730ED"/>
    <w:rsid w:val="0027364E"/>
    <w:rsid w:val="00273F05"/>
    <w:rsid w:val="00274315"/>
    <w:rsid w:val="002744B0"/>
    <w:rsid w:val="0027461A"/>
    <w:rsid w:val="00274738"/>
    <w:rsid w:val="00274921"/>
    <w:rsid w:val="00274973"/>
    <w:rsid w:val="00274BD6"/>
    <w:rsid w:val="00275150"/>
    <w:rsid w:val="00275AC2"/>
    <w:rsid w:val="00275FE3"/>
    <w:rsid w:val="0027624F"/>
    <w:rsid w:val="002764DF"/>
    <w:rsid w:val="0027661E"/>
    <w:rsid w:val="002767BA"/>
    <w:rsid w:val="0027690D"/>
    <w:rsid w:val="00276D66"/>
    <w:rsid w:val="00276E7F"/>
    <w:rsid w:val="00276EE4"/>
    <w:rsid w:val="00276F18"/>
    <w:rsid w:val="00276FDB"/>
    <w:rsid w:val="00277C5C"/>
    <w:rsid w:val="00277CBA"/>
    <w:rsid w:val="002801E4"/>
    <w:rsid w:val="002801FB"/>
    <w:rsid w:val="00280AE3"/>
    <w:rsid w:val="00280F08"/>
    <w:rsid w:val="00280F3F"/>
    <w:rsid w:val="0028195F"/>
    <w:rsid w:val="00281A7B"/>
    <w:rsid w:val="00281B47"/>
    <w:rsid w:val="00281C53"/>
    <w:rsid w:val="00281F38"/>
    <w:rsid w:val="00282176"/>
    <w:rsid w:val="002823E6"/>
    <w:rsid w:val="002827B6"/>
    <w:rsid w:val="00282FE2"/>
    <w:rsid w:val="002830A4"/>
    <w:rsid w:val="002831F0"/>
    <w:rsid w:val="002834C9"/>
    <w:rsid w:val="00283651"/>
    <w:rsid w:val="0028369C"/>
    <w:rsid w:val="002836E1"/>
    <w:rsid w:val="00283E81"/>
    <w:rsid w:val="002842B1"/>
    <w:rsid w:val="00284642"/>
    <w:rsid w:val="00284675"/>
    <w:rsid w:val="002849AC"/>
    <w:rsid w:val="00285825"/>
    <w:rsid w:val="00286023"/>
    <w:rsid w:val="00286105"/>
    <w:rsid w:val="00286280"/>
    <w:rsid w:val="00286D43"/>
    <w:rsid w:val="002872A2"/>
    <w:rsid w:val="002872FE"/>
    <w:rsid w:val="00287525"/>
    <w:rsid w:val="002875CB"/>
    <w:rsid w:val="00287664"/>
    <w:rsid w:val="002876CB"/>
    <w:rsid w:val="00287B08"/>
    <w:rsid w:val="00287CCE"/>
    <w:rsid w:val="00287D12"/>
    <w:rsid w:val="00287E8A"/>
    <w:rsid w:val="00290043"/>
    <w:rsid w:val="002900C5"/>
    <w:rsid w:val="00290579"/>
    <w:rsid w:val="0029072A"/>
    <w:rsid w:val="00290C30"/>
    <w:rsid w:val="00290C7B"/>
    <w:rsid w:val="00290FC5"/>
    <w:rsid w:val="00290FE2"/>
    <w:rsid w:val="00290FF3"/>
    <w:rsid w:val="0029143B"/>
    <w:rsid w:val="002917D2"/>
    <w:rsid w:val="0029184F"/>
    <w:rsid w:val="00291C95"/>
    <w:rsid w:val="0029213F"/>
    <w:rsid w:val="00292142"/>
    <w:rsid w:val="0029216E"/>
    <w:rsid w:val="00292B1C"/>
    <w:rsid w:val="00292C19"/>
    <w:rsid w:val="002937C9"/>
    <w:rsid w:val="00293967"/>
    <w:rsid w:val="00293EAF"/>
    <w:rsid w:val="00294146"/>
    <w:rsid w:val="00294831"/>
    <w:rsid w:val="00294B16"/>
    <w:rsid w:val="00294F98"/>
    <w:rsid w:val="00294FD0"/>
    <w:rsid w:val="0029539B"/>
    <w:rsid w:val="00295628"/>
    <w:rsid w:val="0029580B"/>
    <w:rsid w:val="00295F76"/>
    <w:rsid w:val="002961B2"/>
    <w:rsid w:val="0029633A"/>
    <w:rsid w:val="00296392"/>
    <w:rsid w:val="0029650C"/>
    <w:rsid w:val="00296793"/>
    <w:rsid w:val="00296B8F"/>
    <w:rsid w:val="00297089"/>
    <w:rsid w:val="0029778C"/>
    <w:rsid w:val="00297AE7"/>
    <w:rsid w:val="00297CD0"/>
    <w:rsid w:val="00297F6B"/>
    <w:rsid w:val="002A0CCD"/>
    <w:rsid w:val="002A10DC"/>
    <w:rsid w:val="002A1362"/>
    <w:rsid w:val="002A1C67"/>
    <w:rsid w:val="002A211F"/>
    <w:rsid w:val="002A3292"/>
    <w:rsid w:val="002A3954"/>
    <w:rsid w:val="002A3EDC"/>
    <w:rsid w:val="002A45AD"/>
    <w:rsid w:val="002A477E"/>
    <w:rsid w:val="002A49FF"/>
    <w:rsid w:val="002A5578"/>
    <w:rsid w:val="002A56AD"/>
    <w:rsid w:val="002A57B9"/>
    <w:rsid w:val="002A5D13"/>
    <w:rsid w:val="002A6340"/>
    <w:rsid w:val="002A656C"/>
    <w:rsid w:val="002A6C05"/>
    <w:rsid w:val="002A6C54"/>
    <w:rsid w:val="002A6D89"/>
    <w:rsid w:val="002A7112"/>
    <w:rsid w:val="002A74FA"/>
    <w:rsid w:val="002A7898"/>
    <w:rsid w:val="002A7C8B"/>
    <w:rsid w:val="002A7D51"/>
    <w:rsid w:val="002A7EA1"/>
    <w:rsid w:val="002A7F72"/>
    <w:rsid w:val="002B02CF"/>
    <w:rsid w:val="002B0DA7"/>
    <w:rsid w:val="002B0FFE"/>
    <w:rsid w:val="002B1145"/>
    <w:rsid w:val="002B1837"/>
    <w:rsid w:val="002B1D34"/>
    <w:rsid w:val="002B233D"/>
    <w:rsid w:val="002B251A"/>
    <w:rsid w:val="002B27A1"/>
    <w:rsid w:val="002B298F"/>
    <w:rsid w:val="002B303C"/>
    <w:rsid w:val="002B334F"/>
    <w:rsid w:val="002B3CB0"/>
    <w:rsid w:val="002B3FA6"/>
    <w:rsid w:val="002B40D9"/>
    <w:rsid w:val="002B4567"/>
    <w:rsid w:val="002B4926"/>
    <w:rsid w:val="002B4A13"/>
    <w:rsid w:val="002B4C28"/>
    <w:rsid w:val="002B4CC0"/>
    <w:rsid w:val="002B5145"/>
    <w:rsid w:val="002B5305"/>
    <w:rsid w:val="002B5C24"/>
    <w:rsid w:val="002B5D60"/>
    <w:rsid w:val="002B63CB"/>
    <w:rsid w:val="002B67D1"/>
    <w:rsid w:val="002B6B38"/>
    <w:rsid w:val="002B6EAD"/>
    <w:rsid w:val="002B6EE3"/>
    <w:rsid w:val="002B73DC"/>
    <w:rsid w:val="002B73EE"/>
    <w:rsid w:val="002B7AA8"/>
    <w:rsid w:val="002B7D23"/>
    <w:rsid w:val="002B7E81"/>
    <w:rsid w:val="002C0496"/>
    <w:rsid w:val="002C076C"/>
    <w:rsid w:val="002C0A29"/>
    <w:rsid w:val="002C0B44"/>
    <w:rsid w:val="002C0F78"/>
    <w:rsid w:val="002C1271"/>
    <w:rsid w:val="002C15C2"/>
    <w:rsid w:val="002C165A"/>
    <w:rsid w:val="002C16BB"/>
    <w:rsid w:val="002C16CB"/>
    <w:rsid w:val="002C232F"/>
    <w:rsid w:val="002C276A"/>
    <w:rsid w:val="002C2846"/>
    <w:rsid w:val="002C2B6B"/>
    <w:rsid w:val="002C30A9"/>
    <w:rsid w:val="002C30D9"/>
    <w:rsid w:val="002C3682"/>
    <w:rsid w:val="002C38F8"/>
    <w:rsid w:val="002C39EA"/>
    <w:rsid w:val="002C3E53"/>
    <w:rsid w:val="002C45DC"/>
    <w:rsid w:val="002C46CC"/>
    <w:rsid w:val="002C48A4"/>
    <w:rsid w:val="002C5663"/>
    <w:rsid w:val="002C58BC"/>
    <w:rsid w:val="002C59D4"/>
    <w:rsid w:val="002C60B2"/>
    <w:rsid w:val="002C65A7"/>
    <w:rsid w:val="002C6824"/>
    <w:rsid w:val="002C6DF3"/>
    <w:rsid w:val="002C704B"/>
    <w:rsid w:val="002C72C8"/>
    <w:rsid w:val="002D00E5"/>
    <w:rsid w:val="002D09D6"/>
    <w:rsid w:val="002D0BA2"/>
    <w:rsid w:val="002D0BE4"/>
    <w:rsid w:val="002D0F4D"/>
    <w:rsid w:val="002D1109"/>
    <w:rsid w:val="002D126B"/>
    <w:rsid w:val="002D1ABD"/>
    <w:rsid w:val="002D1B6F"/>
    <w:rsid w:val="002D1D24"/>
    <w:rsid w:val="002D2019"/>
    <w:rsid w:val="002D21EA"/>
    <w:rsid w:val="002D23CE"/>
    <w:rsid w:val="002D247C"/>
    <w:rsid w:val="002D258E"/>
    <w:rsid w:val="002D2A86"/>
    <w:rsid w:val="002D2CD6"/>
    <w:rsid w:val="002D2EC8"/>
    <w:rsid w:val="002D3596"/>
    <w:rsid w:val="002D35E4"/>
    <w:rsid w:val="002D384A"/>
    <w:rsid w:val="002D398C"/>
    <w:rsid w:val="002D3ABD"/>
    <w:rsid w:val="002D40BD"/>
    <w:rsid w:val="002D42E4"/>
    <w:rsid w:val="002D450E"/>
    <w:rsid w:val="002D4F06"/>
    <w:rsid w:val="002D582D"/>
    <w:rsid w:val="002D587F"/>
    <w:rsid w:val="002D5C97"/>
    <w:rsid w:val="002D62B1"/>
    <w:rsid w:val="002D6B8E"/>
    <w:rsid w:val="002D6DDD"/>
    <w:rsid w:val="002D6E38"/>
    <w:rsid w:val="002D7042"/>
    <w:rsid w:val="002D76A3"/>
    <w:rsid w:val="002D77AC"/>
    <w:rsid w:val="002D7A95"/>
    <w:rsid w:val="002D7E23"/>
    <w:rsid w:val="002E0105"/>
    <w:rsid w:val="002E0514"/>
    <w:rsid w:val="002E0880"/>
    <w:rsid w:val="002E0AA0"/>
    <w:rsid w:val="002E0B26"/>
    <w:rsid w:val="002E0E3B"/>
    <w:rsid w:val="002E1580"/>
    <w:rsid w:val="002E16A2"/>
    <w:rsid w:val="002E1810"/>
    <w:rsid w:val="002E1D6F"/>
    <w:rsid w:val="002E1DAC"/>
    <w:rsid w:val="002E1DCA"/>
    <w:rsid w:val="002E1ECF"/>
    <w:rsid w:val="002E2216"/>
    <w:rsid w:val="002E221A"/>
    <w:rsid w:val="002E2538"/>
    <w:rsid w:val="002E26F4"/>
    <w:rsid w:val="002E2AC3"/>
    <w:rsid w:val="002E3081"/>
    <w:rsid w:val="002E3280"/>
    <w:rsid w:val="002E340B"/>
    <w:rsid w:val="002E3A0A"/>
    <w:rsid w:val="002E3FE9"/>
    <w:rsid w:val="002E487B"/>
    <w:rsid w:val="002E4B6A"/>
    <w:rsid w:val="002E4CB9"/>
    <w:rsid w:val="002E50BE"/>
    <w:rsid w:val="002E576E"/>
    <w:rsid w:val="002E5895"/>
    <w:rsid w:val="002E5B0F"/>
    <w:rsid w:val="002E6378"/>
    <w:rsid w:val="002E64A0"/>
    <w:rsid w:val="002E72CC"/>
    <w:rsid w:val="002E7709"/>
    <w:rsid w:val="002E7789"/>
    <w:rsid w:val="002E7909"/>
    <w:rsid w:val="002E79E4"/>
    <w:rsid w:val="002E7E48"/>
    <w:rsid w:val="002E7F40"/>
    <w:rsid w:val="002F08ED"/>
    <w:rsid w:val="002F0B2F"/>
    <w:rsid w:val="002F0B66"/>
    <w:rsid w:val="002F0DE3"/>
    <w:rsid w:val="002F10E1"/>
    <w:rsid w:val="002F1248"/>
    <w:rsid w:val="002F1D59"/>
    <w:rsid w:val="002F1D66"/>
    <w:rsid w:val="002F1E63"/>
    <w:rsid w:val="002F21F2"/>
    <w:rsid w:val="002F2391"/>
    <w:rsid w:val="002F2509"/>
    <w:rsid w:val="002F2A71"/>
    <w:rsid w:val="002F3872"/>
    <w:rsid w:val="002F3C15"/>
    <w:rsid w:val="002F4066"/>
    <w:rsid w:val="002F4201"/>
    <w:rsid w:val="002F42C7"/>
    <w:rsid w:val="002F448A"/>
    <w:rsid w:val="002F4BFB"/>
    <w:rsid w:val="002F4E05"/>
    <w:rsid w:val="002F5287"/>
    <w:rsid w:val="002F571E"/>
    <w:rsid w:val="002F5888"/>
    <w:rsid w:val="002F5953"/>
    <w:rsid w:val="002F5BA2"/>
    <w:rsid w:val="002F5DE8"/>
    <w:rsid w:val="002F616C"/>
    <w:rsid w:val="002F62AC"/>
    <w:rsid w:val="002F6696"/>
    <w:rsid w:val="002F66D1"/>
    <w:rsid w:val="002F6EB2"/>
    <w:rsid w:val="002F6F54"/>
    <w:rsid w:val="002F6FE7"/>
    <w:rsid w:val="002F7001"/>
    <w:rsid w:val="002F72A4"/>
    <w:rsid w:val="002F7793"/>
    <w:rsid w:val="002F7871"/>
    <w:rsid w:val="002F7B0B"/>
    <w:rsid w:val="002F7CA6"/>
    <w:rsid w:val="002F7CD1"/>
    <w:rsid w:val="002F7DE7"/>
    <w:rsid w:val="0030038E"/>
    <w:rsid w:val="003016E9"/>
    <w:rsid w:val="003018A5"/>
    <w:rsid w:val="00301920"/>
    <w:rsid w:val="0030196B"/>
    <w:rsid w:val="003019C6"/>
    <w:rsid w:val="00301F00"/>
    <w:rsid w:val="00302A41"/>
    <w:rsid w:val="00302AA5"/>
    <w:rsid w:val="00303448"/>
    <w:rsid w:val="003034BD"/>
    <w:rsid w:val="003037CF"/>
    <w:rsid w:val="0030475A"/>
    <w:rsid w:val="003049A2"/>
    <w:rsid w:val="00304B19"/>
    <w:rsid w:val="00304B41"/>
    <w:rsid w:val="00304BB8"/>
    <w:rsid w:val="00304BF4"/>
    <w:rsid w:val="00305403"/>
    <w:rsid w:val="003054B6"/>
    <w:rsid w:val="00305754"/>
    <w:rsid w:val="00306335"/>
    <w:rsid w:val="00306558"/>
    <w:rsid w:val="00306B10"/>
    <w:rsid w:val="00306D35"/>
    <w:rsid w:val="00307044"/>
    <w:rsid w:val="0030741B"/>
    <w:rsid w:val="003079FB"/>
    <w:rsid w:val="00307A8A"/>
    <w:rsid w:val="00307D08"/>
    <w:rsid w:val="003101E0"/>
    <w:rsid w:val="00310D40"/>
    <w:rsid w:val="00311127"/>
    <w:rsid w:val="003112D6"/>
    <w:rsid w:val="00311D20"/>
    <w:rsid w:val="00311FB9"/>
    <w:rsid w:val="00312291"/>
    <w:rsid w:val="003122D4"/>
    <w:rsid w:val="00312EBA"/>
    <w:rsid w:val="0031304D"/>
    <w:rsid w:val="003130E4"/>
    <w:rsid w:val="0031315D"/>
    <w:rsid w:val="00313729"/>
    <w:rsid w:val="0031395D"/>
    <w:rsid w:val="00313997"/>
    <w:rsid w:val="00313E74"/>
    <w:rsid w:val="003140F6"/>
    <w:rsid w:val="0031432E"/>
    <w:rsid w:val="0031449C"/>
    <w:rsid w:val="003144EB"/>
    <w:rsid w:val="00314922"/>
    <w:rsid w:val="00314BE0"/>
    <w:rsid w:val="003150FF"/>
    <w:rsid w:val="00315370"/>
    <w:rsid w:val="0031557D"/>
    <w:rsid w:val="003163F7"/>
    <w:rsid w:val="003164C4"/>
    <w:rsid w:val="003167F5"/>
    <w:rsid w:val="00316B87"/>
    <w:rsid w:val="003172E3"/>
    <w:rsid w:val="00317AE5"/>
    <w:rsid w:val="00317B7A"/>
    <w:rsid w:val="00320359"/>
    <w:rsid w:val="00320D66"/>
    <w:rsid w:val="0032132C"/>
    <w:rsid w:val="003217AC"/>
    <w:rsid w:val="00321AE6"/>
    <w:rsid w:val="00321FF6"/>
    <w:rsid w:val="00322374"/>
    <w:rsid w:val="00322445"/>
    <w:rsid w:val="00322484"/>
    <w:rsid w:val="00322AED"/>
    <w:rsid w:val="003234F1"/>
    <w:rsid w:val="0032377E"/>
    <w:rsid w:val="00323F4A"/>
    <w:rsid w:val="0032449A"/>
    <w:rsid w:val="00324950"/>
    <w:rsid w:val="00324D02"/>
    <w:rsid w:val="00324D53"/>
    <w:rsid w:val="00325D0A"/>
    <w:rsid w:val="00326144"/>
    <w:rsid w:val="003261C3"/>
    <w:rsid w:val="0032670A"/>
    <w:rsid w:val="00326766"/>
    <w:rsid w:val="00326796"/>
    <w:rsid w:val="00326A59"/>
    <w:rsid w:val="00326B7B"/>
    <w:rsid w:val="00326CFA"/>
    <w:rsid w:val="00326DF6"/>
    <w:rsid w:val="00326F58"/>
    <w:rsid w:val="00327532"/>
    <w:rsid w:val="003275B2"/>
    <w:rsid w:val="003307A6"/>
    <w:rsid w:val="003312BD"/>
    <w:rsid w:val="00331582"/>
    <w:rsid w:val="00331635"/>
    <w:rsid w:val="00331EBC"/>
    <w:rsid w:val="00332048"/>
    <w:rsid w:val="00332343"/>
    <w:rsid w:val="00332350"/>
    <w:rsid w:val="00332A46"/>
    <w:rsid w:val="00332C35"/>
    <w:rsid w:val="00333480"/>
    <w:rsid w:val="00333E4C"/>
    <w:rsid w:val="0033420F"/>
    <w:rsid w:val="003344C2"/>
    <w:rsid w:val="003344D3"/>
    <w:rsid w:val="003345F4"/>
    <w:rsid w:val="003348F6"/>
    <w:rsid w:val="003349FE"/>
    <w:rsid w:val="00334C71"/>
    <w:rsid w:val="00334FD0"/>
    <w:rsid w:val="003351C1"/>
    <w:rsid w:val="00335297"/>
    <w:rsid w:val="0033554F"/>
    <w:rsid w:val="00335A6D"/>
    <w:rsid w:val="00335B29"/>
    <w:rsid w:val="00335CFC"/>
    <w:rsid w:val="003363E0"/>
    <w:rsid w:val="0033651B"/>
    <w:rsid w:val="003367F8"/>
    <w:rsid w:val="00336862"/>
    <w:rsid w:val="00336A32"/>
    <w:rsid w:val="00336A9E"/>
    <w:rsid w:val="00336C40"/>
    <w:rsid w:val="00336D3A"/>
    <w:rsid w:val="00337021"/>
    <w:rsid w:val="0033756E"/>
    <w:rsid w:val="00337DE2"/>
    <w:rsid w:val="00340396"/>
    <w:rsid w:val="0034079F"/>
    <w:rsid w:val="00341553"/>
    <w:rsid w:val="00341AF9"/>
    <w:rsid w:val="00341F57"/>
    <w:rsid w:val="00342332"/>
    <w:rsid w:val="00342806"/>
    <w:rsid w:val="0034282A"/>
    <w:rsid w:val="00342AE5"/>
    <w:rsid w:val="00342E52"/>
    <w:rsid w:val="00342E79"/>
    <w:rsid w:val="00343234"/>
    <w:rsid w:val="0034362C"/>
    <w:rsid w:val="00343995"/>
    <w:rsid w:val="00343D6A"/>
    <w:rsid w:val="00343DD7"/>
    <w:rsid w:val="0034446B"/>
    <w:rsid w:val="00344735"/>
    <w:rsid w:val="00344829"/>
    <w:rsid w:val="00344997"/>
    <w:rsid w:val="00345020"/>
    <w:rsid w:val="00345055"/>
    <w:rsid w:val="003450FE"/>
    <w:rsid w:val="003452B5"/>
    <w:rsid w:val="0034531F"/>
    <w:rsid w:val="00345737"/>
    <w:rsid w:val="00345FCD"/>
    <w:rsid w:val="00346873"/>
    <w:rsid w:val="003473DA"/>
    <w:rsid w:val="00347B09"/>
    <w:rsid w:val="00347BB3"/>
    <w:rsid w:val="00347D10"/>
    <w:rsid w:val="00350E8A"/>
    <w:rsid w:val="0035105C"/>
    <w:rsid w:val="003512CF"/>
    <w:rsid w:val="003512FE"/>
    <w:rsid w:val="00351B98"/>
    <w:rsid w:val="00351E95"/>
    <w:rsid w:val="00352E7C"/>
    <w:rsid w:val="00352FC3"/>
    <w:rsid w:val="00353300"/>
    <w:rsid w:val="00353599"/>
    <w:rsid w:val="00353E0A"/>
    <w:rsid w:val="00353E4F"/>
    <w:rsid w:val="0035450C"/>
    <w:rsid w:val="0035457A"/>
    <w:rsid w:val="003545E2"/>
    <w:rsid w:val="00354D76"/>
    <w:rsid w:val="00354E6F"/>
    <w:rsid w:val="00355086"/>
    <w:rsid w:val="00355103"/>
    <w:rsid w:val="00355227"/>
    <w:rsid w:val="003556FF"/>
    <w:rsid w:val="00355E23"/>
    <w:rsid w:val="0035614E"/>
    <w:rsid w:val="00356434"/>
    <w:rsid w:val="003567F0"/>
    <w:rsid w:val="00356DA8"/>
    <w:rsid w:val="00357580"/>
    <w:rsid w:val="003576AC"/>
    <w:rsid w:val="00357740"/>
    <w:rsid w:val="00357F9D"/>
    <w:rsid w:val="00360140"/>
    <w:rsid w:val="00360482"/>
    <w:rsid w:val="00360651"/>
    <w:rsid w:val="003606E3"/>
    <w:rsid w:val="00360C89"/>
    <w:rsid w:val="00361677"/>
    <w:rsid w:val="00361F05"/>
    <w:rsid w:val="00361F76"/>
    <w:rsid w:val="003620C4"/>
    <w:rsid w:val="003629A8"/>
    <w:rsid w:val="00362B50"/>
    <w:rsid w:val="00362C30"/>
    <w:rsid w:val="00362DDC"/>
    <w:rsid w:val="0036313C"/>
    <w:rsid w:val="00363C28"/>
    <w:rsid w:val="00363F85"/>
    <w:rsid w:val="00364F9F"/>
    <w:rsid w:val="003654C8"/>
    <w:rsid w:val="00365667"/>
    <w:rsid w:val="00365780"/>
    <w:rsid w:val="00365884"/>
    <w:rsid w:val="00365EA1"/>
    <w:rsid w:val="003660A5"/>
    <w:rsid w:val="00366B1E"/>
    <w:rsid w:val="00366D11"/>
    <w:rsid w:val="00366E78"/>
    <w:rsid w:val="003670AA"/>
    <w:rsid w:val="0036738F"/>
    <w:rsid w:val="0036745D"/>
    <w:rsid w:val="00367524"/>
    <w:rsid w:val="00367CC8"/>
    <w:rsid w:val="00367D20"/>
    <w:rsid w:val="00367E63"/>
    <w:rsid w:val="0037023C"/>
    <w:rsid w:val="00370347"/>
    <w:rsid w:val="0037054D"/>
    <w:rsid w:val="003709F7"/>
    <w:rsid w:val="00370A3B"/>
    <w:rsid w:val="00370A93"/>
    <w:rsid w:val="00371A7D"/>
    <w:rsid w:val="00371E06"/>
    <w:rsid w:val="00372448"/>
    <w:rsid w:val="0037245E"/>
    <w:rsid w:val="00372663"/>
    <w:rsid w:val="00372720"/>
    <w:rsid w:val="00372A4C"/>
    <w:rsid w:val="0037322F"/>
    <w:rsid w:val="003732A4"/>
    <w:rsid w:val="00373716"/>
    <w:rsid w:val="0037378A"/>
    <w:rsid w:val="00373A99"/>
    <w:rsid w:val="00374727"/>
    <w:rsid w:val="0037481F"/>
    <w:rsid w:val="0037518B"/>
    <w:rsid w:val="003757C1"/>
    <w:rsid w:val="00375881"/>
    <w:rsid w:val="00375B42"/>
    <w:rsid w:val="00375DDA"/>
    <w:rsid w:val="00375E36"/>
    <w:rsid w:val="00375F15"/>
    <w:rsid w:val="0037634C"/>
    <w:rsid w:val="00376460"/>
    <w:rsid w:val="00376947"/>
    <w:rsid w:val="00376A75"/>
    <w:rsid w:val="00376BE6"/>
    <w:rsid w:val="00376E2F"/>
    <w:rsid w:val="00376FED"/>
    <w:rsid w:val="003772B8"/>
    <w:rsid w:val="00377D0A"/>
    <w:rsid w:val="00380344"/>
    <w:rsid w:val="00380414"/>
    <w:rsid w:val="00380C00"/>
    <w:rsid w:val="00380CBE"/>
    <w:rsid w:val="00381000"/>
    <w:rsid w:val="003812B2"/>
    <w:rsid w:val="00381585"/>
    <w:rsid w:val="0038160E"/>
    <w:rsid w:val="0038186C"/>
    <w:rsid w:val="00381B55"/>
    <w:rsid w:val="00382126"/>
    <w:rsid w:val="003823FE"/>
    <w:rsid w:val="0038256B"/>
    <w:rsid w:val="00382A94"/>
    <w:rsid w:val="00382DB9"/>
    <w:rsid w:val="00382FC5"/>
    <w:rsid w:val="00383037"/>
    <w:rsid w:val="00383496"/>
    <w:rsid w:val="00383990"/>
    <w:rsid w:val="00383C15"/>
    <w:rsid w:val="00383D98"/>
    <w:rsid w:val="00383DB5"/>
    <w:rsid w:val="00383EB6"/>
    <w:rsid w:val="003844EB"/>
    <w:rsid w:val="00384695"/>
    <w:rsid w:val="003847FF"/>
    <w:rsid w:val="00384AE7"/>
    <w:rsid w:val="00385249"/>
    <w:rsid w:val="003859D6"/>
    <w:rsid w:val="00385B26"/>
    <w:rsid w:val="00385E94"/>
    <w:rsid w:val="00386031"/>
    <w:rsid w:val="0038658B"/>
    <w:rsid w:val="003865E9"/>
    <w:rsid w:val="0038698E"/>
    <w:rsid w:val="00386E8A"/>
    <w:rsid w:val="003870EC"/>
    <w:rsid w:val="00387A81"/>
    <w:rsid w:val="00387C13"/>
    <w:rsid w:val="00387D05"/>
    <w:rsid w:val="00387E4B"/>
    <w:rsid w:val="0039003C"/>
    <w:rsid w:val="0039023E"/>
    <w:rsid w:val="003902AB"/>
    <w:rsid w:val="003903D1"/>
    <w:rsid w:val="0039053B"/>
    <w:rsid w:val="003909DA"/>
    <w:rsid w:val="00390CDF"/>
    <w:rsid w:val="003913DC"/>
    <w:rsid w:val="0039172E"/>
    <w:rsid w:val="00391A96"/>
    <w:rsid w:val="00391C4D"/>
    <w:rsid w:val="00391E8C"/>
    <w:rsid w:val="0039239B"/>
    <w:rsid w:val="003933BC"/>
    <w:rsid w:val="00393642"/>
    <w:rsid w:val="00393D21"/>
    <w:rsid w:val="00394397"/>
    <w:rsid w:val="00394A1F"/>
    <w:rsid w:val="00395A24"/>
    <w:rsid w:val="00395F2A"/>
    <w:rsid w:val="003961B2"/>
    <w:rsid w:val="0039647F"/>
    <w:rsid w:val="00396ECC"/>
    <w:rsid w:val="00396F3F"/>
    <w:rsid w:val="003972A1"/>
    <w:rsid w:val="0039750F"/>
    <w:rsid w:val="00397622"/>
    <w:rsid w:val="0039762B"/>
    <w:rsid w:val="003976C6"/>
    <w:rsid w:val="0039786E"/>
    <w:rsid w:val="003A101C"/>
    <w:rsid w:val="003A134E"/>
    <w:rsid w:val="003A1478"/>
    <w:rsid w:val="003A1DA2"/>
    <w:rsid w:val="003A1EC7"/>
    <w:rsid w:val="003A1F28"/>
    <w:rsid w:val="003A22B1"/>
    <w:rsid w:val="003A2564"/>
    <w:rsid w:val="003A2FB1"/>
    <w:rsid w:val="003A2FD1"/>
    <w:rsid w:val="003A3714"/>
    <w:rsid w:val="003A37E5"/>
    <w:rsid w:val="003A3826"/>
    <w:rsid w:val="003A384C"/>
    <w:rsid w:val="003A3980"/>
    <w:rsid w:val="003A3EF1"/>
    <w:rsid w:val="003A425B"/>
    <w:rsid w:val="003A4704"/>
    <w:rsid w:val="003A484F"/>
    <w:rsid w:val="003A4DAB"/>
    <w:rsid w:val="003A4F25"/>
    <w:rsid w:val="003A5031"/>
    <w:rsid w:val="003A5409"/>
    <w:rsid w:val="003A5996"/>
    <w:rsid w:val="003A5ACE"/>
    <w:rsid w:val="003A5D00"/>
    <w:rsid w:val="003A5DDE"/>
    <w:rsid w:val="003A5F97"/>
    <w:rsid w:val="003A685D"/>
    <w:rsid w:val="003A68D1"/>
    <w:rsid w:val="003A6A2E"/>
    <w:rsid w:val="003A6E96"/>
    <w:rsid w:val="003A6FD1"/>
    <w:rsid w:val="003A7CB7"/>
    <w:rsid w:val="003A7FD6"/>
    <w:rsid w:val="003B0390"/>
    <w:rsid w:val="003B0810"/>
    <w:rsid w:val="003B15B2"/>
    <w:rsid w:val="003B18CD"/>
    <w:rsid w:val="003B1CF7"/>
    <w:rsid w:val="003B210E"/>
    <w:rsid w:val="003B24B7"/>
    <w:rsid w:val="003B2746"/>
    <w:rsid w:val="003B28E5"/>
    <w:rsid w:val="003B306A"/>
    <w:rsid w:val="003B3269"/>
    <w:rsid w:val="003B33C1"/>
    <w:rsid w:val="003B4549"/>
    <w:rsid w:val="003B4744"/>
    <w:rsid w:val="003B4E30"/>
    <w:rsid w:val="003B5391"/>
    <w:rsid w:val="003B5409"/>
    <w:rsid w:val="003B5D8A"/>
    <w:rsid w:val="003B5FC3"/>
    <w:rsid w:val="003B6063"/>
    <w:rsid w:val="003B6341"/>
    <w:rsid w:val="003B68FC"/>
    <w:rsid w:val="003B6E29"/>
    <w:rsid w:val="003B6EDD"/>
    <w:rsid w:val="003B71D1"/>
    <w:rsid w:val="003B73E6"/>
    <w:rsid w:val="003B7890"/>
    <w:rsid w:val="003B79E1"/>
    <w:rsid w:val="003C009D"/>
    <w:rsid w:val="003C0846"/>
    <w:rsid w:val="003C0C13"/>
    <w:rsid w:val="003C0E2E"/>
    <w:rsid w:val="003C0F3B"/>
    <w:rsid w:val="003C124B"/>
    <w:rsid w:val="003C1EEB"/>
    <w:rsid w:val="003C3E40"/>
    <w:rsid w:val="003C4224"/>
    <w:rsid w:val="003C478D"/>
    <w:rsid w:val="003C49DB"/>
    <w:rsid w:val="003C4BCA"/>
    <w:rsid w:val="003C4C03"/>
    <w:rsid w:val="003C4D13"/>
    <w:rsid w:val="003C53DD"/>
    <w:rsid w:val="003C5934"/>
    <w:rsid w:val="003C5F76"/>
    <w:rsid w:val="003C6496"/>
    <w:rsid w:val="003C6681"/>
    <w:rsid w:val="003C6719"/>
    <w:rsid w:val="003C6B4A"/>
    <w:rsid w:val="003C6B91"/>
    <w:rsid w:val="003C6C3A"/>
    <w:rsid w:val="003C6CCE"/>
    <w:rsid w:val="003C6D5D"/>
    <w:rsid w:val="003C6F02"/>
    <w:rsid w:val="003C71D3"/>
    <w:rsid w:val="003C7576"/>
    <w:rsid w:val="003D00B7"/>
    <w:rsid w:val="003D01B4"/>
    <w:rsid w:val="003D02A0"/>
    <w:rsid w:val="003D036A"/>
    <w:rsid w:val="003D06DB"/>
    <w:rsid w:val="003D0842"/>
    <w:rsid w:val="003D0AEA"/>
    <w:rsid w:val="003D0B33"/>
    <w:rsid w:val="003D0DDC"/>
    <w:rsid w:val="003D12BD"/>
    <w:rsid w:val="003D16AB"/>
    <w:rsid w:val="003D16F5"/>
    <w:rsid w:val="003D182C"/>
    <w:rsid w:val="003D204A"/>
    <w:rsid w:val="003D2329"/>
    <w:rsid w:val="003D28EF"/>
    <w:rsid w:val="003D2994"/>
    <w:rsid w:val="003D2A41"/>
    <w:rsid w:val="003D2CAF"/>
    <w:rsid w:val="003D2E15"/>
    <w:rsid w:val="003D325D"/>
    <w:rsid w:val="003D32E7"/>
    <w:rsid w:val="003D36FA"/>
    <w:rsid w:val="003D37E4"/>
    <w:rsid w:val="003D3B0F"/>
    <w:rsid w:val="003D3CE9"/>
    <w:rsid w:val="003D3D01"/>
    <w:rsid w:val="003D3D6C"/>
    <w:rsid w:val="003D3F6C"/>
    <w:rsid w:val="003D4033"/>
    <w:rsid w:val="003D4406"/>
    <w:rsid w:val="003D4901"/>
    <w:rsid w:val="003D499E"/>
    <w:rsid w:val="003D49E2"/>
    <w:rsid w:val="003D524C"/>
    <w:rsid w:val="003D5469"/>
    <w:rsid w:val="003D584D"/>
    <w:rsid w:val="003D5EF9"/>
    <w:rsid w:val="003D602D"/>
    <w:rsid w:val="003D651A"/>
    <w:rsid w:val="003D6EAB"/>
    <w:rsid w:val="003D71BD"/>
    <w:rsid w:val="003D7D7F"/>
    <w:rsid w:val="003E0079"/>
    <w:rsid w:val="003E01FB"/>
    <w:rsid w:val="003E0620"/>
    <w:rsid w:val="003E129C"/>
    <w:rsid w:val="003E12EF"/>
    <w:rsid w:val="003E14C9"/>
    <w:rsid w:val="003E2160"/>
    <w:rsid w:val="003E259A"/>
    <w:rsid w:val="003E28E3"/>
    <w:rsid w:val="003E2C00"/>
    <w:rsid w:val="003E2C31"/>
    <w:rsid w:val="003E2C76"/>
    <w:rsid w:val="003E2FC3"/>
    <w:rsid w:val="003E30D4"/>
    <w:rsid w:val="003E312B"/>
    <w:rsid w:val="003E31B3"/>
    <w:rsid w:val="003E33CC"/>
    <w:rsid w:val="003E39D1"/>
    <w:rsid w:val="003E3E42"/>
    <w:rsid w:val="003E42F8"/>
    <w:rsid w:val="003E44FE"/>
    <w:rsid w:val="003E4A61"/>
    <w:rsid w:val="003E4ECC"/>
    <w:rsid w:val="003E5205"/>
    <w:rsid w:val="003E523B"/>
    <w:rsid w:val="003E5456"/>
    <w:rsid w:val="003E57BF"/>
    <w:rsid w:val="003E59BB"/>
    <w:rsid w:val="003E5B39"/>
    <w:rsid w:val="003E5CD3"/>
    <w:rsid w:val="003E6122"/>
    <w:rsid w:val="003E6700"/>
    <w:rsid w:val="003E672D"/>
    <w:rsid w:val="003E6F07"/>
    <w:rsid w:val="003E70DF"/>
    <w:rsid w:val="003E72C6"/>
    <w:rsid w:val="003E73A0"/>
    <w:rsid w:val="003E75BC"/>
    <w:rsid w:val="003E7885"/>
    <w:rsid w:val="003E7907"/>
    <w:rsid w:val="003E7D97"/>
    <w:rsid w:val="003F013D"/>
    <w:rsid w:val="003F024C"/>
    <w:rsid w:val="003F06C5"/>
    <w:rsid w:val="003F109C"/>
    <w:rsid w:val="003F1352"/>
    <w:rsid w:val="003F1B02"/>
    <w:rsid w:val="003F1C98"/>
    <w:rsid w:val="003F1E34"/>
    <w:rsid w:val="003F1F2E"/>
    <w:rsid w:val="003F235F"/>
    <w:rsid w:val="003F30A9"/>
    <w:rsid w:val="003F38F6"/>
    <w:rsid w:val="003F3C02"/>
    <w:rsid w:val="003F3F46"/>
    <w:rsid w:val="003F412D"/>
    <w:rsid w:val="003F5455"/>
    <w:rsid w:val="003F57D0"/>
    <w:rsid w:val="003F5BE8"/>
    <w:rsid w:val="003F6103"/>
    <w:rsid w:val="003F6569"/>
    <w:rsid w:val="003F7032"/>
    <w:rsid w:val="003F7431"/>
    <w:rsid w:val="003F7551"/>
    <w:rsid w:val="003F7732"/>
    <w:rsid w:val="00400E76"/>
    <w:rsid w:val="00401017"/>
    <w:rsid w:val="00401449"/>
    <w:rsid w:val="0040158A"/>
    <w:rsid w:val="00401612"/>
    <w:rsid w:val="004027FC"/>
    <w:rsid w:val="00402FC2"/>
    <w:rsid w:val="004034CE"/>
    <w:rsid w:val="00403B5B"/>
    <w:rsid w:val="00403E90"/>
    <w:rsid w:val="004043CD"/>
    <w:rsid w:val="004047E4"/>
    <w:rsid w:val="00404A2C"/>
    <w:rsid w:val="00404CD7"/>
    <w:rsid w:val="00404F1E"/>
    <w:rsid w:val="004050C7"/>
    <w:rsid w:val="00405108"/>
    <w:rsid w:val="00405B5B"/>
    <w:rsid w:val="00405C8F"/>
    <w:rsid w:val="0040632A"/>
    <w:rsid w:val="0040649D"/>
    <w:rsid w:val="00406795"/>
    <w:rsid w:val="00406809"/>
    <w:rsid w:val="00406DC4"/>
    <w:rsid w:val="00406FD1"/>
    <w:rsid w:val="004070B0"/>
    <w:rsid w:val="00407315"/>
    <w:rsid w:val="00410356"/>
    <w:rsid w:val="0041035E"/>
    <w:rsid w:val="00410474"/>
    <w:rsid w:val="0041053C"/>
    <w:rsid w:val="0041109C"/>
    <w:rsid w:val="004111E4"/>
    <w:rsid w:val="0041150B"/>
    <w:rsid w:val="0041225C"/>
    <w:rsid w:val="004145A1"/>
    <w:rsid w:val="0041465F"/>
    <w:rsid w:val="00414F55"/>
    <w:rsid w:val="0041522A"/>
    <w:rsid w:val="004154BC"/>
    <w:rsid w:val="0041593E"/>
    <w:rsid w:val="00415BF6"/>
    <w:rsid w:val="00415DF6"/>
    <w:rsid w:val="0041624A"/>
    <w:rsid w:val="004169BA"/>
    <w:rsid w:val="00417263"/>
    <w:rsid w:val="00420373"/>
    <w:rsid w:val="00420435"/>
    <w:rsid w:val="00420AC5"/>
    <w:rsid w:val="00420DBB"/>
    <w:rsid w:val="00421314"/>
    <w:rsid w:val="00421411"/>
    <w:rsid w:val="00421D8C"/>
    <w:rsid w:val="004222F2"/>
    <w:rsid w:val="004223A8"/>
    <w:rsid w:val="00422A23"/>
    <w:rsid w:val="00422E2C"/>
    <w:rsid w:val="00422F27"/>
    <w:rsid w:val="00423169"/>
    <w:rsid w:val="00423949"/>
    <w:rsid w:val="00423970"/>
    <w:rsid w:val="00423DB4"/>
    <w:rsid w:val="004242F4"/>
    <w:rsid w:val="00424470"/>
    <w:rsid w:val="004244B8"/>
    <w:rsid w:val="00424505"/>
    <w:rsid w:val="00424F17"/>
    <w:rsid w:val="004252CE"/>
    <w:rsid w:val="004252FF"/>
    <w:rsid w:val="00425342"/>
    <w:rsid w:val="00425651"/>
    <w:rsid w:val="0042588B"/>
    <w:rsid w:val="00425DF0"/>
    <w:rsid w:val="0042664B"/>
    <w:rsid w:val="004267A5"/>
    <w:rsid w:val="00426BAB"/>
    <w:rsid w:val="00427389"/>
    <w:rsid w:val="0042744F"/>
    <w:rsid w:val="00427982"/>
    <w:rsid w:val="00427F02"/>
    <w:rsid w:val="00430829"/>
    <w:rsid w:val="00430992"/>
    <w:rsid w:val="00430A9A"/>
    <w:rsid w:val="004312B0"/>
    <w:rsid w:val="0043130B"/>
    <w:rsid w:val="00431558"/>
    <w:rsid w:val="00431954"/>
    <w:rsid w:val="00431B62"/>
    <w:rsid w:val="00431E29"/>
    <w:rsid w:val="00431F02"/>
    <w:rsid w:val="004320AC"/>
    <w:rsid w:val="004336B1"/>
    <w:rsid w:val="0043388B"/>
    <w:rsid w:val="00433A3E"/>
    <w:rsid w:val="00433C43"/>
    <w:rsid w:val="00433DE9"/>
    <w:rsid w:val="00433E43"/>
    <w:rsid w:val="00434188"/>
    <w:rsid w:val="00434EA4"/>
    <w:rsid w:val="00435340"/>
    <w:rsid w:val="00435AD1"/>
    <w:rsid w:val="00435E53"/>
    <w:rsid w:val="00435E7A"/>
    <w:rsid w:val="00435FED"/>
    <w:rsid w:val="0043644B"/>
    <w:rsid w:val="00436781"/>
    <w:rsid w:val="00436EC7"/>
    <w:rsid w:val="00436F62"/>
    <w:rsid w:val="004370B3"/>
    <w:rsid w:val="00437F06"/>
    <w:rsid w:val="004407B2"/>
    <w:rsid w:val="00440902"/>
    <w:rsid w:val="00440BA5"/>
    <w:rsid w:val="00440CF9"/>
    <w:rsid w:val="00440FDD"/>
    <w:rsid w:val="004412E1"/>
    <w:rsid w:val="00441642"/>
    <w:rsid w:val="00441728"/>
    <w:rsid w:val="0044196E"/>
    <w:rsid w:val="00441ED3"/>
    <w:rsid w:val="004423E5"/>
    <w:rsid w:val="00442BBD"/>
    <w:rsid w:val="00442BFA"/>
    <w:rsid w:val="00442D5E"/>
    <w:rsid w:val="004434F7"/>
    <w:rsid w:val="004440E9"/>
    <w:rsid w:val="0044442C"/>
    <w:rsid w:val="00444A60"/>
    <w:rsid w:val="00445218"/>
    <w:rsid w:val="00445761"/>
    <w:rsid w:val="00445A5F"/>
    <w:rsid w:val="004461E9"/>
    <w:rsid w:val="0044650D"/>
    <w:rsid w:val="00446817"/>
    <w:rsid w:val="0044755D"/>
    <w:rsid w:val="00447726"/>
    <w:rsid w:val="0044793D"/>
    <w:rsid w:val="00447F31"/>
    <w:rsid w:val="00450255"/>
    <w:rsid w:val="00450582"/>
    <w:rsid w:val="0045062E"/>
    <w:rsid w:val="00450733"/>
    <w:rsid w:val="004508BB"/>
    <w:rsid w:val="00451BAA"/>
    <w:rsid w:val="00451C69"/>
    <w:rsid w:val="00451CD5"/>
    <w:rsid w:val="0045275D"/>
    <w:rsid w:val="00452A3F"/>
    <w:rsid w:val="00453835"/>
    <w:rsid w:val="004539F5"/>
    <w:rsid w:val="00453C8B"/>
    <w:rsid w:val="00453E5F"/>
    <w:rsid w:val="0045415E"/>
    <w:rsid w:val="00454688"/>
    <w:rsid w:val="0045505B"/>
    <w:rsid w:val="00455E61"/>
    <w:rsid w:val="004561A6"/>
    <w:rsid w:val="004561EC"/>
    <w:rsid w:val="004562E1"/>
    <w:rsid w:val="004565C0"/>
    <w:rsid w:val="00456C74"/>
    <w:rsid w:val="00457902"/>
    <w:rsid w:val="00457990"/>
    <w:rsid w:val="00457A3B"/>
    <w:rsid w:val="00460041"/>
    <w:rsid w:val="0046045B"/>
    <w:rsid w:val="004604AC"/>
    <w:rsid w:val="00460754"/>
    <w:rsid w:val="004607E4"/>
    <w:rsid w:val="004608B5"/>
    <w:rsid w:val="00460DC8"/>
    <w:rsid w:val="0046102F"/>
    <w:rsid w:val="004610D3"/>
    <w:rsid w:val="004614CB"/>
    <w:rsid w:val="004614F6"/>
    <w:rsid w:val="0046174E"/>
    <w:rsid w:val="00461DA8"/>
    <w:rsid w:val="0046253D"/>
    <w:rsid w:val="004626E6"/>
    <w:rsid w:val="00462C53"/>
    <w:rsid w:val="004631AE"/>
    <w:rsid w:val="00463255"/>
    <w:rsid w:val="00463ADF"/>
    <w:rsid w:val="00463C64"/>
    <w:rsid w:val="00463D0A"/>
    <w:rsid w:val="004640D9"/>
    <w:rsid w:val="00464274"/>
    <w:rsid w:val="004642F3"/>
    <w:rsid w:val="004644A4"/>
    <w:rsid w:val="00464A83"/>
    <w:rsid w:val="00464AA4"/>
    <w:rsid w:val="00464BD2"/>
    <w:rsid w:val="00464CAD"/>
    <w:rsid w:val="00464E4E"/>
    <w:rsid w:val="00464EEE"/>
    <w:rsid w:val="004655E8"/>
    <w:rsid w:val="00465A20"/>
    <w:rsid w:val="00465D3E"/>
    <w:rsid w:val="0046612A"/>
    <w:rsid w:val="0046635D"/>
    <w:rsid w:val="004669DC"/>
    <w:rsid w:val="00466B6E"/>
    <w:rsid w:val="00466D4B"/>
    <w:rsid w:val="00466FBB"/>
    <w:rsid w:val="0046733B"/>
    <w:rsid w:val="0046734C"/>
    <w:rsid w:val="00467B03"/>
    <w:rsid w:val="004700D6"/>
    <w:rsid w:val="00470BB2"/>
    <w:rsid w:val="00470BCB"/>
    <w:rsid w:val="004712CE"/>
    <w:rsid w:val="00471A4C"/>
    <w:rsid w:val="00471D41"/>
    <w:rsid w:val="004729A8"/>
    <w:rsid w:val="00472C8B"/>
    <w:rsid w:val="00472DDE"/>
    <w:rsid w:val="0047310F"/>
    <w:rsid w:val="00473788"/>
    <w:rsid w:val="00473934"/>
    <w:rsid w:val="0047445A"/>
    <w:rsid w:val="00474533"/>
    <w:rsid w:val="00474B8C"/>
    <w:rsid w:val="00474C01"/>
    <w:rsid w:val="00474EBE"/>
    <w:rsid w:val="00474FF5"/>
    <w:rsid w:val="004752DE"/>
    <w:rsid w:val="004753E6"/>
    <w:rsid w:val="004754D9"/>
    <w:rsid w:val="00475D86"/>
    <w:rsid w:val="00475EC1"/>
    <w:rsid w:val="00475FB0"/>
    <w:rsid w:val="00477011"/>
    <w:rsid w:val="00477148"/>
    <w:rsid w:val="004773DD"/>
    <w:rsid w:val="00477437"/>
    <w:rsid w:val="00477815"/>
    <w:rsid w:val="004802DB"/>
    <w:rsid w:val="00480417"/>
    <w:rsid w:val="00481ABD"/>
    <w:rsid w:val="00481C4D"/>
    <w:rsid w:val="0048247C"/>
    <w:rsid w:val="0048257D"/>
    <w:rsid w:val="004825EC"/>
    <w:rsid w:val="00482D37"/>
    <w:rsid w:val="00482D42"/>
    <w:rsid w:val="00483164"/>
    <w:rsid w:val="00483420"/>
    <w:rsid w:val="004836B3"/>
    <w:rsid w:val="00483893"/>
    <w:rsid w:val="00483C0D"/>
    <w:rsid w:val="00483F42"/>
    <w:rsid w:val="00484245"/>
    <w:rsid w:val="004847EF"/>
    <w:rsid w:val="0048482E"/>
    <w:rsid w:val="00485577"/>
    <w:rsid w:val="0048560A"/>
    <w:rsid w:val="00485866"/>
    <w:rsid w:val="00485A30"/>
    <w:rsid w:val="00485B62"/>
    <w:rsid w:val="00485BED"/>
    <w:rsid w:val="00486010"/>
    <w:rsid w:val="00486C16"/>
    <w:rsid w:val="00486E4B"/>
    <w:rsid w:val="0048719E"/>
    <w:rsid w:val="004872C2"/>
    <w:rsid w:val="004877AC"/>
    <w:rsid w:val="004879D5"/>
    <w:rsid w:val="00487D6C"/>
    <w:rsid w:val="00487E0A"/>
    <w:rsid w:val="00490038"/>
    <w:rsid w:val="00490181"/>
    <w:rsid w:val="004906D6"/>
    <w:rsid w:val="004907EB"/>
    <w:rsid w:val="0049275F"/>
    <w:rsid w:val="00492934"/>
    <w:rsid w:val="00492B6F"/>
    <w:rsid w:val="00492D5D"/>
    <w:rsid w:val="00493118"/>
    <w:rsid w:val="004933E7"/>
    <w:rsid w:val="004934FE"/>
    <w:rsid w:val="0049364E"/>
    <w:rsid w:val="00493725"/>
    <w:rsid w:val="004937DF"/>
    <w:rsid w:val="004939F3"/>
    <w:rsid w:val="00493FC8"/>
    <w:rsid w:val="00494183"/>
    <w:rsid w:val="00494DFF"/>
    <w:rsid w:val="00495A7F"/>
    <w:rsid w:val="00495D55"/>
    <w:rsid w:val="00496435"/>
    <w:rsid w:val="0049668C"/>
    <w:rsid w:val="00496B97"/>
    <w:rsid w:val="00496BF7"/>
    <w:rsid w:val="0049728A"/>
    <w:rsid w:val="0049776F"/>
    <w:rsid w:val="00497AF0"/>
    <w:rsid w:val="00497B2B"/>
    <w:rsid w:val="004A007F"/>
    <w:rsid w:val="004A0593"/>
    <w:rsid w:val="004A06E8"/>
    <w:rsid w:val="004A0745"/>
    <w:rsid w:val="004A0988"/>
    <w:rsid w:val="004A09AE"/>
    <w:rsid w:val="004A09DC"/>
    <w:rsid w:val="004A0BB1"/>
    <w:rsid w:val="004A0E25"/>
    <w:rsid w:val="004A0E26"/>
    <w:rsid w:val="004A1573"/>
    <w:rsid w:val="004A1859"/>
    <w:rsid w:val="004A19E0"/>
    <w:rsid w:val="004A1F25"/>
    <w:rsid w:val="004A205E"/>
    <w:rsid w:val="004A24DD"/>
    <w:rsid w:val="004A28BF"/>
    <w:rsid w:val="004A2C75"/>
    <w:rsid w:val="004A2ED4"/>
    <w:rsid w:val="004A2F7C"/>
    <w:rsid w:val="004A31FE"/>
    <w:rsid w:val="004A350E"/>
    <w:rsid w:val="004A372A"/>
    <w:rsid w:val="004A39A5"/>
    <w:rsid w:val="004A3E14"/>
    <w:rsid w:val="004A409A"/>
    <w:rsid w:val="004A425D"/>
    <w:rsid w:val="004A44DE"/>
    <w:rsid w:val="004A4526"/>
    <w:rsid w:val="004A4717"/>
    <w:rsid w:val="004A4B62"/>
    <w:rsid w:val="004A4BA0"/>
    <w:rsid w:val="004A550F"/>
    <w:rsid w:val="004A5C79"/>
    <w:rsid w:val="004A5E62"/>
    <w:rsid w:val="004A6271"/>
    <w:rsid w:val="004A63C9"/>
    <w:rsid w:val="004A6B6E"/>
    <w:rsid w:val="004A6BA4"/>
    <w:rsid w:val="004A6F87"/>
    <w:rsid w:val="004A76A9"/>
    <w:rsid w:val="004B0126"/>
    <w:rsid w:val="004B023F"/>
    <w:rsid w:val="004B0387"/>
    <w:rsid w:val="004B063F"/>
    <w:rsid w:val="004B06A5"/>
    <w:rsid w:val="004B0752"/>
    <w:rsid w:val="004B07CF"/>
    <w:rsid w:val="004B0883"/>
    <w:rsid w:val="004B0AAE"/>
    <w:rsid w:val="004B0ADD"/>
    <w:rsid w:val="004B13EC"/>
    <w:rsid w:val="004B1AEE"/>
    <w:rsid w:val="004B1B81"/>
    <w:rsid w:val="004B2434"/>
    <w:rsid w:val="004B2DD6"/>
    <w:rsid w:val="004B3092"/>
    <w:rsid w:val="004B3101"/>
    <w:rsid w:val="004B357D"/>
    <w:rsid w:val="004B38DA"/>
    <w:rsid w:val="004B397D"/>
    <w:rsid w:val="004B3FA2"/>
    <w:rsid w:val="004B455A"/>
    <w:rsid w:val="004B4964"/>
    <w:rsid w:val="004B4DF8"/>
    <w:rsid w:val="004B500D"/>
    <w:rsid w:val="004B5191"/>
    <w:rsid w:val="004B53EF"/>
    <w:rsid w:val="004B5FDC"/>
    <w:rsid w:val="004B65E9"/>
    <w:rsid w:val="004B670F"/>
    <w:rsid w:val="004B690D"/>
    <w:rsid w:val="004B6F05"/>
    <w:rsid w:val="004B6FB8"/>
    <w:rsid w:val="004B7236"/>
    <w:rsid w:val="004B744A"/>
    <w:rsid w:val="004B7FC9"/>
    <w:rsid w:val="004C08DB"/>
    <w:rsid w:val="004C158A"/>
    <w:rsid w:val="004C1E19"/>
    <w:rsid w:val="004C1E2C"/>
    <w:rsid w:val="004C22CB"/>
    <w:rsid w:val="004C2570"/>
    <w:rsid w:val="004C2872"/>
    <w:rsid w:val="004C2E63"/>
    <w:rsid w:val="004C377A"/>
    <w:rsid w:val="004C3C6B"/>
    <w:rsid w:val="004C4063"/>
    <w:rsid w:val="004C48D2"/>
    <w:rsid w:val="004C4939"/>
    <w:rsid w:val="004C4EFA"/>
    <w:rsid w:val="004C50FD"/>
    <w:rsid w:val="004C51CE"/>
    <w:rsid w:val="004C5219"/>
    <w:rsid w:val="004C52E1"/>
    <w:rsid w:val="004C587C"/>
    <w:rsid w:val="004C5C18"/>
    <w:rsid w:val="004C5C4A"/>
    <w:rsid w:val="004C5D86"/>
    <w:rsid w:val="004C6368"/>
    <w:rsid w:val="004C64D1"/>
    <w:rsid w:val="004C658E"/>
    <w:rsid w:val="004C6B70"/>
    <w:rsid w:val="004C6D61"/>
    <w:rsid w:val="004C74B6"/>
    <w:rsid w:val="004C7706"/>
    <w:rsid w:val="004C7ABB"/>
    <w:rsid w:val="004C7AD5"/>
    <w:rsid w:val="004C7D72"/>
    <w:rsid w:val="004D0E58"/>
    <w:rsid w:val="004D0E9F"/>
    <w:rsid w:val="004D11E2"/>
    <w:rsid w:val="004D189C"/>
    <w:rsid w:val="004D1A73"/>
    <w:rsid w:val="004D1C3F"/>
    <w:rsid w:val="004D2AEA"/>
    <w:rsid w:val="004D2DF9"/>
    <w:rsid w:val="004D31FB"/>
    <w:rsid w:val="004D4286"/>
    <w:rsid w:val="004D42F8"/>
    <w:rsid w:val="004D49AD"/>
    <w:rsid w:val="004D4A66"/>
    <w:rsid w:val="004D4A99"/>
    <w:rsid w:val="004D4D0B"/>
    <w:rsid w:val="004D51FB"/>
    <w:rsid w:val="004D544B"/>
    <w:rsid w:val="004D56BE"/>
    <w:rsid w:val="004D5958"/>
    <w:rsid w:val="004D5AB7"/>
    <w:rsid w:val="004D5C3D"/>
    <w:rsid w:val="004D6337"/>
    <w:rsid w:val="004D6435"/>
    <w:rsid w:val="004D6765"/>
    <w:rsid w:val="004D68F5"/>
    <w:rsid w:val="004D695F"/>
    <w:rsid w:val="004D6C08"/>
    <w:rsid w:val="004D6D38"/>
    <w:rsid w:val="004D6FB3"/>
    <w:rsid w:val="004D709C"/>
    <w:rsid w:val="004D70BC"/>
    <w:rsid w:val="004D792E"/>
    <w:rsid w:val="004D79B0"/>
    <w:rsid w:val="004D7B9C"/>
    <w:rsid w:val="004E0064"/>
    <w:rsid w:val="004E03DD"/>
    <w:rsid w:val="004E04A4"/>
    <w:rsid w:val="004E0708"/>
    <w:rsid w:val="004E0E5E"/>
    <w:rsid w:val="004E2338"/>
    <w:rsid w:val="004E274E"/>
    <w:rsid w:val="004E2AA1"/>
    <w:rsid w:val="004E2BA9"/>
    <w:rsid w:val="004E2CA9"/>
    <w:rsid w:val="004E2FB6"/>
    <w:rsid w:val="004E39AB"/>
    <w:rsid w:val="004E3A2B"/>
    <w:rsid w:val="004E4135"/>
    <w:rsid w:val="004E4984"/>
    <w:rsid w:val="004E4DBB"/>
    <w:rsid w:val="004E52D6"/>
    <w:rsid w:val="004E5765"/>
    <w:rsid w:val="004E5BC4"/>
    <w:rsid w:val="004E5C4B"/>
    <w:rsid w:val="004E5F8D"/>
    <w:rsid w:val="004E6270"/>
    <w:rsid w:val="004E62C6"/>
    <w:rsid w:val="004E65F1"/>
    <w:rsid w:val="004E69EA"/>
    <w:rsid w:val="004E6B2D"/>
    <w:rsid w:val="004E6B54"/>
    <w:rsid w:val="004E6BFC"/>
    <w:rsid w:val="004E7338"/>
    <w:rsid w:val="004E7815"/>
    <w:rsid w:val="004E7D1A"/>
    <w:rsid w:val="004F0344"/>
    <w:rsid w:val="004F06D8"/>
    <w:rsid w:val="004F07B7"/>
    <w:rsid w:val="004F11D0"/>
    <w:rsid w:val="004F1527"/>
    <w:rsid w:val="004F17BB"/>
    <w:rsid w:val="004F1CEB"/>
    <w:rsid w:val="004F1DCA"/>
    <w:rsid w:val="004F1E4B"/>
    <w:rsid w:val="004F2A08"/>
    <w:rsid w:val="004F2D28"/>
    <w:rsid w:val="004F2E09"/>
    <w:rsid w:val="004F2ED2"/>
    <w:rsid w:val="004F3075"/>
    <w:rsid w:val="004F324E"/>
    <w:rsid w:val="004F3848"/>
    <w:rsid w:val="004F3A94"/>
    <w:rsid w:val="004F3B15"/>
    <w:rsid w:val="004F3FFB"/>
    <w:rsid w:val="004F4014"/>
    <w:rsid w:val="004F41CD"/>
    <w:rsid w:val="004F42D0"/>
    <w:rsid w:val="004F4659"/>
    <w:rsid w:val="004F48C1"/>
    <w:rsid w:val="004F490A"/>
    <w:rsid w:val="004F4A41"/>
    <w:rsid w:val="004F4A8B"/>
    <w:rsid w:val="004F4C4E"/>
    <w:rsid w:val="004F4CF6"/>
    <w:rsid w:val="004F5598"/>
    <w:rsid w:val="004F581A"/>
    <w:rsid w:val="004F591B"/>
    <w:rsid w:val="004F5AB0"/>
    <w:rsid w:val="004F5D19"/>
    <w:rsid w:val="004F6132"/>
    <w:rsid w:val="004F65BB"/>
    <w:rsid w:val="004F6B96"/>
    <w:rsid w:val="004F6E6A"/>
    <w:rsid w:val="004F7208"/>
    <w:rsid w:val="004F73D2"/>
    <w:rsid w:val="004F7793"/>
    <w:rsid w:val="004F77EE"/>
    <w:rsid w:val="004F782A"/>
    <w:rsid w:val="004F79FE"/>
    <w:rsid w:val="004F7FD6"/>
    <w:rsid w:val="00500121"/>
    <w:rsid w:val="0050035E"/>
    <w:rsid w:val="00500751"/>
    <w:rsid w:val="005008D6"/>
    <w:rsid w:val="00500ACB"/>
    <w:rsid w:val="0050114A"/>
    <w:rsid w:val="005019B8"/>
    <w:rsid w:val="00502129"/>
    <w:rsid w:val="0050246A"/>
    <w:rsid w:val="00502C2F"/>
    <w:rsid w:val="00502C33"/>
    <w:rsid w:val="00503767"/>
    <w:rsid w:val="00503895"/>
    <w:rsid w:val="00503996"/>
    <w:rsid w:val="005039C2"/>
    <w:rsid w:val="00503FD0"/>
    <w:rsid w:val="0050407D"/>
    <w:rsid w:val="00504511"/>
    <w:rsid w:val="005045B6"/>
    <w:rsid w:val="00504A86"/>
    <w:rsid w:val="00504FDB"/>
    <w:rsid w:val="005051E3"/>
    <w:rsid w:val="00506C51"/>
    <w:rsid w:val="00507131"/>
    <w:rsid w:val="00507267"/>
    <w:rsid w:val="005076E1"/>
    <w:rsid w:val="00507822"/>
    <w:rsid w:val="0050784B"/>
    <w:rsid w:val="00507BFC"/>
    <w:rsid w:val="00507FB5"/>
    <w:rsid w:val="00510B2A"/>
    <w:rsid w:val="00510CE6"/>
    <w:rsid w:val="00510FBB"/>
    <w:rsid w:val="00511061"/>
    <w:rsid w:val="00511265"/>
    <w:rsid w:val="00511296"/>
    <w:rsid w:val="00512409"/>
    <w:rsid w:val="005125E4"/>
    <w:rsid w:val="00513313"/>
    <w:rsid w:val="00513595"/>
    <w:rsid w:val="0051400E"/>
    <w:rsid w:val="00515A1E"/>
    <w:rsid w:val="00516044"/>
    <w:rsid w:val="005164DE"/>
    <w:rsid w:val="0051677F"/>
    <w:rsid w:val="00516781"/>
    <w:rsid w:val="005167FB"/>
    <w:rsid w:val="005168C9"/>
    <w:rsid w:val="00516E1E"/>
    <w:rsid w:val="0051701C"/>
    <w:rsid w:val="005172D7"/>
    <w:rsid w:val="005178E3"/>
    <w:rsid w:val="00517BB1"/>
    <w:rsid w:val="00517F8F"/>
    <w:rsid w:val="0052049E"/>
    <w:rsid w:val="00520FD7"/>
    <w:rsid w:val="00521291"/>
    <w:rsid w:val="0052174D"/>
    <w:rsid w:val="005218F7"/>
    <w:rsid w:val="00521F2F"/>
    <w:rsid w:val="005224B3"/>
    <w:rsid w:val="00522728"/>
    <w:rsid w:val="005229FD"/>
    <w:rsid w:val="0052322B"/>
    <w:rsid w:val="00523230"/>
    <w:rsid w:val="005233A9"/>
    <w:rsid w:val="0052344E"/>
    <w:rsid w:val="0052379E"/>
    <w:rsid w:val="0052383D"/>
    <w:rsid w:val="00523A67"/>
    <w:rsid w:val="00523D4E"/>
    <w:rsid w:val="005241F5"/>
    <w:rsid w:val="0052475F"/>
    <w:rsid w:val="00524FDF"/>
    <w:rsid w:val="0052549B"/>
    <w:rsid w:val="00525BBE"/>
    <w:rsid w:val="00525EF4"/>
    <w:rsid w:val="00526507"/>
    <w:rsid w:val="00526EF3"/>
    <w:rsid w:val="00526F11"/>
    <w:rsid w:val="0052721D"/>
    <w:rsid w:val="00527702"/>
    <w:rsid w:val="0052787B"/>
    <w:rsid w:val="00527C68"/>
    <w:rsid w:val="005301F4"/>
    <w:rsid w:val="005302AA"/>
    <w:rsid w:val="00530D66"/>
    <w:rsid w:val="005311A7"/>
    <w:rsid w:val="005313A7"/>
    <w:rsid w:val="005318E6"/>
    <w:rsid w:val="00531D47"/>
    <w:rsid w:val="00531DA4"/>
    <w:rsid w:val="005322D5"/>
    <w:rsid w:val="005324AD"/>
    <w:rsid w:val="005328E8"/>
    <w:rsid w:val="0053299A"/>
    <w:rsid w:val="00532BAD"/>
    <w:rsid w:val="00532EB1"/>
    <w:rsid w:val="00533334"/>
    <w:rsid w:val="005348E6"/>
    <w:rsid w:val="00534A51"/>
    <w:rsid w:val="005356E8"/>
    <w:rsid w:val="00535BE5"/>
    <w:rsid w:val="00535DC5"/>
    <w:rsid w:val="00535E68"/>
    <w:rsid w:val="00535FA2"/>
    <w:rsid w:val="005362C5"/>
    <w:rsid w:val="00536531"/>
    <w:rsid w:val="00536A9B"/>
    <w:rsid w:val="00536B8A"/>
    <w:rsid w:val="00536B98"/>
    <w:rsid w:val="00537408"/>
    <w:rsid w:val="0053766B"/>
    <w:rsid w:val="00537AB7"/>
    <w:rsid w:val="00537C73"/>
    <w:rsid w:val="00537DB5"/>
    <w:rsid w:val="00537DEA"/>
    <w:rsid w:val="00540077"/>
    <w:rsid w:val="005408AD"/>
    <w:rsid w:val="0054092F"/>
    <w:rsid w:val="00541264"/>
    <w:rsid w:val="005416AE"/>
    <w:rsid w:val="0054179E"/>
    <w:rsid w:val="00541B8A"/>
    <w:rsid w:val="00542572"/>
    <w:rsid w:val="005428D0"/>
    <w:rsid w:val="0054298B"/>
    <w:rsid w:val="00542A88"/>
    <w:rsid w:val="005430C9"/>
    <w:rsid w:val="00543750"/>
    <w:rsid w:val="00543834"/>
    <w:rsid w:val="005438F3"/>
    <w:rsid w:val="00543C76"/>
    <w:rsid w:val="005440C7"/>
    <w:rsid w:val="00544450"/>
    <w:rsid w:val="005449D4"/>
    <w:rsid w:val="00546127"/>
    <w:rsid w:val="005462EB"/>
    <w:rsid w:val="005466CD"/>
    <w:rsid w:val="00546731"/>
    <w:rsid w:val="005472E7"/>
    <w:rsid w:val="00547847"/>
    <w:rsid w:val="00547C56"/>
    <w:rsid w:val="00550009"/>
    <w:rsid w:val="0055025D"/>
    <w:rsid w:val="00550272"/>
    <w:rsid w:val="0055056F"/>
    <w:rsid w:val="005506B6"/>
    <w:rsid w:val="0055072B"/>
    <w:rsid w:val="0055125B"/>
    <w:rsid w:val="00551DF4"/>
    <w:rsid w:val="0055271F"/>
    <w:rsid w:val="00552AB5"/>
    <w:rsid w:val="005530C5"/>
    <w:rsid w:val="00553266"/>
    <w:rsid w:val="00553D45"/>
    <w:rsid w:val="00553DC7"/>
    <w:rsid w:val="00554316"/>
    <w:rsid w:val="0055465F"/>
    <w:rsid w:val="005567E5"/>
    <w:rsid w:val="005573C0"/>
    <w:rsid w:val="0056001A"/>
    <w:rsid w:val="00560026"/>
    <w:rsid w:val="00560201"/>
    <w:rsid w:val="005604D4"/>
    <w:rsid w:val="00560A7D"/>
    <w:rsid w:val="00560FF0"/>
    <w:rsid w:val="00561E7D"/>
    <w:rsid w:val="00562060"/>
    <w:rsid w:val="005627E8"/>
    <w:rsid w:val="00562BE5"/>
    <w:rsid w:val="00562CD0"/>
    <w:rsid w:val="00562FAC"/>
    <w:rsid w:val="005630A3"/>
    <w:rsid w:val="00563124"/>
    <w:rsid w:val="005631F8"/>
    <w:rsid w:val="0056321C"/>
    <w:rsid w:val="00563395"/>
    <w:rsid w:val="0056357F"/>
    <w:rsid w:val="00563AD7"/>
    <w:rsid w:val="00563DDD"/>
    <w:rsid w:val="005645AB"/>
    <w:rsid w:val="005647EA"/>
    <w:rsid w:val="005648A0"/>
    <w:rsid w:val="00564FE8"/>
    <w:rsid w:val="005652C3"/>
    <w:rsid w:val="0056537D"/>
    <w:rsid w:val="00565421"/>
    <w:rsid w:val="00565463"/>
    <w:rsid w:val="0056569B"/>
    <w:rsid w:val="00565A39"/>
    <w:rsid w:val="00565A3F"/>
    <w:rsid w:val="00565C9B"/>
    <w:rsid w:val="005661EF"/>
    <w:rsid w:val="00566DCB"/>
    <w:rsid w:val="00566F23"/>
    <w:rsid w:val="00567152"/>
    <w:rsid w:val="005678AB"/>
    <w:rsid w:val="00570E2A"/>
    <w:rsid w:val="00571013"/>
    <w:rsid w:val="0057132A"/>
    <w:rsid w:val="005713C6"/>
    <w:rsid w:val="005714DF"/>
    <w:rsid w:val="0057166B"/>
    <w:rsid w:val="00571BC5"/>
    <w:rsid w:val="00572B93"/>
    <w:rsid w:val="00572BC3"/>
    <w:rsid w:val="00572E2E"/>
    <w:rsid w:val="00573731"/>
    <w:rsid w:val="00573C52"/>
    <w:rsid w:val="0057418A"/>
    <w:rsid w:val="005747F0"/>
    <w:rsid w:val="00574E62"/>
    <w:rsid w:val="005751F6"/>
    <w:rsid w:val="0057526E"/>
    <w:rsid w:val="00575B3B"/>
    <w:rsid w:val="00575E2C"/>
    <w:rsid w:val="005760B6"/>
    <w:rsid w:val="005761F3"/>
    <w:rsid w:val="005765E8"/>
    <w:rsid w:val="00576BA0"/>
    <w:rsid w:val="00576EE2"/>
    <w:rsid w:val="005771AA"/>
    <w:rsid w:val="0057759B"/>
    <w:rsid w:val="00577617"/>
    <w:rsid w:val="00580600"/>
    <w:rsid w:val="00580985"/>
    <w:rsid w:val="00581648"/>
    <w:rsid w:val="00581914"/>
    <w:rsid w:val="00581A4F"/>
    <w:rsid w:val="00581B74"/>
    <w:rsid w:val="00581FA6"/>
    <w:rsid w:val="00582059"/>
    <w:rsid w:val="00582252"/>
    <w:rsid w:val="0058276D"/>
    <w:rsid w:val="00582826"/>
    <w:rsid w:val="00582DA9"/>
    <w:rsid w:val="005831C4"/>
    <w:rsid w:val="00583290"/>
    <w:rsid w:val="00583390"/>
    <w:rsid w:val="0058340D"/>
    <w:rsid w:val="0058402E"/>
    <w:rsid w:val="005840E6"/>
    <w:rsid w:val="00584638"/>
    <w:rsid w:val="00584A42"/>
    <w:rsid w:val="00584B59"/>
    <w:rsid w:val="005863E6"/>
    <w:rsid w:val="005866CD"/>
    <w:rsid w:val="00586876"/>
    <w:rsid w:val="00587AD8"/>
    <w:rsid w:val="00587F42"/>
    <w:rsid w:val="00590337"/>
    <w:rsid w:val="00590667"/>
    <w:rsid w:val="00590DAF"/>
    <w:rsid w:val="00590DFD"/>
    <w:rsid w:val="00590E62"/>
    <w:rsid w:val="0059151E"/>
    <w:rsid w:val="00591F4D"/>
    <w:rsid w:val="005923C8"/>
    <w:rsid w:val="005925A5"/>
    <w:rsid w:val="005927C2"/>
    <w:rsid w:val="005929FE"/>
    <w:rsid w:val="00592A81"/>
    <w:rsid w:val="00593582"/>
    <w:rsid w:val="00593642"/>
    <w:rsid w:val="005936D1"/>
    <w:rsid w:val="00593834"/>
    <w:rsid w:val="005938E2"/>
    <w:rsid w:val="0059454C"/>
    <w:rsid w:val="005945EF"/>
    <w:rsid w:val="0059489D"/>
    <w:rsid w:val="005948CE"/>
    <w:rsid w:val="005949BE"/>
    <w:rsid w:val="00594B1B"/>
    <w:rsid w:val="00594B30"/>
    <w:rsid w:val="00594E0D"/>
    <w:rsid w:val="00595542"/>
    <w:rsid w:val="00595C35"/>
    <w:rsid w:val="00595CEF"/>
    <w:rsid w:val="00595DB1"/>
    <w:rsid w:val="0059650F"/>
    <w:rsid w:val="00596854"/>
    <w:rsid w:val="00596DBA"/>
    <w:rsid w:val="00596EF5"/>
    <w:rsid w:val="005976B5"/>
    <w:rsid w:val="00597783"/>
    <w:rsid w:val="00597E95"/>
    <w:rsid w:val="005A0DF1"/>
    <w:rsid w:val="005A0E23"/>
    <w:rsid w:val="005A1314"/>
    <w:rsid w:val="005A1967"/>
    <w:rsid w:val="005A1C89"/>
    <w:rsid w:val="005A1CC9"/>
    <w:rsid w:val="005A20E9"/>
    <w:rsid w:val="005A244B"/>
    <w:rsid w:val="005A2492"/>
    <w:rsid w:val="005A311A"/>
    <w:rsid w:val="005A3640"/>
    <w:rsid w:val="005A3B61"/>
    <w:rsid w:val="005A468E"/>
    <w:rsid w:val="005A4A5F"/>
    <w:rsid w:val="005A4E25"/>
    <w:rsid w:val="005A5F2C"/>
    <w:rsid w:val="005A6065"/>
    <w:rsid w:val="005A6136"/>
    <w:rsid w:val="005A6700"/>
    <w:rsid w:val="005A6895"/>
    <w:rsid w:val="005A6D59"/>
    <w:rsid w:val="005A70CE"/>
    <w:rsid w:val="005A7207"/>
    <w:rsid w:val="005A749C"/>
    <w:rsid w:val="005A74B8"/>
    <w:rsid w:val="005A76F2"/>
    <w:rsid w:val="005A7CF0"/>
    <w:rsid w:val="005B01D7"/>
    <w:rsid w:val="005B0569"/>
    <w:rsid w:val="005B0707"/>
    <w:rsid w:val="005B0A4F"/>
    <w:rsid w:val="005B0B81"/>
    <w:rsid w:val="005B0FED"/>
    <w:rsid w:val="005B13B0"/>
    <w:rsid w:val="005B1783"/>
    <w:rsid w:val="005B2169"/>
    <w:rsid w:val="005B3097"/>
    <w:rsid w:val="005B30B2"/>
    <w:rsid w:val="005B371E"/>
    <w:rsid w:val="005B42BE"/>
    <w:rsid w:val="005B44EE"/>
    <w:rsid w:val="005B4837"/>
    <w:rsid w:val="005B4A35"/>
    <w:rsid w:val="005B4C76"/>
    <w:rsid w:val="005B4EC1"/>
    <w:rsid w:val="005B4FFF"/>
    <w:rsid w:val="005B5076"/>
    <w:rsid w:val="005B512A"/>
    <w:rsid w:val="005B5393"/>
    <w:rsid w:val="005B541C"/>
    <w:rsid w:val="005B543F"/>
    <w:rsid w:val="005B57C5"/>
    <w:rsid w:val="005B5A07"/>
    <w:rsid w:val="005B5B8C"/>
    <w:rsid w:val="005B6366"/>
    <w:rsid w:val="005B64AB"/>
    <w:rsid w:val="005B67FD"/>
    <w:rsid w:val="005B6BA1"/>
    <w:rsid w:val="005B6DC6"/>
    <w:rsid w:val="005B7A51"/>
    <w:rsid w:val="005C01BF"/>
    <w:rsid w:val="005C15F8"/>
    <w:rsid w:val="005C16D7"/>
    <w:rsid w:val="005C1718"/>
    <w:rsid w:val="005C173A"/>
    <w:rsid w:val="005C17A8"/>
    <w:rsid w:val="005C17AA"/>
    <w:rsid w:val="005C1F6E"/>
    <w:rsid w:val="005C2309"/>
    <w:rsid w:val="005C2351"/>
    <w:rsid w:val="005C2657"/>
    <w:rsid w:val="005C3699"/>
    <w:rsid w:val="005C435A"/>
    <w:rsid w:val="005C44AD"/>
    <w:rsid w:val="005C4591"/>
    <w:rsid w:val="005C474F"/>
    <w:rsid w:val="005C47E6"/>
    <w:rsid w:val="005C491D"/>
    <w:rsid w:val="005C4DB4"/>
    <w:rsid w:val="005C516C"/>
    <w:rsid w:val="005C5386"/>
    <w:rsid w:val="005C54DA"/>
    <w:rsid w:val="005C5D2E"/>
    <w:rsid w:val="005C6CA4"/>
    <w:rsid w:val="005C7068"/>
    <w:rsid w:val="005C7B49"/>
    <w:rsid w:val="005C7E07"/>
    <w:rsid w:val="005C7F9B"/>
    <w:rsid w:val="005D0268"/>
    <w:rsid w:val="005D026B"/>
    <w:rsid w:val="005D033B"/>
    <w:rsid w:val="005D06B8"/>
    <w:rsid w:val="005D0A0A"/>
    <w:rsid w:val="005D0A96"/>
    <w:rsid w:val="005D0BE6"/>
    <w:rsid w:val="005D1055"/>
    <w:rsid w:val="005D12AC"/>
    <w:rsid w:val="005D1545"/>
    <w:rsid w:val="005D1BA5"/>
    <w:rsid w:val="005D1C35"/>
    <w:rsid w:val="005D1D3F"/>
    <w:rsid w:val="005D1DEC"/>
    <w:rsid w:val="005D1E0C"/>
    <w:rsid w:val="005D20B0"/>
    <w:rsid w:val="005D2262"/>
    <w:rsid w:val="005D2451"/>
    <w:rsid w:val="005D2491"/>
    <w:rsid w:val="005D2850"/>
    <w:rsid w:val="005D2A03"/>
    <w:rsid w:val="005D2EA7"/>
    <w:rsid w:val="005D3097"/>
    <w:rsid w:val="005D30C1"/>
    <w:rsid w:val="005D3406"/>
    <w:rsid w:val="005D362A"/>
    <w:rsid w:val="005D38BF"/>
    <w:rsid w:val="005D38F1"/>
    <w:rsid w:val="005D3964"/>
    <w:rsid w:val="005D3D67"/>
    <w:rsid w:val="005D4D1A"/>
    <w:rsid w:val="005D4FD6"/>
    <w:rsid w:val="005D51FA"/>
    <w:rsid w:val="005D59B7"/>
    <w:rsid w:val="005D5ADF"/>
    <w:rsid w:val="005D5D9F"/>
    <w:rsid w:val="005D5DE3"/>
    <w:rsid w:val="005D600D"/>
    <w:rsid w:val="005D610A"/>
    <w:rsid w:val="005D7198"/>
    <w:rsid w:val="005D73E3"/>
    <w:rsid w:val="005D75FA"/>
    <w:rsid w:val="005D772A"/>
    <w:rsid w:val="005D78F0"/>
    <w:rsid w:val="005D7C83"/>
    <w:rsid w:val="005D7F02"/>
    <w:rsid w:val="005E04E7"/>
    <w:rsid w:val="005E0A32"/>
    <w:rsid w:val="005E100A"/>
    <w:rsid w:val="005E13C2"/>
    <w:rsid w:val="005E14F0"/>
    <w:rsid w:val="005E1512"/>
    <w:rsid w:val="005E17D5"/>
    <w:rsid w:val="005E1E2E"/>
    <w:rsid w:val="005E1F4E"/>
    <w:rsid w:val="005E2807"/>
    <w:rsid w:val="005E3390"/>
    <w:rsid w:val="005E3DC3"/>
    <w:rsid w:val="005E3E1C"/>
    <w:rsid w:val="005E4190"/>
    <w:rsid w:val="005E4839"/>
    <w:rsid w:val="005E4C3C"/>
    <w:rsid w:val="005E517D"/>
    <w:rsid w:val="005E5D35"/>
    <w:rsid w:val="005E5EEF"/>
    <w:rsid w:val="005E66AD"/>
    <w:rsid w:val="005E6857"/>
    <w:rsid w:val="005E6902"/>
    <w:rsid w:val="005E69A7"/>
    <w:rsid w:val="005E6EC0"/>
    <w:rsid w:val="005E7824"/>
    <w:rsid w:val="005E78BD"/>
    <w:rsid w:val="005F0183"/>
    <w:rsid w:val="005F04CA"/>
    <w:rsid w:val="005F092F"/>
    <w:rsid w:val="005F0B87"/>
    <w:rsid w:val="005F11F1"/>
    <w:rsid w:val="005F14B9"/>
    <w:rsid w:val="005F1DCA"/>
    <w:rsid w:val="005F1F30"/>
    <w:rsid w:val="005F1FE0"/>
    <w:rsid w:val="005F22D7"/>
    <w:rsid w:val="005F22DC"/>
    <w:rsid w:val="005F2847"/>
    <w:rsid w:val="005F2901"/>
    <w:rsid w:val="005F2B76"/>
    <w:rsid w:val="005F2BC2"/>
    <w:rsid w:val="005F32C7"/>
    <w:rsid w:val="005F344A"/>
    <w:rsid w:val="005F36DD"/>
    <w:rsid w:val="005F36E9"/>
    <w:rsid w:val="005F3729"/>
    <w:rsid w:val="005F3AAA"/>
    <w:rsid w:val="005F3C3B"/>
    <w:rsid w:val="005F3E92"/>
    <w:rsid w:val="005F403C"/>
    <w:rsid w:val="005F41CE"/>
    <w:rsid w:val="005F42C8"/>
    <w:rsid w:val="005F456D"/>
    <w:rsid w:val="005F4779"/>
    <w:rsid w:val="005F536B"/>
    <w:rsid w:val="005F5451"/>
    <w:rsid w:val="005F559F"/>
    <w:rsid w:val="005F599E"/>
    <w:rsid w:val="005F5A32"/>
    <w:rsid w:val="005F5AC0"/>
    <w:rsid w:val="005F62EE"/>
    <w:rsid w:val="005F6456"/>
    <w:rsid w:val="005F6AD4"/>
    <w:rsid w:val="005F6BB3"/>
    <w:rsid w:val="005F6D21"/>
    <w:rsid w:val="005F6D79"/>
    <w:rsid w:val="005F6DBF"/>
    <w:rsid w:val="005F6E60"/>
    <w:rsid w:val="005F79E0"/>
    <w:rsid w:val="005F7F8A"/>
    <w:rsid w:val="00600178"/>
    <w:rsid w:val="006003D1"/>
    <w:rsid w:val="006005FC"/>
    <w:rsid w:val="00600CA9"/>
    <w:rsid w:val="006015B3"/>
    <w:rsid w:val="00601A65"/>
    <w:rsid w:val="00601BD5"/>
    <w:rsid w:val="00601DA0"/>
    <w:rsid w:val="00601ED3"/>
    <w:rsid w:val="006025F9"/>
    <w:rsid w:val="0060274C"/>
    <w:rsid w:val="0060326B"/>
    <w:rsid w:val="00603415"/>
    <w:rsid w:val="00603BB3"/>
    <w:rsid w:val="00603C13"/>
    <w:rsid w:val="00603D48"/>
    <w:rsid w:val="006040A5"/>
    <w:rsid w:val="006045A5"/>
    <w:rsid w:val="00604609"/>
    <w:rsid w:val="006049BE"/>
    <w:rsid w:val="00605071"/>
    <w:rsid w:val="00605449"/>
    <w:rsid w:val="006057B4"/>
    <w:rsid w:val="006057CC"/>
    <w:rsid w:val="00605B3A"/>
    <w:rsid w:val="00605D59"/>
    <w:rsid w:val="00605F40"/>
    <w:rsid w:val="006063DA"/>
    <w:rsid w:val="00606714"/>
    <w:rsid w:val="00606AFB"/>
    <w:rsid w:val="00606C29"/>
    <w:rsid w:val="00606E20"/>
    <w:rsid w:val="00607066"/>
    <w:rsid w:val="006079F7"/>
    <w:rsid w:val="00607A3D"/>
    <w:rsid w:val="00607C38"/>
    <w:rsid w:val="0061017A"/>
    <w:rsid w:val="006101F1"/>
    <w:rsid w:val="00610556"/>
    <w:rsid w:val="00611377"/>
    <w:rsid w:val="00611386"/>
    <w:rsid w:val="00611A44"/>
    <w:rsid w:val="00611AE8"/>
    <w:rsid w:val="00611B76"/>
    <w:rsid w:val="00611BF0"/>
    <w:rsid w:val="00611C73"/>
    <w:rsid w:val="00611E9F"/>
    <w:rsid w:val="00611EC2"/>
    <w:rsid w:val="00612180"/>
    <w:rsid w:val="006122B2"/>
    <w:rsid w:val="00612744"/>
    <w:rsid w:val="0061286B"/>
    <w:rsid w:val="00612A90"/>
    <w:rsid w:val="00612C34"/>
    <w:rsid w:val="00613011"/>
    <w:rsid w:val="00613275"/>
    <w:rsid w:val="0061384E"/>
    <w:rsid w:val="0061419A"/>
    <w:rsid w:val="00614259"/>
    <w:rsid w:val="0061446B"/>
    <w:rsid w:val="00614510"/>
    <w:rsid w:val="00614726"/>
    <w:rsid w:val="006148D2"/>
    <w:rsid w:val="00614B6F"/>
    <w:rsid w:val="00614F27"/>
    <w:rsid w:val="00615347"/>
    <w:rsid w:val="00615600"/>
    <w:rsid w:val="0061573C"/>
    <w:rsid w:val="00615DD1"/>
    <w:rsid w:val="0061604A"/>
    <w:rsid w:val="006161E9"/>
    <w:rsid w:val="006165F4"/>
    <w:rsid w:val="00616855"/>
    <w:rsid w:val="00616D94"/>
    <w:rsid w:val="00616E29"/>
    <w:rsid w:val="006176ED"/>
    <w:rsid w:val="00620087"/>
    <w:rsid w:val="00620641"/>
    <w:rsid w:val="0062080A"/>
    <w:rsid w:val="00620987"/>
    <w:rsid w:val="00620BFA"/>
    <w:rsid w:val="00620F26"/>
    <w:rsid w:val="006212AB"/>
    <w:rsid w:val="00621634"/>
    <w:rsid w:val="00621690"/>
    <w:rsid w:val="006217B6"/>
    <w:rsid w:val="006219AC"/>
    <w:rsid w:val="00621EB5"/>
    <w:rsid w:val="006220BA"/>
    <w:rsid w:val="00622364"/>
    <w:rsid w:val="00622D92"/>
    <w:rsid w:val="00622F40"/>
    <w:rsid w:val="0062344E"/>
    <w:rsid w:val="00624309"/>
    <w:rsid w:val="006246C3"/>
    <w:rsid w:val="00624B1E"/>
    <w:rsid w:val="00624E70"/>
    <w:rsid w:val="006257EF"/>
    <w:rsid w:val="00625EDC"/>
    <w:rsid w:val="00626055"/>
    <w:rsid w:val="006263D8"/>
    <w:rsid w:val="006263F1"/>
    <w:rsid w:val="006266CC"/>
    <w:rsid w:val="00626744"/>
    <w:rsid w:val="006268B6"/>
    <w:rsid w:val="00626BB9"/>
    <w:rsid w:val="006272CE"/>
    <w:rsid w:val="006275D5"/>
    <w:rsid w:val="0062771F"/>
    <w:rsid w:val="006278F3"/>
    <w:rsid w:val="00627D7C"/>
    <w:rsid w:val="006300E8"/>
    <w:rsid w:val="00630451"/>
    <w:rsid w:val="0063048C"/>
    <w:rsid w:val="00630564"/>
    <w:rsid w:val="00630706"/>
    <w:rsid w:val="00630CB5"/>
    <w:rsid w:val="00630D38"/>
    <w:rsid w:val="00630EF9"/>
    <w:rsid w:val="00630F5D"/>
    <w:rsid w:val="00631151"/>
    <w:rsid w:val="0063132C"/>
    <w:rsid w:val="006319C1"/>
    <w:rsid w:val="0063239E"/>
    <w:rsid w:val="00632780"/>
    <w:rsid w:val="00632D5D"/>
    <w:rsid w:val="00632E90"/>
    <w:rsid w:val="00632F1A"/>
    <w:rsid w:val="00633173"/>
    <w:rsid w:val="006334C6"/>
    <w:rsid w:val="00633884"/>
    <w:rsid w:val="0063437C"/>
    <w:rsid w:val="0063440F"/>
    <w:rsid w:val="00634861"/>
    <w:rsid w:val="00634BE6"/>
    <w:rsid w:val="006356E7"/>
    <w:rsid w:val="00635B9E"/>
    <w:rsid w:val="006365E0"/>
    <w:rsid w:val="0063666A"/>
    <w:rsid w:val="006366E1"/>
    <w:rsid w:val="0063681E"/>
    <w:rsid w:val="00636C0A"/>
    <w:rsid w:val="00637006"/>
    <w:rsid w:val="00637F56"/>
    <w:rsid w:val="006404F5"/>
    <w:rsid w:val="00640656"/>
    <w:rsid w:val="0064079B"/>
    <w:rsid w:val="00640FFD"/>
    <w:rsid w:val="00641057"/>
    <w:rsid w:val="006416FB"/>
    <w:rsid w:val="00641E93"/>
    <w:rsid w:val="0064233D"/>
    <w:rsid w:val="0064249B"/>
    <w:rsid w:val="00642C54"/>
    <w:rsid w:val="00643D64"/>
    <w:rsid w:val="00643DFF"/>
    <w:rsid w:val="00643EAC"/>
    <w:rsid w:val="006441C7"/>
    <w:rsid w:val="00644791"/>
    <w:rsid w:val="006449D3"/>
    <w:rsid w:val="00644DFE"/>
    <w:rsid w:val="006450D8"/>
    <w:rsid w:val="00645205"/>
    <w:rsid w:val="006455F8"/>
    <w:rsid w:val="00645A43"/>
    <w:rsid w:val="00645AC6"/>
    <w:rsid w:val="00646BC0"/>
    <w:rsid w:val="00646F6F"/>
    <w:rsid w:val="00646FD6"/>
    <w:rsid w:val="006471E0"/>
    <w:rsid w:val="00647215"/>
    <w:rsid w:val="0064746C"/>
    <w:rsid w:val="006479FC"/>
    <w:rsid w:val="00647B08"/>
    <w:rsid w:val="00647FC1"/>
    <w:rsid w:val="00650239"/>
    <w:rsid w:val="006507C1"/>
    <w:rsid w:val="00650A73"/>
    <w:rsid w:val="00650C36"/>
    <w:rsid w:val="00651647"/>
    <w:rsid w:val="00651D28"/>
    <w:rsid w:val="00651DE2"/>
    <w:rsid w:val="006525E3"/>
    <w:rsid w:val="00653D2F"/>
    <w:rsid w:val="00654301"/>
    <w:rsid w:val="00654942"/>
    <w:rsid w:val="0065499C"/>
    <w:rsid w:val="006557CD"/>
    <w:rsid w:val="00655A98"/>
    <w:rsid w:val="00655CDD"/>
    <w:rsid w:val="00655E39"/>
    <w:rsid w:val="00655F0C"/>
    <w:rsid w:val="006561F7"/>
    <w:rsid w:val="00656377"/>
    <w:rsid w:val="00656777"/>
    <w:rsid w:val="006569B2"/>
    <w:rsid w:val="00656C2B"/>
    <w:rsid w:val="00656D32"/>
    <w:rsid w:val="00657353"/>
    <w:rsid w:val="00657468"/>
    <w:rsid w:val="006579FA"/>
    <w:rsid w:val="00657E4A"/>
    <w:rsid w:val="006600D3"/>
    <w:rsid w:val="0066027C"/>
    <w:rsid w:val="00660414"/>
    <w:rsid w:val="00660455"/>
    <w:rsid w:val="00660844"/>
    <w:rsid w:val="00660FA7"/>
    <w:rsid w:val="006618EB"/>
    <w:rsid w:val="0066199C"/>
    <w:rsid w:val="00662103"/>
    <w:rsid w:val="00662DB0"/>
    <w:rsid w:val="00663106"/>
    <w:rsid w:val="006633D2"/>
    <w:rsid w:val="00663B9A"/>
    <w:rsid w:val="00664278"/>
    <w:rsid w:val="0066436F"/>
    <w:rsid w:val="00664712"/>
    <w:rsid w:val="00664901"/>
    <w:rsid w:val="00664A0F"/>
    <w:rsid w:val="00664E16"/>
    <w:rsid w:val="00665688"/>
    <w:rsid w:val="00665802"/>
    <w:rsid w:val="006658CF"/>
    <w:rsid w:val="006661CC"/>
    <w:rsid w:val="006663C0"/>
    <w:rsid w:val="00666CDE"/>
    <w:rsid w:val="00667606"/>
    <w:rsid w:val="0066785F"/>
    <w:rsid w:val="00667B45"/>
    <w:rsid w:val="00667DD0"/>
    <w:rsid w:val="0067071E"/>
    <w:rsid w:val="00670BE0"/>
    <w:rsid w:val="00671D84"/>
    <w:rsid w:val="0067205E"/>
    <w:rsid w:val="006720B2"/>
    <w:rsid w:val="00672437"/>
    <w:rsid w:val="00672573"/>
    <w:rsid w:val="00672982"/>
    <w:rsid w:val="00672B57"/>
    <w:rsid w:val="00673F22"/>
    <w:rsid w:val="00673F2A"/>
    <w:rsid w:val="00675152"/>
    <w:rsid w:val="00675208"/>
    <w:rsid w:val="00675475"/>
    <w:rsid w:val="00675AB0"/>
    <w:rsid w:val="00675AD8"/>
    <w:rsid w:val="006761BE"/>
    <w:rsid w:val="006761E7"/>
    <w:rsid w:val="00676596"/>
    <w:rsid w:val="006765A9"/>
    <w:rsid w:val="0067696C"/>
    <w:rsid w:val="00676BC2"/>
    <w:rsid w:val="00676CC9"/>
    <w:rsid w:val="006775D9"/>
    <w:rsid w:val="006801A0"/>
    <w:rsid w:val="006806FF"/>
    <w:rsid w:val="0068076F"/>
    <w:rsid w:val="00680A53"/>
    <w:rsid w:val="0068132F"/>
    <w:rsid w:val="00681331"/>
    <w:rsid w:val="00681AB9"/>
    <w:rsid w:val="00681C87"/>
    <w:rsid w:val="00681D43"/>
    <w:rsid w:val="00681D8A"/>
    <w:rsid w:val="00681E7F"/>
    <w:rsid w:val="00682238"/>
    <w:rsid w:val="00682241"/>
    <w:rsid w:val="00682387"/>
    <w:rsid w:val="00682C11"/>
    <w:rsid w:val="00682C8D"/>
    <w:rsid w:val="00682DD6"/>
    <w:rsid w:val="00682E9B"/>
    <w:rsid w:val="00683004"/>
    <w:rsid w:val="00683416"/>
    <w:rsid w:val="0068350D"/>
    <w:rsid w:val="00683BA9"/>
    <w:rsid w:val="00683F2A"/>
    <w:rsid w:val="006843B5"/>
    <w:rsid w:val="006843DF"/>
    <w:rsid w:val="006843F0"/>
    <w:rsid w:val="00684705"/>
    <w:rsid w:val="00684C64"/>
    <w:rsid w:val="00685093"/>
    <w:rsid w:val="006857D1"/>
    <w:rsid w:val="00685BD6"/>
    <w:rsid w:val="00685BF1"/>
    <w:rsid w:val="00685CC0"/>
    <w:rsid w:val="00686232"/>
    <w:rsid w:val="006863B9"/>
    <w:rsid w:val="006866DA"/>
    <w:rsid w:val="006867D8"/>
    <w:rsid w:val="006872F4"/>
    <w:rsid w:val="00687531"/>
    <w:rsid w:val="00687F73"/>
    <w:rsid w:val="00690090"/>
    <w:rsid w:val="0069034B"/>
    <w:rsid w:val="00690710"/>
    <w:rsid w:val="00690726"/>
    <w:rsid w:val="00690806"/>
    <w:rsid w:val="00690883"/>
    <w:rsid w:val="00690CB4"/>
    <w:rsid w:val="00691032"/>
    <w:rsid w:val="006910F5"/>
    <w:rsid w:val="00691125"/>
    <w:rsid w:val="00691553"/>
    <w:rsid w:val="00691CAB"/>
    <w:rsid w:val="00691CEB"/>
    <w:rsid w:val="00691D08"/>
    <w:rsid w:val="0069218F"/>
    <w:rsid w:val="00692914"/>
    <w:rsid w:val="006929D5"/>
    <w:rsid w:val="00692B83"/>
    <w:rsid w:val="00692E24"/>
    <w:rsid w:val="00692FCA"/>
    <w:rsid w:val="00693108"/>
    <w:rsid w:val="00693368"/>
    <w:rsid w:val="006935DC"/>
    <w:rsid w:val="0069383F"/>
    <w:rsid w:val="00693C3E"/>
    <w:rsid w:val="00694199"/>
    <w:rsid w:val="006942F9"/>
    <w:rsid w:val="00694520"/>
    <w:rsid w:val="00694B2D"/>
    <w:rsid w:val="00695022"/>
    <w:rsid w:val="00695463"/>
    <w:rsid w:val="00695936"/>
    <w:rsid w:val="00695BE4"/>
    <w:rsid w:val="00696526"/>
    <w:rsid w:val="00696940"/>
    <w:rsid w:val="00696B05"/>
    <w:rsid w:val="00696C5E"/>
    <w:rsid w:val="00696D41"/>
    <w:rsid w:val="00696DED"/>
    <w:rsid w:val="00696F79"/>
    <w:rsid w:val="00697A3D"/>
    <w:rsid w:val="00697D15"/>
    <w:rsid w:val="006A0462"/>
    <w:rsid w:val="006A0569"/>
    <w:rsid w:val="006A0599"/>
    <w:rsid w:val="006A1CD1"/>
    <w:rsid w:val="006A1CF7"/>
    <w:rsid w:val="006A21DB"/>
    <w:rsid w:val="006A26BF"/>
    <w:rsid w:val="006A29A3"/>
    <w:rsid w:val="006A3635"/>
    <w:rsid w:val="006A46AA"/>
    <w:rsid w:val="006A4B1A"/>
    <w:rsid w:val="006A4BD9"/>
    <w:rsid w:val="006A4E2F"/>
    <w:rsid w:val="006A4EE6"/>
    <w:rsid w:val="006A5141"/>
    <w:rsid w:val="006A51DB"/>
    <w:rsid w:val="006A6050"/>
    <w:rsid w:val="006A6194"/>
    <w:rsid w:val="006A62AE"/>
    <w:rsid w:val="006A64E7"/>
    <w:rsid w:val="006A670D"/>
    <w:rsid w:val="006A686A"/>
    <w:rsid w:val="006A70A6"/>
    <w:rsid w:val="006A722B"/>
    <w:rsid w:val="006A7AA6"/>
    <w:rsid w:val="006B045B"/>
    <w:rsid w:val="006B0E71"/>
    <w:rsid w:val="006B1438"/>
    <w:rsid w:val="006B1773"/>
    <w:rsid w:val="006B1B51"/>
    <w:rsid w:val="006B1F1F"/>
    <w:rsid w:val="006B27A5"/>
    <w:rsid w:val="006B35EE"/>
    <w:rsid w:val="006B3DBA"/>
    <w:rsid w:val="006B4297"/>
    <w:rsid w:val="006B44EA"/>
    <w:rsid w:val="006B4CFF"/>
    <w:rsid w:val="006B5522"/>
    <w:rsid w:val="006B5889"/>
    <w:rsid w:val="006B6473"/>
    <w:rsid w:val="006B665E"/>
    <w:rsid w:val="006B6E13"/>
    <w:rsid w:val="006B6F95"/>
    <w:rsid w:val="006B710C"/>
    <w:rsid w:val="006B72E7"/>
    <w:rsid w:val="006B743B"/>
    <w:rsid w:val="006B760A"/>
    <w:rsid w:val="006B775E"/>
    <w:rsid w:val="006B7796"/>
    <w:rsid w:val="006B78DE"/>
    <w:rsid w:val="006B7B8C"/>
    <w:rsid w:val="006B7CBE"/>
    <w:rsid w:val="006B7EBF"/>
    <w:rsid w:val="006C0631"/>
    <w:rsid w:val="006C076E"/>
    <w:rsid w:val="006C0946"/>
    <w:rsid w:val="006C099C"/>
    <w:rsid w:val="006C0B36"/>
    <w:rsid w:val="006C0D03"/>
    <w:rsid w:val="006C0F99"/>
    <w:rsid w:val="006C141F"/>
    <w:rsid w:val="006C1617"/>
    <w:rsid w:val="006C1863"/>
    <w:rsid w:val="006C1A95"/>
    <w:rsid w:val="006C23E7"/>
    <w:rsid w:val="006C2B91"/>
    <w:rsid w:val="006C2D75"/>
    <w:rsid w:val="006C2DAA"/>
    <w:rsid w:val="006C30E8"/>
    <w:rsid w:val="006C3769"/>
    <w:rsid w:val="006C3D77"/>
    <w:rsid w:val="006C3F4A"/>
    <w:rsid w:val="006C4180"/>
    <w:rsid w:val="006C44D6"/>
    <w:rsid w:val="006C4F00"/>
    <w:rsid w:val="006C5342"/>
    <w:rsid w:val="006C558E"/>
    <w:rsid w:val="006C5A02"/>
    <w:rsid w:val="006C5A10"/>
    <w:rsid w:val="006C651F"/>
    <w:rsid w:val="006C6D33"/>
    <w:rsid w:val="006C6D84"/>
    <w:rsid w:val="006C7324"/>
    <w:rsid w:val="006C7A3D"/>
    <w:rsid w:val="006C7C70"/>
    <w:rsid w:val="006D000C"/>
    <w:rsid w:val="006D0331"/>
    <w:rsid w:val="006D0578"/>
    <w:rsid w:val="006D06D9"/>
    <w:rsid w:val="006D0ED4"/>
    <w:rsid w:val="006D1108"/>
    <w:rsid w:val="006D120D"/>
    <w:rsid w:val="006D1520"/>
    <w:rsid w:val="006D255A"/>
    <w:rsid w:val="006D277C"/>
    <w:rsid w:val="006D2E78"/>
    <w:rsid w:val="006D30FB"/>
    <w:rsid w:val="006D3123"/>
    <w:rsid w:val="006D31D6"/>
    <w:rsid w:val="006D36F2"/>
    <w:rsid w:val="006D3A5F"/>
    <w:rsid w:val="006D3A8A"/>
    <w:rsid w:val="006D3D94"/>
    <w:rsid w:val="006D41C8"/>
    <w:rsid w:val="006D4343"/>
    <w:rsid w:val="006D4990"/>
    <w:rsid w:val="006D4BED"/>
    <w:rsid w:val="006D4DC0"/>
    <w:rsid w:val="006D4E65"/>
    <w:rsid w:val="006D4FB5"/>
    <w:rsid w:val="006D5CE3"/>
    <w:rsid w:val="006D5EE2"/>
    <w:rsid w:val="006D5F8E"/>
    <w:rsid w:val="006D65BC"/>
    <w:rsid w:val="006D66E3"/>
    <w:rsid w:val="006D6D21"/>
    <w:rsid w:val="006D6DCE"/>
    <w:rsid w:val="006D6F55"/>
    <w:rsid w:val="006D7259"/>
    <w:rsid w:val="006D7563"/>
    <w:rsid w:val="006D7947"/>
    <w:rsid w:val="006D7963"/>
    <w:rsid w:val="006D7B7F"/>
    <w:rsid w:val="006E0010"/>
    <w:rsid w:val="006E077A"/>
    <w:rsid w:val="006E0C12"/>
    <w:rsid w:val="006E0D24"/>
    <w:rsid w:val="006E1123"/>
    <w:rsid w:val="006E125B"/>
    <w:rsid w:val="006E183D"/>
    <w:rsid w:val="006E19EF"/>
    <w:rsid w:val="006E1B6A"/>
    <w:rsid w:val="006E1BDB"/>
    <w:rsid w:val="006E1C4C"/>
    <w:rsid w:val="006E1CD0"/>
    <w:rsid w:val="006E228D"/>
    <w:rsid w:val="006E2568"/>
    <w:rsid w:val="006E26C6"/>
    <w:rsid w:val="006E2905"/>
    <w:rsid w:val="006E2E5F"/>
    <w:rsid w:val="006E2EB7"/>
    <w:rsid w:val="006E36B9"/>
    <w:rsid w:val="006E391E"/>
    <w:rsid w:val="006E392F"/>
    <w:rsid w:val="006E3A10"/>
    <w:rsid w:val="006E3F8E"/>
    <w:rsid w:val="006E3F98"/>
    <w:rsid w:val="006E3FEA"/>
    <w:rsid w:val="006E4A74"/>
    <w:rsid w:val="006E4C06"/>
    <w:rsid w:val="006E4FC2"/>
    <w:rsid w:val="006E56B0"/>
    <w:rsid w:val="006E587A"/>
    <w:rsid w:val="006E5B52"/>
    <w:rsid w:val="006E5D9D"/>
    <w:rsid w:val="006E5EED"/>
    <w:rsid w:val="006E6060"/>
    <w:rsid w:val="006E62A3"/>
    <w:rsid w:val="006E62CB"/>
    <w:rsid w:val="006E65E6"/>
    <w:rsid w:val="006E68B0"/>
    <w:rsid w:val="006E6E07"/>
    <w:rsid w:val="006E6EBF"/>
    <w:rsid w:val="006E72E2"/>
    <w:rsid w:val="006E75AB"/>
    <w:rsid w:val="006E7873"/>
    <w:rsid w:val="006F0021"/>
    <w:rsid w:val="006F0209"/>
    <w:rsid w:val="006F03E6"/>
    <w:rsid w:val="006F0893"/>
    <w:rsid w:val="006F0A2F"/>
    <w:rsid w:val="006F0A7E"/>
    <w:rsid w:val="006F0BE1"/>
    <w:rsid w:val="006F0C12"/>
    <w:rsid w:val="006F0E1F"/>
    <w:rsid w:val="006F1227"/>
    <w:rsid w:val="006F133A"/>
    <w:rsid w:val="006F1473"/>
    <w:rsid w:val="006F1648"/>
    <w:rsid w:val="006F187B"/>
    <w:rsid w:val="006F18F1"/>
    <w:rsid w:val="006F1B6A"/>
    <w:rsid w:val="006F1BFF"/>
    <w:rsid w:val="006F1D68"/>
    <w:rsid w:val="006F26C4"/>
    <w:rsid w:val="006F2E39"/>
    <w:rsid w:val="006F30AF"/>
    <w:rsid w:val="006F3322"/>
    <w:rsid w:val="006F3360"/>
    <w:rsid w:val="006F3549"/>
    <w:rsid w:val="006F35E5"/>
    <w:rsid w:val="006F3691"/>
    <w:rsid w:val="006F37BC"/>
    <w:rsid w:val="006F3DEB"/>
    <w:rsid w:val="006F4050"/>
    <w:rsid w:val="006F43FE"/>
    <w:rsid w:val="006F4AC9"/>
    <w:rsid w:val="006F4D0E"/>
    <w:rsid w:val="006F4D57"/>
    <w:rsid w:val="006F4E63"/>
    <w:rsid w:val="006F4F4A"/>
    <w:rsid w:val="006F4F72"/>
    <w:rsid w:val="006F512D"/>
    <w:rsid w:val="006F5833"/>
    <w:rsid w:val="006F5988"/>
    <w:rsid w:val="006F5A0D"/>
    <w:rsid w:val="006F5DBE"/>
    <w:rsid w:val="006F5EA7"/>
    <w:rsid w:val="006F6083"/>
    <w:rsid w:val="006F692C"/>
    <w:rsid w:val="006F6DDD"/>
    <w:rsid w:val="006F7527"/>
    <w:rsid w:val="006F752D"/>
    <w:rsid w:val="006F7D72"/>
    <w:rsid w:val="007000E7"/>
    <w:rsid w:val="00700336"/>
    <w:rsid w:val="007005A0"/>
    <w:rsid w:val="00700805"/>
    <w:rsid w:val="00700C47"/>
    <w:rsid w:val="007013E1"/>
    <w:rsid w:val="00701E18"/>
    <w:rsid w:val="00701F16"/>
    <w:rsid w:val="007023BD"/>
    <w:rsid w:val="00702C6F"/>
    <w:rsid w:val="00702CE6"/>
    <w:rsid w:val="0070314E"/>
    <w:rsid w:val="00703420"/>
    <w:rsid w:val="00703936"/>
    <w:rsid w:val="00703BB5"/>
    <w:rsid w:val="00703CCD"/>
    <w:rsid w:val="00703CDC"/>
    <w:rsid w:val="00704FAF"/>
    <w:rsid w:val="007050CE"/>
    <w:rsid w:val="007050D7"/>
    <w:rsid w:val="00705189"/>
    <w:rsid w:val="0070529E"/>
    <w:rsid w:val="00705A06"/>
    <w:rsid w:val="00706027"/>
    <w:rsid w:val="007068EA"/>
    <w:rsid w:val="00706B6E"/>
    <w:rsid w:val="00706E9E"/>
    <w:rsid w:val="00706FC1"/>
    <w:rsid w:val="007070BA"/>
    <w:rsid w:val="00707981"/>
    <w:rsid w:val="00707F59"/>
    <w:rsid w:val="007100A5"/>
    <w:rsid w:val="007102B1"/>
    <w:rsid w:val="007102E3"/>
    <w:rsid w:val="00710E26"/>
    <w:rsid w:val="00710E9F"/>
    <w:rsid w:val="00710F71"/>
    <w:rsid w:val="00711910"/>
    <w:rsid w:val="00711A72"/>
    <w:rsid w:val="00711A81"/>
    <w:rsid w:val="00711D32"/>
    <w:rsid w:val="00712E25"/>
    <w:rsid w:val="0071338F"/>
    <w:rsid w:val="00713391"/>
    <w:rsid w:val="00713CB7"/>
    <w:rsid w:val="00713EE4"/>
    <w:rsid w:val="00713FBF"/>
    <w:rsid w:val="0071469D"/>
    <w:rsid w:val="00714744"/>
    <w:rsid w:val="007148FB"/>
    <w:rsid w:val="00714A5B"/>
    <w:rsid w:val="0071502D"/>
    <w:rsid w:val="007150ED"/>
    <w:rsid w:val="007152F6"/>
    <w:rsid w:val="00715373"/>
    <w:rsid w:val="0071544B"/>
    <w:rsid w:val="00715ADD"/>
    <w:rsid w:val="00715F32"/>
    <w:rsid w:val="0071659F"/>
    <w:rsid w:val="00716861"/>
    <w:rsid w:val="00716B79"/>
    <w:rsid w:val="007172AA"/>
    <w:rsid w:val="0071757C"/>
    <w:rsid w:val="00717732"/>
    <w:rsid w:val="007178CC"/>
    <w:rsid w:val="00717EC7"/>
    <w:rsid w:val="007202E9"/>
    <w:rsid w:val="007203F9"/>
    <w:rsid w:val="00720771"/>
    <w:rsid w:val="00720994"/>
    <w:rsid w:val="00720B32"/>
    <w:rsid w:val="00720C60"/>
    <w:rsid w:val="00720DDE"/>
    <w:rsid w:val="007210AF"/>
    <w:rsid w:val="007211F4"/>
    <w:rsid w:val="00721565"/>
    <w:rsid w:val="007220D5"/>
    <w:rsid w:val="0072272E"/>
    <w:rsid w:val="00722D25"/>
    <w:rsid w:val="00722E75"/>
    <w:rsid w:val="007233DE"/>
    <w:rsid w:val="00723EC5"/>
    <w:rsid w:val="00723FC8"/>
    <w:rsid w:val="007249AD"/>
    <w:rsid w:val="00724B75"/>
    <w:rsid w:val="00724FA7"/>
    <w:rsid w:val="00724FE0"/>
    <w:rsid w:val="00725100"/>
    <w:rsid w:val="0072516F"/>
    <w:rsid w:val="007258C3"/>
    <w:rsid w:val="007259E9"/>
    <w:rsid w:val="00725E63"/>
    <w:rsid w:val="00725F63"/>
    <w:rsid w:val="00726060"/>
    <w:rsid w:val="0072638C"/>
    <w:rsid w:val="007264EB"/>
    <w:rsid w:val="0072658C"/>
    <w:rsid w:val="0072710E"/>
    <w:rsid w:val="00727321"/>
    <w:rsid w:val="00727C6A"/>
    <w:rsid w:val="00727F2C"/>
    <w:rsid w:val="00730071"/>
    <w:rsid w:val="007300EA"/>
    <w:rsid w:val="007300ED"/>
    <w:rsid w:val="007303DD"/>
    <w:rsid w:val="00730726"/>
    <w:rsid w:val="00730B86"/>
    <w:rsid w:val="00730C9D"/>
    <w:rsid w:val="007315EF"/>
    <w:rsid w:val="007318B3"/>
    <w:rsid w:val="00731B10"/>
    <w:rsid w:val="00731D4D"/>
    <w:rsid w:val="00731EDB"/>
    <w:rsid w:val="0073220E"/>
    <w:rsid w:val="007324F6"/>
    <w:rsid w:val="007325D0"/>
    <w:rsid w:val="00732685"/>
    <w:rsid w:val="00732975"/>
    <w:rsid w:val="007329A1"/>
    <w:rsid w:val="00732B1F"/>
    <w:rsid w:val="00732C59"/>
    <w:rsid w:val="00732F39"/>
    <w:rsid w:val="00733372"/>
    <w:rsid w:val="007339E4"/>
    <w:rsid w:val="00733C19"/>
    <w:rsid w:val="00733CDE"/>
    <w:rsid w:val="00734285"/>
    <w:rsid w:val="0073469E"/>
    <w:rsid w:val="00734A3B"/>
    <w:rsid w:val="00734F7C"/>
    <w:rsid w:val="0073528B"/>
    <w:rsid w:val="00735540"/>
    <w:rsid w:val="0073569A"/>
    <w:rsid w:val="00735B89"/>
    <w:rsid w:val="007363E7"/>
    <w:rsid w:val="00736DBA"/>
    <w:rsid w:val="007375D5"/>
    <w:rsid w:val="007378EA"/>
    <w:rsid w:val="00737977"/>
    <w:rsid w:val="00737B6E"/>
    <w:rsid w:val="0074007C"/>
    <w:rsid w:val="0074038A"/>
    <w:rsid w:val="00740440"/>
    <w:rsid w:val="00740508"/>
    <w:rsid w:val="00741710"/>
    <w:rsid w:val="00741C38"/>
    <w:rsid w:val="0074294E"/>
    <w:rsid w:val="00743765"/>
    <w:rsid w:val="00743904"/>
    <w:rsid w:val="00743AF5"/>
    <w:rsid w:val="00743CC5"/>
    <w:rsid w:val="00743D53"/>
    <w:rsid w:val="00743D76"/>
    <w:rsid w:val="00743EC4"/>
    <w:rsid w:val="00744159"/>
    <w:rsid w:val="007445A2"/>
    <w:rsid w:val="00744681"/>
    <w:rsid w:val="00744785"/>
    <w:rsid w:val="007448F2"/>
    <w:rsid w:val="00744DAE"/>
    <w:rsid w:val="00744EDE"/>
    <w:rsid w:val="00744EE9"/>
    <w:rsid w:val="00745030"/>
    <w:rsid w:val="00745FBB"/>
    <w:rsid w:val="00746065"/>
    <w:rsid w:val="00746885"/>
    <w:rsid w:val="0074692E"/>
    <w:rsid w:val="00746DB9"/>
    <w:rsid w:val="00746FFD"/>
    <w:rsid w:val="00747518"/>
    <w:rsid w:val="0074752F"/>
    <w:rsid w:val="00747759"/>
    <w:rsid w:val="0074781A"/>
    <w:rsid w:val="00747F9B"/>
    <w:rsid w:val="0075006C"/>
    <w:rsid w:val="0075017A"/>
    <w:rsid w:val="0075019B"/>
    <w:rsid w:val="00750610"/>
    <w:rsid w:val="007515A6"/>
    <w:rsid w:val="0075171B"/>
    <w:rsid w:val="007519AB"/>
    <w:rsid w:val="00751BA9"/>
    <w:rsid w:val="00751DDF"/>
    <w:rsid w:val="00751EA8"/>
    <w:rsid w:val="00751F6F"/>
    <w:rsid w:val="0075212C"/>
    <w:rsid w:val="007521D9"/>
    <w:rsid w:val="00752422"/>
    <w:rsid w:val="007525B7"/>
    <w:rsid w:val="007528EC"/>
    <w:rsid w:val="007534C4"/>
    <w:rsid w:val="007539DC"/>
    <w:rsid w:val="00753D84"/>
    <w:rsid w:val="00753DEA"/>
    <w:rsid w:val="007541BF"/>
    <w:rsid w:val="007544EF"/>
    <w:rsid w:val="00754E57"/>
    <w:rsid w:val="00754E8F"/>
    <w:rsid w:val="007557F8"/>
    <w:rsid w:val="00755F11"/>
    <w:rsid w:val="0075604E"/>
    <w:rsid w:val="00756188"/>
    <w:rsid w:val="00756844"/>
    <w:rsid w:val="00756960"/>
    <w:rsid w:val="00756DE7"/>
    <w:rsid w:val="007574E2"/>
    <w:rsid w:val="00757D91"/>
    <w:rsid w:val="00757F3A"/>
    <w:rsid w:val="00760200"/>
    <w:rsid w:val="00760294"/>
    <w:rsid w:val="007603FB"/>
    <w:rsid w:val="00760704"/>
    <w:rsid w:val="00761072"/>
    <w:rsid w:val="007611AF"/>
    <w:rsid w:val="007613ED"/>
    <w:rsid w:val="007615D2"/>
    <w:rsid w:val="00762061"/>
    <w:rsid w:val="00762441"/>
    <w:rsid w:val="00762DBA"/>
    <w:rsid w:val="00763833"/>
    <w:rsid w:val="007638E1"/>
    <w:rsid w:val="00763A65"/>
    <w:rsid w:val="00763A8F"/>
    <w:rsid w:val="00763F51"/>
    <w:rsid w:val="00764122"/>
    <w:rsid w:val="0076435B"/>
    <w:rsid w:val="007645F7"/>
    <w:rsid w:val="00764797"/>
    <w:rsid w:val="007647CB"/>
    <w:rsid w:val="007651B8"/>
    <w:rsid w:val="0076527A"/>
    <w:rsid w:val="0076546C"/>
    <w:rsid w:val="0076559D"/>
    <w:rsid w:val="007658A1"/>
    <w:rsid w:val="00765AAE"/>
    <w:rsid w:val="00765ABB"/>
    <w:rsid w:val="00765CEB"/>
    <w:rsid w:val="007663D4"/>
    <w:rsid w:val="00766402"/>
    <w:rsid w:val="00766B52"/>
    <w:rsid w:val="00766F26"/>
    <w:rsid w:val="00767580"/>
    <w:rsid w:val="00767690"/>
    <w:rsid w:val="00767943"/>
    <w:rsid w:val="00767BEF"/>
    <w:rsid w:val="00767E21"/>
    <w:rsid w:val="00767E5C"/>
    <w:rsid w:val="00770610"/>
    <w:rsid w:val="00770BCB"/>
    <w:rsid w:val="00770E7F"/>
    <w:rsid w:val="00770FD9"/>
    <w:rsid w:val="007711C0"/>
    <w:rsid w:val="00771203"/>
    <w:rsid w:val="00771421"/>
    <w:rsid w:val="00771655"/>
    <w:rsid w:val="00771992"/>
    <w:rsid w:val="00772221"/>
    <w:rsid w:val="007725B8"/>
    <w:rsid w:val="00772CC0"/>
    <w:rsid w:val="00772CFF"/>
    <w:rsid w:val="00772D08"/>
    <w:rsid w:val="00772F12"/>
    <w:rsid w:val="00773585"/>
    <w:rsid w:val="00773CCC"/>
    <w:rsid w:val="00773E58"/>
    <w:rsid w:val="00773FD0"/>
    <w:rsid w:val="00774303"/>
    <w:rsid w:val="007745D7"/>
    <w:rsid w:val="00774D73"/>
    <w:rsid w:val="00775414"/>
    <w:rsid w:val="007765D0"/>
    <w:rsid w:val="00776883"/>
    <w:rsid w:val="0077722B"/>
    <w:rsid w:val="0078006E"/>
    <w:rsid w:val="00780170"/>
    <w:rsid w:val="00780A6C"/>
    <w:rsid w:val="00780AD7"/>
    <w:rsid w:val="007813A7"/>
    <w:rsid w:val="007818BC"/>
    <w:rsid w:val="00781A68"/>
    <w:rsid w:val="00781E1A"/>
    <w:rsid w:val="0078218A"/>
    <w:rsid w:val="00782E7A"/>
    <w:rsid w:val="00782E96"/>
    <w:rsid w:val="00782F69"/>
    <w:rsid w:val="00783256"/>
    <w:rsid w:val="00783923"/>
    <w:rsid w:val="007839E4"/>
    <w:rsid w:val="00783CBB"/>
    <w:rsid w:val="007840A3"/>
    <w:rsid w:val="007840F1"/>
    <w:rsid w:val="00784596"/>
    <w:rsid w:val="007846C0"/>
    <w:rsid w:val="00784909"/>
    <w:rsid w:val="00784C54"/>
    <w:rsid w:val="00784E4D"/>
    <w:rsid w:val="00784F77"/>
    <w:rsid w:val="00785B29"/>
    <w:rsid w:val="00786138"/>
    <w:rsid w:val="00786792"/>
    <w:rsid w:val="007867C0"/>
    <w:rsid w:val="00786D71"/>
    <w:rsid w:val="007875A2"/>
    <w:rsid w:val="007875C9"/>
    <w:rsid w:val="00787626"/>
    <w:rsid w:val="00787A27"/>
    <w:rsid w:val="00787A51"/>
    <w:rsid w:val="00787B19"/>
    <w:rsid w:val="00790147"/>
    <w:rsid w:val="00790236"/>
    <w:rsid w:val="0079052E"/>
    <w:rsid w:val="00790A83"/>
    <w:rsid w:val="00790B6D"/>
    <w:rsid w:val="00790C17"/>
    <w:rsid w:val="00791121"/>
    <w:rsid w:val="00791494"/>
    <w:rsid w:val="007914AB"/>
    <w:rsid w:val="0079170F"/>
    <w:rsid w:val="00791B54"/>
    <w:rsid w:val="00791DD3"/>
    <w:rsid w:val="00792339"/>
    <w:rsid w:val="00792821"/>
    <w:rsid w:val="00792BFC"/>
    <w:rsid w:val="007932EF"/>
    <w:rsid w:val="00793466"/>
    <w:rsid w:val="007937C0"/>
    <w:rsid w:val="00793934"/>
    <w:rsid w:val="00793D3F"/>
    <w:rsid w:val="00794212"/>
    <w:rsid w:val="00794464"/>
    <w:rsid w:val="0079474E"/>
    <w:rsid w:val="00794C33"/>
    <w:rsid w:val="00794CD6"/>
    <w:rsid w:val="00794E74"/>
    <w:rsid w:val="00794EEC"/>
    <w:rsid w:val="007950EB"/>
    <w:rsid w:val="007954CA"/>
    <w:rsid w:val="007958FB"/>
    <w:rsid w:val="00796192"/>
    <w:rsid w:val="00796400"/>
    <w:rsid w:val="00796C52"/>
    <w:rsid w:val="00796D00"/>
    <w:rsid w:val="00796D0E"/>
    <w:rsid w:val="0079766E"/>
    <w:rsid w:val="007976AA"/>
    <w:rsid w:val="00797983"/>
    <w:rsid w:val="00797C09"/>
    <w:rsid w:val="00797C50"/>
    <w:rsid w:val="00797F43"/>
    <w:rsid w:val="007A029F"/>
    <w:rsid w:val="007A0815"/>
    <w:rsid w:val="007A0A1F"/>
    <w:rsid w:val="007A0A44"/>
    <w:rsid w:val="007A0C62"/>
    <w:rsid w:val="007A0FDD"/>
    <w:rsid w:val="007A1563"/>
    <w:rsid w:val="007A1A8D"/>
    <w:rsid w:val="007A23E8"/>
    <w:rsid w:val="007A2676"/>
    <w:rsid w:val="007A28AC"/>
    <w:rsid w:val="007A29FA"/>
    <w:rsid w:val="007A2E40"/>
    <w:rsid w:val="007A33C6"/>
    <w:rsid w:val="007A35FA"/>
    <w:rsid w:val="007A38EE"/>
    <w:rsid w:val="007A3E9E"/>
    <w:rsid w:val="007A4059"/>
    <w:rsid w:val="007A427A"/>
    <w:rsid w:val="007A48EE"/>
    <w:rsid w:val="007A4CF9"/>
    <w:rsid w:val="007A4DA5"/>
    <w:rsid w:val="007A547E"/>
    <w:rsid w:val="007A5A5E"/>
    <w:rsid w:val="007A5E64"/>
    <w:rsid w:val="007A5F6F"/>
    <w:rsid w:val="007A6141"/>
    <w:rsid w:val="007A6A41"/>
    <w:rsid w:val="007A6DAE"/>
    <w:rsid w:val="007A7037"/>
    <w:rsid w:val="007A704F"/>
    <w:rsid w:val="007A715C"/>
    <w:rsid w:val="007A74FF"/>
    <w:rsid w:val="007B01C6"/>
    <w:rsid w:val="007B045F"/>
    <w:rsid w:val="007B05BF"/>
    <w:rsid w:val="007B07E6"/>
    <w:rsid w:val="007B09BD"/>
    <w:rsid w:val="007B0BE5"/>
    <w:rsid w:val="007B1104"/>
    <w:rsid w:val="007B1155"/>
    <w:rsid w:val="007B1472"/>
    <w:rsid w:val="007B16FD"/>
    <w:rsid w:val="007B1F05"/>
    <w:rsid w:val="007B1F86"/>
    <w:rsid w:val="007B20D2"/>
    <w:rsid w:val="007B237F"/>
    <w:rsid w:val="007B2759"/>
    <w:rsid w:val="007B2822"/>
    <w:rsid w:val="007B3030"/>
    <w:rsid w:val="007B330B"/>
    <w:rsid w:val="007B366A"/>
    <w:rsid w:val="007B3670"/>
    <w:rsid w:val="007B3B00"/>
    <w:rsid w:val="007B3D4E"/>
    <w:rsid w:val="007B41A7"/>
    <w:rsid w:val="007B4911"/>
    <w:rsid w:val="007B4BD2"/>
    <w:rsid w:val="007B4DB4"/>
    <w:rsid w:val="007B514F"/>
    <w:rsid w:val="007B523A"/>
    <w:rsid w:val="007B56A8"/>
    <w:rsid w:val="007B5719"/>
    <w:rsid w:val="007B5CA3"/>
    <w:rsid w:val="007B5E4A"/>
    <w:rsid w:val="007B5EE7"/>
    <w:rsid w:val="007B5F4B"/>
    <w:rsid w:val="007B662B"/>
    <w:rsid w:val="007B6848"/>
    <w:rsid w:val="007B6A68"/>
    <w:rsid w:val="007B6DA8"/>
    <w:rsid w:val="007B73E9"/>
    <w:rsid w:val="007B7595"/>
    <w:rsid w:val="007C0214"/>
    <w:rsid w:val="007C0406"/>
    <w:rsid w:val="007C0444"/>
    <w:rsid w:val="007C0977"/>
    <w:rsid w:val="007C0ADB"/>
    <w:rsid w:val="007C0DBC"/>
    <w:rsid w:val="007C0E38"/>
    <w:rsid w:val="007C1156"/>
    <w:rsid w:val="007C156A"/>
    <w:rsid w:val="007C1928"/>
    <w:rsid w:val="007C1AFA"/>
    <w:rsid w:val="007C1CD1"/>
    <w:rsid w:val="007C261C"/>
    <w:rsid w:val="007C2E46"/>
    <w:rsid w:val="007C3BC2"/>
    <w:rsid w:val="007C3D68"/>
    <w:rsid w:val="007C3DE7"/>
    <w:rsid w:val="007C3E68"/>
    <w:rsid w:val="007C48A1"/>
    <w:rsid w:val="007C48B7"/>
    <w:rsid w:val="007C4A2D"/>
    <w:rsid w:val="007C4C31"/>
    <w:rsid w:val="007C4D54"/>
    <w:rsid w:val="007C4EBA"/>
    <w:rsid w:val="007C4FFF"/>
    <w:rsid w:val="007C5373"/>
    <w:rsid w:val="007C53E7"/>
    <w:rsid w:val="007C5D17"/>
    <w:rsid w:val="007C6348"/>
    <w:rsid w:val="007C6650"/>
    <w:rsid w:val="007C671D"/>
    <w:rsid w:val="007C6C56"/>
    <w:rsid w:val="007C6F34"/>
    <w:rsid w:val="007C7067"/>
    <w:rsid w:val="007C7563"/>
    <w:rsid w:val="007C75E1"/>
    <w:rsid w:val="007C7799"/>
    <w:rsid w:val="007C77A9"/>
    <w:rsid w:val="007C7A01"/>
    <w:rsid w:val="007C7E0D"/>
    <w:rsid w:val="007C7F81"/>
    <w:rsid w:val="007D03AD"/>
    <w:rsid w:val="007D0605"/>
    <w:rsid w:val="007D065E"/>
    <w:rsid w:val="007D14AF"/>
    <w:rsid w:val="007D1A84"/>
    <w:rsid w:val="007D1E64"/>
    <w:rsid w:val="007D1FD3"/>
    <w:rsid w:val="007D24B3"/>
    <w:rsid w:val="007D2974"/>
    <w:rsid w:val="007D29E1"/>
    <w:rsid w:val="007D2C8B"/>
    <w:rsid w:val="007D2D19"/>
    <w:rsid w:val="007D34D6"/>
    <w:rsid w:val="007D37D3"/>
    <w:rsid w:val="007D3824"/>
    <w:rsid w:val="007D3B17"/>
    <w:rsid w:val="007D3EE6"/>
    <w:rsid w:val="007D4309"/>
    <w:rsid w:val="007D4506"/>
    <w:rsid w:val="007D4621"/>
    <w:rsid w:val="007D4853"/>
    <w:rsid w:val="007D4CF5"/>
    <w:rsid w:val="007D53A1"/>
    <w:rsid w:val="007D5D1D"/>
    <w:rsid w:val="007D5ECA"/>
    <w:rsid w:val="007D67AF"/>
    <w:rsid w:val="007D70D1"/>
    <w:rsid w:val="007D7B77"/>
    <w:rsid w:val="007E1021"/>
    <w:rsid w:val="007E1221"/>
    <w:rsid w:val="007E12BF"/>
    <w:rsid w:val="007E1968"/>
    <w:rsid w:val="007E1AC6"/>
    <w:rsid w:val="007E21CC"/>
    <w:rsid w:val="007E2CFF"/>
    <w:rsid w:val="007E2ED0"/>
    <w:rsid w:val="007E3CC2"/>
    <w:rsid w:val="007E45DC"/>
    <w:rsid w:val="007E5856"/>
    <w:rsid w:val="007E5904"/>
    <w:rsid w:val="007E62CD"/>
    <w:rsid w:val="007E7322"/>
    <w:rsid w:val="007E76D5"/>
    <w:rsid w:val="007E7B94"/>
    <w:rsid w:val="007E7C49"/>
    <w:rsid w:val="007E7EBA"/>
    <w:rsid w:val="007E7F5A"/>
    <w:rsid w:val="007F0456"/>
    <w:rsid w:val="007F067C"/>
    <w:rsid w:val="007F085F"/>
    <w:rsid w:val="007F0DBA"/>
    <w:rsid w:val="007F1843"/>
    <w:rsid w:val="007F1F79"/>
    <w:rsid w:val="007F2267"/>
    <w:rsid w:val="007F2CC5"/>
    <w:rsid w:val="007F34A5"/>
    <w:rsid w:val="007F3DBE"/>
    <w:rsid w:val="007F3DFF"/>
    <w:rsid w:val="007F40EF"/>
    <w:rsid w:val="007F4823"/>
    <w:rsid w:val="007F4935"/>
    <w:rsid w:val="007F494E"/>
    <w:rsid w:val="007F4EF2"/>
    <w:rsid w:val="007F53CC"/>
    <w:rsid w:val="007F5566"/>
    <w:rsid w:val="007F58CD"/>
    <w:rsid w:val="007F5FC6"/>
    <w:rsid w:val="007F60C1"/>
    <w:rsid w:val="007F60E2"/>
    <w:rsid w:val="007F6328"/>
    <w:rsid w:val="007F6501"/>
    <w:rsid w:val="007F6B3F"/>
    <w:rsid w:val="007F6C04"/>
    <w:rsid w:val="007F6EF0"/>
    <w:rsid w:val="007F7553"/>
    <w:rsid w:val="007F76C5"/>
    <w:rsid w:val="007F7831"/>
    <w:rsid w:val="007F797E"/>
    <w:rsid w:val="007F7BB9"/>
    <w:rsid w:val="007F7BBF"/>
    <w:rsid w:val="007F7C3C"/>
    <w:rsid w:val="007F7D8F"/>
    <w:rsid w:val="007F7DE0"/>
    <w:rsid w:val="00800465"/>
    <w:rsid w:val="008004F0"/>
    <w:rsid w:val="008010AC"/>
    <w:rsid w:val="00801675"/>
    <w:rsid w:val="00801B08"/>
    <w:rsid w:val="00801CDE"/>
    <w:rsid w:val="00801E29"/>
    <w:rsid w:val="0080221B"/>
    <w:rsid w:val="00802232"/>
    <w:rsid w:val="0080240B"/>
    <w:rsid w:val="008026BE"/>
    <w:rsid w:val="00803553"/>
    <w:rsid w:val="0080357D"/>
    <w:rsid w:val="008036C5"/>
    <w:rsid w:val="00803754"/>
    <w:rsid w:val="00803D87"/>
    <w:rsid w:val="00803DAD"/>
    <w:rsid w:val="008043F8"/>
    <w:rsid w:val="00804A80"/>
    <w:rsid w:val="00804C04"/>
    <w:rsid w:val="00804D4D"/>
    <w:rsid w:val="008054B9"/>
    <w:rsid w:val="008055DC"/>
    <w:rsid w:val="00805847"/>
    <w:rsid w:val="00805D31"/>
    <w:rsid w:val="00805D8B"/>
    <w:rsid w:val="0080638F"/>
    <w:rsid w:val="00806BD5"/>
    <w:rsid w:val="00806CE4"/>
    <w:rsid w:val="00806F75"/>
    <w:rsid w:val="008070F9"/>
    <w:rsid w:val="0080763B"/>
    <w:rsid w:val="00807708"/>
    <w:rsid w:val="00807761"/>
    <w:rsid w:val="008077C6"/>
    <w:rsid w:val="00807E6E"/>
    <w:rsid w:val="008100CC"/>
    <w:rsid w:val="00810134"/>
    <w:rsid w:val="008103F1"/>
    <w:rsid w:val="0081091E"/>
    <w:rsid w:val="00810A59"/>
    <w:rsid w:val="00811334"/>
    <w:rsid w:val="00811494"/>
    <w:rsid w:val="0081150A"/>
    <w:rsid w:val="008117BE"/>
    <w:rsid w:val="00811B3C"/>
    <w:rsid w:val="00811FB0"/>
    <w:rsid w:val="0081208F"/>
    <w:rsid w:val="0081256B"/>
    <w:rsid w:val="00812846"/>
    <w:rsid w:val="00812A9A"/>
    <w:rsid w:val="00812C36"/>
    <w:rsid w:val="00812E68"/>
    <w:rsid w:val="00812FCC"/>
    <w:rsid w:val="008135E2"/>
    <w:rsid w:val="00813AD5"/>
    <w:rsid w:val="00813D4A"/>
    <w:rsid w:val="00813D65"/>
    <w:rsid w:val="00814658"/>
    <w:rsid w:val="008147BF"/>
    <w:rsid w:val="00814951"/>
    <w:rsid w:val="00814FFD"/>
    <w:rsid w:val="008151A1"/>
    <w:rsid w:val="00815419"/>
    <w:rsid w:val="0081576E"/>
    <w:rsid w:val="00815E61"/>
    <w:rsid w:val="00816486"/>
    <w:rsid w:val="0081663C"/>
    <w:rsid w:val="0081671B"/>
    <w:rsid w:val="00816AC4"/>
    <w:rsid w:val="00816D8B"/>
    <w:rsid w:val="00816EB7"/>
    <w:rsid w:val="00817620"/>
    <w:rsid w:val="00817741"/>
    <w:rsid w:val="00817A92"/>
    <w:rsid w:val="00817B21"/>
    <w:rsid w:val="00817E3B"/>
    <w:rsid w:val="00817F9F"/>
    <w:rsid w:val="0082079F"/>
    <w:rsid w:val="008209AC"/>
    <w:rsid w:val="00820A04"/>
    <w:rsid w:val="00820FBE"/>
    <w:rsid w:val="00821203"/>
    <w:rsid w:val="00821217"/>
    <w:rsid w:val="0082139F"/>
    <w:rsid w:val="00821C91"/>
    <w:rsid w:val="00821DAF"/>
    <w:rsid w:val="00821F91"/>
    <w:rsid w:val="00822325"/>
    <w:rsid w:val="008224E4"/>
    <w:rsid w:val="00822821"/>
    <w:rsid w:val="008229B5"/>
    <w:rsid w:val="00822B73"/>
    <w:rsid w:val="00822D3B"/>
    <w:rsid w:val="00823066"/>
    <w:rsid w:val="008231A0"/>
    <w:rsid w:val="008234F0"/>
    <w:rsid w:val="00823A49"/>
    <w:rsid w:val="00823BFC"/>
    <w:rsid w:val="00823DC9"/>
    <w:rsid w:val="00823EB8"/>
    <w:rsid w:val="008240EB"/>
    <w:rsid w:val="008240F8"/>
    <w:rsid w:val="00824219"/>
    <w:rsid w:val="00824307"/>
    <w:rsid w:val="008247A8"/>
    <w:rsid w:val="00824BCF"/>
    <w:rsid w:val="00824D55"/>
    <w:rsid w:val="00824D68"/>
    <w:rsid w:val="00824D85"/>
    <w:rsid w:val="00824F31"/>
    <w:rsid w:val="00825010"/>
    <w:rsid w:val="00825403"/>
    <w:rsid w:val="0082578F"/>
    <w:rsid w:val="0082590B"/>
    <w:rsid w:val="00825D70"/>
    <w:rsid w:val="0082608B"/>
    <w:rsid w:val="008260D6"/>
    <w:rsid w:val="008261B0"/>
    <w:rsid w:val="0082662E"/>
    <w:rsid w:val="008266DC"/>
    <w:rsid w:val="0082670D"/>
    <w:rsid w:val="00826726"/>
    <w:rsid w:val="008267A3"/>
    <w:rsid w:val="00826B6C"/>
    <w:rsid w:val="00826D3B"/>
    <w:rsid w:val="00826E28"/>
    <w:rsid w:val="0082763C"/>
    <w:rsid w:val="0082763E"/>
    <w:rsid w:val="00827B7D"/>
    <w:rsid w:val="00827DCA"/>
    <w:rsid w:val="00827ED1"/>
    <w:rsid w:val="00827FD5"/>
    <w:rsid w:val="00830A5A"/>
    <w:rsid w:val="00830C81"/>
    <w:rsid w:val="00830E21"/>
    <w:rsid w:val="00831329"/>
    <w:rsid w:val="0083134B"/>
    <w:rsid w:val="00831666"/>
    <w:rsid w:val="00831988"/>
    <w:rsid w:val="00831BE8"/>
    <w:rsid w:val="00831E94"/>
    <w:rsid w:val="0083276B"/>
    <w:rsid w:val="00832ECC"/>
    <w:rsid w:val="00833292"/>
    <w:rsid w:val="008333EC"/>
    <w:rsid w:val="00833B50"/>
    <w:rsid w:val="00834244"/>
    <w:rsid w:val="008346B6"/>
    <w:rsid w:val="00834AA3"/>
    <w:rsid w:val="00834B48"/>
    <w:rsid w:val="00834DDB"/>
    <w:rsid w:val="00834E2E"/>
    <w:rsid w:val="00834ED1"/>
    <w:rsid w:val="00834FC6"/>
    <w:rsid w:val="00835A86"/>
    <w:rsid w:val="00835BA0"/>
    <w:rsid w:val="00835E36"/>
    <w:rsid w:val="008360A2"/>
    <w:rsid w:val="00836125"/>
    <w:rsid w:val="00836384"/>
    <w:rsid w:val="00836397"/>
    <w:rsid w:val="00836495"/>
    <w:rsid w:val="00836673"/>
    <w:rsid w:val="008368A7"/>
    <w:rsid w:val="008369A0"/>
    <w:rsid w:val="00836CDC"/>
    <w:rsid w:val="008373F7"/>
    <w:rsid w:val="00837500"/>
    <w:rsid w:val="008379EB"/>
    <w:rsid w:val="00837CA1"/>
    <w:rsid w:val="00837D92"/>
    <w:rsid w:val="00837DC6"/>
    <w:rsid w:val="00840212"/>
    <w:rsid w:val="0084045D"/>
    <w:rsid w:val="008405F0"/>
    <w:rsid w:val="00840629"/>
    <w:rsid w:val="00840A70"/>
    <w:rsid w:val="00840B46"/>
    <w:rsid w:val="00840CCD"/>
    <w:rsid w:val="0084108E"/>
    <w:rsid w:val="00841309"/>
    <w:rsid w:val="008421B9"/>
    <w:rsid w:val="008427BD"/>
    <w:rsid w:val="008428A6"/>
    <w:rsid w:val="0084295C"/>
    <w:rsid w:val="00842A46"/>
    <w:rsid w:val="00842C48"/>
    <w:rsid w:val="00843174"/>
    <w:rsid w:val="00843183"/>
    <w:rsid w:val="008432B9"/>
    <w:rsid w:val="008432ED"/>
    <w:rsid w:val="00843BB7"/>
    <w:rsid w:val="0084421E"/>
    <w:rsid w:val="00844360"/>
    <w:rsid w:val="00844518"/>
    <w:rsid w:val="00844783"/>
    <w:rsid w:val="008447E6"/>
    <w:rsid w:val="00844C1B"/>
    <w:rsid w:val="00845053"/>
    <w:rsid w:val="008451E7"/>
    <w:rsid w:val="00845221"/>
    <w:rsid w:val="00845692"/>
    <w:rsid w:val="00845F2D"/>
    <w:rsid w:val="00846294"/>
    <w:rsid w:val="00846409"/>
    <w:rsid w:val="0084640E"/>
    <w:rsid w:val="008465A1"/>
    <w:rsid w:val="008465DC"/>
    <w:rsid w:val="008467E6"/>
    <w:rsid w:val="00846841"/>
    <w:rsid w:val="00846C95"/>
    <w:rsid w:val="00846CF5"/>
    <w:rsid w:val="008471C6"/>
    <w:rsid w:val="00847567"/>
    <w:rsid w:val="0084769D"/>
    <w:rsid w:val="00847935"/>
    <w:rsid w:val="00847C7C"/>
    <w:rsid w:val="00847EC0"/>
    <w:rsid w:val="0085009E"/>
    <w:rsid w:val="008501B4"/>
    <w:rsid w:val="00850378"/>
    <w:rsid w:val="00850AEF"/>
    <w:rsid w:val="00850BEA"/>
    <w:rsid w:val="00851099"/>
    <w:rsid w:val="008512F7"/>
    <w:rsid w:val="00851602"/>
    <w:rsid w:val="00851F67"/>
    <w:rsid w:val="00852238"/>
    <w:rsid w:val="008522FD"/>
    <w:rsid w:val="008524EA"/>
    <w:rsid w:val="008526AF"/>
    <w:rsid w:val="008529A6"/>
    <w:rsid w:val="00852C72"/>
    <w:rsid w:val="00852FD4"/>
    <w:rsid w:val="00853245"/>
    <w:rsid w:val="00853417"/>
    <w:rsid w:val="00853E16"/>
    <w:rsid w:val="00853E20"/>
    <w:rsid w:val="008544B6"/>
    <w:rsid w:val="00854829"/>
    <w:rsid w:val="00854CEA"/>
    <w:rsid w:val="0085503B"/>
    <w:rsid w:val="008556F1"/>
    <w:rsid w:val="00855E13"/>
    <w:rsid w:val="0085604B"/>
    <w:rsid w:val="0085608F"/>
    <w:rsid w:val="00856414"/>
    <w:rsid w:val="00856869"/>
    <w:rsid w:val="00856F17"/>
    <w:rsid w:val="00856FBE"/>
    <w:rsid w:val="008571CC"/>
    <w:rsid w:val="00857343"/>
    <w:rsid w:val="008575A5"/>
    <w:rsid w:val="00857685"/>
    <w:rsid w:val="00857847"/>
    <w:rsid w:val="008579DA"/>
    <w:rsid w:val="00857B71"/>
    <w:rsid w:val="00857E28"/>
    <w:rsid w:val="00860440"/>
    <w:rsid w:val="008607DC"/>
    <w:rsid w:val="00860A19"/>
    <w:rsid w:val="00860CA5"/>
    <w:rsid w:val="00860D32"/>
    <w:rsid w:val="00861130"/>
    <w:rsid w:val="008615F9"/>
    <w:rsid w:val="00861ACD"/>
    <w:rsid w:val="00861B5D"/>
    <w:rsid w:val="00861C62"/>
    <w:rsid w:val="00861CB9"/>
    <w:rsid w:val="00861F0F"/>
    <w:rsid w:val="00862F45"/>
    <w:rsid w:val="00863135"/>
    <w:rsid w:val="008631FF"/>
    <w:rsid w:val="0086373D"/>
    <w:rsid w:val="00863D2C"/>
    <w:rsid w:val="00863D86"/>
    <w:rsid w:val="00863E05"/>
    <w:rsid w:val="00863F0C"/>
    <w:rsid w:val="0086426C"/>
    <w:rsid w:val="00864776"/>
    <w:rsid w:val="00864C2C"/>
    <w:rsid w:val="00864D0F"/>
    <w:rsid w:val="0086508D"/>
    <w:rsid w:val="00865098"/>
    <w:rsid w:val="008652B5"/>
    <w:rsid w:val="0086593A"/>
    <w:rsid w:val="00865A98"/>
    <w:rsid w:val="00866064"/>
    <w:rsid w:val="00866339"/>
    <w:rsid w:val="008664D9"/>
    <w:rsid w:val="0086661C"/>
    <w:rsid w:val="008666BD"/>
    <w:rsid w:val="00866DFD"/>
    <w:rsid w:val="008670B7"/>
    <w:rsid w:val="008670F1"/>
    <w:rsid w:val="0086724C"/>
    <w:rsid w:val="0086768E"/>
    <w:rsid w:val="008677AD"/>
    <w:rsid w:val="008677DD"/>
    <w:rsid w:val="00867B0A"/>
    <w:rsid w:val="00867D1F"/>
    <w:rsid w:val="00870042"/>
    <w:rsid w:val="008704C2"/>
    <w:rsid w:val="00870864"/>
    <w:rsid w:val="00870930"/>
    <w:rsid w:val="00870D75"/>
    <w:rsid w:val="008714CB"/>
    <w:rsid w:val="0087162D"/>
    <w:rsid w:val="00871A18"/>
    <w:rsid w:val="00871D43"/>
    <w:rsid w:val="00871FA6"/>
    <w:rsid w:val="00872296"/>
    <w:rsid w:val="0087237C"/>
    <w:rsid w:val="0087309B"/>
    <w:rsid w:val="00873897"/>
    <w:rsid w:val="00873A35"/>
    <w:rsid w:val="00873C9C"/>
    <w:rsid w:val="00873DEB"/>
    <w:rsid w:val="0087437B"/>
    <w:rsid w:val="00874672"/>
    <w:rsid w:val="00875182"/>
    <w:rsid w:val="00875989"/>
    <w:rsid w:val="00875D16"/>
    <w:rsid w:val="00875E46"/>
    <w:rsid w:val="008761CF"/>
    <w:rsid w:val="008764EF"/>
    <w:rsid w:val="0087671B"/>
    <w:rsid w:val="00876A41"/>
    <w:rsid w:val="00876BC3"/>
    <w:rsid w:val="008772A4"/>
    <w:rsid w:val="008774AE"/>
    <w:rsid w:val="008775F5"/>
    <w:rsid w:val="00877869"/>
    <w:rsid w:val="008802DD"/>
    <w:rsid w:val="00880371"/>
    <w:rsid w:val="00880382"/>
    <w:rsid w:val="00880601"/>
    <w:rsid w:val="008807C6"/>
    <w:rsid w:val="00880E88"/>
    <w:rsid w:val="008817DD"/>
    <w:rsid w:val="0088250A"/>
    <w:rsid w:val="00882B6A"/>
    <w:rsid w:val="00882B9A"/>
    <w:rsid w:val="00882F0C"/>
    <w:rsid w:val="00883050"/>
    <w:rsid w:val="008831BF"/>
    <w:rsid w:val="008836A9"/>
    <w:rsid w:val="008837C0"/>
    <w:rsid w:val="008840BD"/>
    <w:rsid w:val="00884327"/>
    <w:rsid w:val="008855B7"/>
    <w:rsid w:val="008858D3"/>
    <w:rsid w:val="00885DCB"/>
    <w:rsid w:val="00885F27"/>
    <w:rsid w:val="00886495"/>
    <w:rsid w:val="00886749"/>
    <w:rsid w:val="008868E1"/>
    <w:rsid w:val="00886C97"/>
    <w:rsid w:val="00886E2D"/>
    <w:rsid w:val="0088717B"/>
    <w:rsid w:val="00887CCC"/>
    <w:rsid w:val="00887FE3"/>
    <w:rsid w:val="00890059"/>
    <w:rsid w:val="00890106"/>
    <w:rsid w:val="0089028B"/>
    <w:rsid w:val="0089087E"/>
    <w:rsid w:val="00890D76"/>
    <w:rsid w:val="00891079"/>
    <w:rsid w:val="008910A2"/>
    <w:rsid w:val="008910D6"/>
    <w:rsid w:val="00891144"/>
    <w:rsid w:val="00891291"/>
    <w:rsid w:val="008912AD"/>
    <w:rsid w:val="008913A0"/>
    <w:rsid w:val="00891C7B"/>
    <w:rsid w:val="00891D3F"/>
    <w:rsid w:val="008924D0"/>
    <w:rsid w:val="00892637"/>
    <w:rsid w:val="00892855"/>
    <w:rsid w:val="00892861"/>
    <w:rsid w:val="00892B03"/>
    <w:rsid w:val="00892E5A"/>
    <w:rsid w:val="008930A9"/>
    <w:rsid w:val="00893238"/>
    <w:rsid w:val="00893878"/>
    <w:rsid w:val="008940FD"/>
    <w:rsid w:val="00894623"/>
    <w:rsid w:val="0089488C"/>
    <w:rsid w:val="00894BAA"/>
    <w:rsid w:val="00895B0F"/>
    <w:rsid w:val="00895B81"/>
    <w:rsid w:val="00895D94"/>
    <w:rsid w:val="0089617C"/>
    <w:rsid w:val="0089628B"/>
    <w:rsid w:val="00896DDD"/>
    <w:rsid w:val="008971AD"/>
    <w:rsid w:val="008972E9"/>
    <w:rsid w:val="0089733A"/>
    <w:rsid w:val="008973C7"/>
    <w:rsid w:val="0089779E"/>
    <w:rsid w:val="008977E2"/>
    <w:rsid w:val="008978FE"/>
    <w:rsid w:val="008A0369"/>
    <w:rsid w:val="008A0E8A"/>
    <w:rsid w:val="008A145A"/>
    <w:rsid w:val="008A1981"/>
    <w:rsid w:val="008A1AF5"/>
    <w:rsid w:val="008A1C43"/>
    <w:rsid w:val="008A1EC9"/>
    <w:rsid w:val="008A2204"/>
    <w:rsid w:val="008A229A"/>
    <w:rsid w:val="008A2333"/>
    <w:rsid w:val="008A2390"/>
    <w:rsid w:val="008A252F"/>
    <w:rsid w:val="008A255F"/>
    <w:rsid w:val="008A2563"/>
    <w:rsid w:val="008A2602"/>
    <w:rsid w:val="008A27F6"/>
    <w:rsid w:val="008A2AA7"/>
    <w:rsid w:val="008A2B20"/>
    <w:rsid w:val="008A3862"/>
    <w:rsid w:val="008A3968"/>
    <w:rsid w:val="008A3F56"/>
    <w:rsid w:val="008A406D"/>
    <w:rsid w:val="008A418E"/>
    <w:rsid w:val="008A44FB"/>
    <w:rsid w:val="008A458E"/>
    <w:rsid w:val="008A4804"/>
    <w:rsid w:val="008A4D42"/>
    <w:rsid w:val="008A5E2E"/>
    <w:rsid w:val="008A6010"/>
    <w:rsid w:val="008A60FF"/>
    <w:rsid w:val="008A63EF"/>
    <w:rsid w:val="008A6457"/>
    <w:rsid w:val="008A662E"/>
    <w:rsid w:val="008A667C"/>
    <w:rsid w:val="008A67B8"/>
    <w:rsid w:val="008A69F5"/>
    <w:rsid w:val="008A6C20"/>
    <w:rsid w:val="008A6EB9"/>
    <w:rsid w:val="008A6F7E"/>
    <w:rsid w:val="008A7787"/>
    <w:rsid w:val="008A7954"/>
    <w:rsid w:val="008A7CAD"/>
    <w:rsid w:val="008A7CC2"/>
    <w:rsid w:val="008B0258"/>
    <w:rsid w:val="008B0473"/>
    <w:rsid w:val="008B0878"/>
    <w:rsid w:val="008B0951"/>
    <w:rsid w:val="008B0963"/>
    <w:rsid w:val="008B0B7C"/>
    <w:rsid w:val="008B137E"/>
    <w:rsid w:val="008B182A"/>
    <w:rsid w:val="008B1978"/>
    <w:rsid w:val="008B1A05"/>
    <w:rsid w:val="008B1C68"/>
    <w:rsid w:val="008B2039"/>
    <w:rsid w:val="008B2563"/>
    <w:rsid w:val="008B25F0"/>
    <w:rsid w:val="008B265C"/>
    <w:rsid w:val="008B271D"/>
    <w:rsid w:val="008B2D34"/>
    <w:rsid w:val="008B2E45"/>
    <w:rsid w:val="008B3110"/>
    <w:rsid w:val="008B3D66"/>
    <w:rsid w:val="008B475A"/>
    <w:rsid w:val="008B4959"/>
    <w:rsid w:val="008B4B8C"/>
    <w:rsid w:val="008B530A"/>
    <w:rsid w:val="008B55A5"/>
    <w:rsid w:val="008B5995"/>
    <w:rsid w:val="008B5B6B"/>
    <w:rsid w:val="008B5C2C"/>
    <w:rsid w:val="008B6387"/>
    <w:rsid w:val="008B6615"/>
    <w:rsid w:val="008B68F1"/>
    <w:rsid w:val="008B692F"/>
    <w:rsid w:val="008B7466"/>
    <w:rsid w:val="008B7932"/>
    <w:rsid w:val="008C02FC"/>
    <w:rsid w:val="008C068F"/>
    <w:rsid w:val="008C0B73"/>
    <w:rsid w:val="008C13B6"/>
    <w:rsid w:val="008C159C"/>
    <w:rsid w:val="008C16AC"/>
    <w:rsid w:val="008C179B"/>
    <w:rsid w:val="008C19FB"/>
    <w:rsid w:val="008C1CB7"/>
    <w:rsid w:val="008C1DD2"/>
    <w:rsid w:val="008C1FF3"/>
    <w:rsid w:val="008C2619"/>
    <w:rsid w:val="008C3331"/>
    <w:rsid w:val="008C3376"/>
    <w:rsid w:val="008C398A"/>
    <w:rsid w:val="008C4274"/>
    <w:rsid w:val="008C4792"/>
    <w:rsid w:val="008C495F"/>
    <w:rsid w:val="008C5026"/>
    <w:rsid w:val="008C5781"/>
    <w:rsid w:val="008C589C"/>
    <w:rsid w:val="008C5951"/>
    <w:rsid w:val="008C59AC"/>
    <w:rsid w:val="008C6471"/>
    <w:rsid w:val="008C64C8"/>
    <w:rsid w:val="008C6F36"/>
    <w:rsid w:val="008C7339"/>
    <w:rsid w:val="008C763F"/>
    <w:rsid w:val="008D0E16"/>
    <w:rsid w:val="008D120C"/>
    <w:rsid w:val="008D1994"/>
    <w:rsid w:val="008D203F"/>
    <w:rsid w:val="008D22A1"/>
    <w:rsid w:val="008D24F6"/>
    <w:rsid w:val="008D26CA"/>
    <w:rsid w:val="008D29B5"/>
    <w:rsid w:val="008D2AB9"/>
    <w:rsid w:val="008D2FF3"/>
    <w:rsid w:val="008D30C1"/>
    <w:rsid w:val="008D3BCA"/>
    <w:rsid w:val="008D3C34"/>
    <w:rsid w:val="008D3EA3"/>
    <w:rsid w:val="008D401C"/>
    <w:rsid w:val="008D48AA"/>
    <w:rsid w:val="008D4B19"/>
    <w:rsid w:val="008D5A91"/>
    <w:rsid w:val="008D6A81"/>
    <w:rsid w:val="008D7336"/>
    <w:rsid w:val="008D7364"/>
    <w:rsid w:val="008D73AA"/>
    <w:rsid w:val="008D7645"/>
    <w:rsid w:val="008D7C82"/>
    <w:rsid w:val="008E0405"/>
    <w:rsid w:val="008E0B3E"/>
    <w:rsid w:val="008E0D14"/>
    <w:rsid w:val="008E0E6E"/>
    <w:rsid w:val="008E0F2F"/>
    <w:rsid w:val="008E1802"/>
    <w:rsid w:val="008E21B3"/>
    <w:rsid w:val="008E2391"/>
    <w:rsid w:val="008E2AD0"/>
    <w:rsid w:val="008E31AF"/>
    <w:rsid w:val="008E338C"/>
    <w:rsid w:val="008E354F"/>
    <w:rsid w:val="008E3606"/>
    <w:rsid w:val="008E396B"/>
    <w:rsid w:val="008E3C13"/>
    <w:rsid w:val="008E3C69"/>
    <w:rsid w:val="008E3D8A"/>
    <w:rsid w:val="008E40F7"/>
    <w:rsid w:val="008E45B7"/>
    <w:rsid w:val="008E4AFB"/>
    <w:rsid w:val="008E4B7D"/>
    <w:rsid w:val="008E4B7F"/>
    <w:rsid w:val="008E4DC1"/>
    <w:rsid w:val="008E4F23"/>
    <w:rsid w:val="008E52DB"/>
    <w:rsid w:val="008E5506"/>
    <w:rsid w:val="008E55D3"/>
    <w:rsid w:val="008E5646"/>
    <w:rsid w:val="008E5786"/>
    <w:rsid w:val="008E5ACF"/>
    <w:rsid w:val="008E5FFD"/>
    <w:rsid w:val="008E6316"/>
    <w:rsid w:val="008E6453"/>
    <w:rsid w:val="008E64B8"/>
    <w:rsid w:val="008E6A37"/>
    <w:rsid w:val="008E7901"/>
    <w:rsid w:val="008E7E9D"/>
    <w:rsid w:val="008F00AF"/>
    <w:rsid w:val="008F026B"/>
    <w:rsid w:val="008F081E"/>
    <w:rsid w:val="008F1444"/>
    <w:rsid w:val="008F2138"/>
    <w:rsid w:val="008F24EB"/>
    <w:rsid w:val="008F2569"/>
    <w:rsid w:val="008F2D5F"/>
    <w:rsid w:val="008F39E1"/>
    <w:rsid w:val="008F3C12"/>
    <w:rsid w:val="008F45FD"/>
    <w:rsid w:val="008F48A5"/>
    <w:rsid w:val="008F4E25"/>
    <w:rsid w:val="008F5111"/>
    <w:rsid w:val="008F5EB3"/>
    <w:rsid w:val="008F62F2"/>
    <w:rsid w:val="008F64FE"/>
    <w:rsid w:val="008F67BC"/>
    <w:rsid w:val="008F6854"/>
    <w:rsid w:val="008F68E3"/>
    <w:rsid w:val="008F6D27"/>
    <w:rsid w:val="008F6E42"/>
    <w:rsid w:val="008F700F"/>
    <w:rsid w:val="008F7510"/>
    <w:rsid w:val="008F76C3"/>
    <w:rsid w:val="008F7E9E"/>
    <w:rsid w:val="00900062"/>
    <w:rsid w:val="0090034B"/>
    <w:rsid w:val="0090067F"/>
    <w:rsid w:val="00900921"/>
    <w:rsid w:val="00900E09"/>
    <w:rsid w:val="009012C7"/>
    <w:rsid w:val="009015F4"/>
    <w:rsid w:val="00902829"/>
    <w:rsid w:val="0090343C"/>
    <w:rsid w:val="00903468"/>
    <w:rsid w:val="00903D7B"/>
    <w:rsid w:val="00904099"/>
    <w:rsid w:val="009040BE"/>
    <w:rsid w:val="009042D7"/>
    <w:rsid w:val="009042EB"/>
    <w:rsid w:val="0090453B"/>
    <w:rsid w:val="0090469F"/>
    <w:rsid w:val="00904F82"/>
    <w:rsid w:val="00905236"/>
    <w:rsid w:val="00905824"/>
    <w:rsid w:val="0090587B"/>
    <w:rsid w:val="009059AB"/>
    <w:rsid w:val="00905F1D"/>
    <w:rsid w:val="00906644"/>
    <w:rsid w:val="009067C9"/>
    <w:rsid w:val="00906858"/>
    <w:rsid w:val="00906B72"/>
    <w:rsid w:val="00906D36"/>
    <w:rsid w:val="00906FB3"/>
    <w:rsid w:val="0090784A"/>
    <w:rsid w:val="009104C6"/>
    <w:rsid w:val="009108DA"/>
    <w:rsid w:val="00910D9C"/>
    <w:rsid w:val="00910F82"/>
    <w:rsid w:val="0091113B"/>
    <w:rsid w:val="00911521"/>
    <w:rsid w:val="009115F4"/>
    <w:rsid w:val="0091168B"/>
    <w:rsid w:val="0091194C"/>
    <w:rsid w:val="009121B7"/>
    <w:rsid w:val="009122AA"/>
    <w:rsid w:val="00912DDF"/>
    <w:rsid w:val="0091340C"/>
    <w:rsid w:val="0091357A"/>
    <w:rsid w:val="00913681"/>
    <w:rsid w:val="009138E8"/>
    <w:rsid w:val="0091458F"/>
    <w:rsid w:val="009145AF"/>
    <w:rsid w:val="00914F6F"/>
    <w:rsid w:val="00914FBD"/>
    <w:rsid w:val="00915131"/>
    <w:rsid w:val="0091514B"/>
    <w:rsid w:val="0091549E"/>
    <w:rsid w:val="00915737"/>
    <w:rsid w:val="00915956"/>
    <w:rsid w:val="00915BD1"/>
    <w:rsid w:val="009160E7"/>
    <w:rsid w:val="009162EC"/>
    <w:rsid w:val="0091735E"/>
    <w:rsid w:val="009176C7"/>
    <w:rsid w:val="00917A78"/>
    <w:rsid w:val="00917A82"/>
    <w:rsid w:val="00917F0E"/>
    <w:rsid w:val="009202F4"/>
    <w:rsid w:val="0092034B"/>
    <w:rsid w:val="00920823"/>
    <w:rsid w:val="00920847"/>
    <w:rsid w:val="009214F6"/>
    <w:rsid w:val="00921DCD"/>
    <w:rsid w:val="0092249B"/>
    <w:rsid w:val="00922AA8"/>
    <w:rsid w:val="00922D42"/>
    <w:rsid w:val="00922D4F"/>
    <w:rsid w:val="00922D6D"/>
    <w:rsid w:val="00922EFE"/>
    <w:rsid w:val="00923655"/>
    <w:rsid w:val="009236CC"/>
    <w:rsid w:val="00923B2B"/>
    <w:rsid w:val="00923EF0"/>
    <w:rsid w:val="00923F5A"/>
    <w:rsid w:val="009240E5"/>
    <w:rsid w:val="00924418"/>
    <w:rsid w:val="00924EF6"/>
    <w:rsid w:val="00924F5B"/>
    <w:rsid w:val="00925386"/>
    <w:rsid w:val="009255C4"/>
    <w:rsid w:val="00925D60"/>
    <w:rsid w:val="00925E2D"/>
    <w:rsid w:val="00925F5F"/>
    <w:rsid w:val="00925FD8"/>
    <w:rsid w:val="009262B5"/>
    <w:rsid w:val="009262DD"/>
    <w:rsid w:val="00926ED0"/>
    <w:rsid w:val="00926F99"/>
    <w:rsid w:val="0092799D"/>
    <w:rsid w:val="00927C1E"/>
    <w:rsid w:val="00927C36"/>
    <w:rsid w:val="00930016"/>
    <w:rsid w:val="009300D2"/>
    <w:rsid w:val="00930286"/>
    <w:rsid w:val="009302EB"/>
    <w:rsid w:val="00930910"/>
    <w:rsid w:val="00930FC9"/>
    <w:rsid w:val="00931079"/>
    <w:rsid w:val="00931504"/>
    <w:rsid w:val="00931747"/>
    <w:rsid w:val="0093185A"/>
    <w:rsid w:val="0093215F"/>
    <w:rsid w:val="0093223C"/>
    <w:rsid w:val="00932A8B"/>
    <w:rsid w:val="00932B0E"/>
    <w:rsid w:val="00932E77"/>
    <w:rsid w:val="00933266"/>
    <w:rsid w:val="00933290"/>
    <w:rsid w:val="009336DF"/>
    <w:rsid w:val="00933924"/>
    <w:rsid w:val="00933D8B"/>
    <w:rsid w:val="00933FAA"/>
    <w:rsid w:val="009354F6"/>
    <w:rsid w:val="00935588"/>
    <w:rsid w:val="00935678"/>
    <w:rsid w:val="00935F31"/>
    <w:rsid w:val="00935F56"/>
    <w:rsid w:val="00935FE2"/>
    <w:rsid w:val="009367D3"/>
    <w:rsid w:val="00936973"/>
    <w:rsid w:val="00936A19"/>
    <w:rsid w:val="00936C91"/>
    <w:rsid w:val="009374D8"/>
    <w:rsid w:val="00937736"/>
    <w:rsid w:val="00937A0C"/>
    <w:rsid w:val="00937C90"/>
    <w:rsid w:val="00937F0F"/>
    <w:rsid w:val="00940471"/>
    <w:rsid w:val="0094066E"/>
    <w:rsid w:val="009407E6"/>
    <w:rsid w:val="00940D84"/>
    <w:rsid w:val="00940EC0"/>
    <w:rsid w:val="00941297"/>
    <w:rsid w:val="009416D1"/>
    <w:rsid w:val="009417B5"/>
    <w:rsid w:val="00941887"/>
    <w:rsid w:val="00941BB2"/>
    <w:rsid w:val="00941DD2"/>
    <w:rsid w:val="0094203A"/>
    <w:rsid w:val="0094223A"/>
    <w:rsid w:val="009428C1"/>
    <w:rsid w:val="00942D6C"/>
    <w:rsid w:val="00942E9E"/>
    <w:rsid w:val="00943164"/>
    <w:rsid w:val="009431DF"/>
    <w:rsid w:val="009436E7"/>
    <w:rsid w:val="00943889"/>
    <w:rsid w:val="0094393A"/>
    <w:rsid w:val="00944440"/>
    <w:rsid w:val="009447C7"/>
    <w:rsid w:val="00944A56"/>
    <w:rsid w:val="00944BF4"/>
    <w:rsid w:val="00944D30"/>
    <w:rsid w:val="00945135"/>
    <w:rsid w:val="0094533F"/>
    <w:rsid w:val="0094572E"/>
    <w:rsid w:val="009458CA"/>
    <w:rsid w:val="00945C18"/>
    <w:rsid w:val="00945DD5"/>
    <w:rsid w:val="009464B5"/>
    <w:rsid w:val="00946564"/>
    <w:rsid w:val="009470A0"/>
    <w:rsid w:val="00947291"/>
    <w:rsid w:val="0094734F"/>
    <w:rsid w:val="00947493"/>
    <w:rsid w:val="009474D6"/>
    <w:rsid w:val="0094762E"/>
    <w:rsid w:val="0094789D"/>
    <w:rsid w:val="0095017F"/>
    <w:rsid w:val="009501FB"/>
    <w:rsid w:val="00950541"/>
    <w:rsid w:val="00950580"/>
    <w:rsid w:val="0095094B"/>
    <w:rsid w:val="00950F6B"/>
    <w:rsid w:val="009510BD"/>
    <w:rsid w:val="009510E2"/>
    <w:rsid w:val="009516BC"/>
    <w:rsid w:val="009517F2"/>
    <w:rsid w:val="0095187E"/>
    <w:rsid w:val="009518E1"/>
    <w:rsid w:val="00952193"/>
    <w:rsid w:val="00952247"/>
    <w:rsid w:val="009529D3"/>
    <w:rsid w:val="00952A9A"/>
    <w:rsid w:val="009533CA"/>
    <w:rsid w:val="009535DD"/>
    <w:rsid w:val="009536F3"/>
    <w:rsid w:val="009537AD"/>
    <w:rsid w:val="009549B4"/>
    <w:rsid w:val="009550FD"/>
    <w:rsid w:val="0095518C"/>
    <w:rsid w:val="009559E7"/>
    <w:rsid w:val="00955BF9"/>
    <w:rsid w:val="00955C4E"/>
    <w:rsid w:val="00955E2F"/>
    <w:rsid w:val="0095648D"/>
    <w:rsid w:val="00956F26"/>
    <w:rsid w:val="00957182"/>
    <w:rsid w:val="009572D2"/>
    <w:rsid w:val="00957802"/>
    <w:rsid w:val="00957C4F"/>
    <w:rsid w:val="009604DC"/>
    <w:rsid w:val="00960883"/>
    <w:rsid w:val="00960BF1"/>
    <w:rsid w:val="0096101B"/>
    <w:rsid w:val="0096194E"/>
    <w:rsid w:val="00961A96"/>
    <w:rsid w:val="00961F82"/>
    <w:rsid w:val="0096214B"/>
    <w:rsid w:val="009621D0"/>
    <w:rsid w:val="0096248A"/>
    <w:rsid w:val="0096248C"/>
    <w:rsid w:val="009626DB"/>
    <w:rsid w:val="00963878"/>
    <w:rsid w:val="00963E7D"/>
    <w:rsid w:val="00964255"/>
    <w:rsid w:val="00964A56"/>
    <w:rsid w:val="00964F1E"/>
    <w:rsid w:val="00964FD9"/>
    <w:rsid w:val="00965029"/>
    <w:rsid w:val="00965141"/>
    <w:rsid w:val="00965643"/>
    <w:rsid w:val="009656D0"/>
    <w:rsid w:val="00965F95"/>
    <w:rsid w:val="00965FDC"/>
    <w:rsid w:val="00966B0D"/>
    <w:rsid w:val="00966C0B"/>
    <w:rsid w:val="00967000"/>
    <w:rsid w:val="0096710E"/>
    <w:rsid w:val="00967116"/>
    <w:rsid w:val="009672A3"/>
    <w:rsid w:val="00967438"/>
    <w:rsid w:val="0096752E"/>
    <w:rsid w:val="009703C4"/>
    <w:rsid w:val="00970A10"/>
    <w:rsid w:val="00970C0D"/>
    <w:rsid w:val="00970D5A"/>
    <w:rsid w:val="00970DD5"/>
    <w:rsid w:val="00970FBC"/>
    <w:rsid w:val="0097145E"/>
    <w:rsid w:val="00971A77"/>
    <w:rsid w:val="00971AE4"/>
    <w:rsid w:val="00971BF5"/>
    <w:rsid w:val="00971C29"/>
    <w:rsid w:val="009724C1"/>
    <w:rsid w:val="009726E2"/>
    <w:rsid w:val="00972A2F"/>
    <w:rsid w:val="00972AE1"/>
    <w:rsid w:val="00972ECF"/>
    <w:rsid w:val="00973820"/>
    <w:rsid w:val="00973AED"/>
    <w:rsid w:val="00974313"/>
    <w:rsid w:val="00974385"/>
    <w:rsid w:val="009743A8"/>
    <w:rsid w:val="009744AC"/>
    <w:rsid w:val="0097478F"/>
    <w:rsid w:val="0097483E"/>
    <w:rsid w:val="009748AB"/>
    <w:rsid w:val="00974F5D"/>
    <w:rsid w:val="009756FE"/>
    <w:rsid w:val="0097593A"/>
    <w:rsid w:val="00975F38"/>
    <w:rsid w:val="00975F9E"/>
    <w:rsid w:val="00976DDD"/>
    <w:rsid w:val="00977436"/>
    <w:rsid w:val="00977908"/>
    <w:rsid w:val="00980226"/>
    <w:rsid w:val="00980255"/>
    <w:rsid w:val="00980C6A"/>
    <w:rsid w:val="009812FB"/>
    <w:rsid w:val="0098163A"/>
    <w:rsid w:val="00981985"/>
    <w:rsid w:val="00981FDC"/>
    <w:rsid w:val="00982135"/>
    <w:rsid w:val="00982601"/>
    <w:rsid w:val="00982C9A"/>
    <w:rsid w:val="00982E67"/>
    <w:rsid w:val="00982ECD"/>
    <w:rsid w:val="00983019"/>
    <w:rsid w:val="00983184"/>
    <w:rsid w:val="00983BB9"/>
    <w:rsid w:val="0098417D"/>
    <w:rsid w:val="00984B87"/>
    <w:rsid w:val="0098507C"/>
    <w:rsid w:val="009852D1"/>
    <w:rsid w:val="009855B3"/>
    <w:rsid w:val="009860EA"/>
    <w:rsid w:val="009861E8"/>
    <w:rsid w:val="00986836"/>
    <w:rsid w:val="009870C8"/>
    <w:rsid w:val="0098798E"/>
    <w:rsid w:val="00987CA3"/>
    <w:rsid w:val="00990773"/>
    <w:rsid w:val="009908CE"/>
    <w:rsid w:val="00991076"/>
    <w:rsid w:val="00991382"/>
    <w:rsid w:val="009918E9"/>
    <w:rsid w:val="00991F5F"/>
    <w:rsid w:val="009921E6"/>
    <w:rsid w:val="0099253E"/>
    <w:rsid w:val="00992580"/>
    <w:rsid w:val="009926EE"/>
    <w:rsid w:val="0099273C"/>
    <w:rsid w:val="0099298B"/>
    <w:rsid w:val="00992B9F"/>
    <w:rsid w:val="00992FD4"/>
    <w:rsid w:val="009935F9"/>
    <w:rsid w:val="00993DB9"/>
    <w:rsid w:val="009940ED"/>
    <w:rsid w:val="009942BC"/>
    <w:rsid w:val="00994500"/>
    <w:rsid w:val="009948EB"/>
    <w:rsid w:val="00994D4D"/>
    <w:rsid w:val="00994E7D"/>
    <w:rsid w:val="00995105"/>
    <w:rsid w:val="0099521B"/>
    <w:rsid w:val="00995762"/>
    <w:rsid w:val="0099577F"/>
    <w:rsid w:val="009959A2"/>
    <w:rsid w:val="00995BA2"/>
    <w:rsid w:val="00995F70"/>
    <w:rsid w:val="009962CC"/>
    <w:rsid w:val="00996AD7"/>
    <w:rsid w:val="00996AF4"/>
    <w:rsid w:val="00996E6F"/>
    <w:rsid w:val="00997315"/>
    <w:rsid w:val="00997420"/>
    <w:rsid w:val="009A0109"/>
    <w:rsid w:val="009A0767"/>
    <w:rsid w:val="009A155B"/>
    <w:rsid w:val="009A1C3A"/>
    <w:rsid w:val="009A216D"/>
    <w:rsid w:val="009A23A4"/>
    <w:rsid w:val="009A2992"/>
    <w:rsid w:val="009A2E00"/>
    <w:rsid w:val="009A406A"/>
    <w:rsid w:val="009A40FF"/>
    <w:rsid w:val="009A4FC2"/>
    <w:rsid w:val="009A4FDF"/>
    <w:rsid w:val="009A56BC"/>
    <w:rsid w:val="009A5AEF"/>
    <w:rsid w:val="009A6176"/>
    <w:rsid w:val="009A63C9"/>
    <w:rsid w:val="009A6415"/>
    <w:rsid w:val="009A6640"/>
    <w:rsid w:val="009A6689"/>
    <w:rsid w:val="009A68A1"/>
    <w:rsid w:val="009A6E29"/>
    <w:rsid w:val="009A75AD"/>
    <w:rsid w:val="009A7615"/>
    <w:rsid w:val="009A7881"/>
    <w:rsid w:val="009A7E71"/>
    <w:rsid w:val="009B0AC8"/>
    <w:rsid w:val="009B0B33"/>
    <w:rsid w:val="009B11C5"/>
    <w:rsid w:val="009B1751"/>
    <w:rsid w:val="009B1C77"/>
    <w:rsid w:val="009B26D2"/>
    <w:rsid w:val="009B2851"/>
    <w:rsid w:val="009B2F4C"/>
    <w:rsid w:val="009B324C"/>
    <w:rsid w:val="009B3302"/>
    <w:rsid w:val="009B3372"/>
    <w:rsid w:val="009B387E"/>
    <w:rsid w:val="009B4861"/>
    <w:rsid w:val="009B49E9"/>
    <w:rsid w:val="009B4A28"/>
    <w:rsid w:val="009B4B53"/>
    <w:rsid w:val="009B5476"/>
    <w:rsid w:val="009B55E9"/>
    <w:rsid w:val="009B5CF4"/>
    <w:rsid w:val="009B5F80"/>
    <w:rsid w:val="009B6233"/>
    <w:rsid w:val="009B671D"/>
    <w:rsid w:val="009B7295"/>
    <w:rsid w:val="009B7327"/>
    <w:rsid w:val="009B7365"/>
    <w:rsid w:val="009B799F"/>
    <w:rsid w:val="009B7C0D"/>
    <w:rsid w:val="009C00A2"/>
    <w:rsid w:val="009C0668"/>
    <w:rsid w:val="009C074D"/>
    <w:rsid w:val="009C08A7"/>
    <w:rsid w:val="009C13D4"/>
    <w:rsid w:val="009C13DE"/>
    <w:rsid w:val="009C1988"/>
    <w:rsid w:val="009C1FB9"/>
    <w:rsid w:val="009C2112"/>
    <w:rsid w:val="009C2148"/>
    <w:rsid w:val="009C2961"/>
    <w:rsid w:val="009C2C7E"/>
    <w:rsid w:val="009C2DAF"/>
    <w:rsid w:val="009C3937"/>
    <w:rsid w:val="009C4741"/>
    <w:rsid w:val="009C53EC"/>
    <w:rsid w:val="009C5B7F"/>
    <w:rsid w:val="009C5E68"/>
    <w:rsid w:val="009C648F"/>
    <w:rsid w:val="009C64D3"/>
    <w:rsid w:val="009C668C"/>
    <w:rsid w:val="009C66AD"/>
    <w:rsid w:val="009C69F6"/>
    <w:rsid w:val="009C73A0"/>
    <w:rsid w:val="009C7445"/>
    <w:rsid w:val="009D0380"/>
    <w:rsid w:val="009D0E0F"/>
    <w:rsid w:val="009D0E98"/>
    <w:rsid w:val="009D10E1"/>
    <w:rsid w:val="009D134F"/>
    <w:rsid w:val="009D1E88"/>
    <w:rsid w:val="009D2317"/>
    <w:rsid w:val="009D236F"/>
    <w:rsid w:val="009D24DA"/>
    <w:rsid w:val="009D3389"/>
    <w:rsid w:val="009D36E1"/>
    <w:rsid w:val="009D3B91"/>
    <w:rsid w:val="009D3EF8"/>
    <w:rsid w:val="009D4117"/>
    <w:rsid w:val="009D51E6"/>
    <w:rsid w:val="009D52C9"/>
    <w:rsid w:val="009D5E83"/>
    <w:rsid w:val="009D5F0F"/>
    <w:rsid w:val="009D604A"/>
    <w:rsid w:val="009D616C"/>
    <w:rsid w:val="009D6DB0"/>
    <w:rsid w:val="009D711E"/>
    <w:rsid w:val="009D71A5"/>
    <w:rsid w:val="009E0166"/>
    <w:rsid w:val="009E04CD"/>
    <w:rsid w:val="009E05A2"/>
    <w:rsid w:val="009E096A"/>
    <w:rsid w:val="009E0D21"/>
    <w:rsid w:val="009E0E57"/>
    <w:rsid w:val="009E1690"/>
    <w:rsid w:val="009E1851"/>
    <w:rsid w:val="009E1AFA"/>
    <w:rsid w:val="009E1B84"/>
    <w:rsid w:val="009E2158"/>
    <w:rsid w:val="009E31B1"/>
    <w:rsid w:val="009E31C2"/>
    <w:rsid w:val="009E3389"/>
    <w:rsid w:val="009E362E"/>
    <w:rsid w:val="009E37F2"/>
    <w:rsid w:val="009E3901"/>
    <w:rsid w:val="009E3EC3"/>
    <w:rsid w:val="009E3FE2"/>
    <w:rsid w:val="009E4232"/>
    <w:rsid w:val="009E437B"/>
    <w:rsid w:val="009E4869"/>
    <w:rsid w:val="009E487E"/>
    <w:rsid w:val="009E4E7B"/>
    <w:rsid w:val="009E5128"/>
    <w:rsid w:val="009E54FB"/>
    <w:rsid w:val="009E5639"/>
    <w:rsid w:val="009E5DF7"/>
    <w:rsid w:val="009E5E63"/>
    <w:rsid w:val="009E6005"/>
    <w:rsid w:val="009E658F"/>
    <w:rsid w:val="009E6A1D"/>
    <w:rsid w:val="009E7001"/>
    <w:rsid w:val="009E70A9"/>
    <w:rsid w:val="009E75B7"/>
    <w:rsid w:val="009E7667"/>
    <w:rsid w:val="009E7813"/>
    <w:rsid w:val="009E7988"/>
    <w:rsid w:val="009E7AF3"/>
    <w:rsid w:val="009F0897"/>
    <w:rsid w:val="009F0F4A"/>
    <w:rsid w:val="009F14D3"/>
    <w:rsid w:val="009F15E2"/>
    <w:rsid w:val="009F16AE"/>
    <w:rsid w:val="009F2298"/>
    <w:rsid w:val="009F2556"/>
    <w:rsid w:val="009F265E"/>
    <w:rsid w:val="009F285F"/>
    <w:rsid w:val="009F2998"/>
    <w:rsid w:val="009F2A74"/>
    <w:rsid w:val="009F3179"/>
    <w:rsid w:val="009F3700"/>
    <w:rsid w:val="009F3AAE"/>
    <w:rsid w:val="009F3D95"/>
    <w:rsid w:val="009F4160"/>
    <w:rsid w:val="009F4563"/>
    <w:rsid w:val="009F507C"/>
    <w:rsid w:val="009F5557"/>
    <w:rsid w:val="009F57B2"/>
    <w:rsid w:val="009F5BC5"/>
    <w:rsid w:val="009F5E50"/>
    <w:rsid w:val="009F60E6"/>
    <w:rsid w:val="009F6115"/>
    <w:rsid w:val="009F61AA"/>
    <w:rsid w:val="009F61B3"/>
    <w:rsid w:val="009F62E7"/>
    <w:rsid w:val="009F62FA"/>
    <w:rsid w:val="009F6A65"/>
    <w:rsid w:val="009F6AB8"/>
    <w:rsid w:val="009F6BAD"/>
    <w:rsid w:val="009F6D2A"/>
    <w:rsid w:val="009F70CF"/>
    <w:rsid w:val="009F7193"/>
    <w:rsid w:val="009F7685"/>
    <w:rsid w:val="009F7948"/>
    <w:rsid w:val="009F7B76"/>
    <w:rsid w:val="009F7BBC"/>
    <w:rsid w:val="00A00543"/>
    <w:rsid w:val="00A0054F"/>
    <w:rsid w:val="00A005A6"/>
    <w:rsid w:val="00A006E2"/>
    <w:rsid w:val="00A00D75"/>
    <w:rsid w:val="00A00F1F"/>
    <w:rsid w:val="00A016F1"/>
    <w:rsid w:val="00A01757"/>
    <w:rsid w:val="00A01A93"/>
    <w:rsid w:val="00A023DB"/>
    <w:rsid w:val="00A02443"/>
    <w:rsid w:val="00A0247E"/>
    <w:rsid w:val="00A02996"/>
    <w:rsid w:val="00A03418"/>
    <w:rsid w:val="00A0345C"/>
    <w:rsid w:val="00A03A9C"/>
    <w:rsid w:val="00A04084"/>
    <w:rsid w:val="00A04235"/>
    <w:rsid w:val="00A043C2"/>
    <w:rsid w:val="00A04698"/>
    <w:rsid w:val="00A048CA"/>
    <w:rsid w:val="00A04A70"/>
    <w:rsid w:val="00A04B76"/>
    <w:rsid w:val="00A04DF9"/>
    <w:rsid w:val="00A05032"/>
    <w:rsid w:val="00A052EE"/>
    <w:rsid w:val="00A05472"/>
    <w:rsid w:val="00A0558E"/>
    <w:rsid w:val="00A055DB"/>
    <w:rsid w:val="00A0593F"/>
    <w:rsid w:val="00A05EDB"/>
    <w:rsid w:val="00A066C4"/>
    <w:rsid w:val="00A07289"/>
    <w:rsid w:val="00A072BC"/>
    <w:rsid w:val="00A07E7F"/>
    <w:rsid w:val="00A1077B"/>
    <w:rsid w:val="00A10B39"/>
    <w:rsid w:val="00A10C30"/>
    <w:rsid w:val="00A1109A"/>
    <w:rsid w:val="00A11395"/>
    <w:rsid w:val="00A1180B"/>
    <w:rsid w:val="00A12030"/>
    <w:rsid w:val="00A12B6B"/>
    <w:rsid w:val="00A12E5C"/>
    <w:rsid w:val="00A13064"/>
    <w:rsid w:val="00A13079"/>
    <w:rsid w:val="00A14737"/>
    <w:rsid w:val="00A14814"/>
    <w:rsid w:val="00A14B14"/>
    <w:rsid w:val="00A14F0C"/>
    <w:rsid w:val="00A1550A"/>
    <w:rsid w:val="00A1588A"/>
    <w:rsid w:val="00A15A09"/>
    <w:rsid w:val="00A15AF2"/>
    <w:rsid w:val="00A15CC2"/>
    <w:rsid w:val="00A160DE"/>
    <w:rsid w:val="00A16135"/>
    <w:rsid w:val="00A1619C"/>
    <w:rsid w:val="00A161CF"/>
    <w:rsid w:val="00A1643F"/>
    <w:rsid w:val="00A16543"/>
    <w:rsid w:val="00A165DD"/>
    <w:rsid w:val="00A1690B"/>
    <w:rsid w:val="00A16AC6"/>
    <w:rsid w:val="00A16B93"/>
    <w:rsid w:val="00A16D49"/>
    <w:rsid w:val="00A16DAF"/>
    <w:rsid w:val="00A17AE5"/>
    <w:rsid w:val="00A17BEF"/>
    <w:rsid w:val="00A20A1E"/>
    <w:rsid w:val="00A20BBE"/>
    <w:rsid w:val="00A20CBF"/>
    <w:rsid w:val="00A20F3E"/>
    <w:rsid w:val="00A21223"/>
    <w:rsid w:val="00A212A0"/>
    <w:rsid w:val="00A213C6"/>
    <w:rsid w:val="00A21448"/>
    <w:rsid w:val="00A215F0"/>
    <w:rsid w:val="00A215F2"/>
    <w:rsid w:val="00A220A3"/>
    <w:rsid w:val="00A226DD"/>
    <w:rsid w:val="00A235DE"/>
    <w:rsid w:val="00A23618"/>
    <w:rsid w:val="00A239F6"/>
    <w:rsid w:val="00A23B67"/>
    <w:rsid w:val="00A23B93"/>
    <w:rsid w:val="00A242A0"/>
    <w:rsid w:val="00A242C7"/>
    <w:rsid w:val="00A243BD"/>
    <w:rsid w:val="00A245AB"/>
    <w:rsid w:val="00A246D4"/>
    <w:rsid w:val="00A2477B"/>
    <w:rsid w:val="00A24DB7"/>
    <w:rsid w:val="00A25068"/>
    <w:rsid w:val="00A2510E"/>
    <w:rsid w:val="00A25F49"/>
    <w:rsid w:val="00A260F4"/>
    <w:rsid w:val="00A263EA"/>
    <w:rsid w:val="00A263FF"/>
    <w:rsid w:val="00A26466"/>
    <w:rsid w:val="00A26512"/>
    <w:rsid w:val="00A26729"/>
    <w:rsid w:val="00A26813"/>
    <w:rsid w:val="00A26845"/>
    <w:rsid w:val="00A26A4C"/>
    <w:rsid w:val="00A26CB2"/>
    <w:rsid w:val="00A26D57"/>
    <w:rsid w:val="00A26E8E"/>
    <w:rsid w:val="00A27893"/>
    <w:rsid w:val="00A279E2"/>
    <w:rsid w:val="00A27D19"/>
    <w:rsid w:val="00A27D3E"/>
    <w:rsid w:val="00A30054"/>
    <w:rsid w:val="00A302E5"/>
    <w:rsid w:val="00A303CD"/>
    <w:rsid w:val="00A31382"/>
    <w:rsid w:val="00A314A7"/>
    <w:rsid w:val="00A3153F"/>
    <w:rsid w:val="00A31A75"/>
    <w:rsid w:val="00A32227"/>
    <w:rsid w:val="00A32339"/>
    <w:rsid w:val="00A3240D"/>
    <w:rsid w:val="00A326DE"/>
    <w:rsid w:val="00A327D2"/>
    <w:rsid w:val="00A32B3D"/>
    <w:rsid w:val="00A32ED4"/>
    <w:rsid w:val="00A3349E"/>
    <w:rsid w:val="00A33B31"/>
    <w:rsid w:val="00A33DF5"/>
    <w:rsid w:val="00A33ED1"/>
    <w:rsid w:val="00A34321"/>
    <w:rsid w:val="00A34467"/>
    <w:rsid w:val="00A344BA"/>
    <w:rsid w:val="00A34895"/>
    <w:rsid w:val="00A35127"/>
    <w:rsid w:val="00A35252"/>
    <w:rsid w:val="00A352B8"/>
    <w:rsid w:val="00A35E55"/>
    <w:rsid w:val="00A35F72"/>
    <w:rsid w:val="00A35FE2"/>
    <w:rsid w:val="00A360C8"/>
    <w:rsid w:val="00A362D0"/>
    <w:rsid w:val="00A36555"/>
    <w:rsid w:val="00A36BE5"/>
    <w:rsid w:val="00A371D2"/>
    <w:rsid w:val="00A378B5"/>
    <w:rsid w:val="00A37A35"/>
    <w:rsid w:val="00A37C6E"/>
    <w:rsid w:val="00A37FAD"/>
    <w:rsid w:val="00A405CB"/>
    <w:rsid w:val="00A407DD"/>
    <w:rsid w:val="00A40941"/>
    <w:rsid w:val="00A40B26"/>
    <w:rsid w:val="00A41469"/>
    <w:rsid w:val="00A41891"/>
    <w:rsid w:val="00A418AA"/>
    <w:rsid w:val="00A4249F"/>
    <w:rsid w:val="00A425A4"/>
    <w:rsid w:val="00A4281D"/>
    <w:rsid w:val="00A43D66"/>
    <w:rsid w:val="00A44149"/>
    <w:rsid w:val="00A4425F"/>
    <w:rsid w:val="00A44DDC"/>
    <w:rsid w:val="00A4511E"/>
    <w:rsid w:val="00A45266"/>
    <w:rsid w:val="00A455A6"/>
    <w:rsid w:val="00A45C70"/>
    <w:rsid w:val="00A460C9"/>
    <w:rsid w:val="00A46745"/>
    <w:rsid w:val="00A46E79"/>
    <w:rsid w:val="00A47221"/>
    <w:rsid w:val="00A476EC"/>
    <w:rsid w:val="00A47987"/>
    <w:rsid w:val="00A479BC"/>
    <w:rsid w:val="00A47F27"/>
    <w:rsid w:val="00A5063B"/>
    <w:rsid w:val="00A506E9"/>
    <w:rsid w:val="00A51726"/>
    <w:rsid w:val="00A51FB1"/>
    <w:rsid w:val="00A5237E"/>
    <w:rsid w:val="00A5250D"/>
    <w:rsid w:val="00A526ED"/>
    <w:rsid w:val="00A52937"/>
    <w:rsid w:val="00A52B96"/>
    <w:rsid w:val="00A530B1"/>
    <w:rsid w:val="00A5328C"/>
    <w:rsid w:val="00A53693"/>
    <w:rsid w:val="00A53AF8"/>
    <w:rsid w:val="00A53B2B"/>
    <w:rsid w:val="00A53CFB"/>
    <w:rsid w:val="00A5410A"/>
    <w:rsid w:val="00A545E8"/>
    <w:rsid w:val="00A54BA5"/>
    <w:rsid w:val="00A54EAE"/>
    <w:rsid w:val="00A55104"/>
    <w:rsid w:val="00A55599"/>
    <w:rsid w:val="00A555CD"/>
    <w:rsid w:val="00A5560F"/>
    <w:rsid w:val="00A55824"/>
    <w:rsid w:val="00A5597E"/>
    <w:rsid w:val="00A55B85"/>
    <w:rsid w:val="00A56337"/>
    <w:rsid w:val="00A56621"/>
    <w:rsid w:val="00A5665A"/>
    <w:rsid w:val="00A567CA"/>
    <w:rsid w:val="00A5684F"/>
    <w:rsid w:val="00A5698D"/>
    <w:rsid w:val="00A56BDF"/>
    <w:rsid w:val="00A56E33"/>
    <w:rsid w:val="00A57030"/>
    <w:rsid w:val="00A57E8C"/>
    <w:rsid w:val="00A602E5"/>
    <w:rsid w:val="00A604B9"/>
    <w:rsid w:val="00A6055B"/>
    <w:rsid w:val="00A60D75"/>
    <w:rsid w:val="00A610F3"/>
    <w:rsid w:val="00A61795"/>
    <w:rsid w:val="00A62584"/>
    <w:rsid w:val="00A62630"/>
    <w:rsid w:val="00A626BC"/>
    <w:rsid w:val="00A6299C"/>
    <w:rsid w:val="00A629F5"/>
    <w:rsid w:val="00A62C98"/>
    <w:rsid w:val="00A63440"/>
    <w:rsid w:val="00A63813"/>
    <w:rsid w:val="00A6396F"/>
    <w:rsid w:val="00A64324"/>
    <w:rsid w:val="00A64501"/>
    <w:rsid w:val="00A64506"/>
    <w:rsid w:val="00A64597"/>
    <w:rsid w:val="00A64610"/>
    <w:rsid w:val="00A6463E"/>
    <w:rsid w:val="00A6479E"/>
    <w:rsid w:val="00A64F4F"/>
    <w:rsid w:val="00A65512"/>
    <w:rsid w:val="00A65669"/>
    <w:rsid w:val="00A65670"/>
    <w:rsid w:val="00A656A3"/>
    <w:rsid w:val="00A65AAD"/>
    <w:rsid w:val="00A65D49"/>
    <w:rsid w:val="00A65DA8"/>
    <w:rsid w:val="00A665F1"/>
    <w:rsid w:val="00A66E3C"/>
    <w:rsid w:val="00A67D5A"/>
    <w:rsid w:val="00A701AB"/>
    <w:rsid w:val="00A70663"/>
    <w:rsid w:val="00A706D1"/>
    <w:rsid w:val="00A707C5"/>
    <w:rsid w:val="00A70E66"/>
    <w:rsid w:val="00A71194"/>
    <w:rsid w:val="00A711B5"/>
    <w:rsid w:val="00A71E6A"/>
    <w:rsid w:val="00A72D49"/>
    <w:rsid w:val="00A7301C"/>
    <w:rsid w:val="00A730A8"/>
    <w:rsid w:val="00A73296"/>
    <w:rsid w:val="00A7388B"/>
    <w:rsid w:val="00A741AF"/>
    <w:rsid w:val="00A74748"/>
    <w:rsid w:val="00A747FE"/>
    <w:rsid w:val="00A74920"/>
    <w:rsid w:val="00A74E92"/>
    <w:rsid w:val="00A752CE"/>
    <w:rsid w:val="00A75418"/>
    <w:rsid w:val="00A7561A"/>
    <w:rsid w:val="00A75686"/>
    <w:rsid w:val="00A75EC1"/>
    <w:rsid w:val="00A7630B"/>
    <w:rsid w:val="00A76445"/>
    <w:rsid w:val="00A76468"/>
    <w:rsid w:val="00A7659D"/>
    <w:rsid w:val="00A766F2"/>
    <w:rsid w:val="00A76B15"/>
    <w:rsid w:val="00A76C5C"/>
    <w:rsid w:val="00A76CE1"/>
    <w:rsid w:val="00A76F28"/>
    <w:rsid w:val="00A77419"/>
    <w:rsid w:val="00A7796E"/>
    <w:rsid w:val="00A8092B"/>
    <w:rsid w:val="00A80CBA"/>
    <w:rsid w:val="00A80D77"/>
    <w:rsid w:val="00A80FE2"/>
    <w:rsid w:val="00A81345"/>
    <w:rsid w:val="00A81781"/>
    <w:rsid w:val="00A81D83"/>
    <w:rsid w:val="00A81F42"/>
    <w:rsid w:val="00A82072"/>
    <w:rsid w:val="00A82778"/>
    <w:rsid w:val="00A82D97"/>
    <w:rsid w:val="00A830D1"/>
    <w:rsid w:val="00A83112"/>
    <w:rsid w:val="00A83365"/>
    <w:rsid w:val="00A84059"/>
    <w:rsid w:val="00A842C3"/>
    <w:rsid w:val="00A8435B"/>
    <w:rsid w:val="00A84527"/>
    <w:rsid w:val="00A84CB1"/>
    <w:rsid w:val="00A84F67"/>
    <w:rsid w:val="00A8519B"/>
    <w:rsid w:val="00A851F4"/>
    <w:rsid w:val="00A85341"/>
    <w:rsid w:val="00A85546"/>
    <w:rsid w:val="00A855EA"/>
    <w:rsid w:val="00A857D5"/>
    <w:rsid w:val="00A85855"/>
    <w:rsid w:val="00A85A05"/>
    <w:rsid w:val="00A85AD7"/>
    <w:rsid w:val="00A85CD2"/>
    <w:rsid w:val="00A85E29"/>
    <w:rsid w:val="00A86047"/>
    <w:rsid w:val="00A861BE"/>
    <w:rsid w:val="00A8661C"/>
    <w:rsid w:val="00A86D08"/>
    <w:rsid w:val="00A86D27"/>
    <w:rsid w:val="00A86DA6"/>
    <w:rsid w:val="00A86E89"/>
    <w:rsid w:val="00A875F4"/>
    <w:rsid w:val="00A879B0"/>
    <w:rsid w:val="00A87DEB"/>
    <w:rsid w:val="00A90263"/>
    <w:rsid w:val="00A90342"/>
    <w:rsid w:val="00A90750"/>
    <w:rsid w:val="00A90EC2"/>
    <w:rsid w:val="00A9131D"/>
    <w:rsid w:val="00A9132D"/>
    <w:rsid w:val="00A91357"/>
    <w:rsid w:val="00A913EE"/>
    <w:rsid w:val="00A9153E"/>
    <w:rsid w:val="00A915DF"/>
    <w:rsid w:val="00A916DE"/>
    <w:rsid w:val="00A91977"/>
    <w:rsid w:val="00A91A42"/>
    <w:rsid w:val="00A91B65"/>
    <w:rsid w:val="00A91C2E"/>
    <w:rsid w:val="00A91FBD"/>
    <w:rsid w:val="00A921DA"/>
    <w:rsid w:val="00A9250C"/>
    <w:rsid w:val="00A92C68"/>
    <w:rsid w:val="00A93174"/>
    <w:rsid w:val="00A93434"/>
    <w:rsid w:val="00A938E1"/>
    <w:rsid w:val="00A9395C"/>
    <w:rsid w:val="00A944C4"/>
    <w:rsid w:val="00A948CD"/>
    <w:rsid w:val="00A9523E"/>
    <w:rsid w:val="00A954A0"/>
    <w:rsid w:val="00A95881"/>
    <w:rsid w:val="00A95FC9"/>
    <w:rsid w:val="00A96219"/>
    <w:rsid w:val="00A96359"/>
    <w:rsid w:val="00A96E83"/>
    <w:rsid w:val="00A97788"/>
    <w:rsid w:val="00A97844"/>
    <w:rsid w:val="00A97950"/>
    <w:rsid w:val="00A97C58"/>
    <w:rsid w:val="00A97ECD"/>
    <w:rsid w:val="00A97F0C"/>
    <w:rsid w:val="00AA0202"/>
    <w:rsid w:val="00AA0205"/>
    <w:rsid w:val="00AA047F"/>
    <w:rsid w:val="00AA0765"/>
    <w:rsid w:val="00AA10F5"/>
    <w:rsid w:val="00AA1604"/>
    <w:rsid w:val="00AA1639"/>
    <w:rsid w:val="00AA1854"/>
    <w:rsid w:val="00AA1D74"/>
    <w:rsid w:val="00AA209B"/>
    <w:rsid w:val="00AA2819"/>
    <w:rsid w:val="00AA2851"/>
    <w:rsid w:val="00AA3065"/>
    <w:rsid w:val="00AA30E8"/>
    <w:rsid w:val="00AA3416"/>
    <w:rsid w:val="00AA3882"/>
    <w:rsid w:val="00AA3E20"/>
    <w:rsid w:val="00AA3EF7"/>
    <w:rsid w:val="00AA411C"/>
    <w:rsid w:val="00AA418F"/>
    <w:rsid w:val="00AA4200"/>
    <w:rsid w:val="00AA454B"/>
    <w:rsid w:val="00AA4554"/>
    <w:rsid w:val="00AA4563"/>
    <w:rsid w:val="00AA46FD"/>
    <w:rsid w:val="00AA4E99"/>
    <w:rsid w:val="00AA5464"/>
    <w:rsid w:val="00AA5C03"/>
    <w:rsid w:val="00AA5D44"/>
    <w:rsid w:val="00AA5D59"/>
    <w:rsid w:val="00AA6339"/>
    <w:rsid w:val="00AA6917"/>
    <w:rsid w:val="00AA6DA0"/>
    <w:rsid w:val="00AA6F91"/>
    <w:rsid w:val="00AA768B"/>
    <w:rsid w:val="00AA769A"/>
    <w:rsid w:val="00AA7776"/>
    <w:rsid w:val="00AA77BD"/>
    <w:rsid w:val="00AA7D46"/>
    <w:rsid w:val="00AA7E65"/>
    <w:rsid w:val="00AA7F08"/>
    <w:rsid w:val="00AB01A8"/>
    <w:rsid w:val="00AB063F"/>
    <w:rsid w:val="00AB0738"/>
    <w:rsid w:val="00AB1051"/>
    <w:rsid w:val="00AB14BE"/>
    <w:rsid w:val="00AB16C4"/>
    <w:rsid w:val="00AB17C8"/>
    <w:rsid w:val="00AB1D55"/>
    <w:rsid w:val="00AB2316"/>
    <w:rsid w:val="00AB2466"/>
    <w:rsid w:val="00AB2521"/>
    <w:rsid w:val="00AB2D0A"/>
    <w:rsid w:val="00AB2DB7"/>
    <w:rsid w:val="00AB2ED6"/>
    <w:rsid w:val="00AB338D"/>
    <w:rsid w:val="00AB3A2D"/>
    <w:rsid w:val="00AB3E4B"/>
    <w:rsid w:val="00AB3F2D"/>
    <w:rsid w:val="00AB3F8D"/>
    <w:rsid w:val="00AB4305"/>
    <w:rsid w:val="00AB4410"/>
    <w:rsid w:val="00AB4423"/>
    <w:rsid w:val="00AB46A7"/>
    <w:rsid w:val="00AB51F8"/>
    <w:rsid w:val="00AB559C"/>
    <w:rsid w:val="00AB5A21"/>
    <w:rsid w:val="00AB5B29"/>
    <w:rsid w:val="00AB63BC"/>
    <w:rsid w:val="00AB6465"/>
    <w:rsid w:val="00AB6B08"/>
    <w:rsid w:val="00AB6B47"/>
    <w:rsid w:val="00AB6E73"/>
    <w:rsid w:val="00AB7026"/>
    <w:rsid w:val="00AB724F"/>
    <w:rsid w:val="00AB7438"/>
    <w:rsid w:val="00AB7647"/>
    <w:rsid w:val="00AC01D4"/>
    <w:rsid w:val="00AC0A25"/>
    <w:rsid w:val="00AC0AF7"/>
    <w:rsid w:val="00AC0BD0"/>
    <w:rsid w:val="00AC116E"/>
    <w:rsid w:val="00AC1283"/>
    <w:rsid w:val="00AC1451"/>
    <w:rsid w:val="00AC1525"/>
    <w:rsid w:val="00AC1926"/>
    <w:rsid w:val="00AC23F9"/>
    <w:rsid w:val="00AC2798"/>
    <w:rsid w:val="00AC2902"/>
    <w:rsid w:val="00AC2A7E"/>
    <w:rsid w:val="00AC2A93"/>
    <w:rsid w:val="00AC2BA3"/>
    <w:rsid w:val="00AC387F"/>
    <w:rsid w:val="00AC3E74"/>
    <w:rsid w:val="00AC4C94"/>
    <w:rsid w:val="00AC5467"/>
    <w:rsid w:val="00AC62B8"/>
    <w:rsid w:val="00AC6681"/>
    <w:rsid w:val="00AC7368"/>
    <w:rsid w:val="00AC7881"/>
    <w:rsid w:val="00AC7DF7"/>
    <w:rsid w:val="00AD0242"/>
    <w:rsid w:val="00AD031C"/>
    <w:rsid w:val="00AD0352"/>
    <w:rsid w:val="00AD0B28"/>
    <w:rsid w:val="00AD1321"/>
    <w:rsid w:val="00AD1C2B"/>
    <w:rsid w:val="00AD236D"/>
    <w:rsid w:val="00AD27DD"/>
    <w:rsid w:val="00AD298A"/>
    <w:rsid w:val="00AD2A4A"/>
    <w:rsid w:val="00AD308B"/>
    <w:rsid w:val="00AD3489"/>
    <w:rsid w:val="00AD48F5"/>
    <w:rsid w:val="00AD4953"/>
    <w:rsid w:val="00AD4A58"/>
    <w:rsid w:val="00AD54A1"/>
    <w:rsid w:val="00AD5F7E"/>
    <w:rsid w:val="00AD617F"/>
    <w:rsid w:val="00AD6CC6"/>
    <w:rsid w:val="00AD6D24"/>
    <w:rsid w:val="00AD715C"/>
    <w:rsid w:val="00AD716E"/>
    <w:rsid w:val="00AD7437"/>
    <w:rsid w:val="00AD76C4"/>
    <w:rsid w:val="00AD7811"/>
    <w:rsid w:val="00AD7CF2"/>
    <w:rsid w:val="00AD7D56"/>
    <w:rsid w:val="00AE029E"/>
    <w:rsid w:val="00AE04C7"/>
    <w:rsid w:val="00AE08DE"/>
    <w:rsid w:val="00AE129E"/>
    <w:rsid w:val="00AE1894"/>
    <w:rsid w:val="00AE1BEE"/>
    <w:rsid w:val="00AE2537"/>
    <w:rsid w:val="00AE2629"/>
    <w:rsid w:val="00AE2CE2"/>
    <w:rsid w:val="00AE2EB7"/>
    <w:rsid w:val="00AE398C"/>
    <w:rsid w:val="00AE3BA4"/>
    <w:rsid w:val="00AE3C71"/>
    <w:rsid w:val="00AE3FF9"/>
    <w:rsid w:val="00AE40C7"/>
    <w:rsid w:val="00AE4110"/>
    <w:rsid w:val="00AE41D1"/>
    <w:rsid w:val="00AE41DB"/>
    <w:rsid w:val="00AE4210"/>
    <w:rsid w:val="00AE42E6"/>
    <w:rsid w:val="00AE4ED8"/>
    <w:rsid w:val="00AE54BA"/>
    <w:rsid w:val="00AE5536"/>
    <w:rsid w:val="00AE5734"/>
    <w:rsid w:val="00AE58B7"/>
    <w:rsid w:val="00AE62DF"/>
    <w:rsid w:val="00AE6EA1"/>
    <w:rsid w:val="00AE7057"/>
    <w:rsid w:val="00AE71EF"/>
    <w:rsid w:val="00AE733D"/>
    <w:rsid w:val="00AF04ED"/>
    <w:rsid w:val="00AF0A2D"/>
    <w:rsid w:val="00AF0E3B"/>
    <w:rsid w:val="00AF120B"/>
    <w:rsid w:val="00AF1843"/>
    <w:rsid w:val="00AF1CDA"/>
    <w:rsid w:val="00AF1E7A"/>
    <w:rsid w:val="00AF2006"/>
    <w:rsid w:val="00AF2362"/>
    <w:rsid w:val="00AF2405"/>
    <w:rsid w:val="00AF2799"/>
    <w:rsid w:val="00AF297A"/>
    <w:rsid w:val="00AF29CE"/>
    <w:rsid w:val="00AF2A7C"/>
    <w:rsid w:val="00AF2AED"/>
    <w:rsid w:val="00AF3022"/>
    <w:rsid w:val="00AF3155"/>
    <w:rsid w:val="00AF34C9"/>
    <w:rsid w:val="00AF37F7"/>
    <w:rsid w:val="00AF3888"/>
    <w:rsid w:val="00AF44DC"/>
    <w:rsid w:val="00AF45B1"/>
    <w:rsid w:val="00AF46D8"/>
    <w:rsid w:val="00AF48F6"/>
    <w:rsid w:val="00AF490D"/>
    <w:rsid w:val="00AF49E3"/>
    <w:rsid w:val="00AF49F3"/>
    <w:rsid w:val="00AF4E09"/>
    <w:rsid w:val="00AF5630"/>
    <w:rsid w:val="00AF5E50"/>
    <w:rsid w:val="00AF5F4A"/>
    <w:rsid w:val="00AF615F"/>
    <w:rsid w:val="00AF6243"/>
    <w:rsid w:val="00AF63A2"/>
    <w:rsid w:val="00AF674C"/>
    <w:rsid w:val="00AF67A8"/>
    <w:rsid w:val="00AF67C9"/>
    <w:rsid w:val="00AF6D8C"/>
    <w:rsid w:val="00AF6F2B"/>
    <w:rsid w:val="00AF736D"/>
    <w:rsid w:val="00AF75CE"/>
    <w:rsid w:val="00AF7907"/>
    <w:rsid w:val="00AF7982"/>
    <w:rsid w:val="00AF7EF1"/>
    <w:rsid w:val="00B0060B"/>
    <w:rsid w:val="00B006D2"/>
    <w:rsid w:val="00B00971"/>
    <w:rsid w:val="00B00F57"/>
    <w:rsid w:val="00B010D3"/>
    <w:rsid w:val="00B01137"/>
    <w:rsid w:val="00B011D9"/>
    <w:rsid w:val="00B018A5"/>
    <w:rsid w:val="00B021F3"/>
    <w:rsid w:val="00B02543"/>
    <w:rsid w:val="00B026BD"/>
    <w:rsid w:val="00B02AC6"/>
    <w:rsid w:val="00B03276"/>
    <w:rsid w:val="00B0366D"/>
    <w:rsid w:val="00B03A0F"/>
    <w:rsid w:val="00B03C63"/>
    <w:rsid w:val="00B03C66"/>
    <w:rsid w:val="00B03C79"/>
    <w:rsid w:val="00B03E8E"/>
    <w:rsid w:val="00B0497B"/>
    <w:rsid w:val="00B049AD"/>
    <w:rsid w:val="00B04EAD"/>
    <w:rsid w:val="00B05084"/>
    <w:rsid w:val="00B057D1"/>
    <w:rsid w:val="00B05B2F"/>
    <w:rsid w:val="00B05C44"/>
    <w:rsid w:val="00B05D13"/>
    <w:rsid w:val="00B05D55"/>
    <w:rsid w:val="00B05E7E"/>
    <w:rsid w:val="00B0608E"/>
    <w:rsid w:val="00B060C7"/>
    <w:rsid w:val="00B0613D"/>
    <w:rsid w:val="00B061BA"/>
    <w:rsid w:val="00B0641D"/>
    <w:rsid w:val="00B0657E"/>
    <w:rsid w:val="00B06794"/>
    <w:rsid w:val="00B06A50"/>
    <w:rsid w:val="00B06B03"/>
    <w:rsid w:val="00B075B3"/>
    <w:rsid w:val="00B07785"/>
    <w:rsid w:val="00B07D90"/>
    <w:rsid w:val="00B07F65"/>
    <w:rsid w:val="00B10143"/>
    <w:rsid w:val="00B10282"/>
    <w:rsid w:val="00B105C6"/>
    <w:rsid w:val="00B105CB"/>
    <w:rsid w:val="00B105D1"/>
    <w:rsid w:val="00B10939"/>
    <w:rsid w:val="00B1111A"/>
    <w:rsid w:val="00B11148"/>
    <w:rsid w:val="00B11617"/>
    <w:rsid w:val="00B11D49"/>
    <w:rsid w:val="00B11E1F"/>
    <w:rsid w:val="00B120BC"/>
    <w:rsid w:val="00B121BF"/>
    <w:rsid w:val="00B1228C"/>
    <w:rsid w:val="00B12487"/>
    <w:rsid w:val="00B12F36"/>
    <w:rsid w:val="00B132C6"/>
    <w:rsid w:val="00B1358F"/>
    <w:rsid w:val="00B13891"/>
    <w:rsid w:val="00B143FA"/>
    <w:rsid w:val="00B14FA0"/>
    <w:rsid w:val="00B1559F"/>
    <w:rsid w:val="00B15866"/>
    <w:rsid w:val="00B15A76"/>
    <w:rsid w:val="00B15F4B"/>
    <w:rsid w:val="00B16137"/>
    <w:rsid w:val="00B16229"/>
    <w:rsid w:val="00B1681F"/>
    <w:rsid w:val="00B168C4"/>
    <w:rsid w:val="00B17336"/>
    <w:rsid w:val="00B175B7"/>
    <w:rsid w:val="00B17A7D"/>
    <w:rsid w:val="00B17C7C"/>
    <w:rsid w:val="00B17CC5"/>
    <w:rsid w:val="00B17FC7"/>
    <w:rsid w:val="00B202F1"/>
    <w:rsid w:val="00B2040A"/>
    <w:rsid w:val="00B2070F"/>
    <w:rsid w:val="00B208C2"/>
    <w:rsid w:val="00B208DC"/>
    <w:rsid w:val="00B20A3E"/>
    <w:rsid w:val="00B20A8C"/>
    <w:rsid w:val="00B20DC8"/>
    <w:rsid w:val="00B21B78"/>
    <w:rsid w:val="00B22017"/>
    <w:rsid w:val="00B22186"/>
    <w:rsid w:val="00B224C7"/>
    <w:rsid w:val="00B2271D"/>
    <w:rsid w:val="00B229C3"/>
    <w:rsid w:val="00B22B17"/>
    <w:rsid w:val="00B22CBA"/>
    <w:rsid w:val="00B22D14"/>
    <w:rsid w:val="00B2345C"/>
    <w:rsid w:val="00B24589"/>
    <w:rsid w:val="00B24610"/>
    <w:rsid w:val="00B24B12"/>
    <w:rsid w:val="00B24D6A"/>
    <w:rsid w:val="00B24DE2"/>
    <w:rsid w:val="00B24FF1"/>
    <w:rsid w:val="00B2537B"/>
    <w:rsid w:val="00B2540A"/>
    <w:rsid w:val="00B2569E"/>
    <w:rsid w:val="00B2587E"/>
    <w:rsid w:val="00B25AD7"/>
    <w:rsid w:val="00B25CA5"/>
    <w:rsid w:val="00B25CB1"/>
    <w:rsid w:val="00B25D70"/>
    <w:rsid w:val="00B262D1"/>
    <w:rsid w:val="00B264F8"/>
    <w:rsid w:val="00B26512"/>
    <w:rsid w:val="00B26B37"/>
    <w:rsid w:val="00B27E13"/>
    <w:rsid w:val="00B302C6"/>
    <w:rsid w:val="00B30493"/>
    <w:rsid w:val="00B30D71"/>
    <w:rsid w:val="00B30DC0"/>
    <w:rsid w:val="00B30E3F"/>
    <w:rsid w:val="00B30F9D"/>
    <w:rsid w:val="00B31587"/>
    <w:rsid w:val="00B318BC"/>
    <w:rsid w:val="00B31DA7"/>
    <w:rsid w:val="00B32251"/>
    <w:rsid w:val="00B32342"/>
    <w:rsid w:val="00B326A1"/>
    <w:rsid w:val="00B32952"/>
    <w:rsid w:val="00B32CE0"/>
    <w:rsid w:val="00B32DCA"/>
    <w:rsid w:val="00B33499"/>
    <w:rsid w:val="00B3350C"/>
    <w:rsid w:val="00B339DF"/>
    <w:rsid w:val="00B33EA0"/>
    <w:rsid w:val="00B347E4"/>
    <w:rsid w:val="00B35477"/>
    <w:rsid w:val="00B35718"/>
    <w:rsid w:val="00B35C98"/>
    <w:rsid w:val="00B361B4"/>
    <w:rsid w:val="00B36596"/>
    <w:rsid w:val="00B36DC8"/>
    <w:rsid w:val="00B377A3"/>
    <w:rsid w:val="00B37EDA"/>
    <w:rsid w:val="00B40079"/>
    <w:rsid w:val="00B4012E"/>
    <w:rsid w:val="00B40140"/>
    <w:rsid w:val="00B402FC"/>
    <w:rsid w:val="00B40B47"/>
    <w:rsid w:val="00B4140C"/>
    <w:rsid w:val="00B4174F"/>
    <w:rsid w:val="00B4195C"/>
    <w:rsid w:val="00B41C89"/>
    <w:rsid w:val="00B41EE9"/>
    <w:rsid w:val="00B42232"/>
    <w:rsid w:val="00B42540"/>
    <w:rsid w:val="00B42554"/>
    <w:rsid w:val="00B42598"/>
    <w:rsid w:val="00B42CE8"/>
    <w:rsid w:val="00B42EE3"/>
    <w:rsid w:val="00B4324D"/>
    <w:rsid w:val="00B43695"/>
    <w:rsid w:val="00B43698"/>
    <w:rsid w:val="00B43945"/>
    <w:rsid w:val="00B43CAD"/>
    <w:rsid w:val="00B43EB8"/>
    <w:rsid w:val="00B445FF"/>
    <w:rsid w:val="00B44685"/>
    <w:rsid w:val="00B44776"/>
    <w:rsid w:val="00B44F44"/>
    <w:rsid w:val="00B45581"/>
    <w:rsid w:val="00B45758"/>
    <w:rsid w:val="00B45D0A"/>
    <w:rsid w:val="00B460BE"/>
    <w:rsid w:val="00B460C9"/>
    <w:rsid w:val="00B461CC"/>
    <w:rsid w:val="00B46466"/>
    <w:rsid w:val="00B464D4"/>
    <w:rsid w:val="00B46946"/>
    <w:rsid w:val="00B46A8D"/>
    <w:rsid w:val="00B47451"/>
    <w:rsid w:val="00B477CE"/>
    <w:rsid w:val="00B47B67"/>
    <w:rsid w:val="00B501D8"/>
    <w:rsid w:val="00B50388"/>
    <w:rsid w:val="00B5040D"/>
    <w:rsid w:val="00B50727"/>
    <w:rsid w:val="00B50AB1"/>
    <w:rsid w:val="00B51C05"/>
    <w:rsid w:val="00B51DE7"/>
    <w:rsid w:val="00B51FAF"/>
    <w:rsid w:val="00B523FC"/>
    <w:rsid w:val="00B5244D"/>
    <w:rsid w:val="00B52CFE"/>
    <w:rsid w:val="00B531F5"/>
    <w:rsid w:val="00B53480"/>
    <w:rsid w:val="00B535BB"/>
    <w:rsid w:val="00B5388F"/>
    <w:rsid w:val="00B53973"/>
    <w:rsid w:val="00B53B8F"/>
    <w:rsid w:val="00B53CD2"/>
    <w:rsid w:val="00B544F1"/>
    <w:rsid w:val="00B54780"/>
    <w:rsid w:val="00B5546A"/>
    <w:rsid w:val="00B5588A"/>
    <w:rsid w:val="00B564D9"/>
    <w:rsid w:val="00B564FC"/>
    <w:rsid w:val="00B5674F"/>
    <w:rsid w:val="00B567FB"/>
    <w:rsid w:val="00B56B5F"/>
    <w:rsid w:val="00B56BCB"/>
    <w:rsid w:val="00B56BEB"/>
    <w:rsid w:val="00B56C70"/>
    <w:rsid w:val="00B57292"/>
    <w:rsid w:val="00B572D1"/>
    <w:rsid w:val="00B57B05"/>
    <w:rsid w:val="00B57D59"/>
    <w:rsid w:val="00B605EA"/>
    <w:rsid w:val="00B611D6"/>
    <w:rsid w:val="00B619B8"/>
    <w:rsid w:val="00B61A03"/>
    <w:rsid w:val="00B61B4F"/>
    <w:rsid w:val="00B61B94"/>
    <w:rsid w:val="00B6203C"/>
    <w:rsid w:val="00B6243C"/>
    <w:rsid w:val="00B6258A"/>
    <w:rsid w:val="00B62BCE"/>
    <w:rsid w:val="00B62EB3"/>
    <w:rsid w:val="00B62F51"/>
    <w:rsid w:val="00B62F87"/>
    <w:rsid w:val="00B6333E"/>
    <w:rsid w:val="00B63B83"/>
    <w:rsid w:val="00B6451A"/>
    <w:rsid w:val="00B645B8"/>
    <w:rsid w:val="00B648D8"/>
    <w:rsid w:val="00B64BA8"/>
    <w:rsid w:val="00B65105"/>
    <w:rsid w:val="00B6533E"/>
    <w:rsid w:val="00B656FB"/>
    <w:rsid w:val="00B65999"/>
    <w:rsid w:val="00B65C53"/>
    <w:rsid w:val="00B65E5E"/>
    <w:rsid w:val="00B6634A"/>
    <w:rsid w:val="00B66359"/>
    <w:rsid w:val="00B664A5"/>
    <w:rsid w:val="00B66654"/>
    <w:rsid w:val="00B66C89"/>
    <w:rsid w:val="00B6711F"/>
    <w:rsid w:val="00B67641"/>
    <w:rsid w:val="00B67771"/>
    <w:rsid w:val="00B67932"/>
    <w:rsid w:val="00B67CF5"/>
    <w:rsid w:val="00B7011C"/>
    <w:rsid w:val="00B70900"/>
    <w:rsid w:val="00B7095A"/>
    <w:rsid w:val="00B70A0B"/>
    <w:rsid w:val="00B70D60"/>
    <w:rsid w:val="00B70EBE"/>
    <w:rsid w:val="00B7104E"/>
    <w:rsid w:val="00B710D1"/>
    <w:rsid w:val="00B71526"/>
    <w:rsid w:val="00B717D0"/>
    <w:rsid w:val="00B718D8"/>
    <w:rsid w:val="00B718E1"/>
    <w:rsid w:val="00B722D6"/>
    <w:rsid w:val="00B725AE"/>
    <w:rsid w:val="00B725C9"/>
    <w:rsid w:val="00B72EE2"/>
    <w:rsid w:val="00B730FD"/>
    <w:rsid w:val="00B731FB"/>
    <w:rsid w:val="00B7329D"/>
    <w:rsid w:val="00B733D0"/>
    <w:rsid w:val="00B7379F"/>
    <w:rsid w:val="00B7399B"/>
    <w:rsid w:val="00B73BDF"/>
    <w:rsid w:val="00B73D5C"/>
    <w:rsid w:val="00B73F7B"/>
    <w:rsid w:val="00B742DA"/>
    <w:rsid w:val="00B745C2"/>
    <w:rsid w:val="00B749E2"/>
    <w:rsid w:val="00B74D4C"/>
    <w:rsid w:val="00B74E26"/>
    <w:rsid w:val="00B75B00"/>
    <w:rsid w:val="00B75BD8"/>
    <w:rsid w:val="00B75EEA"/>
    <w:rsid w:val="00B75FBC"/>
    <w:rsid w:val="00B76C12"/>
    <w:rsid w:val="00B76EFD"/>
    <w:rsid w:val="00B7701A"/>
    <w:rsid w:val="00B77338"/>
    <w:rsid w:val="00B773EB"/>
    <w:rsid w:val="00B7756D"/>
    <w:rsid w:val="00B77915"/>
    <w:rsid w:val="00B779C6"/>
    <w:rsid w:val="00B77B5C"/>
    <w:rsid w:val="00B77BFE"/>
    <w:rsid w:val="00B77C37"/>
    <w:rsid w:val="00B80A36"/>
    <w:rsid w:val="00B80B19"/>
    <w:rsid w:val="00B80B61"/>
    <w:rsid w:val="00B80ECE"/>
    <w:rsid w:val="00B81020"/>
    <w:rsid w:val="00B810D7"/>
    <w:rsid w:val="00B81523"/>
    <w:rsid w:val="00B815BB"/>
    <w:rsid w:val="00B82085"/>
    <w:rsid w:val="00B82645"/>
    <w:rsid w:val="00B8266D"/>
    <w:rsid w:val="00B82989"/>
    <w:rsid w:val="00B82A94"/>
    <w:rsid w:val="00B82B5B"/>
    <w:rsid w:val="00B82C26"/>
    <w:rsid w:val="00B82F30"/>
    <w:rsid w:val="00B83135"/>
    <w:rsid w:val="00B83666"/>
    <w:rsid w:val="00B83E4B"/>
    <w:rsid w:val="00B84180"/>
    <w:rsid w:val="00B845FE"/>
    <w:rsid w:val="00B84AF9"/>
    <w:rsid w:val="00B84D55"/>
    <w:rsid w:val="00B852A3"/>
    <w:rsid w:val="00B8563F"/>
    <w:rsid w:val="00B85931"/>
    <w:rsid w:val="00B85AF5"/>
    <w:rsid w:val="00B85BC2"/>
    <w:rsid w:val="00B85D4A"/>
    <w:rsid w:val="00B85D53"/>
    <w:rsid w:val="00B8661D"/>
    <w:rsid w:val="00B8671D"/>
    <w:rsid w:val="00B8682F"/>
    <w:rsid w:val="00B87534"/>
    <w:rsid w:val="00B878BD"/>
    <w:rsid w:val="00B87D15"/>
    <w:rsid w:val="00B87D30"/>
    <w:rsid w:val="00B90287"/>
    <w:rsid w:val="00B9040A"/>
    <w:rsid w:val="00B90FA7"/>
    <w:rsid w:val="00B9105D"/>
    <w:rsid w:val="00B9159E"/>
    <w:rsid w:val="00B91B93"/>
    <w:rsid w:val="00B91F7A"/>
    <w:rsid w:val="00B920EB"/>
    <w:rsid w:val="00B9222D"/>
    <w:rsid w:val="00B92CA3"/>
    <w:rsid w:val="00B92E37"/>
    <w:rsid w:val="00B938E0"/>
    <w:rsid w:val="00B93A18"/>
    <w:rsid w:val="00B93AD7"/>
    <w:rsid w:val="00B93C96"/>
    <w:rsid w:val="00B944CF"/>
    <w:rsid w:val="00B94711"/>
    <w:rsid w:val="00B94725"/>
    <w:rsid w:val="00B94B62"/>
    <w:rsid w:val="00B94BB8"/>
    <w:rsid w:val="00B94D06"/>
    <w:rsid w:val="00B94D9F"/>
    <w:rsid w:val="00B94E3B"/>
    <w:rsid w:val="00B9501C"/>
    <w:rsid w:val="00B95A6B"/>
    <w:rsid w:val="00B95A81"/>
    <w:rsid w:val="00B95B73"/>
    <w:rsid w:val="00B95DB7"/>
    <w:rsid w:val="00B95F85"/>
    <w:rsid w:val="00B95F9E"/>
    <w:rsid w:val="00B96D49"/>
    <w:rsid w:val="00B96D8D"/>
    <w:rsid w:val="00B974EE"/>
    <w:rsid w:val="00B9752D"/>
    <w:rsid w:val="00B977CB"/>
    <w:rsid w:val="00B97937"/>
    <w:rsid w:val="00B97A43"/>
    <w:rsid w:val="00B97AEB"/>
    <w:rsid w:val="00B97B3B"/>
    <w:rsid w:val="00B97D06"/>
    <w:rsid w:val="00BA0084"/>
    <w:rsid w:val="00BA0162"/>
    <w:rsid w:val="00BA0B44"/>
    <w:rsid w:val="00BA0C40"/>
    <w:rsid w:val="00BA0F0F"/>
    <w:rsid w:val="00BA1161"/>
    <w:rsid w:val="00BA131C"/>
    <w:rsid w:val="00BA1998"/>
    <w:rsid w:val="00BA19F1"/>
    <w:rsid w:val="00BA1A41"/>
    <w:rsid w:val="00BA1EC7"/>
    <w:rsid w:val="00BA213C"/>
    <w:rsid w:val="00BA26C6"/>
    <w:rsid w:val="00BA29A8"/>
    <w:rsid w:val="00BA3094"/>
    <w:rsid w:val="00BA321E"/>
    <w:rsid w:val="00BA352F"/>
    <w:rsid w:val="00BA3A11"/>
    <w:rsid w:val="00BA3DEE"/>
    <w:rsid w:val="00BA3E17"/>
    <w:rsid w:val="00BA46B2"/>
    <w:rsid w:val="00BA4D72"/>
    <w:rsid w:val="00BA5660"/>
    <w:rsid w:val="00BA599A"/>
    <w:rsid w:val="00BA59D0"/>
    <w:rsid w:val="00BA6261"/>
    <w:rsid w:val="00BA6675"/>
    <w:rsid w:val="00BA680F"/>
    <w:rsid w:val="00BA6A9B"/>
    <w:rsid w:val="00BA6B7F"/>
    <w:rsid w:val="00BA6C4A"/>
    <w:rsid w:val="00BA6D93"/>
    <w:rsid w:val="00BA7089"/>
    <w:rsid w:val="00BA7219"/>
    <w:rsid w:val="00BA75CD"/>
    <w:rsid w:val="00BA7EC8"/>
    <w:rsid w:val="00BB0125"/>
    <w:rsid w:val="00BB03B3"/>
    <w:rsid w:val="00BB052F"/>
    <w:rsid w:val="00BB06A9"/>
    <w:rsid w:val="00BB0B35"/>
    <w:rsid w:val="00BB24B2"/>
    <w:rsid w:val="00BB2A5F"/>
    <w:rsid w:val="00BB3647"/>
    <w:rsid w:val="00BB3BDC"/>
    <w:rsid w:val="00BB3BF1"/>
    <w:rsid w:val="00BB42AC"/>
    <w:rsid w:val="00BB4BB0"/>
    <w:rsid w:val="00BB50FE"/>
    <w:rsid w:val="00BB5873"/>
    <w:rsid w:val="00BB58E9"/>
    <w:rsid w:val="00BB5B63"/>
    <w:rsid w:val="00BB61B2"/>
    <w:rsid w:val="00BB6529"/>
    <w:rsid w:val="00BB6558"/>
    <w:rsid w:val="00BB6E8C"/>
    <w:rsid w:val="00BB6F68"/>
    <w:rsid w:val="00BB7604"/>
    <w:rsid w:val="00BB78F2"/>
    <w:rsid w:val="00BB7962"/>
    <w:rsid w:val="00BC0251"/>
    <w:rsid w:val="00BC0371"/>
    <w:rsid w:val="00BC05EA"/>
    <w:rsid w:val="00BC08E8"/>
    <w:rsid w:val="00BC208C"/>
    <w:rsid w:val="00BC230F"/>
    <w:rsid w:val="00BC23FB"/>
    <w:rsid w:val="00BC260B"/>
    <w:rsid w:val="00BC2DE5"/>
    <w:rsid w:val="00BC3050"/>
    <w:rsid w:val="00BC30A6"/>
    <w:rsid w:val="00BC3707"/>
    <w:rsid w:val="00BC3E6F"/>
    <w:rsid w:val="00BC3E70"/>
    <w:rsid w:val="00BC465C"/>
    <w:rsid w:val="00BC4871"/>
    <w:rsid w:val="00BC4936"/>
    <w:rsid w:val="00BC49B0"/>
    <w:rsid w:val="00BC49F4"/>
    <w:rsid w:val="00BC49FB"/>
    <w:rsid w:val="00BC4BCF"/>
    <w:rsid w:val="00BC4C0A"/>
    <w:rsid w:val="00BC502E"/>
    <w:rsid w:val="00BC52D0"/>
    <w:rsid w:val="00BC59EE"/>
    <w:rsid w:val="00BC6028"/>
    <w:rsid w:val="00BC60A6"/>
    <w:rsid w:val="00BC6500"/>
    <w:rsid w:val="00BC6B68"/>
    <w:rsid w:val="00BC6C2C"/>
    <w:rsid w:val="00BC7550"/>
    <w:rsid w:val="00BC7651"/>
    <w:rsid w:val="00BC77E6"/>
    <w:rsid w:val="00BC7A20"/>
    <w:rsid w:val="00BD0457"/>
    <w:rsid w:val="00BD0BED"/>
    <w:rsid w:val="00BD103E"/>
    <w:rsid w:val="00BD145C"/>
    <w:rsid w:val="00BD14C5"/>
    <w:rsid w:val="00BD15AB"/>
    <w:rsid w:val="00BD15AC"/>
    <w:rsid w:val="00BD1A45"/>
    <w:rsid w:val="00BD1CF5"/>
    <w:rsid w:val="00BD1EA6"/>
    <w:rsid w:val="00BD2563"/>
    <w:rsid w:val="00BD3593"/>
    <w:rsid w:val="00BD4120"/>
    <w:rsid w:val="00BD4349"/>
    <w:rsid w:val="00BD43E7"/>
    <w:rsid w:val="00BD45AA"/>
    <w:rsid w:val="00BD49F0"/>
    <w:rsid w:val="00BD4AA1"/>
    <w:rsid w:val="00BD512C"/>
    <w:rsid w:val="00BD55CC"/>
    <w:rsid w:val="00BD5910"/>
    <w:rsid w:val="00BD5DDB"/>
    <w:rsid w:val="00BD6265"/>
    <w:rsid w:val="00BD6359"/>
    <w:rsid w:val="00BD6712"/>
    <w:rsid w:val="00BD684F"/>
    <w:rsid w:val="00BD77C9"/>
    <w:rsid w:val="00BE069F"/>
    <w:rsid w:val="00BE0D65"/>
    <w:rsid w:val="00BE0D8D"/>
    <w:rsid w:val="00BE11B9"/>
    <w:rsid w:val="00BE1434"/>
    <w:rsid w:val="00BE17D1"/>
    <w:rsid w:val="00BE1D8B"/>
    <w:rsid w:val="00BE25FF"/>
    <w:rsid w:val="00BE2A16"/>
    <w:rsid w:val="00BE2D00"/>
    <w:rsid w:val="00BE3DAE"/>
    <w:rsid w:val="00BE3F2C"/>
    <w:rsid w:val="00BE4089"/>
    <w:rsid w:val="00BE40F9"/>
    <w:rsid w:val="00BE4453"/>
    <w:rsid w:val="00BE4752"/>
    <w:rsid w:val="00BE47EB"/>
    <w:rsid w:val="00BE4894"/>
    <w:rsid w:val="00BE4AEE"/>
    <w:rsid w:val="00BE4E17"/>
    <w:rsid w:val="00BE4F0A"/>
    <w:rsid w:val="00BE53C3"/>
    <w:rsid w:val="00BE5B56"/>
    <w:rsid w:val="00BE5F7F"/>
    <w:rsid w:val="00BE62BD"/>
    <w:rsid w:val="00BE63C6"/>
    <w:rsid w:val="00BE6601"/>
    <w:rsid w:val="00BE6883"/>
    <w:rsid w:val="00BE69AE"/>
    <w:rsid w:val="00BE6BC4"/>
    <w:rsid w:val="00BE6F33"/>
    <w:rsid w:val="00BE73C7"/>
    <w:rsid w:val="00BE7C5D"/>
    <w:rsid w:val="00BE7D53"/>
    <w:rsid w:val="00BF0490"/>
    <w:rsid w:val="00BF05B8"/>
    <w:rsid w:val="00BF0A42"/>
    <w:rsid w:val="00BF0AF9"/>
    <w:rsid w:val="00BF0BA7"/>
    <w:rsid w:val="00BF0BAE"/>
    <w:rsid w:val="00BF0C28"/>
    <w:rsid w:val="00BF128E"/>
    <w:rsid w:val="00BF16F3"/>
    <w:rsid w:val="00BF186B"/>
    <w:rsid w:val="00BF19A4"/>
    <w:rsid w:val="00BF1A5C"/>
    <w:rsid w:val="00BF21AC"/>
    <w:rsid w:val="00BF2291"/>
    <w:rsid w:val="00BF2331"/>
    <w:rsid w:val="00BF24F3"/>
    <w:rsid w:val="00BF2756"/>
    <w:rsid w:val="00BF289D"/>
    <w:rsid w:val="00BF334A"/>
    <w:rsid w:val="00BF39BC"/>
    <w:rsid w:val="00BF3BE8"/>
    <w:rsid w:val="00BF489F"/>
    <w:rsid w:val="00BF4907"/>
    <w:rsid w:val="00BF5010"/>
    <w:rsid w:val="00BF54C5"/>
    <w:rsid w:val="00BF55C7"/>
    <w:rsid w:val="00BF5EB5"/>
    <w:rsid w:val="00BF5F5F"/>
    <w:rsid w:val="00BF6A27"/>
    <w:rsid w:val="00BF6AA3"/>
    <w:rsid w:val="00BF6E12"/>
    <w:rsid w:val="00BF702A"/>
    <w:rsid w:val="00BF7532"/>
    <w:rsid w:val="00BF7B06"/>
    <w:rsid w:val="00BF7B6D"/>
    <w:rsid w:val="00C00806"/>
    <w:rsid w:val="00C00A3E"/>
    <w:rsid w:val="00C0107B"/>
    <w:rsid w:val="00C012A0"/>
    <w:rsid w:val="00C01974"/>
    <w:rsid w:val="00C01A14"/>
    <w:rsid w:val="00C01F3A"/>
    <w:rsid w:val="00C020A2"/>
    <w:rsid w:val="00C022F6"/>
    <w:rsid w:val="00C02366"/>
    <w:rsid w:val="00C02457"/>
    <w:rsid w:val="00C02499"/>
    <w:rsid w:val="00C02515"/>
    <w:rsid w:val="00C0297F"/>
    <w:rsid w:val="00C02B3B"/>
    <w:rsid w:val="00C02C05"/>
    <w:rsid w:val="00C03485"/>
    <w:rsid w:val="00C038AD"/>
    <w:rsid w:val="00C045A0"/>
    <w:rsid w:val="00C04A81"/>
    <w:rsid w:val="00C04F95"/>
    <w:rsid w:val="00C058DC"/>
    <w:rsid w:val="00C05D42"/>
    <w:rsid w:val="00C0635E"/>
    <w:rsid w:val="00C0653A"/>
    <w:rsid w:val="00C06576"/>
    <w:rsid w:val="00C06854"/>
    <w:rsid w:val="00C069F6"/>
    <w:rsid w:val="00C079B8"/>
    <w:rsid w:val="00C079F9"/>
    <w:rsid w:val="00C07C6D"/>
    <w:rsid w:val="00C10167"/>
    <w:rsid w:val="00C10576"/>
    <w:rsid w:val="00C110B8"/>
    <w:rsid w:val="00C11843"/>
    <w:rsid w:val="00C11C53"/>
    <w:rsid w:val="00C11C6F"/>
    <w:rsid w:val="00C12517"/>
    <w:rsid w:val="00C1260C"/>
    <w:rsid w:val="00C127AF"/>
    <w:rsid w:val="00C12AD2"/>
    <w:rsid w:val="00C12C11"/>
    <w:rsid w:val="00C13012"/>
    <w:rsid w:val="00C13573"/>
    <w:rsid w:val="00C13986"/>
    <w:rsid w:val="00C14265"/>
    <w:rsid w:val="00C14640"/>
    <w:rsid w:val="00C146D5"/>
    <w:rsid w:val="00C1489A"/>
    <w:rsid w:val="00C14B9D"/>
    <w:rsid w:val="00C15230"/>
    <w:rsid w:val="00C15502"/>
    <w:rsid w:val="00C15B47"/>
    <w:rsid w:val="00C15F4D"/>
    <w:rsid w:val="00C16501"/>
    <w:rsid w:val="00C1663A"/>
    <w:rsid w:val="00C16CFB"/>
    <w:rsid w:val="00C16F50"/>
    <w:rsid w:val="00C17108"/>
    <w:rsid w:val="00C17141"/>
    <w:rsid w:val="00C1726A"/>
    <w:rsid w:val="00C17A9A"/>
    <w:rsid w:val="00C17F33"/>
    <w:rsid w:val="00C20022"/>
    <w:rsid w:val="00C20D66"/>
    <w:rsid w:val="00C20EC5"/>
    <w:rsid w:val="00C21849"/>
    <w:rsid w:val="00C221FE"/>
    <w:rsid w:val="00C22AE9"/>
    <w:rsid w:val="00C22EBF"/>
    <w:rsid w:val="00C238D8"/>
    <w:rsid w:val="00C2443F"/>
    <w:rsid w:val="00C24602"/>
    <w:rsid w:val="00C24965"/>
    <w:rsid w:val="00C24A8C"/>
    <w:rsid w:val="00C24EAA"/>
    <w:rsid w:val="00C24F69"/>
    <w:rsid w:val="00C257C4"/>
    <w:rsid w:val="00C25A3E"/>
    <w:rsid w:val="00C25E91"/>
    <w:rsid w:val="00C25ECA"/>
    <w:rsid w:val="00C26062"/>
    <w:rsid w:val="00C265C3"/>
    <w:rsid w:val="00C26FF0"/>
    <w:rsid w:val="00C270B3"/>
    <w:rsid w:val="00C2794A"/>
    <w:rsid w:val="00C27E5B"/>
    <w:rsid w:val="00C301A8"/>
    <w:rsid w:val="00C30A95"/>
    <w:rsid w:val="00C30D42"/>
    <w:rsid w:val="00C310A2"/>
    <w:rsid w:val="00C31863"/>
    <w:rsid w:val="00C31EC8"/>
    <w:rsid w:val="00C32366"/>
    <w:rsid w:val="00C3273B"/>
    <w:rsid w:val="00C32839"/>
    <w:rsid w:val="00C32878"/>
    <w:rsid w:val="00C32C13"/>
    <w:rsid w:val="00C32CBD"/>
    <w:rsid w:val="00C33AAF"/>
    <w:rsid w:val="00C34C6E"/>
    <w:rsid w:val="00C3581C"/>
    <w:rsid w:val="00C35FAA"/>
    <w:rsid w:val="00C36255"/>
    <w:rsid w:val="00C3635B"/>
    <w:rsid w:val="00C368C9"/>
    <w:rsid w:val="00C36BF6"/>
    <w:rsid w:val="00C370A7"/>
    <w:rsid w:val="00C37368"/>
    <w:rsid w:val="00C379FE"/>
    <w:rsid w:val="00C40506"/>
    <w:rsid w:val="00C40572"/>
    <w:rsid w:val="00C4074C"/>
    <w:rsid w:val="00C40BDA"/>
    <w:rsid w:val="00C4110E"/>
    <w:rsid w:val="00C41A2A"/>
    <w:rsid w:val="00C41C5E"/>
    <w:rsid w:val="00C41CD6"/>
    <w:rsid w:val="00C42436"/>
    <w:rsid w:val="00C42454"/>
    <w:rsid w:val="00C42C53"/>
    <w:rsid w:val="00C42E8D"/>
    <w:rsid w:val="00C42F5C"/>
    <w:rsid w:val="00C43375"/>
    <w:rsid w:val="00C435B1"/>
    <w:rsid w:val="00C43A0C"/>
    <w:rsid w:val="00C43C47"/>
    <w:rsid w:val="00C44854"/>
    <w:rsid w:val="00C44862"/>
    <w:rsid w:val="00C449DF"/>
    <w:rsid w:val="00C44AD1"/>
    <w:rsid w:val="00C44EE5"/>
    <w:rsid w:val="00C4505B"/>
    <w:rsid w:val="00C45390"/>
    <w:rsid w:val="00C454A5"/>
    <w:rsid w:val="00C459C9"/>
    <w:rsid w:val="00C45A6B"/>
    <w:rsid w:val="00C46089"/>
    <w:rsid w:val="00C4625F"/>
    <w:rsid w:val="00C463A8"/>
    <w:rsid w:val="00C46630"/>
    <w:rsid w:val="00C46753"/>
    <w:rsid w:val="00C468EB"/>
    <w:rsid w:val="00C46D80"/>
    <w:rsid w:val="00C47BD6"/>
    <w:rsid w:val="00C47BDE"/>
    <w:rsid w:val="00C50020"/>
    <w:rsid w:val="00C50604"/>
    <w:rsid w:val="00C507F8"/>
    <w:rsid w:val="00C50895"/>
    <w:rsid w:val="00C513A0"/>
    <w:rsid w:val="00C51526"/>
    <w:rsid w:val="00C51CFC"/>
    <w:rsid w:val="00C5204C"/>
    <w:rsid w:val="00C52079"/>
    <w:rsid w:val="00C52E55"/>
    <w:rsid w:val="00C52FEB"/>
    <w:rsid w:val="00C530EF"/>
    <w:rsid w:val="00C53150"/>
    <w:rsid w:val="00C5382E"/>
    <w:rsid w:val="00C53D0C"/>
    <w:rsid w:val="00C54280"/>
    <w:rsid w:val="00C542B1"/>
    <w:rsid w:val="00C55498"/>
    <w:rsid w:val="00C55561"/>
    <w:rsid w:val="00C557E6"/>
    <w:rsid w:val="00C55864"/>
    <w:rsid w:val="00C56236"/>
    <w:rsid w:val="00C56880"/>
    <w:rsid w:val="00C56F83"/>
    <w:rsid w:val="00C57336"/>
    <w:rsid w:val="00C57BFE"/>
    <w:rsid w:val="00C60753"/>
    <w:rsid w:val="00C60974"/>
    <w:rsid w:val="00C609CF"/>
    <w:rsid w:val="00C60C56"/>
    <w:rsid w:val="00C60CAB"/>
    <w:rsid w:val="00C60CDF"/>
    <w:rsid w:val="00C617CD"/>
    <w:rsid w:val="00C621BE"/>
    <w:rsid w:val="00C62410"/>
    <w:rsid w:val="00C6281F"/>
    <w:rsid w:val="00C62950"/>
    <w:rsid w:val="00C62A24"/>
    <w:rsid w:val="00C62BC4"/>
    <w:rsid w:val="00C6337B"/>
    <w:rsid w:val="00C63392"/>
    <w:rsid w:val="00C63D6E"/>
    <w:rsid w:val="00C63E07"/>
    <w:rsid w:val="00C6402F"/>
    <w:rsid w:val="00C6421F"/>
    <w:rsid w:val="00C6434F"/>
    <w:rsid w:val="00C64571"/>
    <w:rsid w:val="00C64765"/>
    <w:rsid w:val="00C64AD1"/>
    <w:rsid w:val="00C64CE6"/>
    <w:rsid w:val="00C653A7"/>
    <w:rsid w:val="00C657FB"/>
    <w:rsid w:val="00C65C9C"/>
    <w:rsid w:val="00C65DCE"/>
    <w:rsid w:val="00C65EE3"/>
    <w:rsid w:val="00C6699B"/>
    <w:rsid w:val="00C6716B"/>
    <w:rsid w:val="00C67350"/>
    <w:rsid w:val="00C673D3"/>
    <w:rsid w:val="00C70320"/>
    <w:rsid w:val="00C70542"/>
    <w:rsid w:val="00C705E4"/>
    <w:rsid w:val="00C70B5D"/>
    <w:rsid w:val="00C71257"/>
    <w:rsid w:val="00C71585"/>
    <w:rsid w:val="00C7218B"/>
    <w:rsid w:val="00C72306"/>
    <w:rsid w:val="00C72384"/>
    <w:rsid w:val="00C728CF"/>
    <w:rsid w:val="00C72E95"/>
    <w:rsid w:val="00C7306C"/>
    <w:rsid w:val="00C73089"/>
    <w:rsid w:val="00C73BEC"/>
    <w:rsid w:val="00C73C6B"/>
    <w:rsid w:val="00C73D85"/>
    <w:rsid w:val="00C74000"/>
    <w:rsid w:val="00C74030"/>
    <w:rsid w:val="00C740FB"/>
    <w:rsid w:val="00C7424A"/>
    <w:rsid w:val="00C742AB"/>
    <w:rsid w:val="00C745A2"/>
    <w:rsid w:val="00C74AC7"/>
    <w:rsid w:val="00C74F3E"/>
    <w:rsid w:val="00C74FB0"/>
    <w:rsid w:val="00C75449"/>
    <w:rsid w:val="00C759B9"/>
    <w:rsid w:val="00C75A84"/>
    <w:rsid w:val="00C75B9B"/>
    <w:rsid w:val="00C75F38"/>
    <w:rsid w:val="00C76606"/>
    <w:rsid w:val="00C76AA0"/>
    <w:rsid w:val="00C77003"/>
    <w:rsid w:val="00C77292"/>
    <w:rsid w:val="00C778C5"/>
    <w:rsid w:val="00C8027D"/>
    <w:rsid w:val="00C80908"/>
    <w:rsid w:val="00C80CC3"/>
    <w:rsid w:val="00C81348"/>
    <w:rsid w:val="00C81581"/>
    <w:rsid w:val="00C81857"/>
    <w:rsid w:val="00C81C3B"/>
    <w:rsid w:val="00C820BD"/>
    <w:rsid w:val="00C8234B"/>
    <w:rsid w:val="00C82357"/>
    <w:rsid w:val="00C823F8"/>
    <w:rsid w:val="00C82A99"/>
    <w:rsid w:val="00C82B5D"/>
    <w:rsid w:val="00C83611"/>
    <w:rsid w:val="00C837BF"/>
    <w:rsid w:val="00C83DDC"/>
    <w:rsid w:val="00C83E90"/>
    <w:rsid w:val="00C84B61"/>
    <w:rsid w:val="00C84DF7"/>
    <w:rsid w:val="00C85376"/>
    <w:rsid w:val="00C857BF"/>
    <w:rsid w:val="00C85933"/>
    <w:rsid w:val="00C85E7E"/>
    <w:rsid w:val="00C8653A"/>
    <w:rsid w:val="00C87114"/>
    <w:rsid w:val="00C87181"/>
    <w:rsid w:val="00C871D5"/>
    <w:rsid w:val="00C87EAE"/>
    <w:rsid w:val="00C87FD7"/>
    <w:rsid w:val="00C906E8"/>
    <w:rsid w:val="00C90895"/>
    <w:rsid w:val="00C90B98"/>
    <w:rsid w:val="00C90BAF"/>
    <w:rsid w:val="00C90DB0"/>
    <w:rsid w:val="00C91153"/>
    <w:rsid w:val="00C912C9"/>
    <w:rsid w:val="00C919E7"/>
    <w:rsid w:val="00C92472"/>
    <w:rsid w:val="00C9264A"/>
    <w:rsid w:val="00C92AB2"/>
    <w:rsid w:val="00C9310D"/>
    <w:rsid w:val="00C9326F"/>
    <w:rsid w:val="00C93332"/>
    <w:rsid w:val="00C93613"/>
    <w:rsid w:val="00C93E9B"/>
    <w:rsid w:val="00C94186"/>
    <w:rsid w:val="00C9456A"/>
    <w:rsid w:val="00C94584"/>
    <w:rsid w:val="00C94FD1"/>
    <w:rsid w:val="00C956EF"/>
    <w:rsid w:val="00C95BB4"/>
    <w:rsid w:val="00C95D41"/>
    <w:rsid w:val="00C9627C"/>
    <w:rsid w:val="00C9643D"/>
    <w:rsid w:val="00C96445"/>
    <w:rsid w:val="00C96890"/>
    <w:rsid w:val="00C96E14"/>
    <w:rsid w:val="00C970F4"/>
    <w:rsid w:val="00C972B2"/>
    <w:rsid w:val="00C974B0"/>
    <w:rsid w:val="00C9778B"/>
    <w:rsid w:val="00C97924"/>
    <w:rsid w:val="00CA013D"/>
    <w:rsid w:val="00CA0819"/>
    <w:rsid w:val="00CA0BF5"/>
    <w:rsid w:val="00CA0FB9"/>
    <w:rsid w:val="00CA12CD"/>
    <w:rsid w:val="00CA12E6"/>
    <w:rsid w:val="00CA13A6"/>
    <w:rsid w:val="00CA182A"/>
    <w:rsid w:val="00CA186F"/>
    <w:rsid w:val="00CA1D74"/>
    <w:rsid w:val="00CA238B"/>
    <w:rsid w:val="00CA2DFD"/>
    <w:rsid w:val="00CA3150"/>
    <w:rsid w:val="00CA35C2"/>
    <w:rsid w:val="00CA3DAE"/>
    <w:rsid w:val="00CA43E3"/>
    <w:rsid w:val="00CA45D0"/>
    <w:rsid w:val="00CA4B6C"/>
    <w:rsid w:val="00CA5160"/>
    <w:rsid w:val="00CA53CC"/>
    <w:rsid w:val="00CA56D8"/>
    <w:rsid w:val="00CA5B65"/>
    <w:rsid w:val="00CA608B"/>
    <w:rsid w:val="00CA6104"/>
    <w:rsid w:val="00CA6566"/>
    <w:rsid w:val="00CA65B5"/>
    <w:rsid w:val="00CA675D"/>
    <w:rsid w:val="00CA69AA"/>
    <w:rsid w:val="00CA6AF6"/>
    <w:rsid w:val="00CA703F"/>
    <w:rsid w:val="00CA71DE"/>
    <w:rsid w:val="00CA736B"/>
    <w:rsid w:val="00CA7702"/>
    <w:rsid w:val="00CA7BC4"/>
    <w:rsid w:val="00CA7CA9"/>
    <w:rsid w:val="00CA7F9D"/>
    <w:rsid w:val="00CB0048"/>
    <w:rsid w:val="00CB0C42"/>
    <w:rsid w:val="00CB1385"/>
    <w:rsid w:val="00CB14AF"/>
    <w:rsid w:val="00CB1BF6"/>
    <w:rsid w:val="00CB1CC8"/>
    <w:rsid w:val="00CB1F9A"/>
    <w:rsid w:val="00CB21FF"/>
    <w:rsid w:val="00CB23ED"/>
    <w:rsid w:val="00CB2B6F"/>
    <w:rsid w:val="00CB304E"/>
    <w:rsid w:val="00CB3173"/>
    <w:rsid w:val="00CB3414"/>
    <w:rsid w:val="00CB35F2"/>
    <w:rsid w:val="00CB382F"/>
    <w:rsid w:val="00CB3BA0"/>
    <w:rsid w:val="00CB4366"/>
    <w:rsid w:val="00CB4412"/>
    <w:rsid w:val="00CB44E8"/>
    <w:rsid w:val="00CB46E8"/>
    <w:rsid w:val="00CB4733"/>
    <w:rsid w:val="00CB48D0"/>
    <w:rsid w:val="00CB4E8E"/>
    <w:rsid w:val="00CB535D"/>
    <w:rsid w:val="00CB5784"/>
    <w:rsid w:val="00CB59E7"/>
    <w:rsid w:val="00CB5A8B"/>
    <w:rsid w:val="00CB5D93"/>
    <w:rsid w:val="00CB612C"/>
    <w:rsid w:val="00CB6140"/>
    <w:rsid w:val="00CB616E"/>
    <w:rsid w:val="00CB620F"/>
    <w:rsid w:val="00CB66EA"/>
    <w:rsid w:val="00CB69EF"/>
    <w:rsid w:val="00CB7A76"/>
    <w:rsid w:val="00CB7B63"/>
    <w:rsid w:val="00CB7C95"/>
    <w:rsid w:val="00CB7E63"/>
    <w:rsid w:val="00CC0450"/>
    <w:rsid w:val="00CC080A"/>
    <w:rsid w:val="00CC0C97"/>
    <w:rsid w:val="00CC14FB"/>
    <w:rsid w:val="00CC1B75"/>
    <w:rsid w:val="00CC20CF"/>
    <w:rsid w:val="00CC2384"/>
    <w:rsid w:val="00CC2FAD"/>
    <w:rsid w:val="00CC32BD"/>
    <w:rsid w:val="00CC3494"/>
    <w:rsid w:val="00CC3530"/>
    <w:rsid w:val="00CC3A33"/>
    <w:rsid w:val="00CC3C3C"/>
    <w:rsid w:val="00CC40DB"/>
    <w:rsid w:val="00CC42CB"/>
    <w:rsid w:val="00CC4675"/>
    <w:rsid w:val="00CC4B54"/>
    <w:rsid w:val="00CC4EBA"/>
    <w:rsid w:val="00CC502A"/>
    <w:rsid w:val="00CC5199"/>
    <w:rsid w:val="00CC5B27"/>
    <w:rsid w:val="00CC5C39"/>
    <w:rsid w:val="00CC5D6B"/>
    <w:rsid w:val="00CC6160"/>
    <w:rsid w:val="00CC6168"/>
    <w:rsid w:val="00CC61DA"/>
    <w:rsid w:val="00CC642D"/>
    <w:rsid w:val="00CC6D10"/>
    <w:rsid w:val="00CC723C"/>
    <w:rsid w:val="00CC7611"/>
    <w:rsid w:val="00CC7F11"/>
    <w:rsid w:val="00CD0114"/>
    <w:rsid w:val="00CD08A0"/>
    <w:rsid w:val="00CD0D32"/>
    <w:rsid w:val="00CD0E1E"/>
    <w:rsid w:val="00CD0F1C"/>
    <w:rsid w:val="00CD12C5"/>
    <w:rsid w:val="00CD1406"/>
    <w:rsid w:val="00CD1967"/>
    <w:rsid w:val="00CD1AFC"/>
    <w:rsid w:val="00CD1E03"/>
    <w:rsid w:val="00CD1F69"/>
    <w:rsid w:val="00CD1FB8"/>
    <w:rsid w:val="00CD2137"/>
    <w:rsid w:val="00CD2ACA"/>
    <w:rsid w:val="00CD2CF6"/>
    <w:rsid w:val="00CD31B7"/>
    <w:rsid w:val="00CD33F7"/>
    <w:rsid w:val="00CD3BA7"/>
    <w:rsid w:val="00CD3F67"/>
    <w:rsid w:val="00CD41A3"/>
    <w:rsid w:val="00CD48B3"/>
    <w:rsid w:val="00CD4996"/>
    <w:rsid w:val="00CD4CDA"/>
    <w:rsid w:val="00CD4CEB"/>
    <w:rsid w:val="00CD5BCA"/>
    <w:rsid w:val="00CD5C03"/>
    <w:rsid w:val="00CD5C61"/>
    <w:rsid w:val="00CD63A7"/>
    <w:rsid w:val="00CD63E7"/>
    <w:rsid w:val="00CD66E4"/>
    <w:rsid w:val="00CD67B8"/>
    <w:rsid w:val="00CD6ADD"/>
    <w:rsid w:val="00CD6D76"/>
    <w:rsid w:val="00CD7A03"/>
    <w:rsid w:val="00CD7BFF"/>
    <w:rsid w:val="00CE0571"/>
    <w:rsid w:val="00CE07B3"/>
    <w:rsid w:val="00CE0B04"/>
    <w:rsid w:val="00CE0D1B"/>
    <w:rsid w:val="00CE0DA2"/>
    <w:rsid w:val="00CE0F8D"/>
    <w:rsid w:val="00CE10A6"/>
    <w:rsid w:val="00CE134E"/>
    <w:rsid w:val="00CE1395"/>
    <w:rsid w:val="00CE281C"/>
    <w:rsid w:val="00CE2AEA"/>
    <w:rsid w:val="00CE316A"/>
    <w:rsid w:val="00CE361A"/>
    <w:rsid w:val="00CE38F9"/>
    <w:rsid w:val="00CE3A52"/>
    <w:rsid w:val="00CE3E3B"/>
    <w:rsid w:val="00CE3F44"/>
    <w:rsid w:val="00CE3F8F"/>
    <w:rsid w:val="00CE43D1"/>
    <w:rsid w:val="00CE43D7"/>
    <w:rsid w:val="00CE49D6"/>
    <w:rsid w:val="00CE4F3F"/>
    <w:rsid w:val="00CE5794"/>
    <w:rsid w:val="00CE5B65"/>
    <w:rsid w:val="00CE6041"/>
    <w:rsid w:val="00CE6769"/>
    <w:rsid w:val="00CE6D0B"/>
    <w:rsid w:val="00CE706B"/>
    <w:rsid w:val="00CE7469"/>
    <w:rsid w:val="00CE7610"/>
    <w:rsid w:val="00CE7775"/>
    <w:rsid w:val="00CE79CF"/>
    <w:rsid w:val="00CE7A98"/>
    <w:rsid w:val="00CE7D93"/>
    <w:rsid w:val="00CE7EB1"/>
    <w:rsid w:val="00CF031C"/>
    <w:rsid w:val="00CF06A3"/>
    <w:rsid w:val="00CF0AA1"/>
    <w:rsid w:val="00CF0E1B"/>
    <w:rsid w:val="00CF10DA"/>
    <w:rsid w:val="00CF173C"/>
    <w:rsid w:val="00CF18B3"/>
    <w:rsid w:val="00CF1A9B"/>
    <w:rsid w:val="00CF20B7"/>
    <w:rsid w:val="00CF2287"/>
    <w:rsid w:val="00CF2860"/>
    <w:rsid w:val="00CF28D2"/>
    <w:rsid w:val="00CF2939"/>
    <w:rsid w:val="00CF29F6"/>
    <w:rsid w:val="00CF33C3"/>
    <w:rsid w:val="00CF3454"/>
    <w:rsid w:val="00CF37EB"/>
    <w:rsid w:val="00CF3DC6"/>
    <w:rsid w:val="00CF407E"/>
    <w:rsid w:val="00CF4395"/>
    <w:rsid w:val="00CF43E2"/>
    <w:rsid w:val="00CF4FD5"/>
    <w:rsid w:val="00CF53AC"/>
    <w:rsid w:val="00CF5FAB"/>
    <w:rsid w:val="00CF6082"/>
    <w:rsid w:val="00CF60A6"/>
    <w:rsid w:val="00CF639E"/>
    <w:rsid w:val="00CF6536"/>
    <w:rsid w:val="00CF6845"/>
    <w:rsid w:val="00CF782A"/>
    <w:rsid w:val="00CF79F7"/>
    <w:rsid w:val="00D001D0"/>
    <w:rsid w:val="00D00402"/>
    <w:rsid w:val="00D007D1"/>
    <w:rsid w:val="00D00D5E"/>
    <w:rsid w:val="00D00ED5"/>
    <w:rsid w:val="00D01117"/>
    <w:rsid w:val="00D012EB"/>
    <w:rsid w:val="00D018EC"/>
    <w:rsid w:val="00D01D61"/>
    <w:rsid w:val="00D01F3F"/>
    <w:rsid w:val="00D0269D"/>
    <w:rsid w:val="00D02BF3"/>
    <w:rsid w:val="00D02C1D"/>
    <w:rsid w:val="00D02D51"/>
    <w:rsid w:val="00D035E3"/>
    <w:rsid w:val="00D03651"/>
    <w:rsid w:val="00D03835"/>
    <w:rsid w:val="00D03E3A"/>
    <w:rsid w:val="00D0433B"/>
    <w:rsid w:val="00D04F90"/>
    <w:rsid w:val="00D05940"/>
    <w:rsid w:val="00D05AC8"/>
    <w:rsid w:val="00D05C85"/>
    <w:rsid w:val="00D05E2F"/>
    <w:rsid w:val="00D05E7A"/>
    <w:rsid w:val="00D061BE"/>
    <w:rsid w:val="00D067C3"/>
    <w:rsid w:val="00D07435"/>
    <w:rsid w:val="00D07B22"/>
    <w:rsid w:val="00D10753"/>
    <w:rsid w:val="00D10931"/>
    <w:rsid w:val="00D11116"/>
    <w:rsid w:val="00D11479"/>
    <w:rsid w:val="00D11941"/>
    <w:rsid w:val="00D11A80"/>
    <w:rsid w:val="00D11B08"/>
    <w:rsid w:val="00D11F5B"/>
    <w:rsid w:val="00D12038"/>
    <w:rsid w:val="00D12045"/>
    <w:rsid w:val="00D12077"/>
    <w:rsid w:val="00D129E7"/>
    <w:rsid w:val="00D12DF3"/>
    <w:rsid w:val="00D134C3"/>
    <w:rsid w:val="00D1383C"/>
    <w:rsid w:val="00D13870"/>
    <w:rsid w:val="00D138B8"/>
    <w:rsid w:val="00D13903"/>
    <w:rsid w:val="00D13C47"/>
    <w:rsid w:val="00D141F2"/>
    <w:rsid w:val="00D1453E"/>
    <w:rsid w:val="00D148CF"/>
    <w:rsid w:val="00D14A1D"/>
    <w:rsid w:val="00D14CD8"/>
    <w:rsid w:val="00D14D44"/>
    <w:rsid w:val="00D14F83"/>
    <w:rsid w:val="00D153A4"/>
    <w:rsid w:val="00D156E0"/>
    <w:rsid w:val="00D15AAD"/>
    <w:rsid w:val="00D160FE"/>
    <w:rsid w:val="00D1632A"/>
    <w:rsid w:val="00D1635E"/>
    <w:rsid w:val="00D163FD"/>
    <w:rsid w:val="00D16468"/>
    <w:rsid w:val="00D16629"/>
    <w:rsid w:val="00D16A51"/>
    <w:rsid w:val="00D16B95"/>
    <w:rsid w:val="00D16C57"/>
    <w:rsid w:val="00D17219"/>
    <w:rsid w:val="00D1773E"/>
    <w:rsid w:val="00D17EFB"/>
    <w:rsid w:val="00D17F5C"/>
    <w:rsid w:val="00D20489"/>
    <w:rsid w:val="00D2050A"/>
    <w:rsid w:val="00D205D5"/>
    <w:rsid w:val="00D206A9"/>
    <w:rsid w:val="00D21711"/>
    <w:rsid w:val="00D217A8"/>
    <w:rsid w:val="00D217CE"/>
    <w:rsid w:val="00D219E0"/>
    <w:rsid w:val="00D21B84"/>
    <w:rsid w:val="00D21BBA"/>
    <w:rsid w:val="00D21BD1"/>
    <w:rsid w:val="00D21C93"/>
    <w:rsid w:val="00D21F1A"/>
    <w:rsid w:val="00D21FB0"/>
    <w:rsid w:val="00D22160"/>
    <w:rsid w:val="00D2242D"/>
    <w:rsid w:val="00D227B2"/>
    <w:rsid w:val="00D22DD3"/>
    <w:rsid w:val="00D231AF"/>
    <w:rsid w:val="00D23264"/>
    <w:rsid w:val="00D238EB"/>
    <w:rsid w:val="00D243CE"/>
    <w:rsid w:val="00D243F3"/>
    <w:rsid w:val="00D2484C"/>
    <w:rsid w:val="00D2491E"/>
    <w:rsid w:val="00D25223"/>
    <w:rsid w:val="00D25AEC"/>
    <w:rsid w:val="00D25DB9"/>
    <w:rsid w:val="00D25F22"/>
    <w:rsid w:val="00D26172"/>
    <w:rsid w:val="00D261F6"/>
    <w:rsid w:val="00D262B4"/>
    <w:rsid w:val="00D2638E"/>
    <w:rsid w:val="00D26729"/>
    <w:rsid w:val="00D26EA6"/>
    <w:rsid w:val="00D270F6"/>
    <w:rsid w:val="00D27E1D"/>
    <w:rsid w:val="00D300DA"/>
    <w:rsid w:val="00D306B0"/>
    <w:rsid w:val="00D3098F"/>
    <w:rsid w:val="00D30DE3"/>
    <w:rsid w:val="00D30E08"/>
    <w:rsid w:val="00D310F1"/>
    <w:rsid w:val="00D3118C"/>
    <w:rsid w:val="00D312FB"/>
    <w:rsid w:val="00D31470"/>
    <w:rsid w:val="00D31486"/>
    <w:rsid w:val="00D314D6"/>
    <w:rsid w:val="00D31BE0"/>
    <w:rsid w:val="00D3209F"/>
    <w:rsid w:val="00D322B6"/>
    <w:rsid w:val="00D32356"/>
    <w:rsid w:val="00D323BF"/>
    <w:rsid w:val="00D32481"/>
    <w:rsid w:val="00D32988"/>
    <w:rsid w:val="00D32EED"/>
    <w:rsid w:val="00D33481"/>
    <w:rsid w:val="00D33565"/>
    <w:rsid w:val="00D336D5"/>
    <w:rsid w:val="00D340A3"/>
    <w:rsid w:val="00D3458E"/>
    <w:rsid w:val="00D34767"/>
    <w:rsid w:val="00D348B7"/>
    <w:rsid w:val="00D34C36"/>
    <w:rsid w:val="00D34E3B"/>
    <w:rsid w:val="00D3506B"/>
    <w:rsid w:val="00D351C0"/>
    <w:rsid w:val="00D35746"/>
    <w:rsid w:val="00D35B60"/>
    <w:rsid w:val="00D35FF5"/>
    <w:rsid w:val="00D360F0"/>
    <w:rsid w:val="00D36222"/>
    <w:rsid w:val="00D369A4"/>
    <w:rsid w:val="00D36B35"/>
    <w:rsid w:val="00D37411"/>
    <w:rsid w:val="00D3748E"/>
    <w:rsid w:val="00D3775A"/>
    <w:rsid w:val="00D3782D"/>
    <w:rsid w:val="00D37AB9"/>
    <w:rsid w:val="00D37E25"/>
    <w:rsid w:val="00D37FEE"/>
    <w:rsid w:val="00D400AF"/>
    <w:rsid w:val="00D402B1"/>
    <w:rsid w:val="00D411C2"/>
    <w:rsid w:val="00D4155E"/>
    <w:rsid w:val="00D4181B"/>
    <w:rsid w:val="00D41964"/>
    <w:rsid w:val="00D41C82"/>
    <w:rsid w:val="00D41C8D"/>
    <w:rsid w:val="00D4221B"/>
    <w:rsid w:val="00D422BE"/>
    <w:rsid w:val="00D42562"/>
    <w:rsid w:val="00D42613"/>
    <w:rsid w:val="00D42B98"/>
    <w:rsid w:val="00D42EB1"/>
    <w:rsid w:val="00D42F31"/>
    <w:rsid w:val="00D431B5"/>
    <w:rsid w:val="00D432B0"/>
    <w:rsid w:val="00D437C8"/>
    <w:rsid w:val="00D43AC6"/>
    <w:rsid w:val="00D4401E"/>
    <w:rsid w:val="00D4421D"/>
    <w:rsid w:val="00D443A4"/>
    <w:rsid w:val="00D4469D"/>
    <w:rsid w:val="00D447F5"/>
    <w:rsid w:val="00D4481B"/>
    <w:rsid w:val="00D44869"/>
    <w:rsid w:val="00D44F61"/>
    <w:rsid w:val="00D451A9"/>
    <w:rsid w:val="00D46353"/>
    <w:rsid w:val="00D46517"/>
    <w:rsid w:val="00D46586"/>
    <w:rsid w:val="00D4658A"/>
    <w:rsid w:val="00D46E83"/>
    <w:rsid w:val="00D4772B"/>
    <w:rsid w:val="00D47B01"/>
    <w:rsid w:val="00D47B79"/>
    <w:rsid w:val="00D47D1E"/>
    <w:rsid w:val="00D50022"/>
    <w:rsid w:val="00D50296"/>
    <w:rsid w:val="00D50348"/>
    <w:rsid w:val="00D50407"/>
    <w:rsid w:val="00D50636"/>
    <w:rsid w:val="00D50909"/>
    <w:rsid w:val="00D50BA0"/>
    <w:rsid w:val="00D50C22"/>
    <w:rsid w:val="00D50C5B"/>
    <w:rsid w:val="00D510C8"/>
    <w:rsid w:val="00D5141C"/>
    <w:rsid w:val="00D51479"/>
    <w:rsid w:val="00D514AB"/>
    <w:rsid w:val="00D517F5"/>
    <w:rsid w:val="00D5211B"/>
    <w:rsid w:val="00D5246C"/>
    <w:rsid w:val="00D5284A"/>
    <w:rsid w:val="00D52CF8"/>
    <w:rsid w:val="00D52F58"/>
    <w:rsid w:val="00D52FE1"/>
    <w:rsid w:val="00D5347B"/>
    <w:rsid w:val="00D53A24"/>
    <w:rsid w:val="00D53A99"/>
    <w:rsid w:val="00D53EE5"/>
    <w:rsid w:val="00D53EFC"/>
    <w:rsid w:val="00D53F4D"/>
    <w:rsid w:val="00D54098"/>
    <w:rsid w:val="00D544F2"/>
    <w:rsid w:val="00D54761"/>
    <w:rsid w:val="00D54771"/>
    <w:rsid w:val="00D54CA4"/>
    <w:rsid w:val="00D5548D"/>
    <w:rsid w:val="00D55BE7"/>
    <w:rsid w:val="00D55BE8"/>
    <w:rsid w:val="00D55E61"/>
    <w:rsid w:val="00D567F7"/>
    <w:rsid w:val="00D56959"/>
    <w:rsid w:val="00D569B7"/>
    <w:rsid w:val="00D56C0B"/>
    <w:rsid w:val="00D56D0D"/>
    <w:rsid w:val="00D574D0"/>
    <w:rsid w:val="00D57753"/>
    <w:rsid w:val="00D577B1"/>
    <w:rsid w:val="00D57A1C"/>
    <w:rsid w:val="00D6055A"/>
    <w:rsid w:val="00D60624"/>
    <w:rsid w:val="00D6067A"/>
    <w:rsid w:val="00D60801"/>
    <w:rsid w:val="00D609AB"/>
    <w:rsid w:val="00D60A07"/>
    <w:rsid w:val="00D60B8D"/>
    <w:rsid w:val="00D61027"/>
    <w:rsid w:val="00D61369"/>
    <w:rsid w:val="00D6170D"/>
    <w:rsid w:val="00D6174A"/>
    <w:rsid w:val="00D61BDA"/>
    <w:rsid w:val="00D61C37"/>
    <w:rsid w:val="00D61D89"/>
    <w:rsid w:val="00D62411"/>
    <w:rsid w:val="00D6270C"/>
    <w:rsid w:val="00D627B6"/>
    <w:rsid w:val="00D62878"/>
    <w:rsid w:val="00D62904"/>
    <w:rsid w:val="00D62A61"/>
    <w:rsid w:val="00D6349F"/>
    <w:rsid w:val="00D634E6"/>
    <w:rsid w:val="00D63FE7"/>
    <w:rsid w:val="00D64755"/>
    <w:rsid w:val="00D64773"/>
    <w:rsid w:val="00D64B1E"/>
    <w:rsid w:val="00D64BF3"/>
    <w:rsid w:val="00D64FDB"/>
    <w:rsid w:val="00D64FF7"/>
    <w:rsid w:val="00D651A0"/>
    <w:rsid w:val="00D653E0"/>
    <w:rsid w:val="00D655D0"/>
    <w:rsid w:val="00D65E00"/>
    <w:rsid w:val="00D660C5"/>
    <w:rsid w:val="00D66485"/>
    <w:rsid w:val="00D66A15"/>
    <w:rsid w:val="00D66C0F"/>
    <w:rsid w:val="00D66CAA"/>
    <w:rsid w:val="00D66CFB"/>
    <w:rsid w:val="00D66E70"/>
    <w:rsid w:val="00D66FEA"/>
    <w:rsid w:val="00D6717B"/>
    <w:rsid w:val="00D67437"/>
    <w:rsid w:val="00D676ED"/>
    <w:rsid w:val="00D677D2"/>
    <w:rsid w:val="00D70219"/>
    <w:rsid w:val="00D70572"/>
    <w:rsid w:val="00D70618"/>
    <w:rsid w:val="00D70642"/>
    <w:rsid w:val="00D712A1"/>
    <w:rsid w:val="00D71436"/>
    <w:rsid w:val="00D71843"/>
    <w:rsid w:val="00D71DED"/>
    <w:rsid w:val="00D71E60"/>
    <w:rsid w:val="00D71F83"/>
    <w:rsid w:val="00D72A56"/>
    <w:rsid w:val="00D7325F"/>
    <w:rsid w:val="00D73630"/>
    <w:rsid w:val="00D73D89"/>
    <w:rsid w:val="00D73FB6"/>
    <w:rsid w:val="00D73FEC"/>
    <w:rsid w:val="00D74951"/>
    <w:rsid w:val="00D74CB2"/>
    <w:rsid w:val="00D751B2"/>
    <w:rsid w:val="00D7539F"/>
    <w:rsid w:val="00D75A80"/>
    <w:rsid w:val="00D75B20"/>
    <w:rsid w:val="00D75F0C"/>
    <w:rsid w:val="00D75F1A"/>
    <w:rsid w:val="00D768C4"/>
    <w:rsid w:val="00D76B70"/>
    <w:rsid w:val="00D7768C"/>
    <w:rsid w:val="00D802DC"/>
    <w:rsid w:val="00D807DB"/>
    <w:rsid w:val="00D80B1E"/>
    <w:rsid w:val="00D80BB5"/>
    <w:rsid w:val="00D80DC2"/>
    <w:rsid w:val="00D810FD"/>
    <w:rsid w:val="00D81223"/>
    <w:rsid w:val="00D8153B"/>
    <w:rsid w:val="00D81663"/>
    <w:rsid w:val="00D8167A"/>
    <w:rsid w:val="00D817EE"/>
    <w:rsid w:val="00D819DA"/>
    <w:rsid w:val="00D81FA9"/>
    <w:rsid w:val="00D821AF"/>
    <w:rsid w:val="00D82274"/>
    <w:rsid w:val="00D82BA1"/>
    <w:rsid w:val="00D833B7"/>
    <w:rsid w:val="00D83B38"/>
    <w:rsid w:val="00D840C9"/>
    <w:rsid w:val="00D8417B"/>
    <w:rsid w:val="00D845AE"/>
    <w:rsid w:val="00D84722"/>
    <w:rsid w:val="00D84914"/>
    <w:rsid w:val="00D8499E"/>
    <w:rsid w:val="00D851F3"/>
    <w:rsid w:val="00D85794"/>
    <w:rsid w:val="00D86130"/>
    <w:rsid w:val="00D8619C"/>
    <w:rsid w:val="00D86A0B"/>
    <w:rsid w:val="00D86DCA"/>
    <w:rsid w:val="00D8740B"/>
    <w:rsid w:val="00D87C93"/>
    <w:rsid w:val="00D87DC4"/>
    <w:rsid w:val="00D907AD"/>
    <w:rsid w:val="00D90A15"/>
    <w:rsid w:val="00D90D49"/>
    <w:rsid w:val="00D91027"/>
    <w:rsid w:val="00D91184"/>
    <w:rsid w:val="00D915CD"/>
    <w:rsid w:val="00D91641"/>
    <w:rsid w:val="00D91661"/>
    <w:rsid w:val="00D91945"/>
    <w:rsid w:val="00D91CE5"/>
    <w:rsid w:val="00D91E0D"/>
    <w:rsid w:val="00D92527"/>
    <w:rsid w:val="00D92788"/>
    <w:rsid w:val="00D9278C"/>
    <w:rsid w:val="00D92978"/>
    <w:rsid w:val="00D92A21"/>
    <w:rsid w:val="00D92D2D"/>
    <w:rsid w:val="00D937B4"/>
    <w:rsid w:val="00D93BB2"/>
    <w:rsid w:val="00D93D78"/>
    <w:rsid w:val="00D93DA1"/>
    <w:rsid w:val="00D93FAE"/>
    <w:rsid w:val="00D949C1"/>
    <w:rsid w:val="00D94F32"/>
    <w:rsid w:val="00D94F48"/>
    <w:rsid w:val="00D94FE5"/>
    <w:rsid w:val="00D95035"/>
    <w:rsid w:val="00D9577B"/>
    <w:rsid w:val="00D95CB7"/>
    <w:rsid w:val="00D95E04"/>
    <w:rsid w:val="00D9643F"/>
    <w:rsid w:val="00D96B88"/>
    <w:rsid w:val="00D9780C"/>
    <w:rsid w:val="00DA0C08"/>
    <w:rsid w:val="00DA0F6A"/>
    <w:rsid w:val="00DA178A"/>
    <w:rsid w:val="00DA1B33"/>
    <w:rsid w:val="00DA1FB1"/>
    <w:rsid w:val="00DA2047"/>
    <w:rsid w:val="00DA20A2"/>
    <w:rsid w:val="00DA229C"/>
    <w:rsid w:val="00DA23AB"/>
    <w:rsid w:val="00DA2570"/>
    <w:rsid w:val="00DA2B0B"/>
    <w:rsid w:val="00DA3174"/>
    <w:rsid w:val="00DA3292"/>
    <w:rsid w:val="00DA32E1"/>
    <w:rsid w:val="00DA333D"/>
    <w:rsid w:val="00DA3A01"/>
    <w:rsid w:val="00DA47ED"/>
    <w:rsid w:val="00DA4ABF"/>
    <w:rsid w:val="00DA4C03"/>
    <w:rsid w:val="00DA4CA5"/>
    <w:rsid w:val="00DA4D56"/>
    <w:rsid w:val="00DA4D59"/>
    <w:rsid w:val="00DA4E7F"/>
    <w:rsid w:val="00DA56CA"/>
    <w:rsid w:val="00DA5C65"/>
    <w:rsid w:val="00DA5E2F"/>
    <w:rsid w:val="00DA5F38"/>
    <w:rsid w:val="00DA64C8"/>
    <w:rsid w:val="00DA66B1"/>
    <w:rsid w:val="00DA7F49"/>
    <w:rsid w:val="00DB062B"/>
    <w:rsid w:val="00DB11B0"/>
    <w:rsid w:val="00DB153E"/>
    <w:rsid w:val="00DB15B6"/>
    <w:rsid w:val="00DB18F4"/>
    <w:rsid w:val="00DB1C71"/>
    <w:rsid w:val="00DB1E5F"/>
    <w:rsid w:val="00DB24C3"/>
    <w:rsid w:val="00DB25E6"/>
    <w:rsid w:val="00DB27F7"/>
    <w:rsid w:val="00DB2AFE"/>
    <w:rsid w:val="00DB3347"/>
    <w:rsid w:val="00DB3506"/>
    <w:rsid w:val="00DB378D"/>
    <w:rsid w:val="00DB3CA0"/>
    <w:rsid w:val="00DB42F3"/>
    <w:rsid w:val="00DB44EF"/>
    <w:rsid w:val="00DB457D"/>
    <w:rsid w:val="00DB46FA"/>
    <w:rsid w:val="00DB4726"/>
    <w:rsid w:val="00DB4EA3"/>
    <w:rsid w:val="00DB597C"/>
    <w:rsid w:val="00DB5A5E"/>
    <w:rsid w:val="00DB5A60"/>
    <w:rsid w:val="00DB5BBC"/>
    <w:rsid w:val="00DB5DE0"/>
    <w:rsid w:val="00DB5EC8"/>
    <w:rsid w:val="00DB6045"/>
    <w:rsid w:val="00DB6B96"/>
    <w:rsid w:val="00DB705B"/>
    <w:rsid w:val="00DB72AF"/>
    <w:rsid w:val="00DB7320"/>
    <w:rsid w:val="00DB7346"/>
    <w:rsid w:val="00DB74B6"/>
    <w:rsid w:val="00DB7515"/>
    <w:rsid w:val="00DC0600"/>
    <w:rsid w:val="00DC0690"/>
    <w:rsid w:val="00DC082A"/>
    <w:rsid w:val="00DC0900"/>
    <w:rsid w:val="00DC0B62"/>
    <w:rsid w:val="00DC0DCC"/>
    <w:rsid w:val="00DC11B8"/>
    <w:rsid w:val="00DC1263"/>
    <w:rsid w:val="00DC131C"/>
    <w:rsid w:val="00DC1580"/>
    <w:rsid w:val="00DC1848"/>
    <w:rsid w:val="00DC1D74"/>
    <w:rsid w:val="00DC1D90"/>
    <w:rsid w:val="00DC1F49"/>
    <w:rsid w:val="00DC20F6"/>
    <w:rsid w:val="00DC2233"/>
    <w:rsid w:val="00DC269A"/>
    <w:rsid w:val="00DC28BB"/>
    <w:rsid w:val="00DC293D"/>
    <w:rsid w:val="00DC2A44"/>
    <w:rsid w:val="00DC316C"/>
    <w:rsid w:val="00DC3260"/>
    <w:rsid w:val="00DC34A4"/>
    <w:rsid w:val="00DC34D6"/>
    <w:rsid w:val="00DC3600"/>
    <w:rsid w:val="00DC373F"/>
    <w:rsid w:val="00DC3CB3"/>
    <w:rsid w:val="00DC3F49"/>
    <w:rsid w:val="00DC44A5"/>
    <w:rsid w:val="00DC4CD3"/>
    <w:rsid w:val="00DC4F0C"/>
    <w:rsid w:val="00DC4F98"/>
    <w:rsid w:val="00DC5AB7"/>
    <w:rsid w:val="00DC5BE7"/>
    <w:rsid w:val="00DC65DF"/>
    <w:rsid w:val="00DC66F7"/>
    <w:rsid w:val="00DC68D2"/>
    <w:rsid w:val="00DC6F08"/>
    <w:rsid w:val="00DC725E"/>
    <w:rsid w:val="00DC72B5"/>
    <w:rsid w:val="00DC7446"/>
    <w:rsid w:val="00DC7C62"/>
    <w:rsid w:val="00DC7CFE"/>
    <w:rsid w:val="00DC7D6C"/>
    <w:rsid w:val="00DC7E46"/>
    <w:rsid w:val="00DD036C"/>
    <w:rsid w:val="00DD0399"/>
    <w:rsid w:val="00DD03BD"/>
    <w:rsid w:val="00DD0435"/>
    <w:rsid w:val="00DD0760"/>
    <w:rsid w:val="00DD1242"/>
    <w:rsid w:val="00DD1C05"/>
    <w:rsid w:val="00DD1E0F"/>
    <w:rsid w:val="00DD295F"/>
    <w:rsid w:val="00DD35F1"/>
    <w:rsid w:val="00DD36DB"/>
    <w:rsid w:val="00DD3BB5"/>
    <w:rsid w:val="00DD3D85"/>
    <w:rsid w:val="00DD3F45"/>
    <w:rsid w:val="00DD3F7A"/>
    <w:rsid w:val="00DD4258"/>
    <w:rsid w:val="00DD42C5"/>
    <w:rsid w:val="00DD49BC"/>
    <w:rsid w:val="00DD4D0D"/>
    <w:rsid w:val="00DD51A7"/>
    <w:rsid w:val="00DD5279"/>
    <w:rsid w:val="00DD57D3"/>
    <w:rsid w:val="00DD58BF"/>
    <w:rsid w:val="00DD5AB1"/>
    <w:rsid w:val="00DD5FA6"/>
    <w:rsid w:val="00DD63BA"/>
    <w:rsid w:val="00DD64C3"/>
    <w:rsid w:val="00DD65DD"/>
    <w:rsid w:val="00DD65E0"/>
    <w:rsid w:val="00DD675A"/>
    <w:rsid w:val="00DD6998"/>
    <w:rsid w:val="00DD69FD"/>
    <w:rsid w:val="00DD6BF4"/>
    <w:rsid w:val="00DD6CB5"/>
    <w:rsid w:val="00DD6D4D"/>
    <w:rsid w:val="00DD6EC1"/>
    <w:rsid w:val="00DD7116"/>
    <w:rsid w:val="00DD7252"/>
    <w:rsid w:val="00DD736F"/>
    <w:rsid w:val="00DD749B"/>
    <w:rsid w:val="00DE032B"/>
    <w:rsid w:val="00DE03C8"/>
    <w:rsid w:val="00DE0461"/>
    <w:rsid w:val="00DE04DE"/>
    <w:rsid w:val="00DE05FD"/>
    <w:rsid w:val="00DE0803"/>
    <w:rsid w:val="00DE0953"/>
    <w:rsid w:val="00DE097F"/>
    <w:rsid w:val="00DE0B43"/>
    <w:rsid w:val="00DE0C89"/>
    <w:rsid w:val="00DE12CE"/>
    <w:rsid w:val="00DE14D9"/>
    <w:rsid w:val="00DE1573"/>
    <w:rsid w:val="00DE1B4D"/>
    <w:rsid w:val="00DE1ED7"/>
    <w:rsid w:val="00DE1EE4"/>
    <w:rsid w:val="00DE2148"/>
    <w:rsid w:val="00DE2479"/>
    <w:rsid w:val="00DE288F"/>
    <w:rsid w:val="00DE29FA"/>
    <w:rsid w:val="00DE2B74"/>
    <w:rsid w:val="00DE30B1"/>
    <w:rsid w:val="00DE335E"/>
    <w:rsid w:val="00DE3B57"/>
    <w:rsid w:val="00DE3DFF"/>
    <w:rsid w:val="00DE3E75"/>
    <w:rsid w:val="00DE4235"/>
    <w:rsid w:val="00DE4470"/>
    <w:rsid w:val="00DE492E"/>
    <w:rsid w:val="00DE4B50"/>
    <w:rsid w:val="00DE6638"/>
    <w:rsid w:val="00DE66CC"/>
    <w:rsid w:val="00DE685A"/>
    <w:rsid w:val="00DE714D"/>
    <w:rsid w:val="00DE7346"/>
    <w:rsid w:val="00DE7348"/>
    <w:rsid w:val="00DE7462"/>
    <w:rsid w:val="00DE7B92"/>
    <w:rsid w:val="00DE7BEB"/>
    <w:rsid w:val="00DF02DD"/>
    <w:rsid w:val="00DF0642"/>
    <w:rsid w:val="00DF0FDC"/>
    <w:rsid w:val="00DF1556"/>
    <w:rsid w:val="00DF1665"/>
    <w:rsid w:val="00DF1E50"/>
    <w:rsid w:val="00DF20AF"/>
    <w:rsid w:val="00DF2CBF"/>
    <w:rsid w:val="00DF2CF9"/>
    <w:rsid w:val="00DF3360"/>
    <w:rsid w:val="00DF3C0F"/>
    <w:rsid w:val="00DF3FFA"/>
    <w:rsid w:val="00DF41A6"/>
    <w:rsid w:val="00DF41F1"/>
    <w:rsid w:val="00DF4D7A"/>
    <w:rsid w:val="00DF4E95"/>
    <w:rsid w:val="00DF4F7E"/>
    <w:rsid w:val="00DF5005"/>
    <w:rsid w:val="00DF53CD"/>
    <w:rsid w:val="00DF565F"/>
    <w:rsid w:val="00DF5A4D"/>
    <w:rsid w:val="00DF5D08"/>
    <w:rsid w:val="00DF6122"/>
    <w:rsid w:val="00DF6822"/>
    <w:rsid w:val="00DF6A13"/>
    <w:rsid w:val="00DF6C49"/>
    <w:rsid w:val="00DF6E0E"/>
    <w:rsid w:val="00DF6E53"/>
    <w:rsid w:val="00DF6EE0"/>
    <w:rsid w:val="00DF712B"/>
    <w:rsid w:val="00DF7269"/>
    <w:rsid w:val="00DF7886"/>
    <w:rsid w:val="00DF7889"/>
    <w:rsid w:val="00DF7968"/>
    <w:rsid w:val="00DF7A0A"/>
    <w:rsid w:val="00DF7D01"/>
    <w:rsid w:val="00DF7D6A"/>
    <w:rsid w:val="00DF7EA3"/>
    <w:rsid w:val="00E001A4"/>
    <w:rsid w:val="00E0065A"/>
    <w:rsid w:val="00E006FC"/>
    <w:rsid w:val="00E007FA"/>
    <w:rsid w:val="00E00C34"/>
    <w:rsid w:val="00E00F51"/>
    <w:rsid w:val="00E00F6D"/>
    <w:rsid w:val="00E00F85"/>
    <w:rsid w:val="00E0193D"/>
    <w:rsid w:val="00E01A05"/>
    <w:rsid w:val="00E01F81"/>
    <w:rsid w:val="00E0257E"/>
    <w:rsid w:val="00E0286D"/>
    <w:rsid w:val="00E0293F"/>
    <w:rsid w:val="00E029D4"/>
    <w:rsid w:val="00E03077"/>
    <w:rsid w:val="00E03B62"/>
    <w:rsid w:val="00E03D29"/>
    <w:rsid w:val="00E03F3A"/>
    <w:rsid w:val="00E040AE"/>
    <w:rsid w:val="00E04C20"/>
    <w:rsid w:val="00E0500B"/>
    <w:rsid w:val="00E05029"/>
    <w:rsid w:val="00E05095"/>
    <w:rsid w:val="00E052F9"/>
    <w:rsid w:val="00E05325"/>
    <w:rsid w:val="00E05410"/>
    <w:rsid w:val="00E055C2"/>
    <w:rsid w:val="00E05812"/>
    <w:rsid w:val="00E059C8"/>
    <w:rsid w:val="00E05A33"/>
    <w:rsid w:val="00E061F8"/>
    <w:rsid w:val="00E0622F"/>
    <w:rsid w:val="00E06495"/>
    <w:rsid w:val="00E06C0D"/>
    <w:rsid w:val="00E07112"/>
    <w:rsid w:val="00E07AB3"/>
    <w:rsid w:val="00E102EE"/>
    <w:rsid w:val="00E109F1"/>
    <w:rsid w:val="00E11474"/>
    <w:rsid w:val="00E115F5"/>
    <w:rsid w:val="00E11868"/>
    <w:rsid w:val="00E11A55"/>
    <w:rsid w:val="00E11C2C"/>
    <w:rsid w:val="00E12034"/>
    <w:rsid w:val="00E12867"/>
    <w:rsid w:val="00E12C0A"/>
    <w:rsid w:val="00E12C23"/>
    <w:rsid w:val="00E12FDD"/>
    <w:rsid w:val="00E133FA"/>
    <w:rsid w:val="00E13DA8"/>
    <w:rsid w:val="00E14528"/>
    <w:rsid w:val="00E14561"/>
    <w:rsid w:val="00E1484B"/>
    <w:rsid w:val="00E15944"/>
    <w:rsid w:val="00E1651F"/>
    <w:rsid w:val="00E166B7"/>
    <w:rsid w:val="00E1687E"/>
    <w:rsid w:val="00E16C64"/>
    <w:rsid w:val="00E170CF"/>
    <w:rsid w:val="00E17BFC"/>
    <w:rsid w:val="00E17CF9"/>
    <w:rsid w:val="00E17EEE"/>
    <w:rsid w:val="00E20578"/>
    <w:rsid w:val="00E206DD"/>
    <w:rsid w:val="00E20BAB"/>
    <w:rsid w:val="00E20C25"/>
    <w:rsid w:val="00E20C4F"/>
    <w:rsid w:val="00E20D2F"/>
    <w:rsid w:val="00E20D6E"/>
    <w:rsid w:val="00E20F8F"/>
    <w:rsid w:val="00E21419"/>
    <w:rsid w:val="00E214FC"/>
    <w:rsid w:val="00E21551"/>
    <w:rsid w:val="00E21824"/>
    <w:rsid w:val="00E220A9"/>
    <w:rsid w:val="00E22209"/>
    <w:rsid w:val="00E2249C"/>
    <w:rsid w:val="00E22963"/>
    <w:rsid w:val="00E22C43"/>
    <w:rsid w:val="00E23158"/>
    <w:rsid w:val="00E231D5"/>
    <w:rsid w:val="00E235AC"/>
    <w:rsid w:val="00E23B7F"/>
    <w:rsid w:val="00E23BD2"/>
    <w:rsid w:val="00E23DB5"/>
    <w:rsid w:val="00E2445D"/>
    <w:rsid w:val="00E24533"/>
    <w:rsid w:val="00E245E9"/>
    <w:rsid w:val="00E247D9"/>
    <w:rsid w:val="00E249C0"/>
    <w:rsid w:val="00E25133"/>
    <w:rsid w:val="00E256FC"/>
    <w:rsid w:val="00E2590A"/>
    <w:rsid w:val="00E25FAB"/>
    <w:rsid w:val="00E260C1"/>
    <w:rsid w:val="00E263EC"/>
    <w:rsid w:val="00E26E62"/>
    <w:rsid w:val="00E26F4D"/>
    <w:rsid w:val="00E27780"/>
    <w:rsid w:val="00E27C8A"/>
    <w:rsid w:val="00E27CB3"/>
    <w:rsid w:val="00E27E7D"/>
    <w:rsid w:val="00E301B0"/>
    <w:rsid w:val="00E302A4"/>
    <w:rsid w:val="00E3050E"/>
    <w:rsid w:val="00E30944"/>
    <w:rsid w:val="00E30EA6"/>
    <w:rsid w:val="00E312BB"/>
    <w:rsid w:val="00E316F4"/>
    <w:rsid w:val="00E3183B"/>
    <w:rsid w:val="00E323BE"/>
    <w:rsid w:val="00E32788"/>
    <w:rsid w:val="00E32990"/>
    <w:rsid w:val="00E32ADF"/>
    <w:rsid w:val="00E330C4"/>
    <w:rsid w:val="00E33319"/>
    <w:rsid w:val="00E33409"/>
    <w:rsid w:val="00E347CD"/>
    <w:rsid w:val="00E34CC1"/>
    <w:rsid w:val="00E350AF"/>
    <w:rsid w:val="00E35204"/>
    <w:rsid w:val="00E35875"/>
    <w:rsid w:val="00E35F10"/>
    <w:rsid w:val="00E36828"/>
    <w:rsid w:val="00E368A9"/>
    <w:rsid w:val="00E36910"/>
    <w:rsid w:val="00E36FE3"/>
    <w:rsid w:val="00E37788"/>
    <w:rsid w:val="00E3780F"/>
    <w:rsid w:val="00E37BF8"/>
    <w:rsid w:val="00E4020C"/>
    <w:rsid w:val="00E405E9"/>
    <w:rsid w:val="00E408D4"/>
    <w:rsid w:val="00E41242"/>
    <w:rsid w:val="00E413D3"/>
    <w:rsid w:val="00E41751"/>
    <w:rsid w:val="00E41E71"/>
    <w:rsid w:val="00E4250F"/>
    <w:rsid w:val="00E425B3"/>
    <w:rsid w:val="00E4296A"/>
    <w:rsid w:val="00E43C74"/>
    <w:rsid w:val="00E43CFB"/>
    <w:rsid w:val="00E43F2C"/>
    <w:rsid w:val="00E444F5"/>
    <w:rsid w:val="00E44FE9"/>
    <w:rsid w:val="00E45077"/>
    <w:rsid w:val="00E45079"/>
    <w:rsid w:val="00E453A3"/>
    <w:rsid w:val="00E456DF"/>
    <w:rsid w:val="00E45AF5"/>
    <w:rsid w:val="00E462C1"/>
    <w:rsid w:val="00E464A0"/>
    <w:rsid w:val="00E46707"/>
    <w:rsid w:val="00E46872"/>
    <w:rsid w:val="00E468CF"/>
    <w:rsid w:val="00E46CEB"/>
    <w:rsid w:val="00E471A6"/>
    <w:rsid w:val="00E47602"/>
    <w:rsid w:val="00E47A58"/>
    <w:rsid w:val="00E51729"/>
    <w:rsid w:val="00E51808"/>
    <w:rsid w:val="00E519AC"/>
    <w:rsid w:val="00E51EB6"/>
    <w:rsid w:val="00E51F0B"/>
    <w:rsid w:val="00E5210A"/>
    <w:rsid w:val="00E5295B"/>
    <w:rsid w:val="00E5296C"/>
    <w:rsid w:val="00E531DA"/>
    <w:rsid w:val="00E53237"/>
    <w:rsid w:val="00E53399"/>
    <w:rsid w:val="00E533C4"/>
    <w:rsid w:val="00E5354B"/>
    <w:rsid w:val="00E5394B"/>
    <w:rsid w:val="00E53992"/>
    <w:rsid w:val="00E53F06"/>
    <w:rsid w:val="00E548A0"/>
    <w:rsid w:val="00E54DB4"/>
    <w:rsid w:val="00E54E8D"/>
    <w:rsid w:val="00E54EDC"/>
    <w:rsid w:val="00E556E3"/>
    <w:rsid w:val="00E5572A"/>
    <w:rsid w:val="00E5574E"/>
    <w:rsid w:val="00E558F1"/>
    <w:rsid w:val="00E55946"/>
    <w:rsid w:val="00E55D80"/>
    <w:rsid w:val="00E55DE9"/>
    <w:rsid w:val="00E55E99"/>
    <w:rsid w:val="00E561B4"/>
    <w:rsid w:val="00E561E5"/>
    <w:rsid w:val="00E562E7"/>
    <w:rsid w:val="00E56312"/>
    <w:rsid w:val="00E565A6"/>
    <w:rsid w:val="00E5685F"/>
    <w:rsid w:val="00E56A9A"/>
    <w:rsid w:val="00E56DB2"/>
    <w:rsid w:val="00E56E40"/>
    <w:rsid w:val="00E57165"/>
    <w:rsid w:val="00E574F7"/>
    <w:rsid w:val="00E57759"/>
    <w:rsid w:val="00E60155"/>
    <w:rsid w:val="00E60237"/>
    <w:rsid w:val="00E6025D"/>
    <w:rsid w:val="00E60495"/>
    <w:rsid w:val="00E605E4"/>
    <w:rsid w:val="00E60BAE"/>
    <w:rsid w:val="00E60D20"/>
    <w:rsid w:val="00E60E50"/>
    <w:rsid w:val="00E60F7C"/>
    <w:rsid w:val="00E610A7"/>
    <w:rsid w:val="00E6128D"/>
    <w:rsid w:val="00E61537"/>
    <w:rsid w:val="00E61664"/>
    <w:rsid w:val="00E617C8"/>
    <w:rsid w:val="00E62219"/>
    <w:rsid w:val="00E62539"/>
    <w:rsid w:val="00E629A5"/>
    <w:rsid w:val="00E63198"/>
    <w:rsid w:val="00E63212"/>
    <w:rsid w:val="00E633BC"/>
    <w:rsid w:val="00E63647"/>
    <w:rsid w:val="00E64113"/>
    <w:rsid w:val="00E6419A"/>
    <w:rsid w:val="00E644D0"/>
    <w:rsid w:val="00E645BC"/>
    <w:rsid w:val="00E64E57"/>
    <w:rsid w:val="00E653B3"/>
    <w:rsid w:val="00E65EFC"/>
    <w:rsid w:val="00E66267"/>
    <w:rsid w:val="00E66286"/>
    <w:rsid w:val="00E6641B"/>
    <w:rsid w:val="00E664F7"/>
    <w:rsid w:val="00E66B4E"/>
    <w:rsid w:val="00E673E2"/>
    <w:rsid w:val="00E675BB"/>
    <w:rsid w:val="00E6781F"/>
    <w:rsid w:val="00E67A83"/>
    <w:rsid w:val="00E67B19"/>
    <w:rsid w:val="00E67DE4"/>
    <w:rsid w:val="00E70284"/>
    <w:rsid w:val="00E7037A"/>
    <w:rsid w:val="00E705C6"/>
    <w:rsid w:val="00E70BD2"/>
    <w:rsid w:val="00E70E47"/>
    <w:rsid w:val="00E71056"/>
    <w:rsid w:val="00E711A6"/>
    <w:rsid w:val="00E7163B"/>
    <w:rsid w:val="00E718AD"/>
    <w:rsid w:val="00E71F0C"/>
    <w:rsid w:val="00E72745"/>
    <w:rsid w:val="00E72861"/>
    <w:rsid w:val="00E72990"/>
    <w:rsid w:val="00E729A5"/>
    <w:rsid w:val="00E72D50"/>
    <w:rsid w:val="00E73103"/>
    <w:rsid w:val="00E7346D"/>
    <w:rsid w:val="00E7351A"/>
    <w:rsid w:val="00E735EE"/>
    <w:rsid w:val="00E73FF8"/>
    <w:rsid w:val="00E745A6"/>
    <w:rsid w:val="00E7483B"/>
    <w:rsid w:val="00E74B91"/>
    <w:rsid w:val="00E7515D"/>
    <w:rsid w:val="00E7521A"/>
    <w:rsid w:val="00E75328"/>
    <w:rsid w:val="00E753F7"/>
    <w:rsid w:val="00E755C1"/>
    <w:rsid w:val="00E7569B"/>
    <w:rsid w:val="00E75929"/>
    <w:rsid w:val="00E75C11"/>
    <w:rsid w:val="00E76585"/>
    <w:rsid w:val="00E76F1E"/>
    <w:rsid w:val="00E77311"/>
    <w:rsid w:val="00E77972"/>
    <w:rsid w:val="00E77AE1"/>
    <w:rsid w:val="00E77FBE"/>
    <w:rsid w:val="00E8054E"/>
    <w:rsid w:val="00E80BAF"/>
    <w:rsid w:val="00E81101"/>
    <w:rsid w:val="00E8124F"/>
    <w:rsid w:val="00E8131D"/>
    <w:rsid w:val="00E815DA"/>
    <w:rsid w:val="00E8192F"/>
    <w:rsid w:val="00E8210D"/>
    <w:rsid w:val="00E82609"/>
    <w:rsid w:val="00E82848"/>
    <w:rsid w:val="00E829A0"/>
    <w:rsid w:val="00E82FDD"/>
    <w:rsid w:val="00E83644"/>
    <w:rsid w:val="00E837AD"/>
    <w:rsid w:val="00E83BF7"/>
    <w:rsid w:val="00E83E5B"/>
    <w:rsid w:val="00E8417A"/>
    <w:rsid w:val="00E8463F"/>
    <w:rsid w:val="00E849E2"/>
    <w:rsid w:val="00E856F2"/>
    <w:rsid w:val="00E859BC"/>
    <w:rsid w:val="00E86122"/>
    <w:rsid w:val="00E86671"/>
    <w:rsid w:val="00E86DBD"/>
    <w:rsid w:val="00E87125"/>
    <w:rsid w:val="00E872B2"/>
    <w:rsid w:val="00E87352"/>
    <w:rsid w:val="00E873E0"/>
    <w:rsid w:val="00E87C57"/>
    <w:rsid w:val="00E90466"/>
    <w:rsid w:val="00E90669"/>
    <w:rsid w:val="00E90FA0"/>
    <w:rsid w:val="00E9149D"/>
    <w:rsid w:val="00E91598"/>
    <w:rsid w:val="00E91B87"/>
    <w:rsid w:val="00E91C2A"/>
    <w:rsid w:val="00E91FD4"/>
    <w:rsid w:val="00E9203F"/>
    <w:rsid w:val="00E921C7"/>
    <w:rsid w:val="00E935C5"/>
    <w:rsid w:val="00E93733"/>
    <w:rsid w:val="00E93B45"/>
    <w:rsid w:val="00E93CEA"/>
    <w:rsid w:val="00E93F67"/>
    <w:rsid w:val="00E94055"/>
    <w:rsid w:val="00E94ABA"/>
    <w:rsid w:val="00E94CBB"/>
    <w:rsid w:val="00E94D86"/>
    <w:rsid w:val="00E95118"/>
    <w:rsid w:val="00E95295"/>
    <w:rsid w:val="00E956B8"/>
    <w:rsid w:val="00E956DB"/>
    <w:rsid w:val="00E956FC"/>
    <w:rsid w:val="00E95A17"/>
    <w:rsid w:val="00E95B36"/>
    <w:rsid w:val="00E95EF7"/>
    <w:rsid w:val="00E9607F"/>
    <w:rsid w:val="00E962BA"/>
    <w:rsid w:val="00E96D18"/>
    <w:rsid w:val="00E96E60"/>
    <w:rsid w:val="00E971D6"/>
    <w:rsid w:val="00E9721D"/>
    <w:rsid w:val="00E972DB"/>
    <w:rsid w:val="00E973BE"/>
    <w:rsid w:val="00E973EC"/>
    <w:rsid w:val="00E9747F"/>
    <w:rsid w:val="00E97FCA"/>
    <w:rsid w:val="00EA0017"/>
    <w:rsid w:val="00EA02CF"/>
    <w:rsid w:val="00EA03E0"/>
    <w:rsid w:val="00EA0412"/>
    <w:rsid w:val="00EA04EB"/>
    <w:rsid w:val="00EA0531"/>
    <w:rsid w:val="00EA074C"/>
    <w:rsid w:val="00EA0F7D"/>
    <w:rsid w:val="00EA0FD0"/>
    <w:rsid w:val="00EA1917"/>
    <w:rsid w:val="00EA1D2F"/>
    <w:rsid w:val="00EA1E79"/>
    <w:rsid w:val="00EA225D"/>
    <w:rsid w:val="00EA2CCE"/>
    <w:rsid w:val="00EA31CB"/>
    <w:rsid w:val="00EA3964"/>
    <w:rsid w:val="00EA3B8D"/>
    <w:rsid w:val="00EA3D80"/>
    <w:rsid w:val="00EA43DE"/>
    <w:rsid w:val="00EA4617"/>
    <w:rsid w:val="00EA4941"/>
    <w:rsid w:val="00EA4A0F"/>
    <w:rsid w:val="00EA4E8D"/>
    <w:rsid w:val="00EA5146"/>
    <w:rsid w:val="00EA533D"/>
    <w:rsid w:val="00EA5AFE"/>
    <w:rsid w:val="00EA5BEE"/>
    <w:rsid w:val="00EA5C1E"/>
    <w:rsid w:val="00EA5C34"/>
    <w:rsid w:val="00EA6049"/>
    <w:rsid w:val="00EA652D"/>
    <w:rsid w:val="00EA66CA"/>
    <w:rsid w:val="00EA6743"/>
    <w:rsid w:val="00EA6A37"/>
    <w:rsid w:val="00EA6B27"/>
    <w:rsid w:val="00EA75A0"/>
    <w:rsid w:val="00EA75A6"/>
    <w:rsid w:val="00EA78CF"/>
    <w:rsid w:val="00EA79A2"/>
    <w:rsid w:val="00EA7E08"/>
    <w:rsid w:val="00EB0979"/>
    <w:rsid w:val="00EB0D0F"/>
    <w:rsid w:val="00EB0D1D"/>
    <w:rsid w:val="00EB1684"/>
    <w:rsid w:val="00EB18DB"/>
    <w:rsid w:val="00EB1BB0"/>
    <w:rsid w:val="00EB1C59"/>
    <w:rsid w:val="00EB1D1F"/>
    <w:rsid w:val="00EB1D9C"/>
    <w:rsid w:val="00EB1DBC"/>
    <w:rsid w:val="00EB23E6"/>
    <w:rsid w:val="00EB24D4"/>
    <w:rsid w:val="00EB27DC"/>
    <w:rsid w:val="00EB294E"/>
    <w:rsid w:val="00EB397C"/>
    <w:rsid w:val="00EB4CD1"/>
    <w:rsid w:val="00EB508D"/>
    <w:rsid w:val="00EB535E"/>
    <w:rsid w:val="00EB5608"/>
    <w:rsid w:val="00EB63D8"/>
    <w:rsid w:val="00EB6C7D"/>
    <w:rsid w:val="00EB6E6B"/>
    <w:rsid w:val="00EB7654"/>
    <w:rsid w:val="00EB782E"/>
    <w:rsid w:val="00EB7ACE"/>
    <w:rsid w:val="00EB7CBE"/>
    <w:rsid w:val="00EC0250"/>
    <w:rsid w:val="00EC0317"/>
    <w:rsid w:val="00EC0838"/>
    <w:rsid w:val="00EC128F"/>
    <w:rsid w:val="00EC2106"/>
    <w:rsid w:val="00EC26FC"/>
    <w:rsid w:val="00EC2C30"/>
    <w:rsid w:val="00EC2E2A"/>
    <w:rsid w:val="00EC2F92"/>
    <w:rsid w:val="00EC33F3"/>
    <w:rsid w:val="00EC34B1"/>
    <w:rsid w:val="00EC378F"/>
    <w:rsid w:val="00EC3A5E"/>
    <w:rsid w:val="00EC3FA4"/>
    <w:rsid w:val="00EC40F7"/>
    <w:rsid w:val="00EC44DA"/>
    <w:rsid w:val="00EC462E"/>
    <w:rsid w:val="00EC4A04"/>
    <w:rsid w:val="00EC4DEC"/>
    <w:rsid w:val="00EC50B3"/>
    <w:rsid w:val="00EC50D4"/>
    <w:rsid w:val="00EC524C"/>
    <w:rsid w:val="00EC52AB"/>
    <w:rsid w:val="00EC53AB"/>
    <w:rsid w:val="00EC562F"/>
    <w:rsid w:val="00EC5F34"/>
    <w:rsid w:val="00EC6033"/>
    <w:rsid w:val="00EC6243"/>
    <w:rsid w:val="00EC697E"/>
    <w:rsid w:val="00EC70E5"/>
    <w:rsid w:val="00EC7174"/>
    <w:rsid w:val="00EC7753"/>
    <w:rsid w:val="00EC7B09"/>
    <w:rsid w:val="00EC7BEE"/>
    <w:rsid w:val="00EC7C53"/>
    <w:rsid w:val="00EC7D5E"/>
    <w:rsid w:val="00EC7E41"/>
    <w:rsid w:val="00EC7F16"/>
    <w:rsid w:val="00ED009B"/>
    <w:rsid w:val="00ED09E4"/>
    <w:rsid w:val="00ED0C01"/>
    <w:rsid w:val="00ED0CB2"/>
    <w:rsid w:val="00ED0D6A"/>
    <w:rsid w:val="00ED11D1"/>
    <w:rsid w:val="00ED174D"/>
    <w:rsid w:val="00ED1A22"/>
    <w:rsid w:val="00ED1C71"/>
    <w:rsid w:val="00ED1C98"/>
    <w:rsid w:val="00ED21BD"/>
    <w:rsid w:val="00ED26B2"/>
    <w:rsid w:val="00ED29C5"/>
    <w:rsid w:val="00ED2F7D"/>
    <w:rsid w:val="00ED323B"/>
    <w:rsid w:val="00ED3386"/>
    <w:rsid w:val="00ED34C4"/>
    <w:rsid w:val="00ED352F"/>
    <w:rsid w:val="00ED3670"/>
    <w:rsid w:val="00ED38DF"/>
    <w:rsid w:val="00ED3D16"/>
    <w:rsid w:val="00ED3F52"/>
    <w:rsid w:val="00ED4231"/>
    <w:rsid w:val="00ED4F82"/>
    <w:rsid w:val="00ED50E8"/>
    <w:rsid w:val="00ED577D"/>
    <w:rsid w:val="00ED5940"/>
    <w:rsid w:val="00ED599B"/>
    <w:rsid w:val="00ED6321"/>
    <w:rsid w:val="00ED6355"/>
    <w:rsid w:val="00ED647A"/>
    <w:rsid w:val="00ED6625"/>
    <w:rsid w:val="00ED67A5"/>
    <w:rsid w:val="00ED6D99"/>
    <w:rsid w:val="00ED6FF4"/>
    <w:rsid w:val="00ED711D"/>
    <w:rsid w:val="00ED752A"/>
    <w:rsid w:val="00ED75E0"/>
    <w:rsid w:val="00ED76E8"/>
    <w:rsid w:val="00ED7AF3"/>
    <w:rsid w:val="00ED7CB8"/>
    <w:rsid w:val="00ED7F81"/>
    <w:rsid w:val="00EE045F"/>
    <w:rsid w:val="00EE0720"/>
    <w:rsid w:val="00EE087B"/>
    <w:rsid w:val="00EE092C"/>
    <w:rsid w:val="00EE0C6D"/>
    <w:rsid w:val="00EE0D00"/>
    <w:rsid w:val="00EE1823"/>
    <w:rsid w:val="00EE1AC7"/>
    <w:rsid w:val="00EE1C00"/>
    <w:rsid w:val="00EE1C78"/>
    <w:rsid w:val="00EE24F3"/>
    <w:rsid w:val="00EE2DEC"/>
    <w:rsid w:val="00EE2F99"/>
    <w:rsid w:val="00EE31BD"/>
    <w:rsid w:val="00EE323E"/>
    <w:rsid w:val="00EE3BE0"/>
    <w:rsid w:val="00EE434F"/>
    <w:rsid w:val="00EE44B2"/>
    <w:rsid w:val="00EE4846"/>
    <w:rsid w:val="00EE4B2A"/>
    <w:rsid w:val="00EE51CC"/>
    <w:rsid w:val="00EE5BD6"/>
    <w:rsid w:val="00EE5F3B"/>
    <w:rsid w:val="00EE6750"/>
    <w:rsid w:val="00EE6BB5"/>
    <w:rsid w:val="00EE74D6"/>
    <w:rsid w:val="00EE7596"/>
    <w:rsid w:val="00EE7C3A"/>
    <w:rsid w:val="00EE7EDE"/>
    <w:rsid w:val="00EF027D"/>
    <w:rsid w:val="00EF027F"/>
    <w:rsid w:val="00EF0D32"/>
    <w:rsid w:val="00EF0EAC"/>
    <w:rsid w:val="00EF11F0"/>
    <w:rsid w:val="00EF1353"/>
    <w:rsid w:val="00EF157F"/>
    <w:rsid w:val="00EF175E"/>
    <w:rsid w:val="00EF18E6"/>
    <w:rsid w:val="00EF18EA"/>
    <w:rsid w:val="00EF1E69"/>
    <w:rsid w:val="00EF2795"/>
    <w:rsid w:val="00EF27CD"/>
    <w:rsid w:val="00EF3C27"/>
    <w:rsid w:val="00EF51AC"/>
    <w:rsid w:val="00EF58B1"/>
    <w:rsid w:val="00EF5A5F"/>
    <w:rsid w:val="00EF5ABA"/>
    <w:rsid w:val="00EF5E84"/>
    <w:rsid w:val="00EF6152"/>
    <w:rsid w:val="00EF6882"/>
    <w:rsid w:val="00EF697E"/>
    <w:rsid w:val="00EF698D"/>
    <w:rsid w:val="00EF6EFA"/>
    <w:rsid w:val="00EF72CB"/>
    <w:rsid w:val="00EF7AD6"/>
    <w:rsid w:val="00EF7B0C"/>
    <w:rsid w:val="00EF7F31"/>
    <w:rsid w:val="00F00DC9"/>
    <w:rsid w:val="00F00E40"/>
    <w:rsid w:val="00F00EC5"/>
    <w:rsid w:val="00F00F99"/>
    <w:rsid w:val="00F011D5"/>
    <w:rsid w:val="00F0121C"/>
    <w:rsid w:val="00F01513"/>
    <w:rsid w:val="00F019C4"/>
    <w:rsid w:val="00F01C3A"/>
    <w:rsid w:val="00F01D5D"/>
    <w:rsid w:val="00F01FBA"/>
    <w:rsid w:val="00F0202A"/>
    <w:rsid w:val="00F020C6"/>
    <w:rsid w:val="00F022E2"/>
    <w:rsid w:val="00F02381"/>
    <w:rsid w:val="00F029D4"/>
    <w:rsid w:val="00F02BB7"/>
    <w:rsid w:val="00F02E0E"/>
    <w:rsid w:val="00F0349F"/>
    <w:rsid w:val="00F03A90"/>
    <w:rsid w:val="00F03B3B"/>
    <w:rsid w:val="00F0447B"/>
    <w:rsid w:val="00F04648"/>
    <w:rsid w:val="00F05126"/>
    <w:rsid w:val="00F05E4B"/>
    <w:rsid w:val="00F05F83"/>
    <w:rsid w:val="00F05FB8"/>
    <w:rsid w:val="00F060BC"/>
    <w:rsid w:val="00F060D1"/>
    <w:rsid w:val="00F0631B"/>
    <w:rsid w:val="00F06437"/>
    <w:rsid w:val="00F0676E"/>
    <w:rsid w:val="00F067CC"/>
    <w:rsid w:val="00F0708C"/>
    <w:rsid w:val="00F0714D"/>
    <w:rsid w:val="00F07260"/>
    <w:rsid w:val="00F072B1"/>
    <w:rsid w:val="00F0733D"/>
    <w:rsid w:val="00F07373"/>
    <w:rsid w:val="00F07698"/>
    <w:rsid w:val="00F1057A"/>
    <w:rsid w:val="00F107CF"/>
    <w:rsid w:val="00F10B6D"/>
    <w:rsid w:val="00F10CA7"/>
    <w:rsid w:val="00F10F7B"/>
    <w:rsid w:val="00F11532"/>
    <w:rsid w:val="00F11929"/>
    <w:rsid w:val="00F11C93"/>
    <w:rsid w:val="00F12AC0"/>
    <w:rsid w:val="00F12D32"/>
    <w:rsid w:val="00F1355A"/>
    <w:rsid w:val="00F136FC"/>
    <w:rsid w:val="00F14306"/>
    <w:rsid w:val="00F143DE"/>
    <w:rsid w:val="00F14594"/>
    <w:rsid w:val="00F1486C"/>
    <w:rsid w:val="00F14A61"/>
    <w:rsid w:val="00F14BC8"/>
    <w:rsid w:val="00F15456"/>
    <w:rsid w:val="00F1548A"/>
    <w:rsid w:val="00F154AC"/>
    <w:rsid w:val="00F155C4"/>
    <w:rsid w:val="00F1581E"/>
    <w:rsid w:val="00F15FDD"/>
    <w:rsid w:val="00F16177"/>
    <w:rsid w:val="00F16657"/>
    <w:rsid w:val="00F16AD9"/>
    <w:rsid w:val="00F16D0F"/>
    <w:rsid w:val="00F17844"/>
    <w:rsid w:val="00F178D9"/>
    <w:rsid w:val="00F17D96"/>
    <w:rsid w:val="00F17DA8"/>
    <w:rsid w:val="00F2009C"/>
    <w:rsid w:val="00F202DA"/>
    <w:rsid w:val="00F20B3E"/>
    <w:rsid w:val="00F20D0F"/>
    <w:rsid w:val="00F20D73"/>
    <w:rsid w:val="00F21971"/>
    <w:rsid w:val="00F22266"/>
    <w:rsid w:val="00F227B4"/>
    <w:rsid w:val="00F22941"/>
    <w:rsid w:val="00F22B61"/>
    <w:rsid w:val="00F2390D"/>
    <w:rsid w:val="00F23927"/>
    <w:rsid w:val="00F23AF4"/>
    <w:rsid w:val="00F23D2B"/>
    <w:rsid w:val="00F24531"/>
    <w:rsid w:val="00F24AA8"/>
    <w:rsid w:val="00F24B98"/>
    <w:rsid w:val="00F24D5F"/>
    <w:rsid w:val="00F24E38"/>
    <w:rsid w:val="00F24E62"/>
    <w:rsid w:val="00F253E2"/>
    <w:rsid w:val="00F2551D"/>
    <w:rsid w:val="00F25536"/>
    <w:rsid w:val="00F2553D"/>
    <w:rsid w:val="00F25C5A"/>
    <w:rsid w:val="00F25C93"/>
    <w:rsid w:val="00F25CF1"/>
    <w:rsid w:val="00F26005"/>
    <w:rsid w:val="00F262EA"/>
    <w:rsid w:val="00F26430"/>
    <w:rsid w:val="00F26496"/>
    <w:rsid w:val="00F26646"/>
    <w:rsid w:val="00F26A52"/>
    <w:rsid w:val="00F26B87"/>
    <w:rsid w:val="00F273B0"/>
    <w:rsid w:val="00F2775F"/>
    <w:rsid w:val="00F277CD"/>
    <w:rsid w:val="00F300A1"/>
    <w:rsid w:val="00F30893"/>
    <w:rsid w:val="00F309FC"/>
    <w:rsid w:val="00F30D97"/>
    <w:rsid w:val="00F30E51"/>
    <w:rsid w:val="00F30F69"/>
    <w:rsid w:val="00F31A06"/>
    <w:rsid w:val="00F31DD0"/>
    <w:rsid w:val="00F31EE4"/>
    <w:rsid w:val="00F32235"/>
    <w:rsid w:val="00F33168"/>
    <w:rsid w:val="00F332CD"/>
    <w:rsid w:val="00F334FA"/>
    <w:rsid w:val="00F33984"/>
    <w:rsid w:val="00F33B26"/>
    <w:rsid w:val="00F33E7A"/>
    <w:rsid w:val="00F33FBD"/>
    <w:rsid w:val="00F344E9"/>
    <w:rsid w:val="00F3477B"/>
    <w:rsid w:val="00F34E92"/>
    <w:rsid w:val="00F359A2"/>
    <w:rsid w:val="00F35B3D"/>
    <w:rsid w:val="00F35BDB"/>
    <w:rsid w:val="00F3610C"/>
    <w:rsid w:val="00F362D3"/>
    <w:rsid w:val="00F36456"/>
    <w:rsid w:val="00F36537"/>
    <w:rsid w:val="00F36604"/>
    <w:rsid w:val="00F36D14"/>
    <w:rsid w:val="00F370CA"/>
    <w:rsid w:val="00F37985"/>
    <w:rsid w:val="00F37BC0"/>
    <w:rsid w:val="00F37DD7"/>
    <w:rsid w:val="00F40068"/>
    <w:rsid w:val="00F400B3"/>
    <w:rsid w:val="00F4015F"/>
    <w:rsid w:val="00F40403"/>
    <w:rsid w:val="00F40597"/>
    <w:rsid w:val="00F40775"/>
    <w:rsid w:val="00F40A6E"/>
    <w:rsid w:val="00F40AAC"/>
    <w:rsid w:val="00F41036"/>
    <w:rsid w:val="00F413FD"/>
    <w:rsid w:val="00F4157B"/>
    <w:rsid w:val="00F416EC"/>
    <w:rsid w:val="00F4189B"/>
    <w:rsid w:val="00F42B51"/>
    <w:rsid w:val="00F42E9B"/>
    <w:rsid w:val="00F436B1"/>
    <w:rsid w:val="00F43715"/>
    <w:rsid w:val="00F4381C"/>
    <w:rsid w:val="00F43D59"/>
    <w:rsid w:val="00F43E72"/>
    <w:rsid w:val="00F4463B"/>
    <w:rsid w:val="00F4494F"/>
    <w:rsid w:val="00F44DDE"/>
    <w:rsid w:val="00F44E13"/>
    <w:rsid w:val="00F44ECF"/>
    <w:rsid w:val="00F44F1C"/>
    <w:rsid w:val="00F450B5"/>
    <w:rsid w:val="00F452B2"/>
    <w:rsid w:val="00F45BB6"/>
    <w:rsid w:val="00F45E44"/>
    <w:rsid w:val="00F45EC4"/>
    <w:rsid w:val="00F461CA"/>
    <w:rsid w:val="00F46300"/>
    <w:rsid w:val="00F4669D"/>
    <w:rsid w:val="00F467D2"/>
    <w:rsid w:val="00F46A6A"/>
    <w:rsid w:val="00F47031"/>
    <w:rsid w:val="00F472BA"/>
    <w:rsid w:val="00F47470"/>
    <w:rsid w:val="00F47A8A"/>
    <w:rsid w:val="00F47BDB"/>
    <w:rsid w:val="00F47E39"/>
    <w:rsid w:val="00F50221"/>
    <w:rsid w:val="00F502EE"/>
    <w:rsid w:val="00F50715"/>
    <w:rsid w:val="00F5077D"/>
    <w:rsid w:val="00F50D99"/>
    <w:rsid w:val="00F51592"/>
    <w:rsid w:val="00F51738"/>
    <w:rsid w:val="00F5252B"/>
    <w:rsid w:val="00F52561"/>
    <w:rsid w:val="00F52645"/>
    <w:rsid w:val="00F5272B"/>
    <w:rsid w:val="00F52C26"/>
    <w:rsid w:val="00F530AB"/>
    <w:rsid w:val="00F5499D"/>
    <w:rsid w:val="00F54AC8"/>
    <w:rsid w:val="00F54DBD"/>
    <w:rsid w:val="00F553CD"/>
    <w:rsid w:val="00F5593F"/>
    <w:rsid w:val="00F55B77"/>
    <w:rsid w:val="00F56149"/>
    <w:rsid w:val="00F56276"/>
    <w:rsid w:val="00F56A82"/>
    <w:rsid w:val="00F56C54"/>
    <w:rsid w:val="00F56C66"/>
    <w:rsid w:val="00F570C1"/>
    <w:rsid w:val="00F57296"/>
    <w:rsid w:val="00F574F2"/>
    <w:rsid w:val="00F578A1"/>
    <w:rsid w:val="00F57B6D"/>
    <w:rsid w:val="00F57CAC"/>
    <w:rsid w:val="00F6015B"/>
    <w:rsid w:val="00F60460"/>
    <w:rsid w:val="00F6065D"/>
    <w:rsid w:val="00F60C63"/>
    <w:rsid w:val="00F6167E"/>
    <w:rsid w:val="00F61A98"/>
    <w:rsid w:val="00F61BA3"/>
    <w:rsid w:val="00F62431"/>
    <w:rsid w:val="00F626E7"/>
    <w:rsid w:val="00F62A15"/>
    <w:rsid w:val="00F62D08"/>
    <w:rsid w:val="00F636C7"/>
    <w:rsid w:val="00F638FF"/>
    <w:rsid w:val="00F6414D"/>
    <w:rsid w:val="00F641E6"/>
    <w:rsid w:val="00F64315"/>
    <w:rsid w:val="00F64483"/>
    <w:rsid w:val="00F6462E"/>
    <w:rsid w:val="00F64F57"/>
    <w:rsid w:val="00F64FA2"/>
    <w:rsid w:val="00F650CC"/>
    <w:rsid w:val="00F6593C"/>
    <w:rsid w:val="00F659F1"/>
    <w:rsid w:val="00F65B62"/>
    <w:rsid w:val="00F6656A"/>
    <w:rsid w:val="00F66915"/>
    <w:rsid w:val="00F66944"/>
    <w:rsid w:val="00F66AC9"/>
    <w:rsid w:val="00F66D47"/>
    <w:rsid w:val="00F6713F"/>
    <w:rsid w:val="00F67581"/>
    <w:rsid w:val="00F7006B"/>
    <w:rsid w:val="00F7085E"/>
    <w:rsid w:val="00F70B20"/>
    <w:rsid w:val="00F70C39"/>
    <w:rsid w:val="00F70E0D"/>
    <w:rsid w:val="00F70EC5"/>
    <w:rsid w:val="00F712DA"/>
    <w:rsid w:val="00F714AA"/>
    <w:rsid w:val="00F71794"/>
    <w:rsid w:val="00F718AB"/>
    <w:rsid w:val="00F71CE3"/>
    <w:rsid w:val="00F71F6F"/>
    <w:rsid w:val="00F71F8C"/>
    <w:rsid w:val="00F72484"/>
    <w:rsid w:val="00F72512"/>
    <w:rsid w:val="00F72CC1"/>
    <w:rsid w:val="00F73140"/>
    <w:rsid w:val="00F7334E"/>
    <w:rsid w:val="00F74114"/>
    <w:rsid w:val="00F7436F"/>
    <w:rsid w:val="00F74889"/>
    <w:rsid w:val="00F749A4"/>
    <w:rsid w:val="00F74BE8"/>
    <w:rsid w:val="00F75197"/>
    <w:rsid w:val="00F75461"/>
    <w:rsid w:val="00F758BD"/>
    <w:rsid w:val="00F76312"/>
    <w:rsid w:val="00F76733"/>
    <w:rsid w:val="00F76A73"/>
    <w:rsid w:val="00F77157"/>
    <w:rsid w:val="00F77307"/>
    <w:rsid w:val="00F778FF"/>
    <w:rsid w:val="00F8005D"/>
    <w:rsid w:val="00F80503"/>
    <w:rsid w:val="00F80A99"/>
    <w:rsid w:val="00F80EB0"/>
    <w:rsid w:val="00F80F44"/>
    <w:rsid w:val="00F8114D"/>
    <w:rsid w:val="00F815CA"/>
    <w:rsid w:val="00F81C18"/>
    <w:rsid w:val="00F81E15"/>
    <w:rsid w:val="00F81E94"/>
    <w:rsid w:val="00F82193"/>
    <w:rsid w:val="00F821C3"/>
    <w:rsid w:val="00F82A4D"/>
    <w:rsid w:val="00F82C8C"/>
    <w:rsid w:val="00F82F9E"/>
    <w:rsid w:val="00F83018"/>
    <w:rsid w:val="00F83039"/>
    <w:rsid w:val="00F830E1"/>
    <w:rsid w:val="00F83513"/>
    <w:rsid w:val="00F83EFD"/>
    <w:rsid w:val="00F8406F"/>
    <w:rsid w:val="00F841A7"/>
    <w:rsid w:val="00F84217"/>
    <w:rsid w:val="00F842E8"/>
    <w:rsid w:val="00F843E9"/>
    <w:rsid w:val="00F84C1C"/>
    <w:rsid w:val="00F84C86"/>
    <w:rsid w:val="00F854A8"/>
    <w:rsid w:val="00F85602"/>
    <w:rsid w:val="00F85C49"/>
    <w:rsid w:val="00F85D2F"/>
    <w:rsid w:val="00F85EE6"/>
    <w:rsid w:val="00F8683B"/>
    <w:rsid w:val="00F87522"/>
    <w:rsid w:val="00F87532"/>
    <w:rsid w:val="00F87BE2"/>
    <w:rsid w:val="00F87EC2"/>
    <w:rsid w:val="00F9073A"/>
    <w:rsid w:val="00F90806"/>
    <w:rsid w:val="00F90A55"/>
    <w:rsid w:val="00F90C36"/>
    <w:rsid w:val="00F90D9B"/>
    <w:rsid w:val="00F90EAE"/>
    <w:rsid w:val="00F91565"/>
    <w:rsid w:val="00F9168D"/>
    <w:rsid w:val="00F917EE"/>
    <w:rsid w:val="00F919D5"/>
    <w:rsid w:val="00F91A95"/>
    <w:rsid w:val="00F92210"/>
    <w:rsid w:val="00F92657"/>
    <w:rsid w:val="00F92B21"/>
    <w:rsid w:val="00F92CEC"/>
    <w:rsid w:val="00F931FB"/>
    <w:rsid w:val="00F93654"/>
    <w:rsid w:val="00F93A58"/>
    <w:rsid w:val="00F94CC2"/>
    <w:rsid w:val="00F95ACF"/>
    <w:rsid w:val="00F964AE"/>
    <w:rsid w:val="00F96A89"/>
    <w:rsid w:val="00F96EFC"/>
    <w:rsid w:val="00F971E0"/>
    <w:rsid w:val="00F9754C"/>
    <w:rsid w:val="00F97CAB"/>
    <w:rsid w:val="00F97CC7"/>
    <w:rsid w:val="00FA0474"/>
    <w:rsid w:val="00FA0853"/>
    <w:rsid w:val="00FA0D65"/>
    <w:rsid w:val="00FA1115"/>
    <w:rsid w:val="00FA112B"/>
    <w:rsid w:val="00FA13F9"/>
    <w:rsid w:val="00FA1C67"/>
    <w:rsid w:val="00FA1EB2"/>
    <w:rsid w:val="00FA2693"/>
    <w:rsid w:val="00FA2702"/>
    <w:rsid w:val="00FA27EF"/>
    <w:rsid w:val="00FA2BA8"/>
    <w:rsid w:val="00FA3825"/>
    <w:rsid w:val="00FA390A"/>
    <w:rsid w:val="00FA3989"/>
    <w:rsid w:val="00FA40E7"/>
    <w:rsid w:val="00FA43FB"/>
    <w:rsid w:val="00FA46C8"/>
    <w:rsid w:val="00FA47E3"/>
    <w:rsid w:val="00FA4824"/>
    <w:rsid w:val="00FA499B"/>
    <w:rsid w:val="00FA4DA5"/>
    <w:rsid w:val="00FA4ED6"/>
    <w:rsid w:val="00FA5292"/>
    <w:rsid w:val="00FA54E9"/>
    <w:rsid w:val="00FA5542"/>
    <w:rsid w:val="00FA557E"/>
    <w:rsid w:val="00FA6422"/>
    <w:rsid w:val="00FA6CC5"/>
    <w:rsid w:val="00FA70D3"/>
    <w:rsid w:val="00FA7B37"/>
    <w:rsid w:val="00FA7BB6"/>
    <w:rsid w:val="00FA7D52"/>
    <w:rsid w:val="00FA7EE7"/>
    <w:rsid w:val="00FA7FE2"/>
    <w:rsid w:val="00FB0F65"/>
    <w:rsid w:val="00FB139C"/>
    <w:rsid w:val="00FB13F4"/>
    <w:rsid w:val="00FB158D"/>
    <w:rsid w:val="00FB1856"/>
    <w:rsid w:val="00FB19E0"/>
    <w:rsid w:val="00FB1EC2"/>
    <w:rsid w:val="00FB2038"/>
    <w:rsid w:val="00FB203B"/>
    <w:rsid w:val="00FB215B"/>
    <w:rsid w:val="00FB21CD"/>
    <w:rsid w:val="00FB2278"/>
    <w:rsid w:val="00FB23A3"/>
    <w:rsid w:val="00FB255D"/>
    <w:rsid w:val="00FB2681"/>
    <w:rsid w:val="00FB286B"/>
    <w:rsid w:val="00FB2B54"/>
    <w:rsid w:val="00FB2B91"/>
    <w:rsid w:val="00FB2C33"/>
    <w:rsid w:val="00FB2FD0"/>
    <w:rsid w:val="00FB33D0"/>
    <w:rsid w:val="00FB34FB"/>
    <w:rsid w:val="00FB36DE"/>
    <w:rsid w:val="00FB3C30"/>
    <w:rsid w:val="00FB448B"/>
    <w:rsid w:val="00FB4673"/>
    <w:rsid w:val="00FB496F"/>
    <w:rsid w:val="00FB4B25"/>
    <w:rsid w:val="00FB529E"/>
    <w:rsid w:val="00FB5394"/>
    <w:rsid w:val="00FB565E"/>
    <w:rsid w:val="00FB5CF6"/>
    <w:rsid w:val="00FB5D3F"/>
    <w:rsid w:val="00FB5FC3"/>
    <w:rsid w:val="00FB65F5"/>
    <w:rsid w:val="00FB6D42"/>
    <w:rsid w:val="00FB77E3"/>
    <w:rsid w:val="00FB78BB"/>
    <w:rsid w:val="00FB7B4D"/>
    <w:rsid w:val="00FC00C4"/>
    <w:rsid w:val="00FC04C6"/>
    <w:rsid w:val="00FC08F5"/>
    <w:rsid w:val="00FC0F5D"/>
    <w:rsid w:val="00FC13B6"/>
    <w:rsid w:val="00FC186A"/>
    <w:rsid w:val="00FC207A"/>
    <w:rsid w:val="00FC20E8"/>
    <w:rsid w:val="00FC252D"/>
    <w:rsid w:val="00FC2F8B"/>
    <w:rsid w:val="00FC30E6"/>
    <w:rsid w:val="00FC3490"/>
    <w:rsid w:val="00FC3936"/>
    <w:rsid w:val="00FC3C9B"/>
    <w:rsid w:val="00FC3D64"/>
    <w:rsid w:val="00FC47F6"/>
    <w:rsid w:val="00FC4B3F"/>
    <w:rsid w:val="00FC5130"/>
    <w:rsid w:val="00FC5ACD"/>
    <w:rsid w:val="00FC5F43"/>
    <w:rsid w:val="00FC64F6"/>
    <w:rsid w:val="00FC662A"/>
    <w:rsid w:val="00FC674A"/>
    <w:rsid w:val="00FC684F"/>
    <w:rsid w:val="00FC7614"/>
    <w:rsid w:val="00FC77D1"/>
    <w:rsid w:val="00FC79BA"/>
    <w:rsid w:val="00FC7A99"/>
    <w:rsid w:val="00FC7C5E"/>
    <w:rsid w:val="00FD0058"/>
    <w:rsid w:val="00FD0102"/>
    <w:rsid w:val="00FD0F87"/>
    <w:rsid w:val="00FD0FF9"/>
    <w:rsid w:val="00FD12D3"/>
    <w:rsid w:val="00FD1411"/>
    <w:rsid w:val="00FD1740"/>
    <w:rsid w:val="00FD1BED"/>
    <w:rsid w:val="00FD1FD4"/>
    <w:rsid w:val="00FD26D4"/>
    <w:rsid w:val="00FD279A"/>
    <w:rsid w:val="00FD2B04"/>
    <w:rsid w:val="00FD2EB2"/>
    <w:rsid w:val="00FD3093"/>
    <w:rsid w:val="00FD3AA2"/>
    <w:rsid w:val="00FD3B9E"/>
    <w:rsid w:val="00FD3D47"/>
    <w:rsid w:val="00FD44AF"/>
    <w:rsid w:val="00FD4995"/>
    <w:rsid w:val="00FD4C16"/>
    <w:rsid w:val="00FD4EA2"/>
    <w:rsid w:val="00FD5291"/>
    <w:rsid w:val="00FD5352"/>
    <w:rsid w:val="00FD5452"/>
    <w:rsid w:val="00FD549F"/>
    <w:rsid w:val="00FD58D2"/>
    <w:rsid w:val="00FD5AA2"/>
    <w:rsid w:val="00FD5D19"/>
    <w:rsid w:val="00FD5E77"/>
    <w:rsid w:val="00FD6243"/>
    <w:rsid w:val="00FD6396"/>
    <w:rsid w:val="00FD63B2"/>
    <w:rsid w:val="00FD6CC9"/>
    <w:rsid w:val="00FD714D"/>
    <w:rsid w:val="00FD7B10"/>
    <w:rsid w:val="00FD7F1E"/>
    <w:rsid w:val="00FE0073"/>
    <w:rsid w:val="00FE02CB"/>
    <w:rsid w:val="00FE0F39"/>
    <w:rsid w:val="00FE1291"/>
    <w:rsid w:val="00FE13F6"/>
    <w:rsid w:val="00FE15B1"/>
    <w:rsid w:val="00FE26A6"/>
    <w:rsid w:val="00FE27AD"/>
    <w:rsid w:val="00FE2BB6"/>
    <w:rsid w:val="00FE2BC4"/>
    <w:rsid w:val="00FE2E02"/>
    <w:rsid w:val="00FE2FF1"/>
    <w:rsid w:val="00FE365B"/>
    <w:rsid w:val="00FE379C"/>
    <w:rsid w:val="00FE3B48"/>
    <w:rsid w:val="00FE3B74"/>
    <w:rsid w:val="00FE3F8C"/>
    <w:rsid w:val="00FE42EC"/>
    <w:rsid w:val="00FE45E1"/>
    <w:rsid w:val="00FE4635"/>
    <w:rsid w:val="00FE473A"/>
    <w:rsid w:val="00FE5AD3"/>
    <w:rsid w:val="00FE5D97"/>
    <w:rsid w:val="00FE609A"/>
    <w:rsid w:val="00FE6A15"/>
    <w:rsid w:val="00FE6A18"/>
    <w:rsid w:val="00FE6A79"/>
    <w:rsid w:val="00FE6D23"/>
    <w:rsid w:val="00FE7039"/>
    <w:rsid w:val="00FE76CA"/>
    <w:rsid w:val="00FE7E4B"/>
    <w:rsid w:val="00FF0006"/>
    <w:rsid w:val="00FF05D3"/>
    <w:rsid w:val="00FF08BF"/>
    <w:rsid w:val="00FF0AA2"/>
    <w:rsid w:val="00FF111B"/>
    <w:rsid w:val="00FF125D"/>
    <w:rsid w:val="00FF1291"/>
    <w:rsid w:val="00FF1708"/>
    <w:rsid w:val="00FF1DCB"/>
    <w:rsid w:val="00FF1E5F"/>
    <w:rsid w:val="00FF205D"/>
    <w:rsid w:val="00FF2278"/>
    <w:rsid w:val="00FF24B7"/>
    <w:rsid w:val="00FF2BA0"/>
    <w:rsid w:val="00FF32EF"/>
    <w:rsid w:val="00FF33A3"/>
    <w:rsid w:val="00FF33D6"/>
    <w:rsid w:val="00FF3599"/>
    <w:rsid w:val="00FF3898"/>
    <w:rsid w:val="00FF4393"/>
    <w:rsid w:val="00FF4A89"/>
    <w:rsid w:val="00FF4BE3"/>
    <w:rsid w:val="00FF4D36"/>
    <w:rsid w:val="00FF4FB3"/>
    <w:rsid w:val="00FF50CB"/>
    <w:rsid w:val="00FF5874"/>
    <w:rsid w:val="00FF588E"/>
    <w:rsid w:val="00FF5A84"/>
    <w:rsid w:val="00FF5AEB"/>
    <w:rsid w:val="00FF5DE0"/>
    <w:rsid w:val="00FF5F05"/>
    <w:rsid w:val="00FF636B"/>
    <w:rsid w:val="00FF63EA"/>
    <w:rsid w:val="00FF66B8"/>
    <w:rsid w:val="00FF6796"/>
    <w:rsid w:val="00FF6917"/>
    <w:rsid w:val="00FF6C03"/>
    <w:rsid w:val="00FF735C"/>
    <w:rsid w:val="00FF7513"/>
    <w:rsid w:val="00FF76FA"/>
    <w:rsid w:val="00FF790C"/>
    <w:rsid w:val="00FF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15A84607"/>
  <w15:docId w15:val="{9B9061DF-AB01-4871-8C39-884AB9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6EF3"/>
    <w:rPr>
      <w:sz w:val="24"/>
      <w:szCs w:val="24"/>
    </w:rPr>
  </w:style>
  <w:style w:type="paragraph" w:styleId="Heading1">
    <w:name w:val="heading 1"/>
    <w:basedOn w:val="BodyText"/>
    <w:next w:val="BodyText"/>
    <w:rsid w:val="00526EF3"/>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26EF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26EF3"/>
    <w:pPr>
      <w:spacing w:before="560" w:line="320" w:lineRule="exact"/>
      <w:ind w:left="0" w:firstLine="0"/>
      <w:outlineLvl w:val="2"/>
    </w:pPr>
    <w:rPr>
      <w:sz w:val="26"/>
    </w:rPr>
  </w:style>
  <w:style w:type="paragraph" w:styleId="Heading4">
    <w:name w:val="heading 4"/>
    <w:basedOn w:val="Heading3"/>
    <w:next w:val="BodyText"/>
    <w:link w:val="Heading4Char"/>
    <w:qFormat/>
    <w:rsid w:val="00526EF3"/>
    <w:pPr>
      <w:spacing w:before="480"/>
      <w:outlineLvl w:val="3"/>
    </w:pPr>
    <w:rPr>
      <w:b w:val="0"/>
      <w:sz w:val="24"/>
    </w:rPr>
  </w:style>
  <w:style w:type="paragraph" w:styleId="Heading5">
    <w:name w:val="heading 5"/>
    <w:basedOn w:val="Heading4"/>
    <w:next w:val="BodyText"/>
    <w:link w:val="Heading5Char"/>
    <w:qFormat/>
    <w:rsid w:val="00526EF3"/>
    <w:pPr>
      <w:outlineLvl w:val="4"/>
    </w:pPr>
    <w:rPr>
      <w:i/>
      <w:sz w:val="22"/>
    </w:rPr>
  </w:style>
  <w:style w:type="paragraph" w:styleId="Heading6">
    <w:name w:val="heading 6"/>
    <w:basedOn w:val="BodyText"/>
    <w:next w:val="BodyText"/>
    <w:rsid w:val="00526EF3"/>
    <w:pPr>
      <w:spacing w:after="60"/>
      <w:jc w:val="left"/>
      <w:outlineLvl w:val="5"/>
    </w:pPr>
    <w:rPr>
      <w:i/>
      <w:sz w:val="22"/>
    </w:rPr>
  </w:style>
  <w:style w:type="paragraph" w:styleId="Heading7">
    <w:name w:val="heading 7"/>
    <w:basedOn w:val="BodyText"/>
    <w:next w:val="BodyText"/>
    <w:rsid w:val="00526EF3"/>
    <w:pPr>
      <w:spacing w:after="60" w:line="240" w:lineRule="auto"/>
      <w:jc w:val="left"/>
      <w:outlineLvl w:val="6"/>
    </w:pPr>
    <w:rPr>
      <w:rFonts w:ascii="Arial" w:hAnsi="Arial"/>
      <w:sz w:val="20"/>
    </w:rPr>
  </w:style>
  <w:style w:type="paragraph" w:styleId="Heading8">
    <w:name w:val="heading 8"/>
    <w:basedOn w:val="BodyText"/>
    <w:next w:val="BodyText"/>
    <w:rsid w:val="00526EF3"/>
    <w:pPr>
      <w:spacing w:after="60" w:line="240" w:lineRule="auto"/>
      <w:jc w:val="left"/>
      <w:outlineLvl w:val="7"/>
    </w:pPr>
    <w:rPr>
      <w:rFonts w:ascii="Arial" w:hAnsi="Arial"/>
      <w:i/>
      <w:sz w:val="20"/>
    </w:rPr>
  </w:style>
  <w:style w:type="paragraph" w:styleId="Heading9">
    <w:name w:val="heading 9"/>
    <w:basedOn w:val="BodyText"/>
    <w:next w:val="BodyText"/>
    <w:rsid w:val="00526EF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26E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EF3"/>
  </w:style>
  <w:style w:type="paragraph" w:styleId="BodyText">
    <w:name w:val="Body Text"/>
    <w:link w:val="BodyTextChar"/>
    <w:qFormat/>
    <w:rsid w:val="00526EF3"/>
    <w:pPr>
      <w:spacing w:before="240" w:line="300" w:lineRule="atLeast"/>
      <w:jc w:val="both"/>
    </w:pPr>
    <w:rPr>
      <w:sz w:val="24"/>
    </w:rPr>
  </w:style>
  <w:style w:type="paragraph" w:customStyle="1" w:styleId="Chapter">
    <w:name w:val="Chapter"/>
    <w:basedOn w:val="Heading1"/>
    <w:next w:val="BodyText"/>
    <w:semiHidden/>
    <w:rsid w:val="00526EF3"/>
    <w:pPr>
      <w:ind w:left="0" w:firstLine="0"/>
      <w:outlineLvl w:val="9"/>
    </w:pPr>
  </w:style>
  <w:style w:type="paragraph" w:customStyle="1" w:styleId="SequenceInfo">
    <w:name w:val="Sequence Info"/>
    <w:basedOn w:val="BodyText"/>
    <w:semiHidden/>
    <w:rsid w:val="00526EF3"/>
    <w:rPr>
      <w:vanish/>
      <w:sz w:val="16"/>
    </w:rPr>
  </w:style>
  <w:style w:type="character" w:styleId="CommentReference">
    <w:name w:val="annotation reference"/>
    <w:basedOn w:val="DefaultParagraphFont"/>
    <w:rsid w:val="00526EF3"/>
    <w:rPr>
      <w:b/>
      <w:vanish/>
      <w:color w:val="FF00FF"/>
      <w:sz w:val="20"/>
    </w:rPr>
  </w:style>
  <w:style w:type="paragraph" w:styleId="CommentText">
    <w:name w:val="annotation text"/>
    <w:basedOn w:val="Normal"/>
    <w:link w:val="CommentTextChar"/>
    <w:semiHidden/>
    <w:rsid w:val="00526EF3"/>
    <w:pPr>
      <w:spacing w:before="120" w:line="240" w:lineRule="atLeast"/>
      <w:ind w:left="567" w:hanging="567"/>
    </w:pPr>
    <w:rPr>
      <w:sz w:val="20"/>
    </w:rPr>
  </w:style>
  <w:style w:type="paragraph" w:customStyle="1" w:styleId="Abbreviation">
    <w:name w:val="Abbreviation"/>
    <w:basedOn w:val="BodyText"/>
    <w:rsid w:val="00526EF3"/>
    <w:pPr>
      <w:spacing w:before="120"/>
      <w:ind w:left="2381" w:hanging="2381"/>
      <w:jc w:val="left"/>
    </w:pPr>
  </w:style>
  <w:style w:type="paragraph" w:customStyle="1" w:styleId="Box">
    <w:name w:val="Box"/>
    <w:basedOn w:val="BodyText"/>
    <w:link w:val="BoxChar"/>
    <w:qFormat/>
    <w:rsid w:val="00526EF3"/>
    <w:pPr>
      <w:keepNext/>
      <w:spacing w:before="120" w:line="260" w:lineRule="atLeast"/>
    </w:pPr>
    <w:rPr>
      <w:rFonts w:ascii="Arial" w:hAnsi="Arial"/>
      <w:sz w:val="20"/>
    </w:rPr>
  </w:style>
  <w:style w:type="paragraph" w:customStyle="1" w:styleId="QuoteBullet">
    <w:name w:val="Quote Bullet"/>
    <w:basedOn w:val="Quote"/>
    <w:rsid w:val="00526EF3"/>
    <w:pPr>
      <w:numPr>
        <w:numId w:val="11"/>
      </w:numPr>
    </w:pPr>
  </w:style>
  <w:style w:type="paragraph" w:customStyle="1" w:styleId="BoxListBullet">
    <w:name w:val="Box List Bullet"/>
    <w:basedOn w:val="BodyText"/>
    <w:link w:val="BoxListBulletChar"/>
    <w:rsid w:val="00526EF3"/>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526EF3"/>
    <w:pPr>
      <w:numPr>
        <w:numId w:val="3"/>
      </w:numPr>
      <w:ind w:left="568" w:hanging="284"/>
    </w:pPr>
  </w:style>
  <w:style w:type="paragraph" w:customStyle="1" w:styleId="BoxListNumber">
    <w:name w:val="Box List Number"/>
    <w:basedOn w:val="BodyText"/>
    <w:rsid w:val="00526EF3"/>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26EF3"/>
    <w:pPr>
      <w:numPr>
        <w:ilvl w:val="1"/>
      </w:numPr>
      <w:ind w:left="681" w:hanging="397"/>
    </w:pPr>
  </w:style>
  <w:style w:type="paragraph" w:customStyle="1" w:styleId="BoxQuote">
    <w:name w:val="Box Quote"/>
    <w:basedOn w:val="BodyText"/>
    <w:next w:val="Box"/>
    <w:qFormat/>
    <w:rsid w:val="00526EF3"/>
    <w:pPr>
      <w:keepNext/>
      <w:spacing w:before="60" w:line="240" w:lineRule="exact"/>
      <w:ind w:left="284"/>
    </w:pPr>
    <w:rPr>
      <w:rFonts w:ascii="Arial" w:hAnsi="Arial"/>
      <w:sz w:val="18"/>
    </w:rPr>
  </w:style>
  <w:style w:type="paragraph" w:customStyle="1" w:styleId="BoxSource">
    <w:name w:val="Box Source"/>
    <w:basedOn w:val="Source"/>
    <w:next w:val="BodyText"/>
    <w:rsid w:val="00526EF3"/>
    <w:pPr>
      <w:spacing w:before="120"/>
    </w:pPr>
  </w:style>
  <w:style w:type="paragraph" w:customStyle="1" w:styleId="BoxSpace">
    <w:name w:val="Box Space"/>
    <w:basedOn w:val="BodyText"/>
    <w:rsid w:val="00DA56CA"/>
    <w:pPr>
      <w:keepNext/>
      <w:spacing w:before="360" w:line="80" w:lineRule="exact"/>
      <w:jc w:val="left"/>
    </w:pPr>
  </w:style>
  <w:style w:type="paragraph" w:customStyle="1" w:styleId="BoxSubtitle">
    <w:name w:val="Box Subtitle"/>
    <w:basedOn w:val="BoxTitle"/>
    <w:next w:val="Normal"/>
    <w:rsid w:val="00526EF3"/>
    <w:pPr>
      <w:spacing w:after="80" w:line="200" w:lineRule="exact"/>
      <w:ind w:firstLine="0"/>
    </w:pPr>
    <w:rPr>
      <w:b w:val="0"/>
      <w:sz w:val="20"/>
    </w:rPr>
  </w:style>
  <w:style w:type="paragraph" w:customStyle="1" w:styleId="BoxTitle">
    <w:name w:val="Box Title"/>
    <w:basedOn w:val="Caption"/>
    <w:next w:val="BoxSubtitle"/>
    <w:link w:val="BoxTitleChar"/>
    <w:rsid w:val="00526EF3"/>
    <w:pPr>
      <w:spacing w:before="120" w:after="0"/>
    </w:pPr>
  </w:style>
  <w:style w:type="paragraph" w:styleId="Caption">
    <w:name w:val="caption"/>
    <w:basedOn w:val="Normal"/>
    <w:next w:val="BodyText"/>
    <w:rsid w:val="00526EF3"/>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526EF3"/>
    <w:pPr>
      <w:spacing w:line="280" w:lineRule="atLeast"/>
      <w:ind w:left="907"/>
    </w:pPr>
    <w:rPr>
      <w:rFonts w:ascii="Arial" w:hAnsi="Arial"/>
      <w:b/>
      <w:sz w:val="20"/>
    </w:rPr>
  </w:style>
  <w:style w:type="character" w:customStyle="1" w:styleId="DocumentInfo">
    <w:name w:val="Document Info"/>
    <w:basedOn w:val="DefaultParagraphFont"/>
    <w:semiHidden/>
    <w:rsid w:val="00526EF3"/>
    <w:rPr>
      <w:rFonts w:ascii="Arial" w:hAnsi="Arial"/>
      <w:sz w:val="14"/>
    </w:rPr>
  </w:style>
  <w:style w:type="paragraph" w:styleId="Footer">
    <w:name w:val="footer"/>
    <w:basedOn w:val="BodyText"/>
    <w:link w:val="FooterChar"/>
    <w:rsid w:val="00526EF3"/>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526EF3"/>
    <w:rPr>
      <w:b/>
      <w:color w:val="FF0000"/>
      <w:sz w:val="24"/>
      <w:u w:val="dotted"/>
    </w:rPr>
  </w:style>
  <w:style w:type="paragraph" w:customStyle="1" w:styleId="BoxContinued">
    <w:name w:val="Box Continued"/>
    <w:basedOn w:val="BodyText"/>
    <w:next w:val="BodyText"/>
    <w:semiHidden/>
    <w:rsid w:val="00526EF3"/>
    <w:pPr>
      <w:spacing w:before="180" w:line="220" w:lineRule="exact"/>
      <w:jc w:val="right"/>
    </w:pPr>
    <w:rPr>
      <w:rFonts w:ascii="Arial" w:hAnsi="Arial"/>
      <w:sz w:val="18"/>
    </w:rPr>
  </w:style>
  <w:style w:type="paragraph" w:customStyle="1" w:styleId="Figure">
    <w:name w:val="Figure"/>
    <w:basedOn w:val="BodyText"/>
    <w:rsid w:val="00526EF3"/>
    <w:pPr>
      <w:keepNext/>
      <w:spacing w:before="120" w:after="120" w:line="240" w:lineRule="atLeast"/>
      <w:jc w:val="center"/>
    </w:pPr>
  </w:style>
  <w:style w:type="paragraph" w:customStyle="1" w:styleId="FigureTitle">
    <w:name w:val="Figure Title"/>
    <w:basedOn w:val="Caption"/>
    <w:next w:val="Subtitle"/>
    <w:link w:val="FigureTitleChar"/>
    <w:rsid w:val="00526EF3"/>
    <w:pPr>
      <w:spacing w:before="120"/>
    </w:pPr>
  </w:style>
  <w:style w:type="paragraph" w:styleId="Subtitle">
    <w:name w:val="Subtitle"/>
    <w:basedOn w:val="Caption"/>
    <w:link w:val="SubtitleChar"/>
    <w:qFormat/>
    <w:rsid w:val="00526EF3"/>
    <w:pPr>
      <w:spacing w:before="0" w:line="200" w:lineRule="exact"/>
      <w:ind w:firstLine="0"/>
    </w:pPr>
    <w:rPr>
      <w:b w:val="0"/>
      <w:sz w:val="20"/>
    </w:rPr>
  </w:style>
  <w:style w:type="paragraph" w:customStyle="1" w:styleId="Finding">
    <w:name w:val="Finding"/>
    <w:basedOn w:val="BodyText"/>
    <w:rsid w:val="00526EF3"/>
    <w:pPr>
      <w:keepLines/>
      <w:spacing w:before="120" w:line="280" w:lineRule="atLeast"/>
    </w:pPr>
    <w:rPr>
      <w:rFonts w:ascii="Arial" w:hAnsi="Arial"/>
      <w:sz w:val="22"/>
    </w:rPr>
  </w:style>
  <w:style w:type="paragraph" w:customStyle="1" w:styleId="FindingBullet">
    <w:name w:val="Finding Bullet"/>
    <w:basedOn w:val="Finding"/>
    <w:rsid w:val="00526EF3"/>
    <w:pPr>
      <w:numPr>
        <w:numId w:val="7"/>
      </w:numPr>
      <w:spacing w:before="80"/>
    </w:pPr>
  </w:style>
  <w:style w:type="paragraph" w:customStyle="1" w:styleId="FindingNoTitle">
    <w:name w:val="Finding NoTitle"/>
    <w:basedOn w:val="Finding"/>
    <w:rsid w:val="00526EF3"/>
    <w:pPr>
      <w:spacing w:before="240"/>
    </w:pPr>
  </w:style>
  <w:style w:type="paragraph" w:customStyle="1" w:styleId="FindingTitle">
    <w:name w:val="Finding Title"/>
    <w:basedOn w:val="RecTitle"/>
    <w:next w:val="Finding"/>
    <w:rsid w:val="00526EF3"/>
  </w:style>
  <w:style w:type="paragraph" w:customStyle="1" w:styleId="FooterEnd">
    <w:name w:val="Footer End"/>
    <w:basedOn w:val="Footer"/>
    <w:rsid w:val="00526EF3"/>
    <w:pPr>
      <w:spacing w:before="0" w:line="20" w:lineRule="exact"/>
    </w:pPr>
  </w:style>
  <w:style w:type="character" w:styleId="FootnoteReference">
    <w:name w:val="footnote reference"/>
    <w:basedOn w:val="DefaultParagraphFont"/>
    <w:semiHidden/>
    <w:rsid w:val="00526EF3"/>
    <w:rPr>
      <w:rFonts w:ascii="Times New Roman" w:hAnsi="Times New Roman"/>
      <w:position w:val="6"/>
      <w:sz w:val="20"/>
      <w:vertAlign w:val="baseline"/>
    </w:rPr>
  </w:style>
  <w:style w:type="paragraph" w:styleId="FootnoteText">
    <w:name w:val="footnote text"/>
    <w:basedOn w:val="BodyText"/>
    <w:rsid w:val="00526EF3"/>
    <w:pPr>
      <w:tabs>
        <w:tab w:val="left" w:pos="284"/>
      </w:tabs>
      <w:spacing w:before="80" w:line="240" w:lineRule="exact"/>
      <w:ind w:left="284" w:hanging="284"/>
    </w:pPr>
    <w:rPr>
      <w:sz w:val="20"/>
    </w:rPr>
  </w:style>
  <w:style w:type="paragraph" w:styleId="Header">
    <w:name w:val="header"/>
    <w:basedOn w:val="BodyText"/>
    <w:rsid w:val="00526EF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26EF3"/>
    <w:pPr>
      <w:spacing w:line="20" w:lineRule="exact"/>
    </w:pPr>
    <w:rPr>
      <w:sz w:val="16"/>
    </w:rPr>
  </w:style>
  <w:style w:type="paragraph" w:customStyle="1" w:styleId="HeaderEven">
    <w:name w:val="Header Even"/>
    <w:basedOn w:val="Header"/>
    <w:semiHidden/>
    <w:rsid w:val="00526EF3"/>
  </w:style>
  <w:style w:type="paragraph" w:customStyle="1" w:styleId="HeaderOdd">
    <w:name w:val="Header Odd"/>
    <w:basedOn w:val="Header"/>
    <w:rsid w:val="00526EF3"/>
  </w:style>
  <w:style w:type="paragraph" w:customStyle="1" w:styleId="InformationRequest">
    <w:name w:val="Information Request"/>
    <w:basedOn w:val="Finding"/>
    <w:next w:val="BodyText"/>
    <w:rsid w:val="00526EF3"/>
    <w:rPr>
      <w:i/>
    </w:rPr>
  </w:style>
  <w:style w:type="paragraph" w:styleId="ListBullet">
    <w:name w:val="List Bullet"/>
    <w:basedOn w:val="BodyText"/>
    <w:link w:val="ListBulletChar"/>
    <w:rsid w:val="00526EF3"/>
    <w:pPr>
      <w:numPr>
        <w:numId w:val="5"/>
      </w:numPr>
      <w:spacing w:before="120"/>
    </w:pPr>
  </w:style>
  <w:style w:type="paragraph" w:styleId="ListBullet2">
    <w:name w:val="List Bullet 2"/>
    <w:basedOn w:val="BodyText"/>
    <w:rsid w:val="00526EF3"/>
    <w:pPr>
      <w:numPr>
        <w:numId w:val="2"/>
      </w:numPr>
      <w:spacing w:before="120"/>
    </w:pPr>
  </w:style>
  <w:style w:type="paragraph" w:styleId="ListBullet3">
    <w:name w:val="List Bullet 3"/>
    <w:basedOn w:val="BodyText"/>
    <w:rsid w:val="00526EF3"/>
    <w:pPr>
      <w:numPr>
        <w:numId w:val="1"/>
      </w:numPr>
      <w:spacing w:before="120"/>
      <w:ind w:left="1020" w:hanging="340"/>
    </w:pPr>
  </w:style>
  <w:style w:type="paragraph" w:styleId="ListNumber">
    <w:name w:val="List Number"/>
    <w:basedOn w:val="BodyText"/>
    <w:rsid w:val="00526EF3"/>
    <w:pPr>
      <w:numPr>
        <w:numId w:val="13"/>
      </w:numPr>
      <w:spacing w:before="120"/>
    </w:pPr>
  </w:style>
  <w:style w:type="paragraph" w:styleId="ListNumber2">
    <w:name w:val="List Number 2"/>
    <w:basedOn w:val="ListNumber"/>
    <w:rsid w:val="00526EF3"/>
    <w:pPr>
      <w:numPr>
        <w:ilvl w:val="1"/>
      </w:numPr>
    </w:pPr>
  </w:style>
  <w:style w:type="paragraph" w:styleId="ListNumber3">
    <w:name w:val="List Number 3"/>
    <w:basedOn w:val="ListNumber2"/>
    <w:rsid w:val="00526EF3"/>
    <w:pPr>
      <w:numPr>
        <w:ilvl w:val="2"/>
      </w:numPr>
    </w:pPr>
  </w:style>
  <w:style w:type="paragraph" w:customStyle="1" w:styleId="Note">
    <w:name w:val="Note"/>
    <w:basedOn w:val="BodyText"/>
    <w:next w:val="BodyText"/>
    <w:link w:val="NoteChar"/>
    <w:rsid w:val="00526EF3"/>
    <w:pPr>
      <w:keepLines/>
      <w:spacing w:before="80" w:line="220" w:lineRule="exact"/>
    </w:pPr>
    <w:rPr>
      <w:rFonts w:ascii="Arial" w:hAnsi="Arial"/>
      <w:sz w:val="18"/>
    </w:rPr>
  </w:style>
  <w:style w:type="character" w:customStyle="1" w:styleId="NoteLabel">
    <w:name w:val="Note Label"/>
    <w:basedOn w:val="DefaultParagraphFont"/>
    <w:rsid w:val="00526EF3"/>
    <w:rPr>
      <w:rFonts w:ascii="Arial" w:hAnsi="Arial"/>
      <w:b/>
      <w:position w:val="6"/>
      <w:sz w:val="18"/>
    </w:rPr>
  </w:style>
  <w:style w:type="character" w:styleId="PageNumber">
    <w:name w:val="page number"/>
    <w:basedOn w:val="DefaultParagraphFont"/>
    <w:rsid w:val="00526EF3"/>
    <w:rPr>
      <w:rFonts w:ascii="Arial" w:hAnsi="Arial"/>
      <w:b/>
      <w:sz w:val="16"/>
    </w:rPr>
  </w:style>
  <w:style w:type="paragraph" w:customStyle="1" w:styleId="PartDivider">
    <w:name w:val="Part Divider"/>
    <w:basedOn w:val="BodyText"/>
    <w:next w:val="BodyText"/>
    <w:semiHidden/>
    <w:rsid w:val="00526EF3"/>
    <w:pPr>
      <w:spacing w:before="0" w:line="40" w:lineRule="exact"/>
      <w:jc w:val="right"/>
    </w:pPr>
    <w:rPr>
      <w:smallCaps/>
      <w:sz w:val="16"/>
    </w:rPr>
  </w:style>
  <w:style w:type="paragraph" w:customStyle="1" w:styleId="PartNumber">
    <w:name w:val="Part Number"/>
    <w:basedOn w:val="BodyText"/>
    <w:next w:val="BodyText"/>
    <w:semiHidden/>
    <w:rsid w:val="00526EF3"/>
    <w:pPr>
      <w:spacing w:before="4000" w:line="320" w:lineRule="exact"/>
      <w:ind w:left="6634"/>
      <w:jc w:val="right"/>
    </w:pPr>
    <w:rPr>
      <w:smallCaps/>
      <w:spacing w:val="60"/>
      <w:sz w:val="32"/>
    </w:rPr>
  </w:style>
  <w:style w:type="paragraph" w:customStyle="1" w:styleId="PartTitle">
    <w:name w:val="Part Title"/>
    <w:basedOn w:val="BodyText"/>
    <w:semiHidden/>
    <w:rsid w:val="00526EF3"/>
    <w:pPr>
      <w:spacing w:before="160" w:after="1360" w:line="520" w:lineRule="exact"/>
      <w:ind w:right="2381"/>
      <w:jc w:val="right"/>
    </w:pPr>
    <w:rPr>
      <w:smallCaps/>
      <w:sz w:val="52"/>
    </w:rPr>
  </w:style>
  <w:style w:type="paragraph" w:styleId="Quote">
    <w:name w:val="Quote"/>
    <w:basedOn w:val="BodyText"/>
    <w:next w:val="BodyText"/>
    <w:qFormat/>
    <w:rsid w:val="00526EF3"/>
    <w:pPr>
      <w:spacing w:before="120" w:line="280" w:lineRule="exact"/>
      <w:ind w:left="340"/>
    </w:pPr>
    <w:rPr>
      <w:sz w:val="22"/>
    </w:rPr>
  </w:style>
  <w:style w:type="paragraph" w:customStyle="1" w:styleId="Rec">
    <w:name w:val="Rec"/>
    <w:basedOn w:val="BodyText"/>
    <w:qFormat/>
    <w:rsid w:val="00526EF3"/>
    <w:pPr>
      <w:keepLines/>
      <w:spacing w:before="120" w:line="280" w:lineRule="atLeast"/>
    </w:pPr>
    <w:rPr>
      <w:rFonts w:ascii="Arial" w:hAnsi="Arial"/>
      <w:sz w:val="22"/>
    </w:rPr>
  </w:style>
  <w:style w:type="paragraph" w:customStyle="1" w:styleId="RecBullet">
    <w:name w:val="Rec Bullet"/>
    <w:basedOn w:val="Rec"/>
    <w:rsid w:val="00526EF3"/>
    <w:pPr>
      <w:numPr>
        <w:numId w:val="8"/>
      </w:numPr>
      <w:spacing w:before="80"/>
    </w:pPr>
  </w:style>
  <w:style w:type="paragraph" w:customStyle="1" w:styleId="RecTitle">
    <w:name w:val="Rec Title"/>
    <w:basedOn w:val="BodyText"/>
    <w:next w:val="Rec"/>
    <w:qFormat/>
    <w:rsid w:val="00526EF3"/>
    <w:pPr>
      <w:keepNext/>
      <w:keepLines/>
      <w:spacing w:line="280" w:lineRule="atLeast"/>
    </w:pPr>
    <w:rPr>
      <w:rFonts w:ascii="Arial" w:hAnsi="Arial"/>
      <w:caps/>
      <w:sz w:val="18"/>
    </w:rPr>
  </w:style>
  <w:style w:type="paragraph" w:customStyle="1" w:styleId="RecB">
    <w:name w:val="RecB"/>
    <w:basedOn w:val="Normal"/>
    <w:rsid w:val="00526EF3"/>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26EF3"/>
    <w:pPr>
      <w:numPr>
        <w:numId w:val="9"/>
      </w:numPr>
      <w:spacing w:before="80"/>
    </w:pPr>
  </w:style>
  <w:style w:type="paragraph" w:customStyle="1" w:styleId="RecBNoTitle">
    <w:name w:val="RecB NoTitle"/>
    <w:basedOn w:val="RecB"/>
    <w:rsid w:val="00526EF3"/>
    <w:pPr>
      <w:spacing w:before="240"/>
    </w:pPr>
  </w:style>
  <w:style w:type="paragraph" w:customStyle="1" w:styleId="Reference">
    <w:name w:val="Reference"/>
    <w:basedOn w:val="BodyText"/>
    <w:link w:val="ReferenceChar"/>
    <w:rsid w:val="00526EF3"/>
    <w:pPr>
      <w:spacing w:before="120"/>
      <w:ind w:left="340" w:hanging="340"/>
    </w:pPr>
  </w:style>
  <w:style w:type="paragraph" w:customStyle="1" w:styleId="SideNote">
    <w:name w:val="Side Note"/>
    <w:basedOn w:val="BodyText"/>
    <w:next w:val="BodyText"/>
    <w:semiHidden/>
    <w:rsid w:val="00526EF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26EF3"/>
    <w:pPr>
      <w:framePr w:wrap="around"/>
      <w:numPr>
        <w:numId w:val="4"/>
      </w:numPr>
      <w:tabs>
        <w:tab w:val="left" w:pos="227"/>
      </w:tabs>
    </w:pPr>
  </w:style>
  <w:style w:type="paragraph" w:customStyle="1" w:styleId="SideNoteGraphic">
    <w:name w:val="Side Note Graphic"/>
    <w:basedOn w:val="SideNote"/>
    <w:next w:val="BodyText"/>
    <w:semiHidden/>
    <w:rsid w:val="00526EF3"/>
    <w:pPr>
      <w:framePr w:wrap="around"/>
    </w:pPr>
  </w:style>
  <w:style w:type="paragraph" w:customStyle="1" w:styleId="Source">
    <w:name w:val="Source"/>
    <w:basedOn w:val="Normal"/>
    <w:next w:val="BodyText"/>
    <w:link w:val="SourceChar"/>
    <w:rsid w:val="00526EF3"/>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526EF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26EF3"/>
    <w:pPr>
      <w:numPr>
        <w:numId w:val="10"/>
      </w:numPr>
      <w:jc w:val="left"/>
    </w:pPr>
  </w:style>
  <w:style w:type="paragraph" w:customStyle="1" w:styleId="TableColumnHeading">
    <w:name w:val="Table Column Heading"/>
    <w:basedOn w:val="TableBodyText"/>
    <w:rsid w:val="00526EF3"/>
    <w:pPr>
      <w:spacing w:before="80" w:after="80"/>
    </w:pPr>
    <w:rPr>
      <w:i/>
    </w:rPr>
  </w:style>
  <w:style w:type="paragraph" w:styleId="TableofFigures">
    <w:name w:val="table of figures"/>
    <w:basedOn w:val="TOC3"/>
    <w:next w:val="BodyText"/>
    <w:semiHidden/>
    <w:rsid w:val="00526EF3"/>
    <w:pPr>
      <w:ind w:left="737" w:hanging="737"/>
    </w:pPr>
  </w:style>
  <w:style w:type="paragraph" w:styleId="TOC3">
    <w:name w:val="toc 3"/>
    <w:basedOn w:val="TOC2"/>
    <w:rsid w:val="00526EF3"/>
    <w:pPr>
      <w:spacing w:before="60"/>
      <w:ind w:left="1190" w:hanging="680"/>
    </w:pPr>
  </w:style>
  <w:style w:type="paragraph" w:customStyle="1" w:styleId="TableTitle">
    <w:name w:val="Table Title"/>
    <w:basedOn w:val="Caption"/>
    <w:next w:val="Subtitle"/>
    <w:qFormat/>
    <w:rsid w:val="00526EF3"/>
    <w:pPr>
      <w:spacing w:before="120"/>
    </w:pPr>
  </w:style>
  <w:style w:type="paragraph" w:customStyle="1" w:styleId="TableUnitsRow">
    <w:name w:val="Table Units Row"/>
    <w:basedOn w:val="TableBodyText"/>
    <w:rsid w:val="00526EF3"/>
    <w:pPr>
      <w:spacing w:before="40"/>
    </w:pPr>
  </w:style>
  <w:style w:type="paragraph" w:styleId="TOC1">
    <w:name w:val="toc 1"/>
    <w:basedOn w:val="Normal"/>
    <w:next w:val="TOC2"/>
    <w:link w:val="TOC1Char"/>
    <w:rsid w:val="00526EF3"/>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526EF3"/>
    <w:pPr>
      <w:ind w:left="1134" w:hanging="624"/>
    </w:pPr>
    <w:rPr>
      <w:b w:val="0"/>
    </w:rPr>
  </w:style>
  <w:style w:type="paragraph" w:styleId="TOC4">
    <w:name w:val="toc 4"/>
    <w:basedOn w:val="TOC3"/>
    <w:semiHidden/>
    <w:rsid w:val="00526EF3"/>
    <w:pPr>
      <w:ind w:left="1191" w:firstLine="0"/>
    </w:pPr>
  </w:style>
  <w:style w:type="paragraph" w:customStyle="1" w:styleId="Jurisdictioncommentsbodytext">
    <w:name w:val="Jurisdiction comments body text"/>
    <w:rsid w:val="00526EF3"/>
    <w:pPr>
      <w:spacing w:after="140"/>
      <w:jc w:val="both"/>
    </w:pPr>
    <w:rPr>
      <w:rFonts w:ascii="Arial" w:hAnsi="Arial"/>
      <w:sz w:val="24"/>
      <w:lang w:eastAsia="en-US"/>
    </w:rPr>
  </w:style>
  <w:style w:type="paragraph" w:customStyle="1" w:styleId="Continued">
    <w:name w:val="Continued"/>
    <w:basedOn w:val="BoxContinued"/>
    <w:next w:val="BodyText"/>
    <w:link w:val="ContinuedChar"/>
    <w:rsid w:val="00526EF3"/>
  </w:style>
  <w:style w:type="paragraph" w:customStyle="1" w:styleId="BoxHeading1">
    <w:name w:val="Box Heading 1"/>
    <w:basedOn w:val="BodyText"/>
    <w:next w:val="Box"/>
    <w:rsid w:val="00526EF3"/>
    <w:pPr>
      <w:keepNext/>
      <w:spacing w:before="200" w:line="280" w:lineRule="atLeast"/>
    </w:pPr>
    <w:rPr>
      <w:rFonts w:ascii="Arial" w:hAnsi="Arial"/>
      <w:b/>
      <w:sz w:val="22"/>
    </w:rPr>
  </w:style>
  <w:style w:type="paragraph" w:customStyle="1" w:styleId="BoxHeading2">
    <w:name w:val="Box Heading 2"/>
    <w:basedOn w:val="BoxHeading1"/>
    <w:next w:val="Box"/>
    <w:rsid w:val="00526EF3"/>
    <w:rPr>
      <w:b w:val="0"/>
      <w:i/>
    </w:rPr>
  </w:style>
  <w:style w:type="character" w:customStyle="1" w:styleId="ContinuedChar">
    <w:name w:val="Continued Char"/>
    <w:link w:val="Continued"/>
    <w:rsid w:val="009D236F"/>
    <w:rPr>
      <w:rFonts w:ascii="Arial" w:hAnsi="Arial"/>
      <w:sz w:val="18"/>
    </w:rPr>
  </w:style>
  <w:style w:type="table" w:styleId="TableGrid">
    <w:name w:val="Table Grid"/>
    <w:basedOn w:val="TableNormal"/>
    <w:rsid w:val="0052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dictioncommentsheading">
    <w:name w:val="Jurisdiction comments heading"/>
    <w:rsid w:val="00526EF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26EF3"/>
    <w:pPr>
      <w:numPr>
        <w:numId w:val="12"/>
      </w:numPr>
      <w:spacing w:after="140"/>
      <w:jc w:val="both"/>
    </w:pPr>
    <w:rPr>
      <w:rFonts w:ascii="Arial" w:hAnsi="Arial"/>
      <w:sz w:val="24"/>
      <w:lang w:eastAsia="en-US"/>
    </w:rPr>
  </w:style>
  <w:style w:type="paragraph" w:customStyle="1" w:styleId="SOC">
    <w:name w:val="SOC"/>
    <w:basedOn w:val="BodyText"/>
    <w:rsid w:val="0066785F"/>
    <w:pPr>
      <w:spacing w:before="0" w:after="140" w:line="240" w:lineRule="auto"/>
    </w:pPr>
    <w:rPr>
      <w:rFonts w:ascii="Arial" w:hAnsi="Arial"/>
    </w:rPr>
  </w:style>
  <w:style w:type="paragraph" w:styleId="BalloonText">
    <w:name w:val="Balloon Text"/>
    <w:basedOn w:val="Normal"/>
    <w:link w:val="BalloonTextChar"/>
    <w:rsid w:val="00526EF3"/>
    <w:rPr>
      <w:rFonts w:ascii="Tahoma" w:hAnsi="Tahoma" w:cs="Tahoma"/>
      <w:sz w:val="16"/>
      <w:szCs w:val="16"/>
    </w:rPr>
  </w:style>
  <w:style w:type="paragraph" w:styleId="CommentSubject">
    <w:name w:val="annotation subject"/>
    <w:basedOn w:val="CommentText"/>
    <w:next w:val="CommentText"/>
    <w:semiHidden/>
    <w:rsid w:val="004E3A2B"/>
    <w:pPr>
      <w:spacing w:before="0" w:line="240" w:lineRule="auto"/>
      <w:ind w:left="0" w:firstLine="0"/>
    </w:pPr>
    <w:rPr>
      <w:b/>
      <w:bCs/>
    </w:rPr>
  </w:style>
  <w:style w:type="character" w:customStyle="1" w:styleId="NoteChar">
    <w:name w:val="Note Char"/>
    <w:link w:val="Note"/>
    <w:rsid w:val="00663B9A"/>
    <w:rPr>
      <w:rFonts w:ascii="Arial" w:hAnsi="Arial"/>
      <w:sz w:val="18"/>
    </w:rPr>
  </w:style>
  <w:style w:type="character" w:customStyle="1" w:styleId="SourceChar">
    <w:name w:val="Source Char"/>
    <w:basedOn w:val="NoteChar"/>
    <w:link w:val="Source"/>
    <w:rsid w:val="00663B9A"/>
    <w:rPr>
      <w:rFonts w:ascii="Arial" w:hAnsi="Arial"/>
      <w:sz w:val="18"/>
    </w:rPr>
  </w:style>
  <w:style w:type="character" w:customStyle="1" w:styleId="FigureTitleChar">
    <w:name w:val="Figure Title Char"/>
    <w:link w:val="FigureTitle"/>
    <w:rsid w:val="00663B9A"/>
    <w:rPr>
      <w:rFonts w:ascii="Arial" w:hAnsi="Arial"/>
      <w:b/>
      <w:sz w:val="24"/>
      <w:szCs w:val="24"/>
    </w:rPr>
  </w:style>
  <w:style w:type="character" w:customStyle="1" w:styleId="BoxChar">
    <w:name w:val="Box Char"/>
    <w:link w:val="Box"/>
    <w:rsid w:val="003B68FC"/>
    <w:rPr>
      <w:rFonts w:ascii="Arial" w:hAnsi="Arial"/>
    </w:rPr>
  </w:style>
  <w:style w:type="character" w:styleId="Hyperlink">
    <w:name w:val="Hyperlink"/>
    <w:uiPriority w:val="99"/>
    <w:rsid w:val="00066632"/>
    <w:rPr>
      <w:color w:val="0000FF"/>
      <w:u w:val="single"/>
    </w:rPr>
  </w:style>
  <w:style w:type="character" w:customStyle="1" w:styleId="Heading4Char">
    <w:name w:val="Heading 4 Char"/>
    <w:link w:val="Heading4"/>
    <w:rsid w:val="00601BD5"/>
    <w:rPr>
      <w:rFonts w:ascii="Arial" w:hAnsi="Arial"/>
      <w:sz w:val="24"/>
    </w:rPr>
  </w:style>
  <w:style w:type="paragraph" w:customStyle="1" w:styleId="DocInfo">
    <w:name w:val="Doc Info"/>
    <w:basedOn w:val="Normal"/>
    <w:next w:val="Normal"/>
    <w:rsid w:val="0066785F"/>
    <w:pPr>
      <w:jc w:val="center"/>
    </w:pPr>
    <w:rPr>
      <w:rFonts w:ascii="Arial" w:hAnsi="Arial"/>
      <w:sz w:val="14"/>
    </w:rPr>
  </w:style>
  <w:style w:type="character" w:customStyle="1" w:styleId="ReferenceChar">
    <w:name w:val="Reference Char"/>
    <w:link w:val="Reference"/>
    <w:rsid w:val="001014BF"/>
    <w:rPr>
      <w:sz w:val="24"/>
    </w:rPr>
  </w:style>
  <w:style w:type="character" w:styleId="FollowedHyperlink">
    <w:name w:val="FollowedHyperlink"/>
    <w:rsid w:val="000F6D72"/>
    <w:rPr>
      <w:color w:val="800080"/>
      <w:u w:val="single"/>
    </w:rPr>
  </w:style>
  <w:style w:type="paragraph" w:styleId="DocumentMap">
    <w:name w:val="Document Map"/>
    <w:basedOn w:val="Normal"/>
    <w:semiHidden/>
    <w:rsid w:val="00F7006B"/>
    <w:pPr>
      <w:shd w:val="clear" w:color="auto" w:fill="000080"/>
    </w:pPr>
    <w:rPr>
      <w:rFonts w:ascii="Tahoma" w:hAnsi="Tahoma" w:cs="Tahoma"/>
      <w:sz w:val="20"/>
      <w:szCs w:val="20"/>
    </w:rPr>
  </w:style>
  <w:style w:type="paragraph" w:styleId="NormalWeb">
    <w:name w:val="Normal (Web)"/>
    <w:basedOn w:val="Normal"/>
    <w:rsid w:val="00F42E9B"/>
  </w:style>
  <w:style w:type="paragraph" w:customStyle="1" w:styleId="RecBBullet2">
    <w:name w:val="RecB Bullet 2"/>
    <w:basedOn w:val="ListBullet2"/>
    <w:semiHidden/>
    <w:rsid w:val="00526EF3"/>
    <w:pPr>
      <w:pBdr>
        <w:left w:val="single" w:sz="24" w:space="29" w:color="C0C0C0"/>
      </w:pBdr>
    </w:pPr>
    <w:rPr>
      <w:b/>
      <w:i/>
    </w:rPr>
  </w:style>
  <w:style w:type="character" w:customStyle="1" w:styleId="BalloonTextChar">
    <w:name w:val="Balloon Text Char"/>
    <w:basedOn w:val="DefaultParagraphFont"/>
    <w:link w:val="BalloonText"/>
    <w:rsid w:val="00526EF3"/>
    <w:rPr>
      <w:rFonts w:ascii="Tahoma" w:hAnsi="Tahoma" w:cs="Tahoma"/>
      <w:sz w:val="16"/>
      <w:szCs w:val="16"/>
    </w:rPr>
  </w:style>
  <w:style w:type="character" w:customStyle="1" w:styleId="SubtitleChar">
    <w:name w:val="Subtitle Char"/>
    <w:basedOn w:val="DefaultParagraphFont"/>
    <w:link w:val="Subtitle"/>
    <w:rsid w:val="00526EF3"/>
    <w:rPr>
      <w:rFonts w:ascii="Arial" w:hAnsi="Arial"/>
      <w:szCs w:val="24"/>
    </w:rPr>
  </w:style>
  <w:style w:type="paragraph" w:customStyle="1" w:styleId="BoxListBullet3">
    <w:name w:val="Box List Bullet 3"/>
    <w:basedOn w:val="ListBullet3"/>
    <w:rsid w:val="00526EF3"/>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26EF3"/>
    <w:rPr>
      <w:i/>
      <w:iCs/>
    </w:rPr>
  </w:style>
  <w:style w:type="paragraph" w:customStyle="1" w:styleId="BoxQuoteBullet">
    <w:name w:val="Box Quote Bullet"/>
    <w:basedOn w:val="BoxQuote"/>
    <w:next w:val="Box"/>
    <w:rsid w:val="00526EF3"/>
    <w:pPr>
      <w:numPr>
        <w:numId w:val="15"/>
      </w:numPr>
      <w:ind w:left="568" w:hanging="284"/>
    </w:pPr>
  </w:style>
  <w:style w:type="paragraph" w:customStyle="1" w:styleId="InformationRequestBullet">
    <w:name w:val="Information Request Bullet"/>
    <w:basedOn w:val="ListBullet"/>
    <w:next w:val="BodyText"/>
    <w:rsid w:val="00526EF3"/>
    <w:pPr>
      <w:numPr>
        <w:numId w:val="16"/>
      </w:numPr>
      <w:spacing w:before="80" w:line="280" w:lineRule="atLeast"/>
      <w:ind w:left="357" w:hanging="357"/>
    </w:pPr>
    <w:rPr>
      <w:rFonts w:ascii="Arial" w:hAnsi="Arial"/>
      <w:i/>
      <w:sz w:val="22"/>
    </w:rPr>
  </w:style>
  <w:style w:type="character" w:customStyle="1" w:styleId="CommentTextChar">
    <w:name w:val="Comment Text Char"/>
    <w:basedOn w:val="DefaultParagraphFont"/>
    <w:link w:val="CommentText"/>
    <w:semiHidden/>
    <w:rsid w:val="005C54DA"/>
    <w:rPr>
      <w:szCs w:val="24"/>
    </w:rPr>
  </w:style>
  <w:style w:type="paragraph" w:styleId="Revision">
    <w:name w:val="Revision"/>
    <w:hidden/>
    <w:uiPriority w:val="99"/>
    <w:semiHidden/>
    <w:rsid w:val="00422E2C"/>
    <w:rPr>
      <w:sz w:val="26"/>
      <w:szCs w:val="24"/>
    </w:rPr>
  </w:style>
  <w:style w:type="paragraph" w:customStyle="1" w:styleId="BoxSpaceAbove">
    <w:name w:val="Box Space Above"/>
    <w:basedOn w:val="BodyText"/>
    <w:rsid w:val="00526EF3"/>
    <w:pPr>
      <w:keepNext/>
      <w:spacing w:before="360" w:line="80" w:lineRule="exact"/>
      <w:jc w:val="left"/>
    </w:pPr>
  </w:style>
  <w:style w:type="paragraph" w:customStyle="1" w:styleId="BoxSpaceBelow">
    <w:name w:val="Box Space Below"/>
    <w:basedOn w:val="Box"/>
    <w:rsid w:val="00526EF3"/>
    <w:pPr>
      <w:keepNext w:val="0"/>
      <w:spacing w:before="60" w:after="60" w:line="80" w:lineRule="exact"/>
    </w:pPr>
    <w:rPr>
      <w:sz w:val="14"/>
    </w:rPr>
  </w:style>
  <w:style w:type="paragraph" w:customStyle="1" w:styleId="Default">
    <w:name w:val="Default"/>
    <w:rsid w:val="00751EA8"/>
    <w:pPr>
      <w:autoSpaceDE w:val="0"/>
      <w:autoSpaceDN w:val="0"/>
      <w:adjustRightInd w:val="0"/>
    </w:pPr>
    <w:rPr>
      <w:rFonts w:ascii="Frutiger LT Std 45 Light" w:hAnsi="Frutiger LT Std 45 Light" w:cs="Frutiger LT Std 45 Light"/>
      <w:color w:val="000000"/>
      <w:sz w:val="24"/>
      <w:szCs w:val="24"/>
    </w:rPr>
  </w:style>
  <w:style w:type="character" w:customStyle="1" w:styleId="Heading3Char">
    <w:name w:val="Heading 3 Char"/>
    <w:basedOn w:val="DefaultParagraphFont"/>
    <w:link w:val="Heading3"/>
    <w:rsid w:val="00112967"/>
    <w:rPr>
      <w:rFonts w:ascii="Arial" w:hAnsi="Arial"/>
      <w:b/>
      <w:sz w:val="26"/>
    </w:rPr>
  </w:style>
  <w:style w:type="character" w:customStyle="1" w:styleId="BodyTextChar">
    <w:name w:val="Body Text Char"/>
    <w:basedOn w:val="DefaultParagraphFont"/>
    <w:link w:val="BodyText"/>
    <w:rsid w:val="00526EF3"/>
    <w:rPr>
      <w:sz w:val="24"/>
    </w:rPr>
  </w:style>
  <w:style w:type="character" w:customStyle="1" w:styleId="BoxListBullet2Char">
    <w:name w:val="Box List Bullet 2 Char"/>
    <w:basedOn w:val="BoxChar"/>
    <w:link w:val="BoxListBullet2"/>
    <w:rsid w:val="00394397"/>
    <w:rPr>
      <w:rFonts w:ascii="Arial" w:hAnsi="Arial"/>
    </w:rPr>
  </w:style>
  <w:style w:type="character" w:customStyle="1" w:styleId="BoxListBulletChar">
    <w:name w:val="Box List Bullet Char"/>
    <w:basedOn w:val="BoxChar"/>
    <w:link w:val="BoxListBullet"/>
    <w:rsid w:val="007324F6"/>
    <w:rPr>
      <w:rFonts w:ascii="Arial" w:hAnsi="Arial"/>
    </w:rPr>
  </w:style>
  <w:style w:type="paragraph" w:customStyle="1" w:styleId="KeyPointsListBullet">
    <w:name w:val="Key Points List Bullet"/>
    <w:basedOn w:val="Normal"/>
    <w:qFormat/>
    <w:rsid w:val="00526EF3"/>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26EF3"/>
    <w:pPr>
      <w:numPr>
        <w:numId w:val="19"/>
      </w:numPr>
      <w:ind w:left="568" w:hanging="284"/>
    </w:pPr>
  </w:style>
  <w:style w:type="paragraph" w:customStyle="1" w:styleId="InformationRequestTitle">
    <w:name w:val="Information Request Title"/>
    <w:basedOn w:val="FindingTitle"/>
    <w:next w:val="InformationRequest"/>
    <w:rsid w:val="00526EF3"/>
    <w:rPr>
      <w:i/>
    </w:rPr>
  </w:style>
  <w:style w:type="paragraph" w:customStyle="1" w:styleId="Space">
    <w:name w:val="Space"/>
    <w:basedOn w:val="Normal"/>
    <w:rsid w:val="00526EF3"/>
    <w:pPr>
      <w:keepNext/>
      <w:spacing w:line="120" w:lineRule="exact"/>
      <w:jc w:val="both"/>
    </w:pPr>
    <w:rPr>
      <w:rFonts w:ascii="Arial" w:hAnsi="Arial"/>
      <w:sz w:val="20"/>
      <w:szCs w:val="20"/>
    </w:rPr>
  </w:style>
  <w:style w:type="paragraph" w:customStyle="1" w:styleId="Heading1nochapterno">
    <w:name w:val="Heading 1 (no chapter no.)"/>
    <w:basedOn w:val="Heading1"/>
    <w:rsid w:val="00526EF3"/>
    <w:pPr>
      <w:spacing w:before="0"/>
      <w:ind w:left="0" w:firstLine="0"/>
    </w:pPr>
  </w:style>
  <w:style w:type="paragraph" w:customStyle="1" w:styleId="Heading2nosectionno">
    <w:name w:val="Heading 2 (no section no.)"/>
    <w:basedOn w:val="Heading2"/>
    <w:rsid w:val="00526EF3"/>
    <w:pPr>
      <w:ind w:left="0" w:firstLine="0"/>
    </w:pPr>
  </w:style>
  <w:style w:type="character" w:customStyle="1" w:styleId="Heading5Char">
    <w:name w:val="Heading 5 Char"/>
    <w:basedOn w:val="DefaultParagraphFont"/>
    <w:link w:val="Heading5"/>
    <w:rsid w:val="00526EF3"/>
    <w:rPr>
      <w:rFonts w:ascii="Arial" w:hAnsi="Arial"/>
      <w:i/>
      <w:sz w:val="22"/>
    </w:rPr>
  </w:style>
  <w:style w:type="paragraph" w:customStyle="1" w:styleId="Figurespace">
    <w:name w:val="Figure space"/>
    <w:basedOn w:val="Box"/>
    <w:rsid w:val="00526EF3"/>
    <w:pPr>
      <w:spacing w:before="0" w:line="120" w:lineRule="exact"/>
    </w:pPr>
  </w:style>
  <w:style w:type="paragraph" w:customStyle="1" w:styleId="FooterDraftReport">
    <w:name w:val="FooterDraftReport"/>
    <w:basedOn w:val="Footer"/>
    <w:link w:val="FooterDraftReportChar"/>
    <w:rsid w:val="00526EF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26EF3"/>
    <w:rPr>
      <w:rFonts w:ascii="Arial" w:hAnsi="Arial"/>
      <w:caps/>
      <w:spacing w:val="-4"/>
      <w:sz w:val="16"/>
    </w:rPr>
  </w:style>
  <w:style w:type="character" w:customStyle="1" w:styleId="FooterDraftReportChar">
    <w:name w:val="FooterDraftReport Char"/>
    <w:basedOn w:val="FooterChar"/>
    <w:link w:val="FooterDraftReport"/>
    <w:rsid w:val="00526EF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26EF3"/>
    <w:rPr>
      <w:rFonts w:ascii="Arial" w:hAnsi="Arial"/>
      <w:b/>
      <w:sz w:val="26"/>
      <w:szCs w:val="26"/>
      <w:lang w:eastAsia="en-US"/>
    </w:rPr>
  </w:style>
  <w:style w:type="paragraph" w:customStyle="1" w:styleId="Heading1NotTOC">
    <w:name w:val="Heading 1 Not TOC"/>
    <w:basedOn w:val="Heading1"/>
    <w:next w:val="BodyText"/>
    <w:rsid w:val="00BC49F4"/>
    <w:rPr>
      <w:kern w:val="28"/>
      <w:szCs w:val="26"/>
      <w:lang w:eastAsia="en-US"/>
    </w:rPr>
  </w:style>
  <w:style w:type="character" w:customStyle="1" w:styleId="TableBodyTextChar">
    <w:name w:val="Table Body Text Char"/>
    <w:link w:val="TableBodyText"/>
    <w:rsid w:val="0000489F"/>
    <w:rPr>
      <w:rFonts w:ascii="Arial" w:hAnsi="Arial"/>
      <w:sz w:val="18"/>
    </w:rPr>
  </w:style>
  <w:style w:type="character" w:customStyle="1" w:styleId="BoxTitleChar">
    <w:name w:val="Box Title Char"/>
    <w:link w:val="BoxTitle"/>
    <w:rsid w:val="00952247"/>
    <w:rPr>
      <w:rFonts w:ascii="Arial" w:hAnsi="Arial"/>
      <w:b/>
      <w:sz w:val="24"/>
      <w:szCs w:val="24"/>
    </w:rPr>
  </w:style>
  <w:style w:type="character" w:customStyle="1" w:styleId="ListBulletChar">
    <w:name w:val="List Bullet Char"/>
    <w:link w:val="ListBullet"/>
    <w:rsid w:val="00DF6A13"/>
    <w:rPr>
      <w:sz w:val="24"/>
    </w:rPr>
  </w:style>
  <w:style w:type="character" w:customStyle="1" w:styleId="Continuedintitle">
    <w:name w:val="Continued (in title)"/>
    <w:basedOn w:val="DefaultParagraphFont"/>
    <w:rsid w:val="00526EF3"/>
    <w:rPr>
      <w:rFonts w:ascii="Arial" w:hAnsi="Arial"/>
      <w:b/>
      <w:sz w:val="18"/>
    </w:rPr>
  </w:style>
  <w:style w:type="paragraph" w:styleId="ListParagraph">
    <w:name w:val="List Paragraph"/>
    <w:basedOn w:val="Normal"/>
    <w:uiPriority w:val="34"/>
    <w:qFormat/>
    <w:rsid w:val="00861F0F"/>
    <w:pPr>
      <w:spacing w:after="160" w:line="252"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05">
      <w:bodyDiv w:val="1"/>
      <w:marLeft w:val="0"/>
      <w:marRight w:val="0"/>
      <w:marTop w:val="0"/>
      <w:marBottom w:val="0"/>
      <w:divBdr>
        <w:top w:val="none" w:sz="0" w:space="0" w:color="auto"/>
        <w:left w:val="none" w:sz="0" w:space="0" w:color="auto"/>
        <w:bottom w:val="none" w:sz="0" w:space="0" w:color="auto"/>
        <w:right w:val="none" w:sz="0" w:space="0" w:color="auto"/>
      </w:divBdr>
    </w:div>
    <w:div w:id="80757552">
      <w:bodyDiv w:val="1"/>
      <w:marLeft w:val="0"/>
      <w:marRight w:val="0"/>
      <w:marTop w:val="0"/>
      <w:marBottom w:val="0"/>
      <w:divBdr>
        <w:top w:val="none" w:sz="0" w:space="0" w:color="auto"/>
        <w:left w:val="none" w:sz="0" w:space="0" w:color="auto"/>
        <w:bottom w:val="none" w:sz="0" w:space="0" w:color="auto"/>
        <w:right w:val="none" w:sz="0" w:space="0" w:color="auto"/>
      </w:divBdr>
    </w:div>
    <w:div w:id="244729008">
      <w:bodyDiv w:val="1"/>
      <w:marLeft w:val="0"/>
      <w:marRight w:val="0"/>
      <w:marTop w:val="0"/>
      <w:marBottom w:val="0"/>
      <w:divBdr>
        <w:top w:val="none" w:sz="0" w:space="0" w:color="auto"/>
        <w:left w:val="none" w:sz="0" w:space="0" w:color="auto"/>
        <w:bottom w:val="none" w:sz="0" w:space="0" w:color="auto"/>
        <w:right w:val="none" w:sz="0" w:space="0" w:color="auto"/>
      </w:divBdr>
    </w:div>
    <w:div w:id="275406311">
      <w:bodyDiv w:val="1"/>
      <w:marLeft w:val="0"/>
      <w:marRight w:val="0"/>
      <w:marTop w:val="0"/>
      <w:marBottom w:val="0"/>
      <w:divBdr>
        <w:top w:val="none" w:sz="0" w:space="0" w:color="auto"/>
        <w:left w:val="none" w:sz="0" w:space="0" w:color="auto"/>
        <w:bottom w:val="none" w:sz="0" w:space="0" w:color="auto"/>
        <w:right w:val="none" w:sz="0" w:space="0" w:color="auto"/>
      </w:divBdr>
    </w:div>
    <w:div w:id="455804617">
      <w:bodyDiv w:val="1"/>
      <w:marLeft w:val="0"/>
      <w:marRight w:val="0"/>
      <w:marTop w:val="0"/>
      <w:marBottom w:val="0"/>
      <w:divBdr>
        <w:top w:val="none" w:sz="0" w:space="0" w:color="auto"/>
        <w:left w:val="none" w:sz="0" w:space="0" w:color="auto"/>
        <w:bottom w:val="none" w:sz="0" w:space="0" w:color="auto"/>
        <w:right w:val="none" w:sz="0" w:space="0" w:color="auto"/>
      </w:divBdr>
    </w:div>
    <w:div w:id="574631650">
      <w:bodyDiv w:val="1"/>
      <w:marLeft w:val="0"/>
      <w:marRight w:val="0"/>
      <w:marTop w:val="0"/>
      <w:marBottom w:val="0"/>
      <w:divBdr>
        <w:top w:val="none" w:sz="0" w:space="0" w:color="auto"/>
        <w:left w:val="none" w:sz="0" w:space="0" w:color="auto"/>
        <w:bottom w:val="none" w:sz="0" w:space="0" w:color="auto"/>
        <w:right w:val="none" w:sz="0" w:space="0" w:color="auto"/>
      </w:divBdr>
      <w:divsChild>
        <w:div w:id="1609240678">
          <w:marLeft w:val="0"/>
          <w:marRight w:val="0"/>
          <w:marTop w:val="0"/>
          <w:marBottom w:val="0"/>
          <w:divBdr>
            <w:top w:val="none" w:sz="0" w:space="0" w:color="auto"/>
            <w:left w:val="none" w:sz="0" w:space="0" w:color="auto"/>
            <w:bottom w:val="none" w:sz="0" w:space="0" w:color="auto"/>
            <w:right w:val="none" w:sz="0" w:space="0" w:color="auto"/>
          </w:divBdr>
          <w:divsChild>
            <w:div w:id="17051333">
              <w:marLeft w:val="0"/>
              <w:marRight w:val="0"/>
              <w:marTop w:val="0"/>
              <w:marBottom w:val="0"/>
              <w:divBdr>
                <w:top w:val="none" w:sz="0" w:space="0" w:color="auto"/>
                <w:left w:val="none" w:sz="0" w:space="0" w:color="auto"/>
                <w:bottom w:val="none" w:sz="0" w:space="0" w:color="auto"/>
                <w:right w:val="none" w:sz="0" w:space="0" w:color="auto"/>
              </w:divBdr>
              <w:divsChild>
                <w:div w:id="325783957">
                  <w:marLeft w:val="0"/>
                  <w:marRight w:val="0"/>
                  <w:marTop w:val="0"/>
                  <w:marBottom w:val="0"/>
                  <w:divBdr>
                    <w:top w:val="none" w:sz="0" w:space="0" w:color="auto"/>
                    <w:left w:val="none" w:sz="0" w:space="0" w:color="auto"/>
                    <w:bottom w:val="none" w:sz="0" w:space="0" w:color="auto"/>
                    <w:right w:val="none" w:sz="0" w:space="0" w:color="auto"/>
                  </w:divBdr>
                  <w:divsChild>
                    <w:div w:id="1567374014">
                      <w:marLeft w:val="0"/>
                      <w:marRight w:val="0"/>
                      <w:marTop w:val="0"/>
                      <w:marBottom w:val="0"/>
                      <w:divBdr>
                        <w:top w:val="none" w:sz="0" w:space="0" w:color="auto"/>
                        <w:left w:val="none" w:sz="0" w:space="0" w:color="auto"/>
                        <w:bottom w:val="none" w:sz="0" w:space="0" w:color="auto"/>
                        <w:right w:val="none" w:sz="0" w:space="0" w:color="auto"/>
                      </w:divBdr>
                      <w:divsChild>
                        <w:div w:id="694618689">
                          <w:marLeft w:val="0"/>
                          <w:marRight w:val="0"/>
                          <w:marTop w:val="0"/>
                          <w:marBottom w:val="0"/>
                          <w:divBdr>
                            <w:top w:val="none" w:sz="0" w:space="0" w:color="auto"/>
                            <w:left w:val="none" w:sz="0" w:space="0" w:color="auto"/>
                            <w:bottom w:val="none" w:sz="0" w:space="0" w:color="auto"/>
                            <w:right w:val="none" w:sz="0" w:space="0" w:color="auto"/>
                          </w:divBdr>
                          <w:divsChild>
                            <w:div w:id="1652900182">
                              <w:marLeft w:val="0"/>
                              <w:marRight w:val="0"/>
                              <w:marTop w:val="0"/>
                              <w:marBottom w:val="0"/>
                              <w:divBdr>
                                <w:top w:val="none" w:sz="0" w:space="0" w:color="auto"/>
                                <w:left w:val="none" w:sz="0" w:space="0" w:color="auto"/>
                                <w:bottom w:val="none" w:sz="0" w:space="0" w:color="auto"/>
                                <w:right w:val="none" w:sz="0" w:space="0" w:color="auto"/>
                              </w:divBdr>
                              <w:divsChild>
                                <w:div w:id="783351870">
                                  <w:marLeft w:val="0"/>
                                  <w:marRight w:val="0"/>
                                  <w:marTop w:val="0"/>
                                  <w:marBottom w:val="0"/>
                                  <w:divBdr>
                                    <w:top w:val="none" w:sz="0" w:space="0" w:color="auto"/>
                                    <w:left w:val="none" w:sz="0" w:space="0" w:color="auto"/>
                                    <w:bottom w:val="none" w:sz="0" w:space="0" w:color="auto"/>
                                    <w:right w:val="none" w:sz="0" w:space="0" w:color="auto"/>
                                  </w:divBdr>
                                  <w:divsChild>
                                    <w:div w:id="900485223">
                                      <w:marLeft w:val="0"/>
                                      <w:marRight w:val="0"/>
                                      <w:marTop w:val="0"/>
                                      <w:marBottom w:val="0"/>
                                      <w:divBdr>
                                        <w:top w:val="none" w:sz="0" w:space="0" w:color="auto"/>
                                        <w:left w:val="none" w:sz="0" w:space="0" w:color="auto"/>
                                        <w:bottom w:val="none" w:sz="0" w:space="0" w:color="auto"/>
                                        <w:right w:val="none" w:sz="0" w:space="0" w:color="auto"/>
                                      </w:divBdr>
                                      <w:divsChild>
                                        <w:div w:id="699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9972">
      <w:bodyDiv w:val="1"/>
      <w:marLeft w:val="0"/>
      <w:marRight w:val="0"/>
      <w:marTop w:val="0"/>
      <w:marBottom w:val="0"/>
      <w:divBdr>
        <w:top w:val="none" w:sz="0" w:space="0" w:color="auto"/>
        <w:left w:val="none" w:sz="0" w:space="0" w:color="auto"/>
        <w:bottom w:val="none" w:sz="0" w:space="0" w:color="auto"/>
        <w:right w:val="none" w:sz="0" w:space="0" w:color="auto"/>
      </w:divBdr>
    </w:div>
    <w:div w:id="763384676">
      <w:bodyDiv w:val="1"/>
      <w:marLeft w:val="0"/>
      <w:marRight w:val="0"/>
      <w:marTop w:val="0"/>
      <w:marBottom w:val="0"/>
      <w:divBdr>
        <w:top w:val="none" w:sz="0" w:space="0" w:color="auto"/>
        <w:left w:val="none" w:sz="0" w:space="0" w:color="auto"/>
        <w:bottom w:val="none" w:sz="0" w:space="0" w:color="auto"/>
        <w:right w:val="none" w:sz="0" w:space="0" w:color="auto"/>
      </w:divBdr>
    </w:div>
    <w:div w:id="852498075">
      <w:bodyDiv w:val="1"/>
      <w:marLeft w:val="0"/>
      <w:marRight w:val="0"/>
      <w:marTop w:val="0"/>
      <w:marBottom w:val="0"/>
      <w:divBdr>
        <w:top w:val="none" w:sz="0" w:space="0" w:color="auto"/>
        <w:left w:val="none" w:sz="0" w:space="0" w:color="auto"/>
        <w:bottom w:val="none" w:sz="0" w:space="0" w:color="auto"/>
        <w:right w:val="none" w:sz="0" w:space="0" w:color="auto"/>
      </w:divBdr>
    </w:div>
    <w:div w:id="925528944">
      <w:bodyDiv w:val="1"/>
      <w:marLeft w:val="0"/>
      <w:marRight w:val="0"/>
      <w:marTop w:val="0"/>
      <w:marBottom w:val="0"/>
      <w:divBdr>
        <w:top w:val="none" w:sz="0" w:space="0" w:color="auto"/>
        <w:left w:val="none" w:sz="0" w:space="0" w:color="auto"/>
        <w:bottom w:val="none" w:sz="0" w:space="0" w:color="auto"/>
        <w:right w:val="none" w:sz="0" w:space="0" w:color="auto"/>
      </w:divBdr>
    </w:div>
    <w:div w:id="944387783">
      <w:bodyDiv w:val="1"/>
      <w:marLeft w:val="0"/>
      <w:marRight w:val="0"/>
      <w:marTop w:val="0"/>
      <w:marBottom w:val="0"/>
      <w:divBdr>
        <w:top w:val="none" w:sz="0" w:space="0" w:color="auto"/>
        <w:left w:val="none" w:sz="0" w:space="0" w:color="auto"/>
        <w:bottom w:val="none" w:sz="0" w:space="0" w:color="auto"/>
        <w:right w:val="none" w:sz="0" w:space="0" w:color="auto"/>
      </w:divBdr>
      <w:divsChild>
        <w:div w:id="499472498">
          <w:marLeft w:val="0"/>
          <w:marRight w:val="0"/>
          <w:marTop w:val="0"/>
          <w:marBottom w:val="0"/>
          <w:divBdr>
            <w:top w:val="none" w:sz="0" w:space="0" w:color="auto"/>
            <w:left w:val="none" w:sz="0" w:space="0" w:color="auto"/>
            <w:bottom w:val="none" w:sz="0" w:space="0" w:color="auto"/>
            <w:right w:val="none" w:sz="0" w:space="0" w:color="auto"/>
          </w:divBdr>
          <w:divsChild>
            <w:div w:id="774906069">
              <w:marLeft w:val="0"/>
              <w:marRight w:val="0"/>
              <w:marTop w:val="0"/>
              <w:marBottom w:val="0"/>
              <w:divBdr>
                <w:top w:val="none" w:sz="0" w:space="0" w:color="auto"/>
                <w:left w:val="none" w:sz="0" w:space="0" w:color="auto"/>
                <w:bottom w:val="none" w:sz="0" w:space="0" w:color="auto"/>
                <w:right w:val="none" w:sz="0" w:space="0" w:color="auto"/>
              </w:divBdr>
              <w:divsChild>
                <w:div w:id="256528321">
                  <w:marLeft w:val="0"/>
                  <w:marRight w:val="0"/>
                  <w:marTop w:val="0"/>
                  <w:marBottom w:val="0"/>
                  <w:divBdr>
                    <w:top w:val="none" w:sz="0" w:space="0" w:color="auto"/>
                    <w:left w:val="none" w:sz="0" w:space="0" w:color="auto"/>
                    <w:bottom w:val="none" w:sz="0" w:space="0" w:color="auto"/>
                    <w:right w:val="none" w:sz="0" w:space="0" w:color="auto"/>
                  </w:divBdr>
                  <w:divsChild>
                    <w:div w:id="1615746154">
                      <w:marLeft w:val="0"/>
                      <w:marRight w:val="0"/>
                      <w:marTop w:val="0"/>
                      <w:marBottom w:val="0"/>
                      <w:divBdr>
                        <w:top w:val="none" w:sz="0" w:space="0" w:color="auto"/>
                        <w:left w:val="none" w:sz="0" w:space="0" w:color="auto"/>
                        <w:bottom w:val="none" w:sz="0" w:space="0" w:color="auto"/>
                        <w:right w:val="none" w:sz="0" w:space="0" w:color="auto"/>
                      </w:divBdr>
                      <w:divsChild>
                        <w:div w:id="815148251">
                          <w:marLeft w:val="0"/>
                          <w:marRight w:val="0"/>
                          <w:marTop w:val="0"/>
                          <w:marBottom w:val="0"/>
                          <w:divBdr>
                            <w:top w:val="none" w:sz="0" w:space="0" w:color="auto"/>
                            <w:left w:val="none" w:sz="0" w:space="0" w:color="auto"/>
                            <w:bottom w:val="none" w:sz="0" w:space="0" w:color="auto"/>
                            <w:right w:val="none" w:sz="0" w:space="0" w:color="auto"/>
                          </w:divBdr>
                          <w:divsChild>
                            <w:div w:id="793016259">
                              <w:marLeft w:val="0"/>
                              <w:marRight w:val="0"/>
                              <w:marTop w:val="0"/>
                              <w:marBottom w:val="0"/>
                              <w:divBdr>
                                <w:top w:val="none" w:sz="0" w:space="0" w:color="auto"/>
                                <w:left w:val="none" w:sz="0" w:space="0" w:color="auto"/>
                                <w:bottom w:val="none" w:sz="0" w:space="0" w:color="auto"/>
                                <w:right w:val="none" w:sz="0" w:space="0" w:color="auto"/>
                              </w:divBdr>
                              <w:divsChild>
                                <w:div w:id="1549369214">
                                  <w:marLeft w:val="0"/>
                                  <w:marRight w:val="0"/>
                                  <w:marTop w:val="0"/>
                                  <w:marBottom w:val="0"/>
                                  <w:divBdr>
                                    <w:top w:val="none" w:sz="0" w:space="0" w:color="auto"/>
                                    <w:left w:val="none" w:sz="0" w:space="0" w:color="auto"/>
                                    <w:bottom w:val="none" w:sz="0" w:space="0" w:color="auto"/>
                                    <w:right w:val="none" w:sz="0" w:space="0" w:color="auto"/>
                                  </w:divBdr>
                                  <w:divsChild>
                                    <w:div w:id="244924449">
                                      <w:marLeft w:val="0"/>
                                      <w:marRight w:val="0"/>
                                      <w:marTop w:val="0"/>
                                      <w:marBottom w:val="0"/>
                                      <w:divBdr>
                                        <w:top w:val="none" w:sz="0" w:space="0" w:color="auto"/>
                                        <w:left w:val="none" w:sz="0" w:space="0" w:color="auto"/>
                                        <w:bottom w:val="none" w:sz="0" w:space="0" w:color="auto"/>
                                        <w:right w:val="none" w:sz="0" w:space="0" w:color="auto"/>
                                      </w:divBdr>
                                      <w:divsChild>
                                        <w:div w:id="1175611039">
                                          <w:marLeft w:val="0"/>
                                          <w:marRight w:val="0"/>
                                          <w:marTop w:val="0"/>
                                          <w:marBottom w:val="0"/>
                                          <w:divBdr>
                                            <w:top w:val="none" w:sz="0" w:space="0" w:color="auto"/>
                                            <w:left w:val="none" w:sz="0" w:space="0" w:color="auto"/>
                                            <w:bottom w:val="none" w:sz="0" w:space="0" w:color="auto"/>
                                            <w:right w:val="none" w:sz="0" w:space="0" w:color="auto"/>
                                          </w:divBdr>
                                          <w:divsChild>
                                            <w:div w:id="1980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741487">
      <w:bodyDiv w:val="1"/>
      <w:marLeft w:val="0"/>
      <w:marRight w:val="0"/>
      <w:marTop w:val="0"/>
      <w:marBottom w:val="0"/>
      <w:divBdr>
        <w:top w:val="none" w:sz="0" w:space="0" w:color="auto"/>
        <w:left w:val="none" w:sz="0" w:space="0" w:color="auto"/>
        <w:bottom w:val="none" w:sz="0" w:space="0" w:color="auto"/>
        <w:right w:val="none" w:sz="0" w:space="0" w:color="auto"/>
      </w:divBdr>
    </w:div>
    <w:div w:id="983849842">
      <w:bodyDiv w:val="1"/>
      <w:marLeft w:val="0"/>
      <w:marRight w:val="0"/>
      <w:marTop w:val="0"/>
      <w:marBottom w:val="0"/>
      <w:divBdr>
        <w:top w:val="none" w:sz="0" w:space="0" w:color="auto"/>
        <w:left w:val="none" w:sz="0" w:space="0" w:color="auto"/>
        <w:bottom w:val="none" w:sz="0" w:space="0" w:color="auto"/>
        <w:right w:val="none" w:sz="0" w:space="0" w:color="auto"/>
      </w:divBdr>
    </w:div>
    <w:div w:id="1052390673">
      <w:bodyDiv w:val="1"/>
      <w:marLeft w:val="0"/>
      <w:marRight w:val="0"/>
      <w:marTop w:val="0"/>
      <w:marBottom w:val="0"/>
      <w:divBdr>
        <w:top w:val="none" w:sz="0" w:space="0" w:color="auto"/>
        <w:left w:val="none" w:sz="0" w:space="0" w:color="auto"/>
        <w:bottom w:val="none" w:sz="0" w:space="0" w:color="auto"/>
        <w:right w:val="none" w:sz="0" w:space="0" w:color="auto"/>
      </w:divBdr>
    </w:div>
    <w:div w:id="1194924144">
      <w:bodyDiv w:val="1"/>
      <w:marLeft w:val="0"/>
      <w:marRight w:val="0"/>
      <w:marTop w:val="0"/>
      <w:marBottom w:val="0"/>
      <w:divBdr>
        <w:top w:val="none" w:sz="0" w:space="0" w:color="auto"/>
        <w:left w:val="none" w:sz="0" w:space="0" w:color="auto"/>
        <w:bottom w:val="none" w:sz="0" w:space="0" w:color="auto"/>
        <w:right w:val="none" w:sz="0" w:space="0" w:color="auto"/>
      </w:divBdr>
    </w:div>
    <w:div w:id="1206600805">
      <w:bodyDiv w:val="1"/>
      <w:marLeft w:val="0"/>
      <w:marRight w:val="0"/>
      <w:marTop w:val="0"/>
      <w:marBottom w:val="0"/>
      <w:divBdr>
        <w:top w:val="none" w:sz="0" w:space="0" w:color="auto"/>
        <w:left w:val="none" w:sz="0" w:space="0" w:color="auto"/>
        <w:bottom w:val="none" w:sz="0" w:space="0" w:color="auto"/>
        <w:right w:val="none" w:sz="0" w:space="0" w:color="auto"/>
      </w:divBdr>
    </w:div>
    <w:div w:id="1234244515">
      <w:bodyDiv w:val="1"/>
      <w:marLeft w:val="0"/>
      <w:marRight w:val="0"/>
      <w:marTop w:val="0"/>
      <w:marBottom w:val="0"/>
      <w:divBdr>
        <w:top w:val="none" w:sz="0" w:space="0" w:color="auto"/>
        <w:left w:val="none" w:sz="0" w:space="0" w:color="auto"/>
        <w:bottom w:val="none" w:sz="0" w:space="0" w:color="auto"/>
        <w:right w:val="none" w:sz="0" w:space="0" w:color="auto"/>
      </w:divBdr>
    </w:div>
    <w:div w:id="1237937250">
      <w:bodyDiv w:val="1"/>
      <w:marLeft w:val="0"/>
      <w:marRight w:val="0"/>
      <w:marTop w:val="0"/>
      <w:marBottom w:val="0"/>
      <w:divBdr>
        <w:top w:val="none" w:sz="0" w:space="0" w:color="auto"/>
        <w:left w:val="none" w:sz="0" w:space="0" w:color="auto"/>
        <w:bottom w:val="none" w:sz="0" w:space="0" w:color="auto"/>
        <w:right w:val="none" w:sz="0" w:space="0" w:color="auto"/>
      </w:divBdr>
      <w:divsChild>
        <w:div w:id="449278933">
          <w:marLeft w:val="0"/>
          <w:marRight w:val="0"/>
          <w:marTop w:val="0"/>
          <w:marBottom w:val="0"/>
          <w:divBdr>
            <w:top w:val="none" w:sz="0" w:space="0" w:color="auto"/>
            <w:left w:val="none" w:sz="0" w:space="0" w:color="auto"/>
            <w:bottom w:val="none" w:sz="0" w:space="0" w:color="auto"/>
            <w:right w:val="none" w:sz="0" w:space="0" w:color="auto"/>
          </w:divBdr>
          <w:divsChild>
            <w:div w:id="167864795">
              <w:marLeft w:val="0"/>
              <w:marRight w:val="0"/>
              <w:marTop w:val="0"/>
              <w:marBottom w:val="0"/>
              <w:divBdr>
                <w:top w:val="none" w:sz="0" w:space="0" w:color="auto"/>
                <w:left w:val="none" w:sz="0" w:space="0" w:color="auto"/>
                <w:bottom w:val="none" w:sz="0" w:space="0" w:color="auto"/>
                <w:right w:val="none" w:sz="0" w:space="0" w:color="auto"/>
              </w:divBdr>
              <w:divsChild>
                <w:div w:id="685136989">
                  <w:marLeft w:val="0"/>
                  <w:marRight w:val="0"/>
                  <w:marTop w:val="300"/>
                  <w:marBottom w:val="0"/>
                  <w:divBdr>
                    <w:top w:val="none" w:sz="0" w:space="0" w:color="auto"/>
                    <w:left w:val="none" w:sz="0" w:space="0" w:color="auto"/>
                    <w:bottom w:val="none" w:sz="0" w:space="0" w:color="auto"/>
                    <w:right w:val="none" w:sz="0" w:space="0" w:color="auto"/>
                  </w:divBdr>
                  <w:divsChild>
                    <w:div w:id="1459298137">
                      <w:marLeft w:val="150"/>
                      <w:marRight w:val="150"/>
                      <w:marTop w:val="0"/>
                      <w:marBottom w:val="0"/>
                      <w:divBdr>
                        <w:top w:val="none" w:sz="0" w:space="0" w:color="auto"/>
                        <w:left w:val="none" w:sz="0" w:space="0" w:color="auto"/>
                        <w:bottom w:val="none" w:sz="0" w:space="0" w:color="auto"/>
                        <w:right w:val="none" w:sz="0" w:space="0" w:color="auto"/>
                      </w:divBdr>
                      <w:divsChild>
                        <w:div w:id="921991452">
                          <w:marLeft w:val="0"/>
                          <w:marRight w:val="0"/>
                          <w:marTop w:val="0"/>
                          <w:marBottom w:val="0"/>
                          <w:divBdr>
                            <w:top w:val="none" w:sz="0" w:space="0" w:color="auto"/>
                            <w:left w:val="none" w:sz="0" w:space="0" w:color="auto"/>
                            <w:bottom w:val="none" w:sz="0" w:space="0" w:color="auto"/>
                            <w:right w:val="none" w:sz="0" w:space="0" w:color="auto"/>
                          </w:divBdr>
                          <w:divsChild>
                            <w:div w:id="883060255">
                              <w:marLeft w:val="0"/>
                              <w:marRight w:val="0"/>
                              <w:marTop w:val="0"/>
                              <w:marBottom w:val="0"/>
                              <w:divBdr>
                                <w:top w:val="none" w:sz="0" w:space="0" w:color="auto"/>
                                <w:left w:val="none" w:sz="0" w:space="0" w:color="auto"/>
                                <w:bottom w:val="none" w:sz="0" w:space="0" w:color="auto"/>
                                <w:right w:val="none" w:sz="0" w:space="0" w:color="auto"/>
                              </w:divBdr>
                              <w:divsChild>
                                <w:div w:id="853029863">
                                  <w:marLeft w:val="0"/>
                                  <w:marRight w:val="0"/>
                                  <w:marTop w:val="0"/>
                                  <w:marBottom w:val="0"/>
                                  <w:divBdr>
                                    <w:top w:val="none" w:sz="0" w:space="0" w:color="auto"/>
                                    <w:left w:val="none" w:sz="0" w:space="0" w:color="auto"/>
                                    <w:bottom w:val="none" w:sz="0" w:space="0" w:color="auto"/>
                                    <w:right w:val="none" w:sz="0" w:space="0" w:color="auto"/>
                                  </w:divBdr>
                                  <w:divsChild>
                                    <w:div w:id="1020354838">
                                      <w:marLeft w:val="0"/>
                                      <w:marRight w:val="0"/>
                                      <w:marTop w:val="0"/>
                                      <w:marBottom w:val="0"/>
                                      <w:divBdr>
                                        <w:top w:val="none" w:sz="0" w:space="0" w:color="auto"/>
                                        <w:left w:val="none" w:sz="0" w:space="0" w:color="auto"/>
                                        <w:bottom w:val="none" w:sz="0" w:space="0" w:color="auto"/>
                                        <w:right w:val="none" w:sz="0" w:space="0" w:color="auto"/>
                                      </w:divBdr>
                                      <w:divsChild>
                                        <w:div w:id="494691693">
                                          <w:marLeft w:val="0"/>
                                          <w:marRight w:val="0"/>
                                          <w:marTop w:val="0"/>
                                          <w:marBottom w:val="0"/>
                                          <w:divBdr>
                                            <w:top w:val="none" w:sz="0" w:space="0" w:color="auto"/>
                                            <w:left w:val="none" w:sz="0" w:space="0" w:color="auto"/>
                                            <w:bottom w:val="none" w:sz="0" w:space="0" w:color="auto"/>
                                            <w:right w:val="none" w:sz="0" w:space="0" w:color="auto"/>
                                          </w:divBdr>
                                          <w:divsChild>
                                            <w:div w:id="1611280675">
                                              <w:marLeft w:val="0"/>
                                              <w:marRight w:val="0"/>
                                              <w:marTop w:val="0"/>
                                              <w:marBottom w:val="0"/>
                                              <w:divBdr>
                                                <w:top w:val="none" w:sz="0" w:space="0" w:color="auto"/>
                                                <w:left w:val="none" w:sz="0" w:space="0" w:color="auto"/>
                                                <w:bottom w:val="none" w:sz="0" w:space="0" w:color="auto"/>
                                                <w:right w:val="none" w:sz="0" w:space="0" w:color="auto"/>
                                              </w:divBdr>
                                              <w:divsChild>
                                                <w:div w:id="1429885079">
                                                  <w:marLeft w:val="0"/>
                                                  <w:marRight w:val="0"/>
                                                  <w:marTop w:val="0"/>
                                                  <w:marBottom w:val="0"/>
                                                  <w:divBdr>
                                                    <w:top w:val="none" w:sz="0" w:space="0" w:color="auto"/>
                                                    <w:left w:val="none" w:sz="0" w:space="0" w:color="auto"/>
                                                    <w:bottom w:val="none" w:sz="0" w:space="0" w:color="auto"/>
                                                    <w:right w:val="none" w:sz="0" w:space="0" w:color="auto"/>
                                                  </w:divBdr>
                                                  <w:divsChild>
                                                    <w:div w:id="631599908">
                                                      <w:marLeft w:val="0"/>
                                                      <w:marRight w:val="0"/>
                                                      <w:marTop w:val="0"/>
                                                      <w:marBottom w:val="0"/>
                                                      <w:divBdr>
                                                        <w:top w:val="none" w:sz="0" w:space="0" w:color="auto"/>
                                                        <w:left w:val="none" w:sz="0" w:space="0" w:color="auto"/>
                                                        <w:bottom w:val="none" w:sz="0" w:space="0" w:color="auto"/>
                                                        <w:right w:val="none" w:sz="0" w:space="0" w:color="auto"/>
                                                      </w:divBdr>
                                                      <w:divsChild>
                                                        <w:div w:id="1489401925">
                                                          <w:marLeft w:val="0"/>
                                                          <w:marRight w:val="0"/>
                                                          <w:marTop w:val="0"/>
                                                          <w:marBottom w:val="0"/>
                                                          <w:divBdr>
                                                            <w:top w:val="none" w:sz="0" w:space="0" w:color="auto"/>
                                                            <w:left w:val="none" w:sz="0" w:space="0" w:color="auto"/>
                                                            <w:bottom w:val="none" w:sz="0" w:space="0" w:color="auto"/>
                                                            <w:right w:val="none" w:sz="0" w:space="0" w:color="auto"/>
                                                          </w:divBdr>
                                                          <w:divsChild>
                                                            <w:div w:id="1346708088">
                                                              <w:marLeft w:val="0"/>
                                                              <w:marRight w:val="0"/>
                                                              <w:marTop w:val="0"/>
                                                              <w:marBottom w:val="0"/>
                                                              <w:divBdr>
                                                                <w:top w:val="none" w:sz="0" w:space="0" w:color="auto"/>
                                                                <w:left w:val="none" w:sz="0" w:space="0" w:color="auto"/>
                                                                <w:bottom w:val="none" w:sz="0" w:space="0" w:color="auto"/>
                                                                <w:right w:val="none" w:sz="0" w:space="0" w:color="auto"/>
                                                              </w:divBdr>
                                                              <w:divsChild>
                                                                <w:div w:id="277225139">
                                                                  <w:marLeft w:val="0"/>
                                                                  <w:marRight w:val="0"/>
                                                                  <w:marTop w:val="0"/>
                                                                  <w:marBottom w:val="0"/>
                                                                  <w:divBdr>
                                                                    <w:top w:val="none" w:sz="0" w:space="0" w:color="auto"/>
                                                                    <w:left w:val="none" w:sz="0" w:space="0" w:color="auto"/>
                                                                    <w:bottom w:val="none" w:sz="0" w:space="0" w:color="auto"/>
                                                                    <w:right w:val="none" w:sz="0" w:space="0" w:color="auto"/>
                                                                  </w:divBdr>
                                                                  <w:divsChild>
                                                                    <w:div w:id="1611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523297">
      <w:bodyDiv w:val="1"/>
      <w:marLeft w:val="0"/>
      <w:marRight w:val="0"/>
      <w:marTop w:val="0"/>
      <w:marBottom w:val="0"/>
      <w:divBdr>
        <w:top w:val="none" w:sz="0" w:space="0" w:color="auto"/>
        <w:left w:val="none" w:sz="0" w:space="0" w:color="auto"/>
        <w:bottom w:val="none" w:sz="0" w:space="0" w:color="auto"/>
        <w:right w:val="none" w:sz="0" w:space="0" w:color="auto"/>
      </w:divBdr>
    </w:div>
    <w:div w:id="1281179432">
      <w:bodyDiv w:val="1"/>
      <w:marLeft w:val="0"/>
      <w:marRight w:val="0"/>
      <w:marTop w:val="0"/>
      <w:marBottom w:val="0"/>
      <w:divBdr>
        <w:top w:val="none" w:sz="0" w:space="0" w:color="auto"/>
        <w:left w:val="none" w:sz="0" w:space="0" w:color="auto"/>
        <w:bottom w:val="none" w:sz="0" w:space="0" w:color="auto"/>
        <w:right w:val="none" w:sz="0" w:space="0" w:color="auto"/>
      </w:divBdr>
    </w:div>
    <w:div w:id="1302618207">
      <w:bodyDiv w:val="1"/>
      <w:marLeft w:val="0"/>
      <w:marRight w:val="0"/>
      <w:marTop w:val="0"/>
      <w:marBottom w:val="0"/>
      <w:divBdr>
        <w:top w:val="none" w:sz="0" w:space="0" w:color="auto"/>
        <w:left w:val="none" w:sz="0" w:space="0" w:color="auto"/>
        <w:bottom w:val="none" w:sz="0" w:space="0" w:color="auto"/>
        <w:right w:val="none" w:sz="0" w:space="0" w:color="auto"/>
      </w:divBdr>
    </w:div>
    <w:div w:id="1305088828">
      <w:bodyDiv w:val="1"/>
      <w:marLeft w:val="0"/>
      <w:marRight w:val="0"/>
      <w:marTop w:val="0"/>
      <w:marBottom w:val="0"/>
      <w:divBdr>
        <w:top w:val="none" w:sz="0" w:space="0" w:color="auto"/>
        <w:left w:val="none" w:sz="0" w:space="0" w:color="auto"/>
        <w:bottom w:val="none" w:sz="0" w:space="0" w:color="auto"/>
        <w:right w:val="none" w:sz="0" w:space="0" w:color="auto"/>
      </w:divBdr>
    </w:div>
    <w:div w:id="1343389651">
      <w:bodyDiv w:val="1"/>
      <w:marLeft w:val="0"/>
      <w:marRight w:val="0"/>
      <w:marTop w:val="0"/>
      <w:marBottom w:val="0"/>
      <w:divBdr>
        <w:top w:val="none" w:sz="0" w:space="0" w:color="auto"/>
        <w:left w:val="none" w:sz="0" w:space="0" w:color="auto"/>
        <w:bottom w:val="none" w:sz="0" w:space="0" w:color="auto"/>
        <w:right w:val="none" w:sz="0" w:space="0" w:color="auto"/>
      </w:divBdr>
    </w:div>
    <w:div w:id="1359619606">
      <w:bodyDiv w:val="1"/>
      <w:marLeft w:val="0"/>
      <w:marRight w:val="0"/>
      <w:marTop w:val="0"/>
      <w:marBottom w:val="0"/>
      <w:divBdr>
        <w:top w:val="none" w:sz="0" w:space="0" w:color="auto"/>
        <w:left w:val="none" w:sz="0" w:space="0" w:color="auto"/>
        <w:bottom w:val="none" w:sz="0" w:space="0" w:color="auto"/>
        <w:right w:val="none" w:sz="0" w:space="0" w:color="auto"/>
      </w:divBdr>
    </w:div>
    <w:div w:id="1432432158">
      <w:bodyDiv w:val="1"/>
      <w:marLeft w:val="0"/>
      <w:marRight w:val="0"/>
      <w:marTop w:val="0"/>
      <w:marBottom w:val="0"/>
      <w:divBdr>
        <w:top w:val="none" w:sz="0" w:space="0" w:color="auto"/>
        <w:left w:val="none" w:sz="0" w:space="0" w:color="auto"/>
        <w:bottom w:val="none" w:sz="0" w:space="0" w:color="auto"/>
        <w:right w:val="none" w:sz="0" w:space="0" w:color="auto"/>
      </w:divBdr>
    </w:div>
    <w:div w:id="1586256013">
      <w:bodyDiv w:val="1"/>
      <w:marLeft w:val="0"/>
      <w:marRight w:val="0"/>
      <w:marTop w:val="0"/>
      <w:marBottom w:val="0"/>
      <w:divBdr>
        <w:top w:val="none" w:sz="0" w:space="0" w:color="auto"/>
        <w:left w:val="none" w:sz="0" w:space="0" w:color="auto"/>
        <w:bottom w:val="none" w:sz="0" w:space="0" w:color="auto"/>
        <w:right w:val="none" w:sz="0" w:space="0" w:color="auto"/>
      </w:divBdr>
    </w:div>
    <w:div w:id="1589541336">
      <w:bodyDiv w:val="1"/>
      <w:marLeft w:val="0"/>
      <w:marRight w:val="0"/>
      <w:marTop w:val="0"/>
      <w:marBottom w:val="0"/>
      <w:divBdr>
        <w:top w:val="none" w:sz="0" w:space="0" w:color="auto"/>
        <w:left w:val="none" w:sz="0" w:space="0" w:color="auto"/>
        <w:bottom w:val="none" w:sz="0" w:space="0" w:color="auto"/>
        <w:right w:val="none" w:sz="0" w:space="0" w:color="auto"/>
      </w:divBdr>
    </w:div>
    <w:div w:id="1592271614">
      <w:bodyDiv w:val="1"/>
      <w:marLeft w:val="0"/>
      <w:marRight w:val="0"/>
      <w:marTop w:val="0"/>
      <w:marBottom w:val="0"/>
      <w:divBdr>
        <w:top w:val="none" w:sz="0" w:space="0" w:color="auto"/>
        <w:left w:val="none" w:sz="0" w:space="0" w:color="auto"/>
        <w:bottom w:val="none" w:sz="0" w:space="0" w:color="auto"/>
        <w:right w:val="none" w:sz="0" w:space="0" w:color="auto"/>
      </w:divBdr>
    </w:div>
    <w:div w:id="1742481140">
      <w:bodyDiv w:val="1"/>
      <w:marLeft w:val="0"/>
      <w:marRight w:val="0"/>
      <w:marTop w:val="0"/>
      <w:marBottom w:val="0"/>
      <w:divBdr>
        <w:top w:val="none" w:sz="0" w:space="0" w:color="auto"/>
        <w:left w:val="none" w:sz="0" w:space="0" w:color="auto"/>
        <w:bottom w:val="none" w:sz="0" w:space="0" w:color="auto"/>
        <w:right w:val="none" w:sz="0" w:space="0" w:color="auto"/>
      </w:divBdr>
    </w:div>
    <w:div w:id="1888294656">
      <w:bodyDiv w:val="1"/>
      <w:marLeft w:val="0"/>
      <w:marRight w:val="0"/>
      <w:marTop w:val="0"/>
      <w:marBottom w:val="0"/>
      <w:divBdr>
        <w:top w:val="none" w:sz="0" w:space="0" w:color="auto"/>
        <w:left w:val="none" w:sz="0" w:space="0" w:color="auto"/>
        <w:bottom w:val="none" w:sz="0" w:space="0" w:color="auto"/>
        <w:right w:val="none" w:sz="0" w:space="0" w:color="auto"/>
      </w:divBdr>
      <w:divsChild>
        <w:div w:id="1545022847">
          <w:marLeft w:val="0"/>
          <w:marRight w:val="0"/>
          <w:marTop w:val="0"/>
          <w:marBottom w:val="0"/>
          <w:divBdr>
            <w:top w:val="none" w:sz="0" w:space="0" w:color="auto"/>
            <w:left w:val="none" w:sz="0" w:space="0" w:color="auto"/>
            <w:bottom w:val="none" w:sz="0" w:space="0" w:color="auto"/>
            <w:right w:val="none" w:sz="0" w:space="0" w:color="auto"/>
          </w:divBdr>
          <w:divsChild>
            <w:div w:id="933365656">
              <w:marLeft w:val="0"/>
              <w:marRight w:val="0"/>
              <w:marTop w:val="0"/>
              <w:marBottom w:val="0"/>
              <w:divBdr>
                <w:top w:val="none" w:sz="0" w:space="0" w:color="auto"/>
                <w:left w:val="none" w:sz="0" w:space="0" w:color="auto"/>
                <w:bottom w:val="none" w:sz="0" w:space="0" w:color="auto"/>
                <w:right w:val="none" w:sz="0" w:space="0" w:color="auto"/>
              </w:divBdr>
              <w:divsChild>
                <w:div w:id="280454139">
                  <w:marLeft w:val="0"/>
                  <w:marRight w:val="0"/>
                  <w:marTop w:val="300"/>
                  <w:marBottom w:val="0"/>
                  <w:divBdr>
                    <w:top w:val="none" w:sz="0" w:space="0" w:color="auto"/>
                    <w:left w:val="none" w:sz="0" w:space="0" w:color="auto"/>
                    <w:bottom w:val="none" w:sz="0" w:space="0" w:color="auto"/>
                    <w:right w:val="none" w:sz="0" w:space="0" w:color="auto"/>
                  </w:divBdr>
                  <w:divsChild>
                    <w:div w:id="1609773226">
                      <w:marLeft w:val="150"/>
                      <w:marRight w:val="150"/>
                      <w:marTop w:val="0"/>
                      <w:marBottom w:val="0"/>
                      <w:divBdr>
                        <w:top w:val="none" w:sz="0" w:space="0" w:color="auto"/>
                        <w:left w:val="none" w:sz="0" w:space="0" w:color="auto"/>
                        <w:bottom w:val="none" w:sz="0" w:space="0" w:color="auto"/>
                        <w:right w:val="none" w:sz="0" w:space="0" w:color="auto"/>
                      </w:divBdr>
                      <w:divsChild>
                        <w:div w:id="1230002498">
                          <w:marLeft w:val="0"/>
                          <w:marRight w:val="0"/>
                          <w:marTop w:val="0"/>
                          <w:marBottom w:val="0"/>
                          <w:divBdr>
                            <w:top w:val="none" w:sz="0" w:space="0" w:color="auto"/>
                            <w:left w:val="none" w:sz="0" w:space="0" w:color="auto"/>
                            <w:bottom w:val="none" w:sz="0" w:space="0" w:color="auto"/>
                            <w:right w:val="none" w:sz="0" w:space="0" w:color="auto"/>
                          </w:divBdr>
                          <w:divsChild>
                            <w:div w:id="395788665">
                              <w:marLeft w:val="0"/>
                              <w:marRight w:val="0"/>
                              <w:marTop w:val="0"/>
                              <w:marBottom w:val="0"/>
                              <w:divBdr>
                                <w:top w:val="none" w:sz="0" w:space="0" w:color="auto"/>
                                <w:left w:val="none" w:sz="0" w:space="0" w:color="auto"/>
                                <w:bottom w:val="none" w:sz="0" w:space="0" w:color="auto"/>
                                <w:right w:val="none" w:sz="0" w:space="0" w:color="auto"/>
                              </w:divBdr>
                              <w:divsChild>
                                <w:div w:id="65343877">
                                  <w:marLeft w:val="0"/>
                                  <w:marRight w:val="0"/>
                                  <w:marTop w:val="0"/>
                                  <w:marBottom w:val="0"/>
                                  <w:divBdr>
                                    <w:top w:val="none" w:sz="0" w:space="0" w:color="auto"/>
                                    <w:left w:val="none" w:sz="0" w:space="0" w:color="auto"/>
                                    <w:bottom w:val="none" w:sz="0" w:space="0" w:color="auto"/>
                                    <w:right w:val="none" w:sz="0" w:space="0" w:color="auto"/>
                                  </w:divBdr>
                                  <w:divsChild>
                                    <w:div w:id="1937127765">
                                      <w:marLeft w:val="0"/>
                                      <w:marRight w:val="0"/>
                                      <w:marTop w:val="0"/>
                                      <w:marBottom w:val="0"/>
                                      <w:divBdr>
                                        <w:top w:val="none" w:sz="0" w:space="0" w:color="auto"/>
                                        <w:left w:val="none" w:sz="0" w:space="0" w:color="auto"/>
                                        <w:bottom w:val="none" w:sz="0" w:space="0" w:color="auto"/>
                                        <w:right w:val="none" w:sz="0" w:space="0" w:color="auto"/>
                                      </w:divBdr>
                                      <w:divsChild>
                                        <w:div w:id="96366359">
                                          <w:marLeft w:val="0"/>
                                          <w:marRight w:val="0"/>
                                          <w:marTop w:val="0"/>
                                          <w:marBottom w:val="0"/>
                                          <w:divBdr>
                                            <w:top w:val="none" w:sz="0" w:space="0" w:color="auto"/>
                                            <w:left w:val="none" w:sz="0" w:space="0" w:color="auto"/>
                                            <w:bottom w:val="none" w:sz="0" w:space="0" w:color="auto"/>
                                            <w:right w:val="none" w:sz="0" w:space="0" w:color="auto"/>
                                          </w:divBdr>
                                          <w:divsChild>
                                            <w:div w:id="1604994883">
                                              <w:marLeft w:val="0"/>
                                              <w:marRight w:val="0"/>
                                              <w:marTop w:val="0"/>
                                              <w:marBottom w:val="0"/>
                                              <w:divBdr>
                                                <w:top w:val="none" w:sz="0" w:space="0" w:color="auto"/>
                                                <w:left w:val="none" w:sz="0" w:space="0" w:color="auto"/>
                                                <w:bottom w:val="none" w:sz="0" w:space="0" w:color="auto"/>
                                                <w:right w:val="none" w:sz="0" w:space="0" w:color="auto"/>
                                              </w:divBdr>
                                              <w:divsChild>
                                                <w:div w:id="886795948">
                                                  <w:marLeft w:val="0"/>
                                                  <w:marRight w:val="0"/>
                                                  <w:marTop w:val="0"/>
                                                  <w:marBottom w:val="0"/>
                                                  <w:divBdr>
                                                    <w:top w:val="none" w:sz="0" w:space="0" w:color="auto"/>
                                                    <w:left w:val="none" w:sz="0" w:space="0" w:color="auto"/>
                                                    <w:bottom w:val="none" w:sz="0" w:space="0" w:color="auto"/>
                                                    <w:right w:val="none" w:sz="0" w:space="0" w:color="auto"/>
                                                  </w:divBdr>
                                                  <w:divsChild>
                                                    <w:div w:id="295574358">
                                                      <w:marLeft w:val="0"/>
                                                      <w:marRight w:val="0"/>
                                                      <w:marTop w:val="0"/>
                                                      <w:marBottom w:val="0"/>
                                                      <w:divBdr>
                                                        <w:top w:val="none" w:sz="0" w:space="0" w:color="auto"/>
                                                        <w:left w:val="none" w:sz="0" w:space="0" w:color="auto"/>
                                                        <w:bottom w:val="none" w:sz="0" w:space="0" w:color="auto"/>
                                                        <w:right w:val="none" w:sz="0" w:space="0" w:color="auto"/>
                                                      </w:divBdr>
                                                      <w:divsChild>
                                                        <w:div w:id="1682926610">
                                                          <w:marLeft w:val="0"/>
                                                          <w:marRight w:val="0"/>
                                                          <w:marTop w:val="0"/>
                                                          <w:marBottom w:val="0"/>
                                                          <w:divBdr>
                                                            <w:top w:val="none" w:sz="0" w:space="0" w:color="auto"/>
                                                            <w:left w:val="none" w:sz="0" w:space="0" w:color="auto"/>
                                                            <w:bottom w:val="none" w:sz="0" w:space="0" w:color="auto"/>
                                                            <w:right w:val="none" w:sz="0" w:space="0" w:color="auto"/>
                                                          </w:divBdr>
                                                          <w:divsChild>
                                                            <w:div w:id="825511033">
                                                              <w:marLeft w:val="0"/>
                                                              <w:marRight w:val="0"/>
                                                              <w:marTop w:val="0"/>
                                                              <w:marBottom w:val="0"/>
                                                              <w:divBdr>
                                                                <w:top w:val="none" w:sz="0" w:space="0" w:color="auto"/>
                                                                <w:left w:val="none" w:sz="0" w:space="0" w:color="auto"/>
                                                                <w:bottom w:val="none" w:sz="0" w:space="0" w:color="auto"/>
                                                                <w:right w:val="none" w:sz="0" w:space="0" w:color="auto"/>
                                                              </w:divBdr>
                                                              <w:divsChild>
                                                                <w:div w:id="488400681">
                                                                  <w:marLeft w:val="0"/>
                                                                  <w:marRight w:val="0"/>
                                                                  <w:marTop w:val="0"/>
                                                                  <w:marBottom w:val="0"/>
                                                                  <w:divBdr>
                                                                    <w:top w:val="none" w:sz="0" w:space="0" w:color="auto"/>
                                                                    <w:left w:val="none" w:sz="0" w:space="0" w:color="auto"/>
                                                                    <w:bottom w:val="none" w:sz="0" w:space="0" w:color="auto"/>
                                                                    <w:right w:val="none" w:sz="0" w:space="0" w:color="auto"/>
                                                                  </w:divBdr>
                                                                  <w:divsChild>
                                                                    <w:div w:id="1249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445088">
      <w:bodyDiv w:val="1"/>
      <w:marLeft w:val="0"/>
      <w:marRight w:val="0"/>
      <w:marTop w:val="0"/>
      <w:marBottom w:val="0"/>
      <w:divBdr>
        <w:top w:val="none" w:sz="0" w:space="0" w:color="auto"/>
        <w:left w:val="none" w:sz="0" w:space="0" w:color="auto"/>
        <w:bottom w:val="none" w:sz="0" w:space="0" w:color="auto"/>
        <w:right w:val="none" w:sz="0" w:space="0" w:color="auto"/>
      </w:divBdr>
    </w:div>
    <w:div w:id="1959676030">
      <w:bodyDiv w:val="1"/>
      <w:marLeft w:val="0"/>
      <w:marRight w:val="0"/>
      <w:marTop w:val="0"/>
      <w:marBottom w:val="0"/>
      <w:divBdr>
        <w:top w:val="none" w:sz="0" w:space="0" w:color="auto"/>
        <w:left w:val="none" w:sz="0" w:space="0" w:color="auto"/>
        <w:bottom w:val="none" w:sz="0" w:space="0" w:color="auto"/>
        <w:right w:val="none" w:sz="0" w:space="0" w:color="auto"/>
      </w:divBdr>
      <w:divsChild>
        <w:div w:id="345332375">
          <w:marLeft w:val="0"/>
          <w:marRight w:val="0"/>
          <w:marTop w:val="0"/>
          <w:marBottom w:val="0"/>
          <w:divBdr>
            <w:top w:val="none" w:sz="0" w:space="0" w:color="auto"/>
            <w:left w:val="none" w:sz="0" w:space="0" w:color="auto"/>
            <w:bottom w:val="none" w:sz="0" w:space="0" w:color="auto"/>
            <w:right w:val="none" w:sz="0" w:space="0" w:color="auto"/>
          </w:divBdr>
          <w:divsChild>
            <w:div w:id="1833519206">
              <w:marLeft w:val="0"/>
              <w:marRight w:val="0"/>
              <w:marTop w:val="0"/>
              <w:marBottom w:val="0"/>
              <w:divBdr>
                <w:top w:val="none" w:sz="0" w:space="0" w:color="auto"/>
                <w:left w:val="none" w:sz="0" w:space="0" w:color="auto"/>
                <w:bottom w:val="none" w:sz="0" w:space="0" w:color="auto"/>
                <w:right w:val="none" w:sz="0" w:space="0" w:color="auto"/>
              </w:divBdr>
              <w:divsChild>
                <w:div w:id="1955358323">
                  <w:marLeft w:val="0"/>
                  <w:marRight w:val="0"/>
                  <w:marTop w:val="0"/>
                  <w:marBottom w:val="0"/>
                  <w:divBdr>
                    <w:top w:val="none" w:sz="0" w:space="0" w:color="auto"/>
                    <w:left w:val="none" w:sz="0" w:space="0" w:color="auto"/>
                    <w:bottom w:val="none" w:sz="0" w:space="0" w:color="auto"/>
                    <w:right w:val="none" w:sz="0" w:space="0" w:color="auto"/>
                  </w:divBdr>
                  <w:divsChild>
                    <w:div w:id="1359552247">
                      <w:marLeft w:val="0"/>
                      <w:marRight w:val="0"/>
                      <w:marTop w:val="0"/>
                      <w:marBottom w:val="0"/>
                      <w:divBdr>
                        <w:top w:val="none" w:sz="0" w:space="0" w:color="auto"/>
                        <w:left w:val="none" w:sz="0" w:space="0" w:color="auto"/>
                        <w:bottom w:val="none" w:sz="0" w:space="0" w:color="auto"/>
                        <w:right w:val="none" w:sz="0" w:space="0" w:color="auto"/>
                      </w:divBdr>
                      <w:divsChild>
                        <w:div w:id="1604218303">
                          <w:marLeft w:val="0"/>
                          <w:marRight w:val="0"/>
                          <w:marTop w:val="0"/>
                          <w:marBottom w:val="0"/>
                          <w:divBdr>
                            <w:top w:val="none" w:sz="0" w:space="0" w:color="auto"/>
                            <w:left w:val="none" w:sz="0" w:space="0" w:color="auto"/>
                            <w:bottom w:val="none" w:sz="0" w:space="0" w:color="auto"/>
                            <w:right w:val="none" w:sz="0" w:space="0" w:color="auto"/>
                          </w:divBdr>
                          <w:divsChild>
                            <w:div w:id="721295844">
                              <w:marLeft w:val="0"/>
                              <w:marRight w:val="0"/>
                              <w:marTop w:val="0"/>
                              <w:marBottom w:val="0"/>
                              <w:divBdr>
                                <w:top w:val="none" w:sz="0" w:space="0" w:color="auto"/>
                                <w:left w:val="none" w:sz="0" w:space="0" w:color="auto"/>
                                <w:bottom w:val="none" w:sz="0" w:space="0" w:color="auto"/>
                                <w:right w:val="none" w:sz="0" w:space="0" w:color="auto"/>
                              </w:divBdr>
                              <w:divsChild>
                                <w:div w:id="278413071">
                                  <w:marLeft w:val="0"/>
                                  <w:marRight w:val="0"/>
                                  <w:marTop w:val="0"/>
                                  <w:marBottom w:val="0"/>
                                  <w:divBdr>
                                    <w:top w:val="none" w:sz="0" w:space="0" w:color="auto"/>
                                    <w:left w:val="none" w:sz="0" w:space="0" w:color="auto"/>
                                    <w:bottom w:val="none" w:sz="0" w:space="0" w:color="auto"/>
                                    <w:right w:val="none" w:sz="0" w:space="0" w:color="auto"/>
                                  </w:divBdr>
                                  <w:divsChild>
                                    <w:div w:id="2110931382">
                                      <w:marLeft w:val="0"/>
                                      <w:marRight w:val="0"/>
                                      <w:marTop w:val="0"/>
                                      <w:marBottom w:val="0"/>
                                      <w:divBdr>
                                        <w:top w:val="none" w:sz="0" w:space="0" w:color="auto"/>
                                        <w:left w:val="none" w:sz="0" w:space="0" w:color="auto"/>
                                        <w:bottom w:val="none" w:sz="0" w:space="0" w:color="auto"/>
                                        <w:right w:val="none" w:sz="0" w:space="0" w:color="auto"/>
                                      </w:divBdr>
                                      <w:divsChild>
                                        <w:div w:id="499778687">
                                          <w:marLeft w:val="0"/>
                                          <w:marRight w:val="-14400"/>
                                          <w:marTop w:val="0"/>
                                          <w:marBottom w:val="0"/>
                                          <w:divBdr>
                                            <w:top w:val="none" w:sz="0" w:space="0" w:color="auto"/>
                                            <w:left w:val="none" w:sz="0" w:space="0" w:color="auto"/>
                                            <w:bottom w:val="none" w:sz="0" w:space="0" w:color="auto"/>
                                            <w:right w:val="none" w:sz="0" w:space="0" w:color="auto"/>
                                          </w:divBdr>
                                          <w:divsChild>
                                            <w:div w:id="744838644">
                                              <w:marLeft w:val="0"/>
                                              <w:marRight w:val="0"/>
                                              <w:marTop w:val="0"/>
                                              <w:marBottom w:val="0"/>
                                              <w:divBdr>
                                                <w:top w:val="none" w:sz="0" w:space="0" w:color="auto"/>
                                                <w:left w:val="none" w:sz="0" w:space="0" w:color="auto"/>
                                                <w:bottom w:val="none" w:sz="0" w:space="0" w:color="auto"/>
                                                <w:right w:val="none" w:sz="0" w:space="0" w:color="auto"/>
                                              </w:divBdr>
                                              <w:divsChild>
                                                <w:div w:id="567882620">
                                                  <w:marLeft w:val="0"/>
                                                  <w:marRight w:val="0"/>
                                                  <w:marTop w:val="0"/>
                                                  <w:marBottom w:val="0"/>
                                                  <w:divBdr>
                                                    <w:top w:val="none" w:sz="0" w:space="0" w:color="auto"/>
                                                    <w:left w:val="none" w:sz="0" w:space="0" w:color="auto"/>
                                                    <w:bottom w:val="none" w:sz="0" w:space="0" w:color="auto"/>
                                                    <w:right w:val="none" w:sz="0" w:space="0" w:color="auto"/>
                                                  </w:divBdr>
                                                  <w:divsChild>
                                                    <w:div w:id="1978101488">
                                                      <w:marLeft w:val="0"/>
                                                      <w:marRight w:val="0"/>
                                                      <w:marTop w:val="0"/>
                                                      <w:marBottom w:val="360"/>
                                                      <w:divBdr>
                                                        <w:top w:val="none" w:sz="0" w:space="0" w:color="auto"/>
                                                        <w:left w:val="none" w:sz="0" w:space="0" w:color="auto"/>
                                                        <w:bottom w:val="none" w:sz="0" w:space="0" w:color="auto"/>
                                                        <w:right w:val="none" w:sz="0" w:space="0" w:color="auto"/>
                                                      </w:divBdr>
                                                      <w:divsChild>
                                                        <w:div w:id="1416584945">
                                                          <w:marLeft w:val="0"/>
                                                          <w:marRight w:val="0"/>
                                                          <w:marTop w:val="0"/>
                                                          <w:marBottom w:val="0"/>
                                                          <w:divBdr>
                                                            <w:top w:val="none" w:sz="0" w:space="0" w:color="auto"/>
                                                            <w:left w:val="none" w:sz="0" w:space="0" w:color="auto"/>
                                                            <w:bottom w:val="none" w:sz="0" w:space="0" w:color="auto"/>
                                                            <w:right w:val="none" w:sz="0" w:space="0" w:color="auto"/>
                                                          </w:divBdr>
                                                          <w:divsChild>
                                                            <w:div w:id="586882569">
                                                              <w:marLeft w:val="0"/>
                                                              <w:marRight w:val="0"/>
                                                              <w:marTop w:val="0"/>
                                                              <w:marBottom w:val="0"/>
                                                              <w:divBdr>
                                                                <w:top w:val="none" w:sz="0" w:space="0" w:color="auto"/>
                                                                <w:left w:val="none" w:sz="0" w:space="0" w:color="auto"/>
                                                                <w:bottom w:val="none" w:sz="0" w:space="0" w:color="auto"/>
                                                                <w:right w:val="none" w:sz="0" w:space="0" w:color="auto"/>
                                                              </w:divBdr>
                                                              <w:divsChild>
                                                                <w:div w:id="425350324">
                                                                  <w:marLeft w:val="0"/>
                                                                  <w:marRight w:val="0"/>
                                                                  <w:marTop w:val="0"/>
                                                                  <w:marBottom w:val="0"/>
                                                                  <w:divBdr>
                                                                    <w:top w:val="none" w:sz="0" w:space="0" w:color="auto"/>
                                                                    <w:left w:val="none" w:sz="0" w:space="0" w:color="auto"/>
                                                                    <w:bottom w:val="none" w:sz="0" w:space="0" w:color="auto"/>
                                                                    <w:right w:val="none" w:sz="0" w:space="0" w:color="auto"/>
                                                                  </w:divBdr>
                                                                  <w:divsChild>
                                                                    <w:div w:id="565994517">
                                                                      <w:marLeft w:val="0"/>
                                                                      <w:marRight w:val="0"/>
                                                                      <w:marTop w:val="0"/>
                                                                      <w:marBottom w:val="180"/>
                                                                      <w:divBdr>
                                                                        <w:top w:val="none" w:sz="0" w:space="0" w:color="auto"/>
                                                                        <w:left w:val="none" w:sz="0" w:space="0" w:color="auto"/>
                                                                        <w:bottom w:val="none" w:sz="0" w:space="0" w:color="auto"/>
                                                                        <w:right w:val="none" w:sz="0" w:space="0" w:color="auto"/>
                                                                      </w:divBdr>
                                                                      <w:divsChild>
                                                                        <w:div w:id="90510705">
                                                                          <w:marLeft w:val="0"/>
                                                                          <w:marRight w:val="0"/>
                                                                          <w:marTop w:val="0"/>
                                                                          <w:marBottom w:val="0"/>
                                                                          <w:divBdr>
                                                                            <w:top w:val="none" w:sz="0" w:space="0" w:color="auto"/>
                                                                            <w:left w:val="none" w:sz="0" w:space="0" w:color="auto"/>
                                                                            <w:bottom w:val="none" w:sz="0" w:space="0" w:color="auto"/>
                                                                            <w:right w:val="none" w:sz="0" w:space="0" w:color="auto"/>
                                                                          </w:divBdr>
                                                                          <w:divsChild>
                                                                            <w:div w:id="7271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3%20VET\02%20Report\03%20Data\2020%20Report\Charts\2020%20RoGS%20VET%20Chapter%205%20chart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3%20VET\02%20Report\01%20Chapter%20drafts\2020%20Report\Charts\2020%20RoGS%20VET%20Chapter%205%20chart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3%20VET\02%20Report\01%20Chapter%20drafts\2020%20Report\Charts\2020%20RoGS%20VET%20Chapter%205%20charts.xlsm"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68896321070239E-2"/>
          <c:y val="4.8506944444444443E-2"/>
          <c:w val="0.89887421033073212"/>
          <c:h val="0.67196765628431709"/>
        </c:manualLayout>
      </c:layout>
      <c:barChart>
        <c:barDir val="col"/>
        <c:grouping val="stacked"/>
        <c:varyColors val="0"/>
        <c:ser>
          <c:idx val="0"/>
          <c:order val="0"/>
          <c:tx>
            <c:strRef>
              <c:f>'4. Achieve main'!$C$26</c:f>
              <c:strCache>
                <c:ptCount val="1"/>
                <c:pt idx="0">
                  <c:v>Helped achieve main reason</c:v>
                </c:pt>
              </c:strCache>
            </c:strRef>
          </c:tx>
          <c:spPr>
            <a:solidFill>
              <a:srgbClr val="66BCDB"/>
            </a:solidFill>
            <a:ln>
              <a:solidFill>
                <a:srgbClr val="66BCDB"/>
              </a:solidFill>
            </a:ln>
          </c:spPr>
          <c:invertIfNegative val="0"/>
          <c:cat>
            <c:multiLvlStrRef>
              <c:f>'4. Achieve main'!$D$24:$BE$25</c:f>
              <c:multiLvlStrCache>
                <c:ptCount val="54"/>
                <c:lvl>
                  <c:pt idx="1">
                    <c:v>2015</c:v>
                  </c:pt>
                  <c:pt idx="2">
                    <c:v>2016</c:v>
                  </c:pt>
                  <c:pt idx="3">
                    <c:v>2017</c:v>
                  </c:pt>
                  <c:pt idx="4">
                    <c:v>2018</c:v>
                  </c:pt>
                  <c:pt idx="5">
                    <c:v>2019</c:v>
                  </c:pt>
                  <c:pt idx="7">
                    <c:v>2015</c:v>
                  </c:pt>
                  <c:pt idx="8">
                    <c:v>2016</c:v>
                  </c:pt>
                  <c:pt idx="9">
                    <c:v>2017</c:v>
                  </c:pt>
                  <c:pt idx="10">
                    <c:v>2018</c:v>
                  </c:pt>
                  <c:pt idx="11">
                    <c:v>2019</c:v>
                  </c:pt>
                  <c:pt idx="13">
                    <c:v>2015</c:v>
                  </c:pt>
                  <c:pt idx="14">
                    <c:v>2016</c:v>
                  </c:pt>
                  <c:pt idx="15">
                    <c:v>2017</c:v>
                  </c:pt>
                  <c:pt idx="16">
                    <c:v>2018</c:v>
                  </c:pt>
                  <c:pt idx="17">
                    <c:v>2019</c:v>
                  </c:pt>
                  <c:pt idx="19">
                    <c:v>2015</c:v>
                  </c:pt>
                  <c:pt idx="20">
                    <c:v>2016</c:v>
                  </c:pt>
                  <c:pt idx="21">
                    <c:v>2017</c:v>
                  </c:pt>
                  <c:pt idx="22">
                    <c:v>2018</c:v>
                  </c:pt>
                  <c:pt idx="23">
                    <c:v>2019</c:v>
                  </c:pt>
                  <c:pt idx="25">
                    <c:v>2015</c:v>
                  </c:pt>
                  <c:pt idx="26">
                    <c:v>2016</c:v>
                  </c:pt>
                  <c:pt idx="27">
                    <c:v>2017</c:v>
                  </c:pt>
                  <c:pt idx="28">
                    <c:v>2018</c:v>
                  </c:pt>
                  <c:pt idx="29">
                    <c:v>2019</c:v>
                  </c:pt>
                  <c:pt idx="31">
                    <c:v>2015</c:v>
                  </c:pt>
                  <c:pt idx="32">
                    <c:v>2016</c:v>
                  </c:pt>
                  <c:pt idx="33">
                    <c:v>2017</c:v>
                  </c:pt>
                  <c:pt idx="34">
                    <c:v>2018</c:v>
                  </c:pt>
                  <c:pt idx="35">
                    <c:v>2019</c:v>
                  </c:pt>
                  <c:pt idx="37">
                    <c:v>2015</c:v>
                  </c:pt>
                  <c:pt idx="38">
                    <c:v>2016</c:v>
                  </c:pt>
                  <c:pt idx="39">
                    <c:v>2017</c:v>
                  </c:pt>
                  <c:pt idx="40">
                    <c:v>2018</c:v>
                  </c:pt>
                  <c:pt idx="41">
                    <c:v>2019</c:v>
                  </c:pt>
                  <c:pt idx="43">
                    <c:v>2015</c:v>
                  </c:pt>
                  <c:pt idx="44">
                    <c:v>2016</c:v>
                  </c:pt>
                  <c:pt idx="45">
                    <c:v>2017</c:v>
                  </c:pt>
                  <c:pt idx="46">
                    <c:v>2018</c:v>
                  </c:pt>
                  <c:pt idx="47">
                    <c:v>2019</c:v>
                  </c:pt>
                  <c:pt idx="49">
                    <c:v>2015</c:v>
                  </c:pt>
                  <c:pt idx="50">
                    <c:v>2016</c:v>
                  </c:pt>
                  <c:pt idx="51">
                    <c:v>2017</c:v>
                  </c:pt>
                  <c:pt idx="52">
                    <c:v>2018</c:v>
                  </c:pt>
                  <c:pt idx="53">
                    <c:v>2019</c:v>
                  </c:pt>
                </c:lvl>
                <c:lvl>
                  <c:pt idx="0">
                    <c:v>NSW</c:v>
                  </c:pt>
                  <c:pt idx="7">
                    <c:v>Vic</c:v>
                  </c:pt>
                  <c:pt idx="13">
                    <c:v>Qld</c:v>
                  </c:pt>
                  <c:pt idx="19">
                    <c:v>WA</c:v>
                  </c:pt>
                  <c:pt idx="25">
                    <c:v>SA</c:v>
                  </c:pt>
                  <c:pt idx="31">
                    <c:v>Tas</c:v>
                  </c:pt>
                  <c:pt idx="37">
                    <c:v>ACT</c:v>
                  </c:pt>
                  <c:pt idx="43">
                    <c:v>NT</c:v>
                  </c:pt>
                  <c:pt idx="49">
                    <c:v>Aust</c:v>
                  </c:pt>
                </c:lvl>
              </c:multiLvlStrCache>
            </c:multiLvlStrRef>
          </c:cat>
          <c:val>
            <c:numRef>
              <c:f>'4. Achieve main'!$D$26:$BE$26</c:f>
              <c:numCache>
                <c:formatCode>_-* #,##0.0_-;\-* #,##0.0_-;_-* "-"??_-;_-@_-</c:formatCode>
                <c:ptCount val="54"/>
                <c:pt idx="1">
                  <c:v>67.099999999999994</c:v>
                </c:pt>
                <c:pt idx="2">
                  <c:v>66.3</c:v>
                </c:pt>
                <c:pt idx="3">
                  <c:v>67.8</c:v>
                </c:pt>
                <c:pt idx="4">
                  <c:v>68</c:v>
                </c:pt>
                <c:pt idx="5">
                  <c:v>68</c:v>
                </c:pt>
                <c:pt idx="7" formatCode="General">
                  <c:v>60.5</c:v>
                </c:pt>
                <c:pt idx="8" formatCode="General">
                  <c:v>65.5</c:v>
                </c:pt>
                <c:pt idx="9" formatCode="General">
                  <c:v>65.7</c:v>
                </c:pt>
                <c:pt idx="10" formatCode="General">
                  <c:v>66.8</c:v>
                </c:pt>
                <c:pt idx="11" formatCode="General">
                  <c:v>66.3</c:v>
                </c:pt>
                <c:pt idx="13" formatCode="General">
                  <c:v>62.1</c:v>
                </c:pt>
                <c:pt idx="14" formatCode="General">
                  <c:v>64.2</c:v>
                </c:pt>
                <c:pt idx="15" formatCode="General">
                  <c:v>65.2</c:v>
                </c:pt>
                <c:pt idx="16" formatCode="General">
                  <c:v>65.599999999999994</c:v>
                </c:pt>
                <c:pt idx="17" formatCode="General">
                  <c:v>65.5</c:v>
                </c:pt>
                <c:pt idx="19" formatCode="General">
                  <c:v>70</c:v>
                </c:pt>
                <c:pt idx="20" formatCode="General">
                  <c:v>67.2</c:v>
                </c:pt>
                <c:pt idx="21" formatCode="General">
                  <c:v>68</c:v>
                </c:pt>
                <c:pt idx="22" formatCode="General">
                  <c:v>66.099999999999994</c:v>
                </c:pt>
                <c:pt idx="23" formatCode="General">
                  <c:v>65.099999999999994</c:v>
                </c:pt>
                <c:pt idx="25" formatCode="General">
                  <c:v>63.9</c:v>
                </c:pt>
                <c:pt idx="26" formatCode="General">
                  <c:v>64.7</c:v>
                </c:pt>
                <c:pt idx="27" formatCode="General">
                  <c:v>68.900000000000006</c:v>
                </c:pt>
                <c:pt idx="28" formatCode="General">
                  <c:v>67.7</c:v>
                </c:pt>
                <c:pt idx="29" formatCode="General">
                  <c:v>73.8</c:v>
                </c:pt>
                <c:pt idx="31" formatCode="General">
                  <c:v>69.7</c:v>
                </c:pt>
                <c:pt idx="32" formatCode="General">
                  <c:v>71.400000000000006</c:v>
                </c:pt>
                <c:pt idx="33" formatCode="General">
                  <c:v>72.8</c:v>
                </c:pt>
                <c:pt idx="34" formatCode="General">
                  <c:v>69.7</c:v>
                </c:pt>
                <c:pt idx="35" formatCode="General">
                  <c:v>66</c:v>
                </c:pt>
                <c:pt idx="37" formatCode="General">
                  <c:v>68.599999999999994</c:v>
                </c:pt>
                <c:pt idx="38" formatCode="General">
                  <c:v>75.599999999999994</c:v>
                </c:pt>
                <c:pt idx="39" formatCode="General">
                  <c:v>73.2</c:v>
                </c:pt>
                <c:pt idx="40" formatCode="General">
                  <c:v>71.099999999999994</c:v>
                </c:pt>
                <c:pt idx="41" formatCode="General">
                  <c:v>70.8</c:v>
                </c:pt>
                <c:pt idx="43" formatCode="General">
                  <c:v>79.2</c:v>
                </c:pt>
                <c:pt idx="44" formatCode="General">
                  <c:v>77.7</c:v>
                </c:pt>
                <c:pt idx="45" formatCode="General">
                  <c:v>76.3</c:v>
                </c:pt>
                <c:pt idx="46" formatCode="General">
                  <c:v>76.599999999999994</c:v>
                </c:pt>
                <c:pt idx="47" formatCode="General">
                  <c:v>74.3</c:v>
                </c:pt>
                <c:pt idx="49" formatCode="###\ ###\ ##0;\-###\ ###\ ##0;&quot;–&quot;">
                  <c:v>64.400000000000006</c:v>
                </c:pt>
                <c:pt idx="50" formatCode="0.0">
                  <c:v>66</c:v>
                </c:pt>
                <c:pt idx="51" formatCode="0.0">
                  <c:v>67.099999999999994</c:v>
                </c:pt>
                <c:pt idx="52" formatCode="0.0">
                  <c:v>67.2</c:v>
                </c:pt>
                <c:pt idx="53" formatCode="0.0">
                  <c:v>67</c:v>
                </c:pt>
              </c:numCache>
            </c:numRef>
          </c:val>
        </c:ser>
        <c:ser>
          <c:idx val="1"/>
          <c:order val="1"/>
          <c:tx>
            <c:strRef>
              <c:f>'4. Achieve main'!$C$27</c:f>
              <c:strCache>
                <c:ptCount val="1"/>
                <c:pt idx="0">
                  <c:v>Partly helped achieve main reason</c:v>
                </c:pt>
              </c:strCache>
            </c:strRef>
          </c:tx>
          <c:spPr>
            <a:solidFill>
              <a:srgbClr val="265A9A"/>
            </a:solidFill>
            <a:ln>
              <a:solidFill>
                <a:srgbClr val="265A9A"/>
              </a:solidFill>
            </a:ln>
          </c:spPr>
          <c:invertIfNegative val="0"/>
          <c:errBars>
            <c:errBarType val="both"/>
            <c:errValType val="cust"/>
            <c:noEndCap val="0"/>
            <c:plus>
              <c:numRef>
                <c:f>'4. Achieve main'!$D$30:$BE$30</c:f>
                <c:numCache>
                  <c:formatCode>General</c:formatCode>
                  <c:ptCount val="54"/>
                  <c:pt idx="1">
                    <c:v>0.9</c:v>
                  </c:pt>
                  <c:pt idx="2">
                    <c:v>1.2</c:v>
                  </c:pt>
                  <c:pt idx="3">
                    <c:v>0.5</c:v>
                  </c:pt>
                  <c:pt idx="4">
                    <c:v>0.3</c:v>
                  </c:pt>
                  <c:pt idx="5">
                    <c:v>0.4</c:v>
                  </c:pt>
                  <c:pt idx="7">
                    <c:v>2.2000000000000002</c:v>
                  </c:pt>
                  <c:pt idx="8">
                    <c:v>1.1000000000000001</c:v>
                  </c:pt>
                  <c:pt idx="9">
                    <c:v>0.6</c:v>
                  </c:pt>
                  <c:pt idx="10">
                    <c:v>0.5</c:v>
                  </c:pt>
                  <c:pt idx="11">
                    <c:v>0.5</c:v>
                  </c:pt>
                  <c:pt idx="13">
                    <c:v>2.1</c:v>
                  </c:pt>
                  <c:pt idx="14">
                    <c:v>2</c:v>
                  </c:pt>
                  <c:pt idx="15">
                    <c:v>0.6</c:v>
                  </c:pt>
                  <c:pt idx="16">
                    <c:v>0.5</c:v>
                  </c:pt>
                  <c:pt idx="17">
                    <c:v>0.5</c:v>
                  </c:pt>
                  <c:pt idx="19">
                    <c:v>1.1000000000000001</c:v>
                  </c:pt>
                  <c:pt idx="20">
                    <c:v>1.9</c:v>
                  </c:pt>
                  <c:pt idx="21">
                    <c:v>0.8</c:v>
                  </c:pt>
                  <c:pt idx="22">
                    <c:v>0.7</c:v>
                  </c:pt>
                  <c:pt idx="23">
                    <c:v>0.9</c:v>
                  </c:pt>
                  <c:pt idx="25">
                    <c:v>1.8</c:v>
                  </c:pt>
                  <c:pt idx="26">
                    <c:v>1.9</c:v>
                  </c:pt>
                  <c:pt idx="27">
                    <c:v>1</c:v>
                  </c:pt>
                  <c:pt idx="28">
                    <c:v>1.3</c:v>
                  </c:pt>
                  <c:pt idx="29">
                    <c:v>1.4</c:v>
                  </c:pt>
                  <c:pt idx="31">
                    <c:v>1.7</c:v>
                  </c:pt>
                  <c:pt idx="32">
                    <c:v>1.9</c:v>
                  </c:pt>
                  <c:pt idx="33">
                    <c:v>1</c:v>
                  </c:pt>
                  <c:pt idx="34">
                    <c:v>1.1000000000000001</c:v>
                  </c:pt>
                  <c:pt idx="35">
                    <c:v>1.6</c:v>
                  </c:pt>
                  <c:pt idx="37">
                    <c:v>2.5</c:v>
                  </c:pt>
                  <c:pt idx="38">
                    <c:v>2.2999999999999998</c:v>
                  </c:pt>
                  <c:pt idx="39">
                    <c:v>1.5</c:v>
                  </c:pt>
                  <c:pt idx="40">
                    <c:v>1.4</c:v>
                  </c:pt>
                  <c:pt idx="41">
                    <c:v>1.6</c:v>
                  </c:pt>
                  <c:pt idx="43">
                    <c:v>2.1</c:v>
                  </c:pt>
                  <c:pt idx="44">
                    <c:v>1.7</c:v>
                  </c:pt>
                  <c:pt idx="45">
                    <c:v>1.4</c:v>
                  </c:pt>
                  <c:pt idx="46">
                    <c:v>1.6</c:v>
                  </c:pt>
                  <c:pt idx="47">
                    <c:v>2.1</c:v>
                  </c:pt>
                  <c:pt idx="49">
                    <c:v>0.8</c:v>
                  </c:pt>
                  <c:pt idx="50">
                    <c:v>0.7</c:v>
                  </c:pt>
                  <c:pt idx="51">
                    <c:v>0.3</c:v>
                  </c:pt>
                  <c:pt idx="52">
                    <c:v>0.2</c:v>
                  </c:pt>
                  <c:pt idx="53">
                    <c:v>0.2</c:v>
                  </c:pt>
                </c:numCache>
              </c:numRef>
            </c:plus>
            <c:minus>
              <c:numRef>
                <c:f>'4. Achieve main'!$D$30:$BE$30</c:f>
                <c:numCache>
                  <c:formatCode>General</c:formatCode>
                  <c:ptCount val="54"/>
                  <c:pt idx="1">
                    <c:v>0.9</c:v>
                  </c:pt>
                  <c:pt idx="2">
                    <c:v>1.2</c:v>
                  </c:pt>
                  <c:pt idx="3">
                    <c:v>0.5</c:v>
                  </c:pt>
                  <c:pt idx="4">
                    <c:v>0.3</c:v>
                  </c:pt>
                  <c:pt idx="5">
                    <c:v>0.4</c:v>
                  </c:pt>
                  <c:pt idx="7">
                    <c:v>2.2000000000000002</c:v>
                  </c:pt>
                  <c:pt idx="8">
                    <c:v>1.1000000000000001</c:v>
                  </c:pt>
                  <c:pt idx="9">
                    <c:v>0.6</c:v>
                  </c:pt>
                  <c:pt idx="10">
                    <c:v>0.5</c:v>
                  </c:pt>
                  <c:pt idx="11">
                    <c:v>0.5</c:v>
                  </c:pt>
                  <c:pt idx="13">
                    <c:v>2.1</c:v>
                  </c:pt>
                  <c:pt idx="14">
                    <c:v>2</c:v>
                  </c:pt>
                  <c:pt idx="15">
                    <c:v>0.6</c:v>
                  </c:pt>
                  <c:pt idx="16">
                    <c:v>0.5</c:v>
                  </c:pt>
                  <c:pt idx="17">
                    <c:v>0.5</c:v>
                  </c:pt>
                  <c:pt idx="19">
                    <c:v>1.1000000000000001</c:v>
                  </c:pt>
                  <c:pt idx="20">
                    <c:v>1.9</c:v>
                  </c:pt>
                  <c:pt idx="21">
                    <c:v>0.8</c:v>
                  </c:pt>
                  <c:pt idx="22">
                    <c:v>0.7</c:v>
                  </c:pt>
                  <c:pt idx="23">
                    <c:v>0.9</c:v>
                  </c:pt>
                  <c:pt idx="25">
                    <c:v>1.8</c:v>
                  </c:pt>
                  <c:pt idx="26">
                    <c:v>1.9</c:v>
                  </c:pt>
                  <c:pt idx="27">
                    <c:v>1</c:v>
                  </c:pt>
                  <c:pt idx="28">
                    <c:v>1.3</c:v>
                  </c:pt>
                  <c:pt idx="29">
                    <c:v>1.4</c:v>
                  </c:pt>
                  <c:pt idx="31">
                    <c:v>1.7</c:v>
                  </c:pt>
                  <c:pt idx="32">
                    <c:v>1.9</c:v>
                  </c:pt>
                  <c:pt idx="33">
                    <c:v>1</c:v>
                  </c:pt>
                  <c:pt idx="34">
                    <c:v>1.1000000000000001</c:v>
                  </c:pt>
                  <c:pt idx="35">
                    <c:v>1.6</c:v>
                  </c:pt>
                  <c:pt idx="37">
                    <c:v>2.5</c:v>
                  </c:pt>
                  <c:pt idx="38">
                    <c:v>2.2999999999999998</c:v>
                  </c:pt>
                  <c:pt idx="39">
                    <c:v>1.5</c:v>
                  </c:pt>
                  <c:pt idx="40">
                    <c:v>1.4</c:v>
                  </c:pt>
                  <c:pt idx="41">
                    <c:v>1.6</c:v>
                  </c:pt>
                  <c:pt idx="43">
                    <c:v>2.1</c:v>
                  </c:pt>
                  <c:pt idx="44">
                    <c:v>1.7</c:v>
                  </c:pt>
                  <c:pt idx="45">
                    <c:v>1.4</c:v>
                  </c:pt>
                  <c:pt idx="46">
                    <c:v>1.6</c:v>
                  </c:pt>
                  <c:pt idx="47">
                    <c:v>2.1</c:v>
                  </c:pt>
                  <c:pt idx="49">
                    <c:v>0.8</c:v>
                  </c:pt>
                  <c:pt idx="50">
                    <c:v>0.7</c:v>
                  </c:pt>
                  <c:pt idx="51">
                    <c:v>0.3</c:v>
                  </c:pt>
                  <c:pt idx="52">
                    <c:v>0.2</c:v>
                  </c:pt>
                  <c:pt idx="53">
                    <c:v>0.2</c:v>
                  </c:pt>
                </c:numCache>
              </c:numRef>
            </c:minus>
            <c:spPr>
              <a:ln>
                <a:solidFill>
                  <a:srgbClr val="66BCDB"/>
                </a:solidFill>
              </a:ln>
            </c:spPr>
          </c:errBars>
          <c:cat>
            <c:multiLvlStrRef>
              <c:f>'4. Achieve main'!$D$24:$BE$25</c:f>
              <c:multiLvlStrCache>
                <c:ptCount val="54"/>
                <c:lvl>
                  <c:pt idx="1">
                    <c:v>2015</c:v>
                  </c:pt>
                  <c:pt idx="2">
                    <c:v>2016</c:v>
                  </c:pt>
                  <c:pt idx="3">
                    <c:v>2017</c:v>
                  </c:pt>
                  <c:pt idx="4">
                    <c:v>2018</c:v>
                  </c:pt>
                  <c:pt idx="5">
                    <c:v>2019</c:v>
                  </c:pt>
                  <c:pt idx="7">
                    <c:v>2015</c:v>
                  </c:pt>
                  <c:pt idx="8">
                    <c:v>2016</c:v>
                  </c:pt>
                  <c:pt idx="9">
                    <c:v>2017</c:v>
                  </c:pt>
                  <c:pt idx="10">
                    <c:v>2018</c:v>
                  </c:pt>
                  <c:pt idx="11">
                    <c:v>2019</c:v>
                  </c:pt>
                  <c:pt idx="13">
                    <c:v>2015</c:v>
                  </c:pt>
                  <c:pt idx="14">
                    <c:v>2016</c:v>
                  </c:pt>
                  <c:pt idx="15">
                    <c:v>2017</c:v>
                  </c:pt>
                  <c:pt idx="16">
                    <c:v>2018</c:v>
                  </c:pt>
                  <c:pt idx="17">
                    <c:v>2019</c:v>
                  </c:pt>
                  <c:pt idx="19">
                    <c:v>2015</c:v>
                  </c:pt>
                  <c:pt idx="20">
                    <c:v>2016</c:v>
                  </c:pt>
                  <c:pt idx="21">
                    <c:v>2017</c:v>
                  </c:pt>
                  <c:pt idx="22">
                    <c:v>2018</c:v>
                  </c:pt>
                  <c:pt idx="23">
                    <c:v>2019</c:v>
                  </c:pt>
                  <c:pt idx="25">
                    <c:v>2015</c:v>
                  </c:pt>
                  <c:pt idx="26">
                    <c:v>2016</c:v>
                  </c:pt>
                  <c:pt idx="27">
                    <c:v>2017</c:v>
                  </c:pt>
                  <c:pt idx="28">
                    <c:v>2018</c:v>
                  </c:pt>
                  <c:pt idx="29">
                    <c:v>2019</c:v>
                  </c:pt>
                  <c:pt idx="31">
                    <c:v>2015</c:v>
                  </c:pt>
                  <c:pt idx="32">
                    <c:v>2016</c:v>
                  </c:pt>
                  <c:pt idx="33">
                    <c:v>2017</c:v>
                  </c:pt>
                  <c:pt idx="34">
                    <c:v>2018</c:v>
                  </c:pt>
                  <c:pt idx="35">
                    <c:v>2019</c:v>
                  </c:pt>
                  <c:pt idx="37">
                    <c:v>2015</c:v>
                  </c:pt>
                  <c:pt idx="38">
                    <c:v>2016</c:v>
                  </c:pt>
                  <c:pt idx="39">
                    <c:v>2017</c:v>
                  </c:pt>
                  <c:pt idx="40">
                    <c:v>2018</c:v>
                  </c:pt>
                  <c:pt idx="41">
                    <c:v>2019</c:v>
                  </c:pt>
                  <c:pt idx="43">
                    <c:v>2015</c:v>
                  </c:pt>
                  <c:pt idx="44">
                    <c:v>2016</c:v>
                  </c:pt>
                  <c:pt idx="45">
                    <c:v>2017</c:v>
                  </c:pt>
                  <c:pt idx="46">
                    <c:v>2018</c:v>
                  </c:pt>
                  <c:pt idx="47">
                    <c:v>2019</c:v>
                  </c:pt>
                  <c:pt idx="49">
                    <c:v>2015</c:v>
                  </c:pt>
                  <c:pt idx="50">
                    <c:v>2016</c:v>
                  </c:pt>
                  <c:pt idx="51">
                    <c:v>2017</c:v>
                  </c:pt>
                  <c:pt idx="52">
                    <c:v>2018</c:v>
                  </c:pt>
                  <c:pt idx="53">
                    <c:v>2019</c:v>
                  </c:pt>
                </c:lvl>
                <c:lvl>
                  <c:pt idx="0">
                    <c:v>NSW</c:v>
                  </c:pt>
                  <c:pt idx="7">
                    <c:v>Vic</c:v>
                  </c:pt>
                  <c:pt idx="13">
                    <c:v>Qld</c:v>
                  </c:pt>
                  <c:pt idx="19">
                    <c:v>WA</c:v>
                  </c:pt>
                  <c:pt idx="25">
                    <c:v>SA</c:v>
                  </c:pt>
                  <c:pt idx="31">
                    <c:v>Tas</c:v>
                  </c:pt>
                  <c:pt idx="37">
                    <c:v>ACT</c:v>
                  </c:pt>
                  <c:pt idx="43">
                    <c:v>NT</c:v>
                  </c:pt>
                  <c:pt idx="49">
                    <c:v>Aust</c:v>
                  </c:pt>
                </c:lvl>
              </c:multiLvlStrCache>
            </c:multiLvlStrRef>
          </c:cat>
          <c:val>
            <c:numRef>
              <c:f>'4. Achieve main'!$D$27:$BE$27</c:f>
              <c:numCache>
                <c:formatCode>General</c:formatCode>
                <c:ptCount val="54"/>
                <c:pt idx="1">
                  <c:v>15.2</c:v>
                </c:pt>
                <c:pt idx="2">
                  <c:v>17.8</c:v>
                </c:pt>
                <c:pt idx="3">
                  <c:v>16.100000000000001</c:v>
                </c:pt>
                <c:pt idx="4">
                  <c:v>15.9</c:v>
                </c:pt>
                <c:pt idx="5">
                  <c:v>15.4</c:v>
                </c:pt>
                <c:pt idx="7">
                  <c:v>16</c:v>
                </c:pt>
                <c:pt idx="8">
                  <c:v>16.100000000000001</c:v>
                </c:pt>
                <c:pt idx="9">
                  <c:v>16.399999999999999</c:v>
                </c:pt>
                <c:pt idx="10">
                  <c:v>16.399999999999999</c:v>
                </c:pt>
                <c:pt idx="11">
                  <c:v>15.4</c:v>
                </c:pt>
                <c:pt idx="13">
                  <c:v>14.5</c:v>
                </c:pt>
                <c:pt idx="14">
                  <c:v>15</c:v>
                </c:pt>
                <c:pt idx="15">
                  <c:v>15.3</c:v>
                </c:pt>
                <c:pt idx="16">
                  <c:v>15.2</c:v>
                </c:pt>
                <c:pt idx="17">
                  <c:v>14.5</c:v>
                </c:pt>
                <c:pt idx="19">
                  <c:v>14.2</c:v>
                </c:pt>
                <c:pt idx="20">
                  <c:v>15.3</c:v>
                </c:pt>
                <c:pt idx="21">
                  <c:v>15.4</c:v>
                </c:pt>
                <c:pt idx="22">
                  <c:v>16.100000000000001</c:v>
                </c:pt>
                <c:pt idx="23">
                  <c:v>15</c:v>
                </c:pt>
                <c:pt idx="25">
                  <c:v>16.399999999999999</c:v>
                </c:pt>
                <c:pt idx="26">
                  <c:v>19.5</c:v>
                </c:pt>
                <c:pt idx="27">
                  <c:v>14.8</c:v>
                </c:pt>
                <c:pt idx="28">
                  <c:v>15.1</c:v>
                </c:pt>
                <c:pt idx="29">
                  <c:v>12.5</c:v>
                </c:pt>
                <c:pt idx="31">
                  <c:v>13.8</c:v>
                </c:pt>
                <c:pt idx="32">
                  <c:v>13.8</c:v>
                </c:pt>
                <c:pt idx="33">
                  <c:v>13.4</c:v>
                </c:pt>
                <c:pt idx="34">
                  <c:v>14.5</c:v>
                </c:pt>
                <c:pt idx="35">
                  <c:v>16</c:v>
                </c:pt>
                <c:pt idx="37">
                  <c:v>15.1</c:v>
                </c:pt>
                <c:pt idx="38">
                  <c:v>12.3</c:v>
                </c:pt>
                <c:pt idx="39">
                  <c:v>13.8</c:v>
                </c:pt>
                <c:pt idx="40">
                  <c:v>14.2</c:v>
                </c:pt>
                <c:pt idx="41">
                  <c:v>14.8</c:v>
                </c:pt>
                <c:pt idx="43">
                  <c:v>10.6</c:v>
                </c:pt>
                <c:pt idx="44">
                  <c:v>13.5</c:v>
                </c:pt>
                <c:pt idx="45">
                  <c:v>14.7</c:v>
                </c:pt>
                <c:pt idx="46">
                  <c:v>12.3</c:v>
                </c:pt>
                <c:pt idx="47">
                  <c:v>13</c:v>
                </c:pt>
                <c:pt idx="49">
                  <c:v>15.3</c:v>
                </c:pt>
                <c:pt idx="50">
                  <c:v>16.2</c:v>
                </c:pt>
                <c:pt idx="51">
                  <c:v>15.8</c:v>
                </c:pt>
                <c:pt idx="52">
                  <c:v>15.7</c:v>
                </c:pt>
                <c:pt idx="53">
                  <c:v>15.1</c:v>
                </c:pt>
              </c:numCache>
            </c:numRef>
          </c:val>
        </c:ser>
        <c:dLbls>
          <c:showLegendKey val="0"/>
          <c:showVal val="0"/>
          <c:showCatName val="0"/>
          <c:showSerName val="0"/>
          <c:showPercent val="0"/>
          <c:showBubbleSize val="0"/>
        </c:dLbls>
        <c:gapWidth val="0"/>
        <c:overlap val="100"/>
        <c:axId val="327344648"/>
        <c:axId val="327345040"/>
      </c:barChart>
      <c:catAx>
        <c:axId val="327344648"/>
        <c:scaling>
          <c:orientation val="minMax"/>
        </c:scaling>
        <c:delete val="0"/>
        <c:axPos val="b"/>
        <c:numFmt formatCode="General" sourceLinked="0"/>
        <c:majorTickMark val="none"/>
        <c:minorTickMark val="none"/>
        <c:tickLblPos val="nextTo"/>
        <c:spPr>
          <a:noFill/>
          <a:ln>
            <a:solidFill>
              <a:srgbClr val="BFBFBF"/>
            </a:solidFill>
          </a:ln>
        </c:spPr>
        <c:crossAx val="327345040"/>
        <c:crosses val="autoZero"/>
        <c:auto val="1"/>
        <c:lblAlgn val="ctr"/>
        <c:lblOffset val="100"/>
        <c:tickLblSkip val="1"/>
        <c:noMultiLvlLbl val="0"/>
      </c:catAx>
      <c:valAx>
        <c:axId val="327345040"/>
        <c:scaling>
          <c:orientation val="minMax"/>
          <c:max val="100"/>
        </c:scaling>
        <c:delete val="0"/>
        <c:axPos val="l"/>
        <c:majorGridlines>
          <c:spPr>
            <a:ln>
              <a:noFill/>
            </a:ln>
          </c:spPr>
        </c:majorGridlines>
        <c:title>
          <c:tx>
            <c:rich>
              <a:bodyPr rot="-5400000" vert="horz"/>
              <a:lstStyle/>
              <a:p>
                <a:pPr>
                  <a:defRPr/>
                </a:pPr>
                <a:r>
                  <a:rPr lang="en-AU"/>
                  <a:t>Per cent</a:t>
                </a:r>
              </a:p>
            </c:rich>
          </c:tx>
          <c:layout/>
          <c:overlay val="0"/>
        </c:title>
        <c:numFmt formatCode="0" sourceLinked="0"/>
        <c:majorTickMark val="out"/>
        <c:minorTickMark val="none"/>
        <c:tickLblPos val="nextTo"/>
        <c:spPr>
          <a:ln>
            <a:solidFill>
              <a:srgbClr val="BFBFBF"/>
            </a:solidFill>
          </a:ln>
        </c:spPr>
        <c:crossAx val="327344648"/>
        <c:crosses val="autoZero"/>
        <c:crossBetween val="between"/>
        <c:majorUnit val="20"/>
      </c:valAx>
      <c:spPr>
        <a:noFill/>
        <a:ln>
          <a:noFill/>
        </a:ln>
      </c:spPr>
    </c:plotArea>
    <c:legend>
      <c:legendPos val="b"/>
      <c:layout>
        <c:manualLayout>
          <c:xMode val="edge"/>
          <c:yMode val="edge"/>
          <c:x val="9.952259359629137E-2"/>
          <c:y val="0.91159285965923476"/>
          <c:w val="0.80095481280741732"/>
          <c:h val="7.4410938050457592E-2"/>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'5. Emp satisfn'!$F$6</c:f>
              <c:strCache>
                <c:ptCount val="1"/>
                <c:pt idx="0">
                  <c:v>2011, 2013, 2015 and 2017</c:v>
                </c:pt>
              </c:strCache>
            </c:strRef>
          </c:tx>
          <c:spPr>
            <a:solidFill>
              <a:srgbClr val="66BCDB"/>
            </a:solidFill>
            <a:ln>
              <a:solidFill>
                <a:srgbClr val="66BCDB"/>
              </a:solidFill>
            </a:ln>
          </c:spPr>
          <c:invertIfNegative val="0"/>
          <c:errBars>
            <c:errBarType val="both"/>
            <c:errValType val="cust"/>
            <c:noEndCap val="0"/>
            <c:plus>
              <c:numRef>
                <c:f>'5. Emp satisfn'!$G$12:$O$12</c:f>
                <c:numCache>
                  <c:formatCode>General</c:formatCode>
                  <c:ptCount val="9"/>
                  <c:pt idx="0">
                    <c:v>3.3</c:v>
                  </c:pt>
                  <c:pt idx="1">
                    <c:v>3.7</c:v>
                  </c:pt>
                  <c:pt idx="2">
                    <c:v>5.3</c:v>
                  </c:pt>
                  <c:pt idx="3">
                    <c:v>5.2</c:v>
                  </c:pt>
                  <c:pt idx="4">
                    <c:v>4.5999999999999996</c:v>
                  </c:pt>
                  <c:pt idx="5">
                    <c:v>7.1</c:v>
                  </c:pt>
                  <c:pt idx="6">
                    <c:v>6.1</c:v>
                  </c:pt>
                  <c:pt idx="7">
                    <c:v>6.4</c:v>
                  </c:pt>
                  <c:pt idx="8">
                    <c:v>1.9</c:v>
                  </c:pt>
                </c:numCache>
              </c:numRef>
            </c:plus>
            <c:minus>
              <c:numRef>
                <c:f>'5. Emp satisfn'!$G$12:$O$12</c:f>
                <c:numCache>
                  <c:formatCode>General</c:formatCode>
                  <c:ptCount val="9"/>
                  <c:pt idx="0">
                    <c:v>3.3</c:v>
                  </c:pt>
                  <c:pt idx="1">
                    <c:v>3.7</c:v>
                  </c:pt>
                  <c:pt idx="2">
                    <c:v>5.3</c:v>
                  </c:pt>
                  <c:pt idx="3">
                    <c:v>5.2</c:v>
                  </c:pt>
                  <c:pt idx="4">
                    <c:v>4.5999999999999996</c:v>
                  </c:pt>
                  <c:pt idx="5">
                    <c:v>7.1</c:v>
                  </c:pt>
                  <c:pt idx="6">
                    <c:v>6.1</c:v>
                  </c:pt>
                  <c:pt idx="7">
                    <c:v>6.4</c:v>
                  </c:pt>
                  <c:pt idx="8">
                    <c:v>1.9</c:v>
                  </c:pt>
                </c:numCache>
              </c:numRef>
            </c:minus>
            <c:spPr>
              <a:ln>
                <a:solidFill>
                  <a:srgbClr val="265A9A"/>
                </a:solidFill>
              </a:ln>
            </c:spPr>
          </c:errBars>
          <c:cat>
            <c:strRef>
              <c:f>'5. Emp satisfn'!$G$4:$O$5</c:f>
              <c:strCache>
                <c:ptCount val="9"/>
                <c:pt idx="0">
                  <c:v>NSW</c:v>
                </c:pt>
                <c:pt idx="1">
                  <c:v>Vic</c:v>
                </c:pt>
                <c:pt idx="2">
                  <c:v>Qld</c:v>
                </c:pt>
                <c:pt idx="3">
                  <c:v>WA</c:v>
                </c:pt>
                <c:pt idx="4">
                  <c:v>SA</c:v>
                </c:pt>
                <c:pt idx="5">
                  <c:v>Tas</c:v>
                </c:pt>
                <c:pt idx="6">
                  <c:v>ACT</c:v>
                </c:pt>
                <c:pt idx="7">
                  <c:v>NT</c:v>
                </c:pt>
                <c:pt idx="8">
                  <c:v>Aust</c:v>
                </c:pt>
              </c:strCache>
            </c:strRef>
          </c:cat>
          <c:val>
            <c:numRef>
              <c:f>'5. Emp satisfn'!$G$6:$O$6</c:f>
              <c:numCache>
                <c:formatCode>0.0</c:formatCode>
                <c:ptCount val="9"/>
                <c:pt idx="0">
                  <c:v>80</c:v>
                </c:pt>
                <c:pt idx="1">
                  <c:v>78.2</c:v>
                </c:pt>
                <c:pt idx="2">
                  <c:v>73.599999999999994</c:v>
                </c:pt>
                <c:pt idx="3">
                  <c:v>77.8</c:v>
                </c:pt>
                <c:pt idx="4">
                  <c:v>81.7</c:v>
                </c:pt>
                <c:pt idx="5">
                  <c:v>71.8</c:v>
                </c:pt>
                <c:pt idx="6">
                  <c:v>74</c:v>
                </c:pt>
                <c:pt idx="7">
                  <c:v>74.900000000000006</c:v>
                </c:pt>
                <c:pt idx="8">
                  <c:v>77.8</c:v>
                </c:pt>
              </c:numCache>
            </c:numRef>
          </c:val>
        </c:ser>
        <c:ser>
          <c:idx val="1"/>
          <c:order val="1"/>
          <c:tx>
            <c:strRef>
              <c:f>'5. Emp satisfn'!$F$7</c:f>
              <c:strCache>
                <c:ptCount val="1"/>
                <c:pt idx="0">
                  <c:v>2013</c:v>
                </c:pt>
              </c:strCache>
            </c:strRef>
          </c:tx>
          <c:spPr>
            <a:solidFill>
              <a:srgbClr val="66BCDB"/>
            </a:solidFill>
            <a:ln>
              <a:solidFill>
                <a:srgbClr val="66BCDB"/>
              </a:solidFill>
            </a:ln>
          </c:spPr>
          <c:invertIfNegative val="0"/>
          <c:errBars>
            <c:errBarType val="both"/>
            <c:errValType val="cust"/>
            <c:noEndCap val="0"/>
            <c:plus>
              <c:numRef>
                <c:f>'5. Emp satisfn'!$G$13:$O$13</c:f>
                <c:numCache>
                  <c:formatCode>General</c:formatCode>
                  <c:ptCount val="9"/>
                  <c:pt idx="0">
                    <c:v>4</c:v>
                  </c:pt>
                  <c:pt idx="1">
                    <c:v>4.7</c:v>
                  </c:pt>
                  <c:pt idx="2">
                    <c:v>4.4000000000000004</c:v>
                  </c:pt>
                  <c:pt idx="3">
                    <c:v>5.0999999999999996</c:v>
                  </c:pt>
                  <c:pt idx="4">
                    <c:v>4.9000000000000004</c:v>
                  </c:pt>
                  <c:pt idx="5">
                    <c:v>5.2</c:v>
                  </c:pt>
                  <c:pt idx="6">
                    <c:v>5.3</c:v>
                  </c:pt>
                  <c:pt idx="7">
                    <c:v>5.5</c:v>
                  </c:pt>
                  <c:pt idx="8">
                    <c:v>2.1</c:v>
                  </c:pt>
                </c:numCache>
              </c:numRef>
            </c:plus>
            <c:minus>
              <c:numRef>
                <c:f>'5. Emp satisfn'!$G$13:$O$13</c:f>
                <c:numCache>
                  <c:formatCode>General</c:formatCode>
                  <c:ptCount val="9"/>
                  <c:pt idx="0">
                    <c:v>4</c:v>
                  </c:pt>
                  <c:pt idx="1">
                    <c:v>4.7</c:v>
                  </c:pt>
                  <c:pt idx="2">
                    <c:v>4.4000000000000004</c:v>
                  </c:pt>
                  <c:pt idx="3">
                    <c:v>5.0999999999999996</c:v>
                  </c:pt>
                  <c:pt idx="4">
                    <c:v>4.9000000000000004</c:v>
                  </c:pt>
                  <c:pt idx="5">
                    <c:v>5.2</c:v>
                  </c:pt>
                  <c:pt idx="6">
                    <c:v>5.3</c:v>
                  </c:pt>
                  <c:pt idx="7">
                    <c:v>5.5</c:v>
                  </c:pt>
                  <c:pt idx="8">
                    <c:v>2.1</c:v>
                  </c:pt>
                </c:numCache>
              </c:numRef>
            </c:minus>
            <c:spPr>
              <a:ln>
                <a:solidFill>
                  <a:srgbClr val="265A9A"/>
                </a:solidFill>
              </a:ln>
            </c:spPr>
          </c:errBars>
          <c:cat>
            <c:strRef>
              <c:f>'5. Emp satisfn'!$G$4:$O$5</c:f>
              <c:strCache>
                <c:ptCount val="9"/>
                <c:pt idx="0">
                  <c:v>NSW</c:v>
                </c:pt>
                <c:pt idx="1">
                  <c:v>Vic</c:v>
                </c:pt>
                <c:pt idx="2">
                  <c:v>Qld</c:v>
                </c:pt>
                <c:pt idx="3">
                  <c:v>WA</c:v>
                </c:pt>
                <c:pt idx="4">
                  <c:v>SA</c:v>
                </c:pt>
                <c:pt idx="5">
                  <c:v>Tas</c:v>
                </c:pt>
                <c:pt idx="6">
                  <c:v>ACT</c:v>
                </c:pt>
                <c:pt idx="7">
                  <c:v>NT</c:v>
                </c:pt>
                <c:pt idx="8">
                  <c:v>Aust</c:v>
                </c:pt>
              </c:strCache>
            </c:strRef>
          </c:cat>
          <c:val>
            <c:numRef>
              <c:f>'5. Emp satisfn'!$G$7:$O$7</c:f>
              <c:numCache>
                <c:formatCode>0.0</c:formatCode>
                <c:ptCount val="9"/>
                <c:pt idx="0">
                  <c:v>74.400000000000006</c:v>
                </c:pt>
                <c:pt idx="1">
                  <c:v>73.099999999999994</c:v>
                </c:pt>
                <c:pt idx="2">
                  <c:v>69.5</c:v>
                </c:pt>
                <c:pt idx="3">
                  <c:v>73.7</c:v>
                </c:pt>
                <c:pt idx="4">
                  <c:v>75.400000000000006</c:v>
                </c:pt>
                <c:pt idx="5">
                  <c:v>72.400000000000006</c:v>
                </c:pt>
                <c:pt idx="6">
                  <c:v>75.5</c:v>
                </c:pt>
                <c:pt idx="7">
                  <c:v>69.3</c:v>
                </c:pt>
                <c:pt idx="8">
                  <c:v>73.099999999999994</c:v>
                </c:pt>
              </c:numCache>
            </c:numRef>
          </c:val>
        </c:ser>
        <c:ser>
          <c:idx val="2"/>
          <c:order val="2"/>
          <c:tx>
            <c:strRef>
              <c:f>'5. Emp satisfn'!$F$8</c:f>
              <c:strCache>
                <c:ptCount val="1"/>
                <c:pt idx="0">
                  <c:v>2015</c:v>
                </c:pt>
              </c:strCache>
            </c:strRef>
          </c:tx>
          <c:spPr>
            <a:solidFill>
              <a:srgbClr val="66BCDB"/>
            </a:solidFill>
            <a:ln>
              <a:solidFill>
                <a:srgbClr val="66BCDB"/>
              </a:solidFill>
            </a:ln>
          </c:spPr>
          <c:invertIfNegative val="0"/>
          <c:errBars>
            <c:errBarType val="both"/>
            <c:errValType val="cust"/>
            <c:noEndCap val="0"/>
            <c:plus>
              <c:numRef>
                <c:f>'5. Emp satisfn'!$G$14:$O$14</c:f>
                <c:numCache>
                  <c:formatCode>General</c:formatCode>
                  <c:ptCount val="9"/>
                  <c:pt idx="0">
                    <c:v>4.7</c:v>
                  </c:pt>
                  <c:pt idx="1">
                    <c:v>4.7</c:v>
                  </c:pt>
                  <c:pt idx="2">
                    <c:v>5.2</c:v>
                  </c:pt>
                  <c:pt idx="3">
                    <c:v>5</c:v>
                  </c:pt>
                  <c:pt idx="4">
                    <c:v>5</c:v>
                  </c:pt>
                  <c:pt idx="5">
                    <c:v>5</c:v>
                  </c:pt>
                  <c:pt idx="6">
                    <c:v>5</c:v>
                  </c:pt>
                  <c:pt idx="7">
                    <c:v>5.9</c:v>
                  </c:pt>
                  <c:pt idx="8">
                    <c:v>2.4</c:v>
                  </c:pt>
                </c:numCache>
              </c:numRef>
            </c:plus>
            <c:minus>
              <c:numRef>
                <c:f>'5. Emp satisfn'!$G$14:$O$14</c:f>
                <c:numCache>
                  <c:formatCode>General</c:formatCode>
                  <c:ptCount val="9"/>
                  <c:pt idx="0">
                    <c:v>4.7</c:v>
                  </c:pt>
                  <c:pt idx="1">
                    <c:v>4.7</c:v>
                  </c:pt>
                  <c:pt idx="2">
                    <c:v>5.2</c:v>
                  </c:pt>
                  <c:pt idx="3">
                    <c:v>5</c:v>
                  </c:pt>
                  <c:pt idx="4">
                    <c:v>5</c:v>
                  </c:pt>
                  <c:pt idx="5">
                    <c:v>5</c:v>
                  </c:pt>
                  <c:pt idx="6">
                    <c:v>5</c:v>
                  </c:pt>
                  <c:pt idx="7">
                    <c:v>5.9</c:v>
                  </c:pt>
                  <c:pt idx="8">
                    <c:v>2.4</c:v>
                  </c:pt>
                </c:numCache>
              </c:numRef>
            </c:minus>
            <c:spPr>
              <a:ln>
                <a:solidFill>
                  <a:srgbClr val="265A9A"/>
                </a:solidFill>
              </a:ln>
            </c:spPr>
          </c:errBars>
          <c:cat>
            <c:strRef>
              <c:f>'5. Emp satisfn'!$G$4:$O$5</c:f>
              <c:strCache>
                <c:ptCount val="9"/>
                <c:pt idx="0">
                  <c:v>NSW</c:v>
                </c:pt>
                <c:pt idx="1">
                  <c:v>Vic</c:v>
                </c:pt>
                <c:pt idx="2">
                  <c:v>Qld</c:v>
                </c:pt>
                <c:pt idx="3">
                  <c:v>WA</c:v>
                </c:pt>
                <c:pt idx="4">
                  <c:v>SA</c:v>
                </c:pt>
                <c:pt idx="5">
                  <c:v>Tas</c:v>
                </c:pt>
                <c:pt idx="6">
                  <c:v>ACT</c:v>
                </c:pt>
                <c:pt idx="7">
                  <c:v>NT</c:v>
                </c:pt>
                <c:pt idx="8">
                  <c:v>Aust</c:v>
                </c:pt>
              </c:strCache>
            </c:strRef>
          </c:cat>
          <c:val>
            <c:numRef>
              <c:f>'5. Emp satisfn'!$G$8:$O$8</c:f>
              <c:numCache>
                <c:formatCode>0.0</c:formatCode>
                <c:ptCount val="9"/>
                <c:pt idx="0">
                  <c:v>73.099999999999994</c:v>
                </c:pt>
                <c:pt idx="1">
                  <c:v>72.099999999999994</c:v>
                </c:pt>
                <c:pt idx="2">
                  <c:v>72.599999999999994</c:v>
                </c:pt>
                <c:pt idx="3">
                  <c:v>73.3</c:v>
                </c:pt>
                <c:pt idx="4">
                  <c:v>76</c:v>
                </c:pt>
                <c:pt idx="5">
                  <c:v>76.099999999999994</c:v>
                </c:pt>
                <c:pt idx="6">
                  <c:v>72.900000000000006</c:v>
                </c:pt>
                <c:pt idx="7">
                  <c:v>67</c:v>
                </c:pt>
                <c:pt idx="8">
                  <c:v>72.900000000000006</c:v>
                </c:pt>
              </c:numCache>
            </c:numRef>
          </c:val>
        </c:ser>
        <c:ser>
          <c:idx val="3"/>
          <c:order val="3"/>
          <c:tx>
            <c:strRef>
              <c:f>'5. Emp satisfn'!$F$9</c:f>
              <c:strCache>
                <c:ptCount val="1"/>
                <c:pt idx="0">
                  <c:v>2017</c:v>
                </c:pt>
              </c:strCache>
            </c:strRef>
          </c:tx>
          <c:spPr>
            <a:solidFill>
              <a:srgbClr val="66BCDB"/>
            </a:solidFill>
            <a:ln>
              <a:solidFill>
                <a:srgbClr val="66BCDB"/>
              </a:solidFill>
            </a:ln>
          </c:spPr>
          <c:invertIfNegative val="0"/>
          <c:errBars>
            <c:errBarType val="both"/>
            <c:errValType val="cust"/>
            <c:noEndCap val="0"/>
            <c:plus>
              <c:numRef>
                <c:f>'5. Emp satisfn'!$G$15:$O$15</c:f>
                <c:numCache>
                  <c:formatCode>General</c:formatCode>
                  <c:ptCount val="9"/>
                  <c:pt idx="0">
                    <c:v>3.4</c:v>
                  </c:pt>
                  <c:pt idx="1">
                    <c:v>4.0999999999999996</c:v>
                  </c:pt>
                  <c:pt idx="2">
                    <c:v>4.5</c:v>
                  </c:pt>
                  <c:pt idx="3">
                    <c:v>4.8</c:v>
                  </c:pt>
                  <c:pt idx="4">
                    <c:v>4.8</c:v>
                  </c:pt>
                  <c:pt idx="5">
                    <c:v>4.9000000000000004</c:v>
                  </c:pt>
                  <c:pt idx="6">
                    <c:v>5.0999999999999996</c:v>
                  </c:pt>
                  <c:pt idx="7">
                    <c:v>5</c:v>
                  </c:pt>
                  <c:pt idx="8">
                    <c:v>1.9</c:v>
                  </c:pt>
                </c:numCache>
              </c:numRef>
            </c:plus>
            <c:minus>
              <c:numRef>
                <c:f>'5. Emp satisfn'!$G$15:$O$15</c:f>
                <c:numCache>
                  <c:formatCode>General</c:formatCode>
                  <c:ptCount val="9"/>
                  <c:pt idx="0">
                    <c:v>3.4</c:v>
                  </c:pt>
                  <c:pt idx="1">
                    <c:v>4.0999999999999996</c:v>
                  </c:pt>
                  <c:pt idx="2">
                    <c:v>4.5</c:v>
                  </c:pt>
                  <c:pt idx="3">
                    <c:v>4.8</c:v>
                  </c:pt>
                  <c:pt idx="4">
                    <c:v>4.8</c:v>
                  </c:pt>
                  <c:pt idx="5">
                    <c:v>4.9000000000000004</c:v>
                  </c:pt>
                  <c:pt idx="6">
                    <c:v>5.0999999999999996</c:v>
                  </c:pt>
                  <c:pt idx="7">
                    <c:v>5</c:v>
                  </c:pt>
                  <c:pt idx="8">
                    <c:v>1.9</c:v>
                  </c:pt>
                </c:numCache>
              </c:numRef>
            </c:minus>
            <c:spPr>
              <a:ln>
                <a:solidFill>
                  <a:srgbClr val="265A9A"/>
                </a:solidFill>
              </a:ln>
            </c:spPr>
          </c:errBars>
          <c:cat>
            <c:strRef>
              <c:f>'5. Emp satisfn'!$G$4:$O$5</c:f>
              <c:strCache>
                <c:ptCount val="9"/>
                <c:pt idx="0">
                  <c:v>NSW</c:v>
                </c:pt>
                <c:pt idx="1">
                  <c:v>Vic</c:v>
                </c:pt>
                <c:pt idx="2">
                  <c:v>Qld</c:v>
                </c:pt>
                <c:pt idx="3">
                  <c:v>WA</c:v>
                </c:pt>
                <c:pt idx="4">
                  <c:v>SA</c:v>
                </c:pt>
                <c:pt idx="5">
                  <c:v>Tas</c:v>
                </c:pt>
                <c:pt idx="6">
                  <c:v>ACT</c:v>
                </c:pt>
                <c:pt idx="7">
                  <c:v>NT</c:v>
                </c:pt>
                <c:pt idx="8">
                  <c:v>Aust</c:v>
                </c:pt>
              </c:strCache>
            </c:strRef>
          </c:cat>
          <c:val>
            <c:numRef>
              <c:f>'5. Emp satisfn'!$G$9:$O$9</c:f>
              <c:numCache>
                <c:formatCode>0.0</c:formatCode>
                <c:ptCount val="9"/>
                <c:pt idx="0">
                  <c:v>72.8</c:v>
                </c:pt>
                <c:pt idx="1">
                  <c:v>69.5</c:v>
                </c:pt>
                <c:pt idx="2">
                  <c:v>69.7</c:v>
                </c:pt>
                <c:pt idx="3">
                  <c:v>74.8</c:v>
                </c:pt>
                <c:pt idx="4">
                  <c:v>69.2</c:v>
                </c:pt>
                <c:pt idx="5">
                  <c:v>74</c:v>
                </c:pt>
                <c:pt idx="6">
                  <c:v>74.099999999999994</c:v>
                </c:pt>
                <c:pt idx="7">
                  <c:v>69.5</c:v>
                </c:pt>
                <c:pt idx="8">
                  <c:v>71.400000000000006</c:v>
                </c:pt>
              </c:numCache>
            </c:numRef>
          </c:val>
        </c:ser>
        <c:ser>
          <c:idx val="4"/>
          <c:order val="4"/>
          <c:tx>
            <c:strRef>
              <c:f>'5. Emp satisfn'!$F$10</c:f>
              <c:strCache>
                <c:ptCount val="1"/>
                <c:pt idx="0">
                  <c:v>2019</c:v>
                </c:pt>
              </c:strCache>
            </c:strRef>
          </c:tx>
          <c:spPr>
            <a:solidFill>
              <a:srgbClr val="265A9A"/>
            </a:solidFill>
            <a:ln>
              <a:solidFill>
                <a:srgbClr val="265A9A"/>
              </a:solidFill>
            </a:ln>
          </c:spPr>
          <c:invertIfNegative val="0"/>
          <c:errBars>
            <c:errBarType val="both"/>
            <c:errValType val="cust"/>
            <c:noEndCap val="0"/>
            <c:plus>
              <c:numRef>
                <c:f>'5. Emp satisfn'!$G$16:$O$16</c:f>
                <c:numCache>
                  <c:formatCode>General</c:formatCode>
                  <c:ptCount val="9"/>
                  <c:pt idx="0">
                    <c:v>3.4</c:v>
                  </c:pt>
                  <c:pt idx="1">
                    <c:v>4</c:v>
                  </c:pt>
                  <c:pt idx="2">
                    <c:v>4.7</c:v>
                  </c:pt>
                  <c:pt idx="3">
                    <c:v>5.5</c:v>
                  </c:pt>
                  <c:pt idx="4">
                    <c:v>5.3</c:v>
                  </c:pt>
                  <c:pt idx="5">
                    <c:v>4.9000000000000004</c:v>
                  </c:pt>
                  <c:pt idx="6">
                    <c:v>5.8</c:v>
                  </c:pt>
                  <c:pt idx="7">
                    <c:v>5.6</c:v>
                  </c:pt>
                  <c:pt idx="8">
                    <c:v>1.9</c:v>
                  </c:pt>
                </c:numCache>
              </c:numRef>
            </c:plus>
            <c:minus>
              <c:numRef>
                <c:f>'5. Emp satisfn'!$G$16:$O$16</c:f>
                <c:numCache>
                  <c:formatCode>General</c:formatCode>
                  <c:ptCount val="9"/>
                  <c:pt idx="0">
                    <c:v>3.4</c:v>
                  </c:pt>
                  <c:pt idx="1">
                    <c:v>4</c:v>
                  </c:pt>
                  <c:pt idx="2">
                    <c:v>4.7</c:v>
                  </c:pt>
                  <c:pt idx="3">
                    <c:v>5.5</c:v>
                  </c:pt>
                  <c:pt idx="4">
                    <c:v>5.3</c:v>
                  </c:pt>
                  <c:pt idx="5">
                    <c:v>4.9000000000000004</c:v>
                  </c:pt>
                  <c:pt idx="6">
                    <c:v>5.8</c:v>
                  </c:pt>
                  <c:pt idx="7">
                    <c:v>5.6</c:v>
                  </c:pt>
                  <c:pt idx="8">
                    <c:v>1.9</c:v>
                  </c:pt>
                </c:numCache>
              </c:numRef>
            </c:minus>
            <c:spPr>
              <a:ln>
                <a:solidFill>
                  <a:srgbClr val="66BCDB"/>
                </a:solidFill>
              </a:ln>
            </c:spPr>
          </c:errBars>
          <c:cat>
            <c:strRef>
              <c:f>'5. Emp satisfn'!$G$4:$O$5</c:f>
              <c:strCache>
                <c:ptCount val="9"/>
                <c:pt idx="0">
                  <c:v>NSW</c:v>
                </c:pt>
                <c:pt idx="1">
                  <c:v>Vic</c:v>
                </c:pt>
                <c:pt idx="2">
                  <c:v>Qld</c:v>
                </c:pt>
                <c:pt idx="3">
                  <c:v>WA</c:v>
                </c:pt>
                <c:pt idx="4">
                  <c:v>SA</c:v>
                </c:pt>
                <c:pt idx="5">
                  <c:v>Tas</c:v>
                </c:pt>
                <c:pt idx="6">
                  <c:v>ACT</c:v>
                </c:pt>
                <c:pt idx="7">
                  <c:v>NT</c:v>
                </c:pt>
                <c:pt idx="8">
                  <c:v>Aust</c:v>
                </c:pt>
              </c:strCache>
            </c:strRef>
          </c:cat>
          <c:val>
            <c:numRef>
              <c:f>'5. Emp satisfn'!$G$10:$O$10</c:f>
              <c:numCache>
                <c:formatCode>0.0</c:formatCode>
                <c:ptCount val="9"/>
                <c:pt idx="0">
                  <c:v>71.2</c:v>
                </c:pt>
                <c:pt idx="1">
                  <c:v>69.400000000000006</c:v>
                </c:pt>
                <c:pt idx="2">
                  <c:v>64.7</c:v>
                </c:pt>
                <c:pt idx="3">
                  <c:v>73</c:v>
                </c:pt>
                <c:pt idx="4">
                  <c:v>65.099999999999994</c:v>
                </c:pt>
                <c:pt idx="5">
                  <c:v>68.3</c:v>
                </c:pt>
                <c:pt idx="6">
                  <c:v>75.599999999999994</c:v>
                </c:pt>
                <c:pt idx="7">
                  <c:v>60.1</c:v>
                </c:pt>
                <c:pt idx="8">
                  <c:v>69.2</c:v>
                </c:pt>
              </c:numCache>
            </c:numRef>
          </c:val>
        </c:ser>
        <c:dLbls>
          <c:showLegendKey val="0"/>
          <c:showVal val="0"/>
          <c:showCatName val="0"/>
          <c:showSerName val="0"/>
          <c:showPercent val="0"/>
          <c:showBubbleSize val="0"/>
        </c:dLbls>
        <c:gapWidth val="150"/>
        <c:axId val="500251160"/>
        <c:axId val="500251944"/>
      </c:barChart>
      <c:catAx>
        <c:axId val="5002511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251944"/>
        <c:crosses val="autoZero"/>
        <c:auto val="1"/>
        <c:lblAlgn val="ctr"/>
        <c:lblOffset val="100"/>
        <c:noMultiLvlLbl val="0"/>
      </c:catAx>
      <c:valAx>
        <c:axId val="500251944"/>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51160"/>
        <c:crosses val="autoZero"/>
        <c:crossBetween val="between"/>
        <c:majorUnit val="2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'6. Satisf (2)'!$AA$4</c:f>
              <c:strCache>
                <c:ptCount val="1"/>
                <c:pt idx="0">
                  <c:v>Aboriginal and Torres Strait Islander</c:v>
                </c:pt>
              </c:strCache>
            </c:strRef>
          </c:tx>
          <c:spPr>
            <a:solidFill>
              <a:srgbClr val="66BCDB"/>
            </a:solidFill>
            <a:ln>
              <a:solidFill>
                <a:srgbClr val="66BCDB"/>
              </a:solidFill>
            </a:ln>
          </c:spPr>
          <c:invertIfNegative val="0"/>
          <c:errBars>
            <c:errBarType val="both"/>
            <c:errValType val="cust"/>
            <c:noEndCap val="0"/>
            <c:plus>
              <c:numRef>
                <c:f>'6. Satisf (2)'!$AB$16:$AJ$16</c:f>
                <c:numCache>
                  <c:formatCode>General</c:formatCode>
                  <c:ptCount val="9"/>
                  <c:pt idx="0">
                    <c:v>1</c:v>
                  </c:pt>
                  <c:pt idx="1">
                    <c:v>3.2</c:v>
                  </c:pt>
                  <c:pt idx="2">
                    <c:v>1.5</c:v>
                  </c:pt>
                  <c:pt idx="3">
                    <c:v>2.5</c:v>
                  </c:pt>
                  <c:pt idx="4">
                    <c:v>9</c:v>
                  </c:pt>
                  <c:pt idx="5">
                    <c:v>4</c:v>
                  </c:pt>
                  <c:pt idx="6">
                    <c:v>6.6</c:v>
                  </c:pt>
                  <c:pt idx="7">
                    <c:v>2.6</c:v>
                  </c:pt>
                  <c:pt idx="8">
                    <c:v>0.7</c:v>
                  </c:pt>
                </c:numCache>
              </c:numRef>
            </c:plus>
            <c:minus>
              <c:numRef>
                <c:f>'6. Satisf (2)'!$AB$16:$AJ$16</c:f>
                <c:numCache>
                  <c:formatCode>General</c:formatCode>
                  <c:ptCount val="9"/>
                  <c:pt idx="0">
                    <c:v>1</c:v>
                  </c:pt>
                  <c:pt idx="1">
                    <c:v>3.2</c:v>
                  </c:pt>
                  <c:pt idx="2">
                    <c:v>1.5</c:v>
                  </c:pt>
                  <c:pt idx="3">
                    <c:v>2.5</c:v>
                  </c:pt>
                  <c:pt idx="4">
                    <c:v>9</c:v>
                  </c:pt>
                  <c:pt idx="5">
                    <c:v>4</c:v>
                  </c:pt>
                  <c:pt idx="6">
                    <c:v>6.6</c:v>
                  </c:pt>
                  <c:pt idx="7">
                    <c:v>2.6</c:v>
                  </c:pt>
                  <c:pt idx="8">
                    <c:v>0.7</c:v>
                  </c:pt>
                </c:numCache>
              </c:numRef>
            </c:minus>
            <c:spPr>
              <a:ln>
                <a:solidFill>
                  <a:srgbClr val="265A9A"/>
                </a:solidFill>
              </a:ln>
            </c:spPr>
          </c:errBars>
          <c:cat>
            <c:strRef>
              <c:f>'6. Satisf (2)'!$AB$2:$AJ$3</c:f>
              <c:strCache>
                <c:ptCount val="9"/>
                <c:pt idx="0">
                  <c:v>NSW</c:v>
                </c:pt>
                <c:pt idx="1">
                  <c:v>Vic</c:v>
                </c:pt>
                <c:pt idx="2">
                  <c:v>QLD</c:v>
                </c:pt>
                <c:pt idx="3">
                  <c:v>WA</c:v>
                </c:pt>
                <c:pt idx="4">
                  <c:v>SA</c:v>
                </c:pt>
                <c:pt idx="5">
                  <c:v>Tas</c:v>
                </c:pt>
                <c:pt idx="6">
                  <c:v>ACT</c:v>
                </c:pt>
                <c:pt idx="7">
                  <c:v>NT</c:v>
                </c:pt>
                <c:pt idx="8">
                  <c:v>Aust</c:v>
                </c:pt>
              </c:strCache>
            </c:strRef>
          </c:cat>
          <c:val>
            <c:numRef>
              <c:f>'6. Satisf (2)'!$AB$4:$AJ$4</c:f>
              <c:numCache>
                <c:formatCode>#,##0.0_ ;\-#,##0.0\ </c:formatCode>
                <c:ptCount val="9"/>
                <c:pt idx="0">
                  <c:v>92.2</c:v>
                </c:pt>
                <c:pt idx="1">
                  <c:v>89</c:v>
                </c:pt>
                <c:pt idx="2">
                  <c:v>91</c:v>
                </c:pt>
                <c:pt idx="3">
                  <c:v>92.6</c:v>
                </c:pt>
                <c:pt idx="4">
                  <c:v>86.5</c:v>
                </c:pt>
                <c:pt idx="5">
                  <c:v>89.5</c:v>
                </c:pt>
                <c:pt idx="6">
                  <c:v>86.3</c:v>
                </c:pt>
                <c:pt idx="7">
                  <c:v>96.1</c:v>
                </c:pt>
                <c:pt idx="8">
                  <c:v>91.6</c:v>
                </c:pt>
              </c:numCache>
            </c:numRef>
          </c:val>
        </c:ser>
        <c:ser>
          <c:idx val="1"/>
          <c:order val="1"/>
          <c:tx>
            <c:strRef>
              <c:f>'6. Satisf (2)'!$AA$5</c:f>
              <c:strCache>
                <c:ptCount val="1"/>
                <c:pt idx="0">
                  <c:v>Total</c:v>
                </c:pt>
              </c:strCache>
            </c:strRef>
          </c:tx>
          <c:spPr>
            <a:solidFill>
              <a:srgbClr val="265A9A"/>
            </a:solidFill>
            <a:ln>
              <a:solidFill>
                <a:srgbClr val="66BCDB"/>
              </a:solidFill>
            </a:ln>
          </c:spPr>
          <c:invertIfNegative val="0"/>
          <c:errBars>
            <c:errBarType val="both"/>
            <c:errValType val="cust"/>
            <c:noEndCap val="0"/>
            <c:plus>
              <c:numRef>
                <c:f>'6. Satisf (2)'!$AB$17:$AJ$17</c:f>
                <c:numCache>
                  <c:formatCode>General</c:formatCode>
                  <c:ptCount val="9"/>
                  <c:pt idx="0">
                    <c:v>0.3</c:v>
                  </c:pt>
                  <c:pt idx="1">
                    <c:v>0.5</c:v>
                  </c:pt>
                  <c:pt idx="2">
                    <c:v>0.4</c:v>
                  </c:pt>
                  <c:pt idx="3">
                    <c:v>0.7</c:v>
                  </c:pt>
                  <c:pt idx="4">
                    <c:v>1.2</c:v>
                  </c:pt>
                  <c:pt idx="5">
                    <c:v>0.9</c:v>
                  </c:pt>
                  <c:pt idx="6">
                    <c:v>1.2</c:v>
                  </c:pt>
                  <c:pt idx="7">
                    <c:v>1.6</c:v>
                  </c:pt>
                  <c:pt idx="8">
                    <c:v>0.2</c:v>
                  </c:pt>
                </c:numCache>
              </c:numRef>
            </c:plus>
            <c:minus>
              <c:numRef>
                <c:f>'6. Satisf (2)'!$AB$17:$AJ$17</c:f>
                <c:numCache>
                  <c:formatCode>General</c:formatCode>
                  <c:ptCount val="9"/>
                  <c:pt idx="0">
                    <c:v>0.3</c:v>
                  </c:pt>
                  <c:pt idx="1">
                    <c:v>0.5</c:v>
                  </c:pt>
                  <c:pt idx="2">
                    <c:v>0.4</c:v>
                  </c:pt>
                  <c:pt idx="3">
                    <c:v>0.7</c:v>
                  </c:pt>
                  <c:pt idx="4">
                    <c:v>1.2</c:v>
                  </c:pt>
                  <c:pt idx="5">
                    <c:v>0.9</c:v>
                  </c:pt>
                  <c:pt idx="6">
                    <c:v>1.2</c:v>
                  </c:pt>
                  <c:pt idx="7">
                    <c:v>1.6</c:v>
                  </c:pt>
                  <c:pt idx="8">
                    <c:v>0.2</c:v>
                  </c:pt>
                </c:numCache>
              </c:numRef>
            </c:minus>
            <c:spPr>
              <a:ln>
                <a:solidFill>
                  <a:srgbClr val="265A9A"/>
                </a:solidFill>
              </a:ln>
            </c:spPr>
          </c:errBars>
          <c:cat>
            <c:strRef>
              <c:f>'6. Satisf (2)'!$AB$2:$AJ$3</c:f>
              <c:strCache>
                <c:ptCount val="9"/>
                <c:pt idx="0">
                  <c:v>NSW</c:v>
                </c:pt>
                <c:pt idx="1">
                  <c:v>Vic</c:v>
                </c:pt>
                <c:pt idx="2">
                  <c:v>QLD</c:v>
                </c:pt>
                <c:pt idx="3">
                  <c:v>WA</c:v>
                </c:pt>
                <c:pt idx="4">
                  <c:v>SA</c:v>
                </c:pt>
                <c:pt idx="5">
                  <c:v>Tas</c:v>
                </c:pt>
                <c:pt idx="6">
                  <c:v>ACT</c:v>
                </c:pt>
                <c:pt idx="7">
                  <c:v>NT</c:v>
                </c:pt>
                <c:pt idx="8">
                  <c:v>Aust</c:v>
                </c:pt>
              </c:strCache>
            </c:strRef>
          </c:cat>
          <c:val>
            <c:numRef>
              <c:f>'6. Satisf (2)'!$AB$5:$AJ$5</c:f>
              <c:numCache>
                <c:formatCode>#,##0.0_ ;\-#,##0.0\ </c:formatCode>
                <c:ptCount val="9"/>
                <c:pt idx="0">
                  <c:v>90.5</c:v>
                </c:pt>
                <c:pt idx="1">
                  <c:v>85.7</c:v>
                </c:pt>
                <c:pt idx="2">
                  <c:v>88.1</c:v>
                </c:pt>
                <c:pt idx="3">
                  <c:v>89</c:v>
                </c:pt>
                <c:pt idx="4">
                  <c:v>88.5</c:v>
                </c:pt>
                <c:pt idx="5">
                  <c:v>90.8</c:v>
                </c:pt>
                <c:pt idx="6">
                  <c:v>88.5</c:v>
                </c:pt>
                <c:pt idx="7">
                  <c:v>90.7</c:v>
                </c:pt>
                <c:pt idx="8">
                  <c:v>88.6</c:v>
                </c:pt>
              </c:numCache>
            </c:numRef>
          </c:val>
        </c:ser>
        <c:dLbls>
          <c:showLegendKey val="0"/>
          <c:showVal val="0"/>
          <c:showCatName val="0"/>
          <c:showSerName val="0"/>
          <c:showPercent val="0"/>
          <c:showBubbleSize val="0"/>
        </c:dLbls>
        <c:gapWidth val="150"/>
        <c:axId val="500249984"/>
        <c:axId val="500247240"/>
      </c:barChart>
      <c:catAx>
        <c:axId val="5002499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247240"/>
        <c:crosses val="autoZero"/>
        <c:auto val="1"/>
        <c:lblAlgn val="ctr"/>
        <c:lblOffset val="100"/>
        <c:noMultiLvlLbl val="0"/>
      </c:catAx>
      <c:valAx>
        <c:axId val="500247240"/>
        <c:scaling>
          <c:orientation val="minMax"/>
          <c:max val="100"/>
          <c:min val="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49984"/>
        <c:crosses val="autoZero"/>
        <c:crossBetween val="between"/>
        <c:majorUnit val="20"/>
      </c:valAx>
      <c:spPr>
        <a:noFill/>
        <a:ln>
          <a:noFill/>
        </a:ln>
      </c:spPr>
    </c:plotArea>
    <c:legend>
      <c:legendPos val="b"/>
      <c:layout/>
      <c:overlay val="0"/>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46981481481482"/>
          <c:y val="3.7629629629629631E-2"/>
          <c:w val="0.8706598148148148"/>
          <c:h val="0.74024037037037038"/>
        </c:manualLayout>
      </c:layout>
      <c:barChart>
        <c:barDir val="col"/>
        <c:grouping val="clustered"/>
        <c:varyColors val="0"/>
        <c:ser>
          <c:idx val="0"/>
          <c:order val="0"/>
          <c:tx>
            <c:strRef>
              <c:f>'7. Gov exp (2)'!$E$14</c:f>
              <c:strCache>
                <c:ptCount val="1"/>
                <c:pt idx="0">
                  <c:v>2017</c:v>
                </c:pt>
              </c:strCache>
            </c:strRef>
          </c:tx>
          <c:spPr>
            <a:solidFill>
              <a:srgbClr val="66BCDB"/>
            </a:solidFill>
            <a:ln>
              <a:solidFill>
                <a:srgbClr val="66BCDB"/>
              </a:solidFill>
            </a:ln>
          </c:spPr>
          <c:invertIfNegative val="0"/>
          <c:cat>
            <c:strRef>
              <c:f>'7. Gov exp (2)'!$F$5:$N$5</c:f>
              <c:strCache>
                <c:ptCount val="9"/>
                <c:pt idx="0">
                  <c:v>NSW</c:v>
                </c:pt>
                <c:pt idx="1">
                  <c:v>Vic</c:v>
                </c:pt>
                <c:pt idx="2">
                  <c:v>Qld</c:v>
                </c:pt>
                <c:pt idx="3">
                  <c:v>WA</c:v>
                </c:pt>
                <c:pt idx="4">
                  <c:v>SA</c:v>
                </c:pt>
                <c:pt idx="5">
                  <c:v>Tas</c:v>
                </c:pt>
                <c:pt idx="6">
                  <c:v>ACT </c:v>
                </c:pt>
                <c:pt idx="7">
                  <c:v>NT</c:v>
                </c:pt>
                <c:pt idx="8">
                  <c:v>Aust</c:v>
                </c:pt>
              </c:strCache>
            </c:strRef>
          </c:cat>
          <c:val>
            <c:numRef>
              <c:f>'7. Gov exp (2)'!$F$14:$N$14</c:f>
              <c:numCache>
                <c:formatCode>0.00</c:formatCode>
                <c:ptCount val="9"/>
                <c:pt idx="0">
                  <c:v>19.153283298561</c:v>
                </c:pt>
                <c:pt idx="1">
                  <c:v>14.755942806694437</c:v>
                </c:pt>
                <c:pt idx="2">
                  <c:v>17.678454189320473</c:v>
                </c:pt>
                <c:pt idx="3">
                  <c:v>18.113732031860554</c:v>
                </c:pt>
                <c:pt idx="4">
                  <c:v>17.441000887957834</c:v>
                </c:pt>
                <c:pt idx="5">
                  <c:v>22.44002112789147</c:v>
                </c:pt>
                <c:pt idx="6">
                  <c:v>25.252091098101101</c:v>
                </c:pt>
                <c:pt idx="7">
                  <c:v>23.39828451700906</c:v>
                </c:pt>
                <c:pt idx="8">
                  <c:v>17.454172165820964</c:v>
                </c:pt>
              </c:numCache>
            </c:numRef>
          </c:val>
        </c:ser>
        <c:ser>
          <c:idx val="1"/>
          <c:order val="1"/>
          <c:tx>
            <c:strRef>
              <c:f>'7. Gov exp (2)'!$E$15</c:f>
              <c:strCache>
                <c:ptCount val="1"/>
                <c:pt idx="0">
                  <c:v>2018</c:v>
                </c:pt>
              </c:strCache>
            </c:strRef>
          </c:tx>
          <c:spPr>
            <a:solidFill>
              <a:srgbClr val="265A9A"/>
            </a:solidFill>
            <a:ln>
              <a:solidFill>
                <a:srgbClr val="66BCDB"/>
              </a:solidFill>
            </a:ln>
          </c:spPr>
          <c:invertIfNegative val="0"/>
          <c:cat>
            <c:strRef>
              <c:f>'7. Gov exp (2)'!$F$5:$N$5</c:f>
              <c:strCache>
                <c:ptCount val="9"/>
                <c:pt idx="0">
                  <c:v>NSW</c:v>
                </c:pt>
                <c:pt idx="1">
                  <c:v>Vic</c:v>
                </c:pt>
                <c:pt idx="2">
                  <c:v>Qld</c:v>
                </c:pt>
                <c:pt idx="3">
                  <c:v>WA</c:v>
                </c:pt>
                <c:pt idx="4">
                  <c:v>SA</c:v>
                </c:pt>
                <c:pt idx="5">
                  <c:v>Tas</c:v>
                </c:pt>
                <c:pt idx="6">
                  <c:v>ACT </c:v>
                </c:pt>
                <c:pt idx="7">
                  <c:v>NT</c:v>
                </c:pt>
                <c:pt idx="8">
                  <c:v>Aust</c:v>
                </c:pt>
              </c:strCache>
            </c:strRef>
          </c:cat>
          <c:val>
            <c:numRef>
              <c:f>'7. Gov exp (2)'!$F$15:$N$15</c:f>
              <c:numCache>
                <c:formatCode>0.00</c:formatCode>
                <c:ptCount val="9"/>
                <c:pt idx="0">
                  <c:v>19.083536482152702</c:v>
                </c:pt>
                <c:pt idx="1">
                  <c:v>15.216294202741791</c:v>
                </c:pt>
                <c:pt idx="2">
                  <c:v>17.796331796520072</c:v>
                </c:pt>
                <c:pt idx="3">
                  <c:v>17.758269335815548</c:v>
                </c:pt>
                <c:pt idx="4">
                  <c:v>21.936948059952709</c:v>
                </c:pt>
                <c:pt idx="5">
                  <c:v>25.166161266975703</c:v>
                </c:pt>
                <c:pt idx="6">
                  <c:v>19.878899075806871</c:v>
                </c:pt>
                <c:pt idx="7">
                  <c:v>27.160283083989675</c:v>
                </c:pt>
                <c:pt idx="8">
                  <c:v>17.895666858769275</c:v>
                </c:pt>
              </c:numCache>
            </c:numRef>
          </c:val>
        </c:ser>
        <c:dLbls>
          <c:showLegendKey val="0"/>
          <c:showVal val="0"/>
          <c:showCatName val="0"/>
          <c:showSerName val="0"/>
          <c:showPercent val="0"/>
          <c:showBubbleSize val="0"/>
        </c:dLbls>
        <c:gapWidth val="150"/>
        <c:axId val="500249200"/>
        <c:axId val="500248808"/>
      </c:barChart>
      <c:catAx>
        <c:axId val="50024920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248808"/>
        <c:crosses val="autoZero"/>
        <c:auto val="1"/>
        <c:lblAlgn val="ctr"/>
        <c:lblOffset val="100"/>
        <c:noMultiLvlLbl val="0"/>
      </c:catAx>
      <c:valAx>
        <c:axId val="500248808"/>
        <c:scaling>
          <c:orientation val="minMax"/>
          <c:max val="30"/>
          <c:min val="0"/>
        </c:scaling>
        <c:delete val="0"/>
        <c:axPos val="l"/>
        <c:majorGridlines>
          <c:spPr>
            <a:ln>
              <a:noFill/>
            </a:ln>
          </c:spPr>
        </c:majorGridlines>
        <c:title>
          <c:tx>
            <c:rich>
              <a:bodyPr rot="-5400000" vert="horz"/>
              <a:lstStyle/>
              <a:p>
                <a:pPr>
                  <a:defRPr sz="900">
                    <a:latin typeface="arial"/>
                    <a:ea typeface="arial"/>
                    <a:cs typeface="arial"/>
                  </a:defRPr>
                </a:pPr>
                <a:r>
                  <a:rPr lang="en-AU"/>
                  <a:t>$/hour</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49200"/>
        <c:crosses val="autoZero"/>
        <c:crossBetween val="between"/>
        <c:majorUnit val="5"/>
      </c:valAx>
      <c:spPr>
        <a:noFill/>
        <a:ln>
          <a:noFill/>
        </a:ln>
      </c:spPr>
    </c:plotArea>
    <c:legend>
      <c:legendPos val="b"/>
      <c:layout/>
      <c:overlay val="0"/>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862962962962956E-2"/>
          <c:y val="3.4051190476190478E-2"/>
          <c:w val="0.89608148148148148"/>
          <c:h val="0.77915674603174601"/>
        </c:manualLayout>
      </c:layout>
      <c:barChart>
        <c:barDir val="col"/>
        <c:grouping val="clustered"/>
        <c:varyColors val="0"/>
        <c:ser>
          <c:idx val="0"/>
          <c:order val="0"/>
          <c:tx>
            <c:strRef>
              <c:f>'8. Empl or study'!$E$5</c:f>
              <c:strCache>
                <c:ptCount val="1"/>
                <c:pt idx="0">
                  <c:v>Employed and/or in further study</c:v>
                </c:pt>
              </c:strCache>
            </c:strRef>
          </c:tx>
          <c:spPr>
            <a:solidFill>
              <a:srgbClr val="66BCDB"/>
            </a:solidFill>
            <a:ln>
              <a:solidFill>
                <a:srgbClr val="66BCDB"/>
              </a:solidFill>
            </a:ln>
          </c:spPr>
          <c:invertIfNegative val="0"/>
          <c:errBars>
            <c:errBarType val="both"/>
            <c:errValType val="cust"/>
            <c:noEndCap val="0"/>
            <c:plus>
              <c:numRef>
                <c:f>'8. Empl or study'!$F$8:$N$8</c:f>
                <c:numCache>
                  <c:formatCode>General</c:formatCode>
                  <c:ptCount val="9"/>
                  <c:pt idx="0">
                    <c:v>0.3</c:v>
                  </c:pt>
                  <c:pt idx="1">
                    <c:v>0.4</c:v>
                  </c:pt>
                  <c:pt idx="2">
                    <c:v>0.4</c:v>
                  </c:pt>
                  <c:pt idx="3">
                    <c:v>0.6</c:v>
                  </c:pt>
                  <c:pt idx="4">
                    <c:v>0.8</c:v>
                  </c:pt>
                  <c:pt idx="5">
                    <c:v>0.9</c:v>
                  </c:pt>
                  <c:pt idx="6">
                    <c:v>0.9</c:v>
                  </c:pt>
                  <c:pt idx="7">
                    <c:v>1.2</c:v>
                  </c:pt>
                  <c:pt idx="8">
                    <c:v>0.2</c:v>
                  </c:pt>
                </c:numCache>
              </c:numRef>
            </c:plus>
            <c:minus>
              <c:numRef>
                <c:f>'8. Empl or study'!$F$8:$N$8</c:f>
                <c:numCache>
                  <c:formatCode>General</c:formatCode>
                  <c:ptCount val="9"/>
                  <c:pt idx="0">
                    <c:v>0.3</c:v>
                  </c:pt>
                  <c:pt idx="1">
                    <c:v>0.4</c:v>
                  </c:pt>
                  <c:pt idx="2">
                    <c:v>0.4</c:v>
                  </c:pt>
                  <c:pt idx="3">
                    <c:v>0.6</c:v>
                  </c:pt>
                  <c:pt idx="4">
                    <c:v>0.8</c:v>
                  </c:pt>
                  <c:pt idx="5">
                    <c:v>0.9</c:v>
                  </c:pt>
                  <c:pt idx="6">
                    <c:v>0.9</c:v>
                  </c:pt>
                  <c:pt idx="7">
                    <c:v>1.2</c:v>
                  </c:pt>
                  <c:pt idx="8">
                    <c:v>0.2</c:v>
                  </c:pt>
                </c:numCache>
              </c:numRef>
            </c:minus>
            <c:spPr>
              <a:ln>
                <a:solidFill>
                  <a:srgbClr val="265A9A"/>
                </a:solidFill>
              </a:ln>
            </c:spPr>
          </c:errBars>
          <c:cat>
            <c:strRef>
              <c:f>'8. Empl or study'!$F$4:$N$4</c:f>
              <c:strCache>
                <c:ptCount val="9"/>
                <c:pt idx="0">
                  <c:v>NSW</c:v>
                </c:pt>
                <c:pt idx="1">
                  <c:v>Vic</c:v>
                </c:pt>
                <c:pt idx="2">
                  <c:v>Qld</c:v>
                </c:pt>
                <c:pt idx="3">
                  <c:v>WA</c:v>
                </c:pt>
                <c:pt idx="4">
                  <c:v>SA</c:v>
                </c:pt>
                <c:pt idx="5">
                  <c:v>Tas</c:v>
                </c:pt>
                <c:pt idx="6">
                  <c:v>ACT</c:v>
                </c:pt>
                <c:pt idx="7">
                  <c:v>NT</c:v>
                </c:pt>
                <c:pt idx="8">
                  <c:v>Aust</c:v>
                </c:pt>
              </c:strCache>
            </c:strRef>
          </c:cat>
          <c:val>
            <c:numRef>
              <c:f>'8. Empl or study'!$F$5:$N$5</c:f>
              <c:numCache>
                <c:formatCode>#,##0.0_ ;\-#,##0.0\ </c:formatCode>
                <c:ptCount val="9"/>
                <c:pt idx="0">
                  <c:v>85.5</c:v>
                </c:pt>
                <c:pt idx="1">
                  <c:v>85.9</c:v>
                </c:pt>
                <c:pt idx="2">
                  <c:v>86.1</c:v>
                </c:pt>
                <c:pt idx="3">
                  <c:v>86</c:v>
                </c:pt>
                <c:pt idx="4">
                  <c:v>87.8</c:v>
                </c:pt>
                <c:pt idx="5">
                  <c:v>89.5</c:v>
                </c:pt>
                <c:pt idx="6">
                  <c:v>91.2</c:v>
                </c:pt>
                <c:pt idx="7">
                  <c:v>92.3</c:v>
                </c:pt>
                <c:pt idx="8">
                  <c:v>86.2</c:v>
                </c:pt>
              </c:numCache>
            </c:numRef>
          </c:val>
        </c:ser>
        <c:ser>
          <c:idx val="1"/>
          <c:order val="1"/>
          <c:tx>
            <c:strRef>
              <c:f>'8. Empl or study'!$E$6</c:f>
              <c:strCache>
                <c:ptCount val="1"/>
                <c:pt idx="0">
                  <c:v>Employed after training</c:v>
                </c:pt>
              </c:strCache>
            </c:strRef>
          </c:tx>
          <c:spPr>
            <a:solidFill>
              <a:srgbClr val="265A9A"/>
            </a:solidFill>
            <a:ln>
              <a:solidFill>
                <a:srgbClr val="265A9A"/>
              </a:solidFill>
            </a:ln>
          </c:spPr>
          <c:invertIfNegative val="0"/>
          <c:errBars>
            <c:errBarType val="both"/>
            <c:errValType val="cust"/>
            <c:noEndCap val="0"/>
            <c:plus>
              <c:numRef>
                <c:f>'8. Empl or study'!$F$9:$N$9</c:f>
                <c:numCache>
                  <c:formatCode>General</c:formatCode>
                  <c:ptCount val="9"/>
                  <c:pt idx="0">
                    <c:v>0.4</c:v>
                  </c:pt>
                  <c:pt idx="1">
                    <c:v>0.4</c:v>
                  </c:pt>
                  <c:pt idx="2">
                    <c:v>0.4</c:v>
                  </c:pt>
                  <c:pt idx="3">
                    <c:v>0.7</c:v>
                  </c:pt>
                  <c:pt idx="4">
                    <c:v>0.9</c:v>
                  </c:pt>
                  <c:pt idx="5">
                    <c:v>1.2</c:v>
                  </c:pt>
                  <c:pt idx="6">
                    <c:v>1.2</c:v>
                  </c:pt>
                  <c:pt idx="7">
                    <c:v>1.4</c:v>
                  </c:pt>
                  <c:pt idx="8">
                    <c:v>0.2</c:v>
                  </c:pt>
                </c:numCache>
              </c:numRef>
            </c:plus>
            <c:minus>
              <c:numRef>
                <c:f>'8. Empl or study'!$F$9:$N$9</c:f>
                <c:numCache>
                  <c:formatCode>General</c:formatCode>
                  <c:ptCount val="9"/>
                  <c:pt idx="0">
                    <c:v>0.4</c:v>
                  </c:pt>
                  <c:pt idx="1">
                    <c:v>0.4</c:v>
                  </c:pt>
                  <c:pt idx="2">
                    <c:v>0.4</c:v>
                  </c:pt>
                  <c:pt idx="3">
                    <c:v>0.7</c:v>
                  </c:pt>
                  <c:pt idx="4">
                    <c:v>0.9</c:v>
                  </c:pt>
                  <c:pt idx="5">
                    <c:v>1.2</c:v>
                  </c:pt>
                  <c:pt idx="6">
                    <c:v>1.2</c:v>
                  </c:pt>
                  <c:pt idx="7">
                    <c:v>1.4</c:v>
                  </c:pt>
                  <c:pt idx="8">
                    <c:v>0.2</c:v>
                  </c:pt>
                </c:numCache>
              </c:numRef>
            </c:minus>
            <c:spPr>
              <a:ln>
                <a:solidFill>
                  <a:srgbClr val="66BCDB"/>
                </a:solidFill>
              </a:ln>
            </c:spPr>
          </c:errBars>
          <c:cat>
            <c:strRef>
              <c:f>'8. Empl or study'!$F$4:$N$4</c:f>
              <c:strCache>
                <c:ptCount val="9"/>
                <c:pt idx="0">
                  <c:v>NSW</c:v>
                </c:pt>
                <c:pt idx="1">
                  <c:v>Vic</c:v>
                </c:pt>
                <c:pt idx="2">
                  <c:v>Qld</c:v>
                </c:pt>
                <c:pt idx="3">
                  <c:v>WA</c:v>
                </c:pt>
                <c:pt idx="4">
                  <c:v>SA</c:v>
                </c:pt>
                <c:pt idx="5">
                  <c:v>Tas</c:v>
                </c:pt>
                <c:pt idx="6">
                  <c:v>ACT</c:v>
                </c:pt>
                <c:pt idx="7">
                  <c:v>NT</c:v>
                </c:pt>
                <c:pt idx="8">
                  <c:v>Aust</c:v>
                </c:pt>
              </c:strCache>
            </c:strRef>
          </c:cat>
          <c:val>
            <c:numRef>
              <c:f>'8. Empl or study'!$F$6:$N$6</c:f>
              <c:numCache>
                <c:formatCode>#,##0.0_ ;\-#,##0.0\ </c:formatCode>
                <c:ptCount val="9"/>
                <c:pt idx="0">
                  <c:v>74.8</c:v>
                </c:pt>
                <c:pt idx="1">
                  <c:v>77.599999999999994</c:v>
                </c:pt>
                <c:pt idx="2">
                  <c:v>80.5</c:v>
                </c:pt>
                <c:pt idx="3">
                  <c:v>76.599999999999994</c:v>
                </c:pt>
                <c:pt idx="4">
                  <c:v>81.599999999999994</c:v>
                </c:pt>
                <c:pt idx="5">
                  <c:v>82.1</c:v>
                </c:pt>
                <c:pt idx="6">
                  <c:v>85.4</c:v>
                </c:pt>
                <c:pt idx="7">
                  <c:v>88.8</c:v>
                </c:pt>
                <c:pt idx="8">
                  <c:v>77.900000000000006</c:v>
                </c:pt>
              </c:numCache>
            </c:numRef>
          </c:val>
        </c:ser>
        <c:ser>
          <c:idx val="2"/>
          <c:order val="2"/>
          <c:tx>
            <c:strRef>
              <c:f>'8. Empl or study'!$E$7</c:f>
              <c:strCache>
                <c:ptCount val="1"/>
                <c:pt idx="0">
                  <c:v>In further study after training</c:v>
                </c:pt>
              </c:strCache>
            </c:strRef>
          </c:tx>
          <c:spPr>
            <a:solidFill>
              <a:srgbClr val="78A22F"/>
            </a:solidFill>
            <a:ln>
              <a:solidFill>
                <a:srgbClr val="78A22F"/>
              </a:solidFill>
            </a:ln>
          </c:spPr>
          <c:invertIfNegative val="0"/>
          <c:errBars>
            <c:errBarType val="both"/>
            <c:errValType val="cust"/>
            <c:noEndCap val="0"/>
            <c:plus>
              <c:numRef>
                <c:f>'8. Empl or study'!$F$10:$N$10</c:f>
                <c:numCache>
                  <c:formatCode>General</c:formatCode>
                  <c:ptCount val="9"/>
                  <c:pt idx="0">
                    <c:v>0.4</c:v>
                  </c:pt>
                  <c:pt idx="1">
                    <c:v>0.5</c:v>
                  </c:pt>
                  <c:pt idx="2">
                    <c:v>0.5</c:v>
                  </c:pt>
                  <c:pt idx="3">
                    <c:v>0.8</c:v>
                  </c:pt>
                  <c:pt idx="4">
                    <c:v>1</c:v>
                  </c:pt>
                  <c:pt idx="5">
                    <c:v>1.4</c:v>
                  </c:pt>
                  <c:pt idx="6">
                    <c:v>1.6</c:v>
                  </c:pt>
                  <c:pt idx="7">
                    <c:v>2.1</c:v>
                  </c:pt>
                  <c:pt idx="8">
                    <c:v>0.2</c:v>
                  </c:pt>
                </c:numCache>
              </c:numRef>
            </c:plus>
            <c:minus>
              <c:numRef>
                <c:f>'8. Empl or study'!$F$10:$N$10</c:f>
                <c:numCache>
                  <c:formatCode>General</c:formatCode>
                  <c:ptCount val="9"/>
                  <c:pt idx="0">
                    <c:v>0.4</c:v>
                  </c:pt>
                  <c:pt idx="1">
                    <c:v>0.5</c:v>
                  </c:pt>
                  <c:pt idx="2">
                    <c:v>0.5</c:v>
                  </c:pt>
                  <c:pt idx="3">
                    <c:v>0.8</c:v>
                  </c:pt>
                  <c:pt idx="4">
                    <c:v>1</c:v>
                  </c:pt>
                  <c:pt idx="5">
                    <c:v>1.4</c:v>
                  </c:pt>
                  <c:pt idx="6">
                    <c:v>1.6</c:v>
                  </c:pt>
                  <c:pt idx="7">
                    <c:v>2.1</c:v>
                  </c:pt>
                  <c:pt idx="8">
                    <c:v>0.2</c:v>
                  </c:pt>
                </c:numCache>
              </c:numRef>
            </c:minus>
            <c:spPr>
              <a:ln>
                <a:solidFill>
                  <a:srgbClr val="4D7028"/>
                </a:solidFill>
              </a:ln>
            </c:spPr>
          </c:errBars>
          <c:cat>
            <c:strRef>
              <c:f>'8. Empl or study'!$F$4:$N$4</c:f>
              <c:strCache>
                <c:ptCount val="9"/>
                <c:pt idx="0">
                  <c:v>NSW</c:v>
                </c:pt>
                <c:pt idx="1">
                  <c:v>Vic</c:v>
                </c:pt>
                <c:pt idx="2">
                  <c:v>Qld</c:v>
                </c:pt>
                <c:pt idx="3">
                  <c:v>WA</c:v>
                </c:pt>
                <c:pt idx="4">
                  <c:v>SA</c:v>
                </c:pt>
                <c:pt idx="5">
                  <c:v>Tas</c:v>
                </c:pt>
                <c:pt idx="6">
                  <c:v>ACT</c:v>
                </c:pt>
                <c:pt idx="7">
                  <c:v>NT</c:v>
                </c:pt>
                <c:pt idx="8">
                  <c:v>Aust</c:v>
                </c:pt>
              </c:strCache>
            </c:strRef>
          </c:cat>
          <c:val>
            <c:numRef>
              <c:f>'8. Empl or study'!$F$7:$N$7</c:f>
              <c:numCache>
                <c:formatCode>#,##0.0_ ;\-#,##0.0\ </c:formatCode>
                <c:ptCount val="9"/>
                <c:pt idx="0">
                  <c:v>32.4</c:v>
                </c:pt>
                <c:pt idx="1">
                  <c:v>28.4</c:v>
                </c:pt>
                <c:pt idx="2">
                  <c:v>25.9</c:v>
                </c:pt>
                <c:pt idx="3">
                  <c:v>29.6</c:v>
                </c:pt>
                <c:pt idx="4">
                  <c:v>26.1</c:v>
                </c:pt>
                <c:pt idx="5">
                  <c:v>27.9</c:v>
                </c:pt>
                <c:pt idx="6">
                  <c:v>32.1</c:v>
                </c:pt>
                <c:pt idx="7">
                  <c:v>30.5</c:v>
                </c:pt>
                <c:pt idx="8">
                  <c:v>29.1</c:v>
                </c:pt>
              </c:numCache>
            </c:numRef>
          </c:val>
        </c:ser>
        <c:dLbls>
          <c:showLegendKey val="0"/>
          <c:showVal val="0"/>
          <c:showCatName val="0"/>
          <c:showSerName val="0"/>
          <c:showPercent val="0"/>
          <c:showBubbleSize val="0"/>
        </c:dLbls>
        <c:gapWidth val="150"/>
        <c:axId val="500250376"/>
        <c:axId val="500252728"/>
      </c:barChart>
      <c:catAx>
        <c:axId val="50025037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252728"/>
        <c:crosses val="autoZero"/>
        <c:auto val="1"/>
        <c:lblAlgn val="ctr"/>
        <c:lblOffset val="100"/>
        <c:noMultiLvlLbl val="0"/>
      </c:catAx>
      <c:valAx>
        <c:axId val="50025272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manualLayout>
              <c:xMode val="edge"/>
              <c:yMode val="edge"/>
              <c:x val="1.1759259259259259E-2"/>
              <c:y val="0.33595277777777777"/>
            </c:manualLayout>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5037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'9. Impr emp status'!$E$5</c:f>
              <c:strCache>
                <c:ptCount val="1"/>
                <c:pt idx="0">
                  <c:v>Employed (from not employed)</c:v>
                </c:pt>
              </c:strCache>
            </c:strRef>
          </c:tx>
          <c:spPr>
            <a:solidFill>
              <a:srgbClr val="66BCDB"/>
            </a:solidFill>
            <a:ln>
              <a:solidFill>
                <a:srgbClr val="66BCDB"/>
              </a:solidFill>
            </a:ln>
          </c:spPr>
          <c:invertIfNegative val="0"/>
          <c:errBars>
            <c:errBarType val="both"/>
            <c:errValType val="cust"/>
            <c:noEndCap val="0"/>
            <c:plus>
              <c:numRef>
                <c:f>'9. Impr emp status'!$F$8:$N$8</c:f>
                <c:numCache>
                  <c:formatCode>General</c:formatCode>
                  <c:ptCount val="9"/>
                  <c:pt idx="0">
                    <c:v>0.8</c:v>
                  </c:pt>
                  <c:pt idx="1">
                    <c:v>1</c:v>
                  </c:pt>
                  <c:pt idx="2">
                    <c:v>1</c:v>
                  </c:pt>
                  <c:pt idx="3">
                    <c:v>1.5</c:v>
                  </c:pt>
                  <c:pt idx="4">
                    <c:v>2.2000000000000002</c:v>
                  </c:pt>
                  <c:pt idx="5">
                    <c:v>2.9</c:v>
                  </c:pt>
                  <c:pt idx="6">
                    <c:v>3.4</c:v>
                  </c:pt>
                  <c:pt idx="7">
                    <c:v>5.4</c:v>
                  </c:pt>
                  <c:pt idx="8">
                    <c:v>0.5</c:v>
                  </c:pt>
                </c:numCache>
              </c:numRef>
            </c:plus>
            <c:minus>
              <c:numRef>
                <c:f>'9. Impr emp status'!$F$8:$N$8</c:f>
                <c:numCache>
                  <c:formatCode>General</c:formatCode>
                  <c:ptCount val="9"/>
                  <c:pt idx="0">
                    <c:v>0.8</c:v>
                  </c:pt>
                  <c:pt idx="1">
                    <c:v>1</c:v>
                  </c:pt>
                  <c:pt idx="2">
                    <c:v>1</c:v>
                  </c:pt>
                  <c:pt idx="3">
                    <c:v>1.5</c:v>
                  </c:pt>
                  <c:pt idx="4">
                    <c:v>2.2000000000000002</c:v>
                  </c:pt>
                  <c:pt idx="5">
                    <c:v>2.9</c:v>
                  </c:pt>
                  <c:pt idx="6">
                    <c:v>3.4</c:v>
                  </c:pt>
                  <c:pt idx="7">
                    <c:v>5.4</c:v>
                  </c:pt>
                  <c:pt idx="8">
                    <c:v>0.5</c:v>
                  </c:pt>
                </c:numCache>
              </c:numRef>
            </c:minus>
            <c:spPr>
              <a:ln>
                <a:solidFill>
                  <a:srgbClr val="265A9A"/>
                </a:solidFill>
              </a:ln>
            </c:spPr>
          </c:errBars>
          <c:cat>
            <c:strRef>
              <c:f>'9. Impr emp status'!$F$4:$N$4</c:f>
              <c:strCache>
                <c:ptCount val="9"/>
                <c:pt idx="0">
                  <c:v>NSW</c:v>
                </c:pt>
                <c:pt idx="1">
                  <c:v>Vic</c:v>
                </c:pt>
                <c:pt idx="2">
                  <c:v>Qld</c:v>
                </c:pt>
                <c:pt idx="3">
                  <c:v>WA</c:v>
                </c:pt>
                <c:pt idx="4">
                  <c:v>SA</c:v>
                </c:pt>
                <c:pt idx="5">
                  <c:v>Tas</c:v>
                </c:pt>
                <c:pt idx="6">
                  <c:v>ACT</c:v>
                </c:pt>
                <c:pt idx="7">
                  <c:v>NT</c:v>
                </c:pt>
                <c:pt idx="8">
                  <c:v>Aust</c:v>
                </c:pt>
              </c:strCache>
            </c:strRef>
          </c:cat>
          <c:val>
            <c:numRef>
              <c:f>'9. Impr emp status'!$F$5:$N$5</c:f>
              <c:numCache>
                <c:formatCode>#,##0.0_ ;\-#,##0.0\ </c:formatCode>
                <c:ptCount val="9"/>
                <c:pt idx="0">
                  <c:v>42.2</c:v>
                </c:pt>
                <c:pt idx="1">
                  <c:v>48.8</c:v>
                </c:pt>
                <c:pt idx="2">
                  <c:v>52.9</c:v>
                </c:pt>
                <c:pt idx="3">
                  <c:v>46.3</c:v>
                </c:pt>
                <c:pt idx="4">
                  <c:v>56.3</c:v>
                </c:pt>
                <c:pt idx="5">
                  <c:v>54.2</c:v>
                </c:pt>
                <c:pt idx="6">
                  <c:v>59.3</c:v>
                </c:pt>
                <c:pt idx="7">
                  <c:v>66.3</c:v>
                </c:pt>
                <c:pt idx="8">
                  <c:v>47.9</c:v>
                </c:pt>
              </c:numCache>
            </c:numRef>
          </c:val>
        </c:ser>
        <c:ser>
          <c:idx val="1"/>
          <c:order val="1"/>
          <c:tx>
            <c:strRef>
              <c:f>'9. Impr emp status'!$E$6</c:f>
              <c:strCache>
                <c:ptCount val="1"/>
                <c:pt idx="0">
                  <c:v>Employed at a higher skill level</c:v>
                </c:pt>
              </c:strCache>
            </c:strRef>
          </c:tx>
          <c:spPr>
            <a:solidFill>
              <a:srgbClr val="265A9A"/>
            </a:solidFill>
            <a:ln>
              <a:solidFill>
                <a:srgbClr val="265A9A"/>
              </a:solidFill>
            </a:ln>
          </c:spPr>
          <c:invertIfNegative val="0"/>
          <c:errBars>
            <c:errBarType val="both"/>
            <c:errValType val="cust"/>
            <c:noEndCap val="0"/>
            <c:plus>
              <c:numRef>
                <c:f>'9. Impr emp status'!$F$9:$N$9</c:f>
                <c:numCache>
                  <c:formatCode>General</c:formatCode>
                  <c:ptCount val="9"/>
                  <c:pt idx="0">
                    <c:v>0.4</c:v>
                  </c:pt>
                  <c:pt idx="1">
                    <c:v>0.5</c:v>
                  </c:pt>
                  <c:pt idx="2">
                    <c:v>0.5</c:v>
                  </c:pt>
                  <c:pt idx="3">
                    <c:v>0.8</c:v>
                  </c:pt>
                  <c:pt idx="4">
                    <c:v>1.2</c:v>
                  </c:pt>
                  <c:pt idx="5">
                    <c:v>1.6</c:v>
                  </c:pt>
                  <c:pt idx="6">
                    <c:v>1.7</c:v>
                  </c:pt>
                  <c:pt idx="7">
                    <c:v>2.1</c:v>
                  </c:pt>
                  <c:pt idx="8">
                    <c:v>0.3</c:v>
                  </c:pt>
                </c:numCache>
              </c:numRef>
            </c:plus>
            <c:minus>
              <c:numRef>
                <c:f>'9. Impr emp status'!$F$9:$N$9</c:f>
                <c:numCache>
                  <c:formatCode>General</c:formatCode>
                  <c:ptCount val="9"/>
                  <c:pt idx="0">
                    <c:v>0.4</c:v>
                  </c:pt>
                  <c:pt idx="1">
                    <c:v>0.5</c:v>
                  </c:pt>
                  <c:pt idx="2">
                    <c:v>0.5</c:v>
                  </c:pt>
                  <c:pt idx="3">
                    <c:v>0.8</c:v>
                  </c:pt>
                  <c:pt idx="4">
                    <c:v>1.2</c:v>
                  </c:pt>
                  <c:pt idx="5">
                    <c:v>1.6</c:v>
                  </c:pt>
                  <c:pt idx="6">
                    <c:v>1.7</c:v>
                  </c:pt>
                  <c:pt idx="7">
                    <c:v>2.1</c:v>
                  </c:pt>
                  <c:pt idx="8">
                    <c:v>0.3</c:v>
                  </c:pt>
                </c:numCache>
              </c:numRef>
            </c:minus>
            <c:spPr>
              <a:ln>
                <a:solidFill>
                  <a:srgbClr val="66BCDB"/>
                </a:solidFill>
              </a:ln>
            </c:spPr>
          </c:errBars>
          <c:cat>
            <c:strRef>
              <c:f>'9. Impr emp status'!$F$4:$N$4</c:f>
              <c:strCache>
                <c:ptCount val="9"/>
                <c:pt idx="0">
                  <c:v>NSW</c:v>
                </c:pt>
                <c:pt idx="1">
                  <c:v>Vic</c:v>
                </c:pt>
                <c:pt idx="2">
                  <c:v>Qld</c:v>
                </c:pt>
                <c:pt idx="3">
                  <c:v>WA</c:v>
                </c:pt>
                <c:pt idx="4">
                  <c:v>SA</c:v>
                </c:pt>
                <c:pt idx="5">
                  <c:v>Tas</c:v>
                </c:pt>
                <c:pt idx="6">
                  <c:v>ACT</c:v>
                </c:pt>
                <c:pt idx="7">
                  <c:v>NT</c:v>
                </c:pt>
                <c:pt idx="8">
                  <c:v>Aust</c:v>
                </c:pt>
              </c:strCache>
            </c:strRef>
          </c:cat>
          <c:val>
            <c:numRef>
              <c:f>'9. Impr emp status'!$F$6:$N$6</c:f>
              <c:numCache>
                <c:formatCode>#,##0.0_ ;\-#,##0.0\ </c:formatCode>
                <c:ptCount val="9"/>
                <c:pt idx="0">
                  <c:v>17.899999999999999</c:v>
                </c:pt>
                <c:pt idx="1">
                  <c:v>17.7</c:v>
                </c:pt>
                <c:pt idx="2">
                  <c:v>17.3</c:v>
                </c:pt>
                <c:pt idx="3">
                  <c:v>16.399999999999999</c:v>
                </c:pt>
                <c:pt idx="4">
                  <c:v>19.8</c:v>
                </c:pt>
                <c:pt idx="5">
                  <c:v>22</c:v>
                </c:pt>
                <c:pt idx="6">
                  <c:v>21</c:v>
                </c:pt>
                <c:pt idx="7">
                  <c:v>19.3</c:v>
                </c:pt>
                <c:pt idx="8">
                  <c:v>17.8</c:v>
                </c:pt>
              </c:numCache>
            </c:numRef>
          </c:val>
        </c:ser>
        <c:ser>
          <c:idx val="2"/>
          <c:order val="2"/>
          <c:tx>
            <c:strRef>
              <c:f>'9. Impr emp status'!$E$7</c:f>
              <c:strCache>
                <c:ptCount val="1"/>
                <c:pt idx="0">
                  <c:v>Received a job-related benefit</c:v>
                </c:pt>
              </c:strCache>
            </c:strRef>
          </c:tx>
          <c:spPr>
            <a:solidFill>
              <a:srgbClr val="78A22F"/>
            </a:solidFill>
            <a:ln>
              <a:solidFill>
                <a:srgbClr val="78A22F"/>
              </a:solidFill>
            </a:ln>
          </c:spPr>
          <c:invertIfNegative val="0"/>
          <c:errBars>
            <c:errBarType val="both"/>
            <c:errValType val="cust"/>
            <c:noEndCap val="0"/>
            <c:plus>
              <c:numRef>
                <c:f>'9. Impr emp status'!$F$10:$N$10</c:f>
                <c:numCache>
                  <c:formatCode>General</c:formatCode>
                  <c:ptCount val="9"/>
                  <c:pt idx="0">
                    <c:v>0.4</c:v>
                  </c:pt>
                  <c:pt idx="1">
                    <c:v>0.5</c:v>
                  </c:pt>
                  <c:pt idx="2">
                    <c:v>0.5</c:v>
                  </c:pt>
                  <c:pt idx="3">
                    <c:v>0.8</c:v>
                  </c:pt>
                  <c:pt idx="4">
                    <c:v>1</c:v>
                  </c:pt>
                  <c:pt idx="5">
                    <c:v>1.1000000000000001</c:v>
                  </c:pt>
                  <c:pt idx="6">
                    <c:v>1.3</c:v>
                  </c:pt>
                  <c:pt idx="7">
                    <c:v>1.7</c:v>
                  </c:pt>
                  <c:pt idx="8">
                    <c:v>0.2</c:v>
                  </c:pt>
                </c:numCache>
              </c:numRef>
            </c:plus>
            <c:minus>
              <c:numRef>
                <c:f>'9. Impr emp status'!$F$10:$N$10</c:f>
                <c:numCache>
                  <c:formatCode>General</c:formatCode>
                  <c:ptCount val="9"/>
                  <c:pt idx="0">
                    <c:v>0.4</c:v>
                  </c:pt>
                  <c:pt idx="1">
                    <c:v>0.5</c:v>
                  </c:pt>
                  <c:pt idx="2">
                    <c:v>0.5</c:v>
                  </c:pt>
                  <c:pt idx="3">
                    <c:v>0.8</c:v>
                  </c:pt>
                  <c:pt idx="4">
                    <c:v>1</c:v>
                  </c:pt>
                  <c:pt idx="5">
                    <c:v>1.1000000000000001</c:v>
                  </c:pt>
                  <c:pt idx="6">
                    <c:v>1.3</c:v>
                  </c:pt>
                  <c:pt idx="7">
                    <c:v>1.7</c:v>
                  </c:pt>
                  <c:pt idx="8">
                    <c:v>0.2</c:v>
                  </c:pt>
                </c:numCache>
              </c:numRef>
            </c:minus>
            <c:spPr>
              <a:ln>
                <a:solidFill>
                  <a:srgbClr val="4D7028"/>
                </a:solidFill>
              </a:ln>
            </c:spPr>
          </c:errBars>
          <c:cat>
            <c:strRef>
              <c:f>'9. Impr emp status'!$F$4:$N$4</c:f>
              <c:strCache>
                <c:ptCount val="9"/>
                <c:pt idx="0">
                  <c:v>NSW</c:v>
                </c:pt>
                <c:pt idx="1">
                  <c:v>Vic</c:v>
                </c:pt>
                <c:pt idx="2">
                  <c:v>Qld</c:v>
                </c:pt>
                <c:pt idx="3">
                  <c:v>WA</c:v>
                </c:pt>
                <c:pt idx="4">
                  <c:v>SA</c:v>
                </c:pt>
                <c:pt idx="5">
                  <c:v>Tas</c:v>
                </c:pt>
                <c:pt idx="6">
                  <c:v>ACT</c:v>
                </c:pt>
                <c:pt idx="7">
                  <c:v>NT</c:v>
                </c:pt>
                <c:pt idx="8">
                  <c:v>Aust</c:v>
                </c:pt>
              </c:strCache>
            </c:strRef>
          </c:cat>
          <c:val>
            <c:numRef>
              <c:f>'9. Impr emp status'!$F$7:$N$7</c:f>
              <c:numCache>
                <c:formatCode>#,##0.0_ ;\-#,##0.0\ </c:formatCode>
                <c:ptCount val="9"/>
                <c:pt idx="0">
                  <c:v>85.4</c:v>
                </c:pt>
                <c:pt idx="1">
                  <c:v>83.8</c:v>
                </c:pt>
                <c:pt idx="2">
                  <c:v>82.9</c:v>
                </c:pt>
                <c:pt idx="3">
                  <c:v>83.5</c:v>
                </c:pt>
                <c:pt idx="4">
                  <c:v>85</c:v>
                </c:pt>
                <c:pt idx="5">
                  <c:v>89.1</c:v>
                </c:pt>
                <c:pt idx="6">
                  <c:v>86.1</c:v>
                </c:pt>
                <c:pt idx="7">
                  <c:v>85.3</c:v>
                </c:pt>
                <c:pt idx="8">
                  <c:v>84.3</c:v>
                </c:pt>
              </c:numCache>
            </c:numRef>
          </c:val>
        </c:ser>
        <c:dLbls>
          <c:showLegendKey val="0"/>
          <c:showVal val="0"/>
          <c:showCatName val="0"/>
          <c:showSerName val="0"/>
          <c:showPercent val="0"/>
          <c:showBubbleSize val="0"/>
        </c:dLbls>
        <c:gapWidth val="150"/>
        <c:axId val="500247632"/>
        <c:axId val="500245672"/>
      </c:barChart>
      <c:catAx>
        <c:axId val="50024763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245672"/>
        <c:crosses val="autoZero"/>
        <c:auto val="1"/>
        <c:lblAlgn val="ctr"/>
        <c:lblOffset val="100"/>
        <c:noMultiLvlLbl val="0"/>
      </c:catAx>
      <c:valAx>
        <c:axId val="500245672"/>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47632"/>
        <c:crosses val="autoZero"/>
        <c:crossBetween val="between"/>
        <c:majorUnit val="20"/>
      </c:valAx>
      <c:spPr>
        <a:solidFill>
          <a:sysClr val="window" lastClr="FFFFFF"/>
        </a:solidFill>
        <a:ln>
          <a:noFill/>
        </a:ln>
      </c:spPr>
    </c:plotArea>
    <c:legend>
      <c:legendPos val="b"/>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356851851851858E-2"/>
          <c:y val="4.2333333333333334E-2"/>
          <c:w val="0.89488388888888892"/>
          <c:h val="0.7068362962962963"/>
        </c:manualLayout>
      </c:layout>
      <c:barChart>
        <c:barDir val="col"/>
        <c:grouping val="stacked"/>
        <c:varyColors val="0"/>
        <c:ser>
          <c:idx val="0"/>
          <c:order val="0"/>
          <c:tx>
            <c:strRef>
              <c:f>'10.Quals (15-64) '!$A$96</c:f>
              <c:strCache>
                <c:ptCount val="1"/>
                <c:pt idx="0">
                  <c:v>Certificate I or II</c:v>
                </c:pt>
              </c:strCache>
            </c:strRef>
          </c:tx>
          <c:spPr>
            <a:solidFill>
              <a:srgbClr val="66BCDB"/>
            </a:solidFill>
            <a:ln>
              <a:solidFill>
                <a:srgbClr val="66BCDB"/>
              </a:solidFill>
            </a:ln>
          </c:spPr>
          <c:invertIfNegative val="0"/>
          <c:cat>
            <c:multiLvlStrRef>
              <c:f>'10.Quals (15-64) '!$C$94:$AU$95</c:f>
              <c:multiLvlStrCache>
                <c:ptCount val="45"/>
                <c:lvl>
                  <c:pt idx="1">
                    <c:v>2015</c:v>
                  </c:pt>
                  <c:pt idx="2">
                    <c:v>2016</c:v>
                  </c:pt>
                  <c:pt idx="3">
                    <c:v>2017</c:v>
                  </c:pt>
                  <c:pt idx="4">
                    <c:v>2018</c:v>
                  </c:pt>
                  <c:pt idx="6">
                    <c:v>2015</c:v>
                  </c:pt>
                  <c:pt idx="7">
                    <c:v>2016</c:v>
                  </c:pt>
                  <c:pt idx="8">
                    <c:v>2017</c:v>
                  </c:pt>
                  <c:pt idx="9">
                    <c:v>2018</c:v>
                  </c:pt>
                  <c:pt idx="11">
                    <c:v>2015</c:v>
                  </c:pt>
                  <c:pt idx="12">
                    <c:v>2016</c:v>
                  </c:pt>
                  <c:pt idx="13">
                    <c:v>2017</c:v>
                  </c:pt>
                  <c:pt idx="14">
                    <c:v>2018</c:v>
                  </c:pt>
                  <c:pt idx="16">
                    <c:v>2015</c:v>
                  </c:pt>
                  <c:pt idx="17">
                    <c:v>2016</c:v>
                  </c:pt>
                  <c:pt idx="18">
                    <c:v>2017</c:v>
                  </c:pt>
                  <c:pt idx="19">
                    <c:v>2018</c:v>
                  </c:pt>
                  <c:pt idx="21">
                    <c:v>2015</c:v>
                  </c:pt>
                  <c:pt idx="22">
                    <c:v>2016</c:v>
                  </c:pt>
                  <c:pt idx="23">
                    <c:v>2017</c:v>
                  </c:pt>
                  <c:pt idx="24">
                    <c:v>2018</c:v>
                  </c:pt>
                  <c:pt idx="26">
                    <c:v>2015</c:v>
                  </c:pt>
                  <c:pt idx="27">
                    <c:v>2016</c:v>
                  </c:pt>
                  <c:pt idx="28">
                    <c:v>2017</c:v>
                  </c:pt>
                  <c:pt idx="29">
                    <c:v>2018</c:v>
                  </c:pt>
                  <c:pt idx="31">
                    <c:v>2015</c:v>
                  </c:pt>
                  <c:pt idx="32">
                    <c:v>2016</c:v>
                  </c:pt>
                  <c:pt idx="33">
                    <c:v>2017</c:v>
                  </c:pt>
                  <c:pt idx="34">
                    <c:v>2018</c:v>
                  </c:pt>
                  <c:pt idx="36">
                    <c:v>2015</c:v>
                  </c:pt>
                  <c:pt idx="37">
                    <c:v>2016</c:v>
                  </c:pt>
                  <c:pt idx="38">
                    <c:v>2017</c:v>
                  </c:pt>
                  <c:pt idx="39">
                    <c:v>2018</c:v>
                  </c:pt>
                  <c:pt idx="41">
                    <c:v>2015</c:v>
                  </c:pt>
                  <c:pt idx="42">
                    <c:v>2016</c:v>
                  </c:pt>
                  <c:pt idx="43">
                    <c:v>2017</c:v>
                  </c:pt>
                  <c:pt idx="44">
                    <c:v>2018</c:v>
                  </c:pt>
                </c:lvl>
                <c:lvl>
                  <c:pt idx="1">
                    <c:v>NSW</c:v>
                  </c:pt>
                  <c:pt idx="6">
                    <c:v>Vic</c:v>
                  </c:pt>
                  <c:pt idx="11">
                    <c:v>Qld</c:v>
                  </c:pt>
                  <c:pt idx="16">
                    <c:v>WA</c:v>
                  </c:pt>
                  <c:pt idx="21">
                    <c:v>SA</c:v>
                  </c:pt>
                  <c:pt idx="26">
                    <c:v>Tas</c:v>
                  </c:pt>
                  <c:pt idx="31">
                    <c:v>ACT</c:v>
                  </c:pt>
                  <c:pt idx="36">
                    <c:v>NT</c:v>
                  </c:pt>
                  <c:pt idx="41">
                    <c:v>Aust</c:v>
                  </c:pt>
                </c:lvl>
              </c:multiLvlStrCache>
            </c:multiLvlStrRef>
          </c:cat>
          <c:val>
            <c:numRef>
              <c:f>'10.Quals (15-64) '!$C$96:$AU$96</c:f>
              <c:numCache>
                <c:formatCode>###\ ###\ ##0.0;\-###\ ###\ ##0.0;"–"</c:formatCode>
                <c:ptCount val="45"/>
                <c:pt idx="1">
                  <c:v>9.7890540468364708</c:v>
                </c:pt>
                <c:pt idx="2">
                  <c:v>9.5894147302874657</c:v>
                </c:pt>
                <c:pt idx="3">
                  <c:v>8.5073606360768466</c:v>
                </c:pt>
                <c:pt idx="4">
                  <c:v>8.2405055733133707</c:v>
                </c:pt>
                <c:pt idx="6">
                  <c:v>13.088551077184469</c:v>
                </c:pt>
                <c:pt idx="7">
                  <c:v>10.885747885377329</c:v>
                </c:pt>
                <c:pt idx="8" formatCode="####\ ###\ ##0.00;\-####\ ###\ ##0.00;&quot;–&quot;">
                  <c:v>11.701599563997805</c:v>
                </c:pt>
                <c:pt idx="9">
                  <c:v>9.4008144650029983</c:v>
                </c:pt>
                <c:pt idx="11">
                  <c:v>26.741372359719538</c:v>
                </c:pt>
                <c:pt idx="12">
                  <c:v>24.212999621086716</c:v>
                </c:pt>
                <c:pt idx="13">
                  <c:v>26.122842455457747</c:v>
                </c:pt>
                <c:pt idx="14">
                  <c:v>22.092331258341535</c:v>
                </c:pt>
                <c:pt idx="16">
                  <c:v>19.177494176531859</c:v>
                </c:pt>
                <c:pt idx="17">
                  <c:v>18.397952487816042</c:v>
                </c:pt>
                <c:pt idx="18">
                  <c:v>17.505642381824256</c:v>
                </c:pt>
                <c:pt idx="19">
                  <c:v>18.429023992029681</c:v>
                </c:pt>
                <c:pt idx="21">
                  <c:v>12.449384187488848</c:v>
                </c:pt>
                <c:pt idx="22">
                  <c:v>8.9825967278265058</c:v>
                </c:pt>
                <c:pt idx="23" formatCode="###\ ###\ ##0.00;\-###\ ###\ ##0.00;&quot;–&quot;">
                  <c:v>8.4552075529331603</c:v>
                </c:pt>
                <c:pt idx="24">
                  <c:v>5.3449097663539193</c:v>
                </c:pt>
                <c:pt idx="26">
                  <c:v>12.463627397996417</c:v>
                </c:pt>
                <c:pt idx="27">
                  <c:v>11.8676209702086</c:v>
                </c:pt>
                <c:pt idx="28">
                  <c:v>11.995291167882096</c:v>
                </c:pt>
                <c:pt idx="29">
                  <c:v>10.766976831475775</c:v>
                </c:pt>
                <c:pt idx="31">
                  <c:v>12.41685629266585</c:v>
                </c:pt>
                <c:pt idx="32">
                  <c:v>12.553100262663895</c:v>
                </c:pt>
                <c:pt idx="33">
                  <c:v>11.111941866136881</c:v>
                </c:pt>
                <c:pt idx="34">
                  <c:v>12.111034071864841</c:v>
                </c:pt>
                <c:pt idx="36">
                  <c:v>16.216061895109487</c:v>
                </c:pt>
                <c:pt idx="37">
                  <c:v>16.582535803202301</c:v>
                </c:pt>
                <c:pt idx="38">
                  <c:v>18.424625749789456</c:v>
                </c:pt>
                <c:pt idx="39">
                  <c:v>14.136092747395907</c:v>
                </c:pt>
                <c:pt idx="41">
                  <c:v>15.395274788871129</c:v>
                </c:pt>
                <c:pt idx="42">
                  <c:v>13.914535246608583</c:v>
                </c:pt>
                <c:pt idx="43">
                  <c:v>14.017473672715747</c:v>
                </c:pt>
                <c:pt idx="44">
                  <c:v>12.353818441036601</c:v>
                </c:pt>
              </c:numCache>
            </c:numRef>
          </c:val>
        </c:ser>
        <c:ser>
          <c:idx val="1"/>
          <c:order val="1"/>
          <c:tx>
            <c:strRef>
              <c:f>'10.Quals (15-64) '!$A$97</c:f>
              <c:strCache>
                <c:ptCount val="1"/>
                <c:pt idx="0">
                  <c:v>Certificate III or IV</c:v>
                </c:pt>
              </c:strCache>
            </c:strRef>
          </c:tx>
          <c:spPr>
            <a:solidFill>
              <a:srgbClr val="265A9A"/>
            </a:solidFill>
            <a:ln>
              <a:solidFill>
                <a:srgbClr val="265A9A"/>
              </a:solidFill>
            </a:ln>
          </c:spPr>
          <c:invertIfNegative val="0"/>
          <c:cat>
            <c:multiLvlStrRef>
              <c:f>'10.Quals (15-64) '!$C$94:$AU$95</c:f>
              <c:multiLvlStrCache>
                <c:ptCount val="45"/>
                <c:lvl>
                  <c:pt idx="1">
                    <c:v>2015</c:v>
                  </c:pt>
                  <c:pt idx="2">
                    <c:v>2016</c:v>
                  </c:pt>
                  <c:pt idx="3">
                    <c:v>2017</c:v>
                  </c:pt>
                  <c:pt idx="4">
                    <c:v>2018</c:v>
                  </c:pt>
                  <c:pt idx="6">
                    <c:v>2015</c:v>
                  </c:pt>
                  <c:pt idx="7">
                    <c:v>2016</c:v>
                  </c:pt>
                  <c:pt idx="8">
                    <c:v>2017</c:v>
                  </c:pt>
                  <c:pt idx="9">
                    <c:v>2018</c:v>
                  </c:pt>
                  <c:pt idx="11">
                    <c:v>2015</c:v>
                  </c:pt>
                  <c:pt idx="12">
                    <c:v>2016</c:v>
                  </c:pt>
                  <c:pt idx="13">
                    <c:v>2017</c:v>
                  </c:pt>
                  <c:pt idx="14">
                    <c:v>2018</c:v>
                  </c:pt>
                  <c:pt idx="16">
                    <c:v>2015</c:v>
                  </c:pt>
                  <c:pt idx="17">
                    <c:v>2016</c:v>
                  </c:pt>
                  <c:pt idx="18">
                    <c:v>2017</c:v>
                  </c:pt>
                  <c:pt idx="19">
                    <c:v>2018</c:v>
                  </c:pt>
                  <c:pt idx="21">
                    <c:v>2015</c:v>
                  </c:pt>
                  <c:pt idx="22">
                    <c:v>2016</c:v>
                  </c:pt>
                  <c:pt idx="23">
                    <c:v>2017</c:v>
                  </c:pt>
                  <c:pt idx="24">
                    <c:v>2018</c:v>
                  </c:pt>
                  <c:pt idx="26">
                    <c:v>2015</c:v>
                  </c:pt>
                  <c:pt idx="27">
                    <c:v>2016</c:v>
                  </c:pt>
                  <c:pt idx="28">
                    <c:v>2017</c:v>
                  </c:pt>
                  <c:pt idx="29">
                    <c:v>2018</c:v>
                  </c:pt>
                  <c:pt idx="31">
                    <c:v>2015</c:v>
                  </c:pt>
                  <c:pt idx="32">
                    <c:v>2016</c:v>
                  </c:pt>
                  <c:pt idx="33">
                    <c:v>2017</c:v>
                  </c:pt>
                  <c:pt idx="34">
                    <c:v>2018</c:v>
                  </c:pt>
                  <c:pt idx="36">
                    <c:v>2015</c:v>
                  </c:pt>
                  <c:pt idx="37">
                    <c:v>2016</c:v>
                  </c:pt>
                  <c:pt idx="38">
                    <c:v>2017</c:v>
                  </c:pt>
                  <c:pt idx="39">
                    <c:v>2018</c:v>
                  </c:pt>
                  <c:pt idx="41">
                    <c:v>2015</c:v>
                  </c:pt>
                  <c:pt idx="42">
                    <c:v>2016</c:v>
                  </c:pt>
                  <c:pt idx="43">
                    <c:v>2017</c:v>
                  </c:pt>
                  <c:pt idx="44">
                    <c:v>2018</c:v>
                  </c:pt>
                </c:lvl>
                <c:lvl>
                  <c:pt idx="1">
                    <c:v>NSW</c:v>
                  </c:pt>
                  <c:pt idx="6">
                    <c:v>Vic</c:v>
                  </c:pt>
                  <c:pt idx="11">
                    <c:v>Qld</c:v>
                  </c:pt>
                  <c:pt idx="16">
                    <c:v>WA</c:v>
                  </c:pt>
                  <c:pt idx="21">
                    <c:v>SA</c:v>
                  </c:pt>
                  <c:pt idx="26">
                    <c:v>Tas</c:v>
                  </c:pt>
                  <c:pt idx="31">
                    <c:v>ACT</c:v>
                  </c:pt>
                  <c:pt idx="36">
                    <c:v>NT</c:v>
                  </c:pt>
                  <c:pt idx="41">
                    <c:v>Aust</c:v>
                  </c:pt>
                </c:lvl>
              </c:multiLvlStrCache>
            </c:multiLvlStrRef>
          </c:cat>
          <c:val>
            <c:numRef>
              <c:f>'10.Quals (15-64) '!$C$97:$AU$97</c:f>
              <c:numCache>
                <c:formatCode>###\ ###\ ##0.0;\-###\ ###\ ##0.0;"–"</c:formatCode>
                <c:ptCount val="45"/>
                <c:pt idx="1">
                  <c:v>26.149152649511819</c:v>
                </c:pt>
                <c:pt idx="2">
                  <c:v>25.145427178573495</c:v>
                </c:pt>
                <c:pt idx="3">
                  <c:v>24.199902756357631</c:v>
                </c:pt>
                <c:pt idx="4">
                  <c:v>22.891487850716334</c:v>
                </c:pt>
                <c:pt idx="6">
                  <c:v>38.022858169778303</c:v>
                </c:pt>
                <c:pt idx="7">
                  <c:v>29.104672695463883</c:v>
                </c:pt>
                <c:pt idx="8" formatCode="###\ ###\ ##0.00;\-###\ ###\ ##0.00;&quot;–&quot;">
                  <c:v>26.069377324836879</c:v>
                </c:pt>
                <c:pt idx="9">
                  <c:v>25.427820483531132</c:v>
                </c:pt>
                <c:pt idx="11">
                  <c:v>38.147682570058826</c:v>
                </c:pt>
                <c:pt idx="12">
                  <c:v>35.822726488808215</c:v>
                </c:pt>
                <c:pt idx="13">
                  <c:v>33.489923798023767</c:v>
                </c:pt>
                <c:pt idx="14">
                  <c:v>29.830089414843727</c:v>
                </c:pt>
                <c:pt idx="16">
                  <c:v>25.53577656545438</c:v>
                </c:pt>
                <c:pt idx="17">
                  <c:v>23.696544122626552</c:v>
                </c:pt>
                <c:pt idx="18">
                  <c:v>23.168393815553767</c:v>
                </c:pt>
                <c:pt idx="19">
                  <c:v>20.474684153454259</c:v>
                </c:pt>
                <c:pt idx="21">
                  <c:v>22.342052853278219</c:v>
                </c:pt>
                <c:pt idx="22">
                  <c:v>19.238338776097443</c:v>
                </c:pt>
                <c:pt idx="23">
                  <c:v>18.524459643012388</c:v>
                </c:pt>
                <c:pt idx="24">
                  <c:v>13.553292768964205</c:v>
                </c:pt>
                <c:pt idx="26">
                  <c:v>18.884746559678547</c:v>
                </c:pt>
                <c:pt idx="27">
                  <c:v>17.99106869762036</c:v>
                </c:pt>
                <c:pt idx="28">
                  <c:v>17.600024461465548</c:v>
                </c:pt>
                <c:pt idx="29">
                  <c:v>16.615107064371809</c:v>
                </c:pt>
                <c:pt idx="31">
                  <c:v>42.684083085360875</c:v>
                </c:pt>
                <c:pt idx="32">
                  <c:v>29.588421170205482</c:v>
                </c:pt>
                <c:pt idx="33">
                  <c:v>24.199893900715278</c:v>
                </c:pt>
                <c:pt idx="34">
                  <c:v>20.891185355265126</c:v>
                </c:pt>
                <c:pt idx="36">
                  <c:v>17.557883918120307</c:v>
                </c:pt>
                <c:pt idx="37">
                  <c:v>17.033644731732945</c:v>
                </c:pt>
                <c:pt idx="38">
                  <c:v>20.103237486321891</c:v>
                </c:pt>
                <c:pt idx="39">
                  <c:v>14.273225417540411</c:v>
                </c:pt>
                <c:pt idx="41">
                  <c:v>31.276776921762188</c:v>
                </c:pt>
                <c:pt idx="42">
                  <c:v>27.564428301688839</c:v>
                </c:pt>
                <c:pt idx="43">
                  <c:v>25.854649312417724</c:v>
                </c:pt>
                <c:pt idx="44">
                  <c:v>23.79326073082062</c:v>
                </c:pt>
              </c:numCache>
            </c:numRef>
          </c:val>
        </c:ser>
        <c:ser>
          <c:idx val="2"/>
          <c:order val="2"/>
          <c:tx>
            <c:strRef>
              <c:f>'10.Quals (15-64) '!$A$98</c:f>
              <c:strCache>
                <c:ptCount val="1"/>
                <c:pt idx="0">
                  <c:v>Diploma and above</c:v>
                </c:pt>
              </c:strCache>
            </c:strRef>
          </c:tx>
          <c:spPr>
            <a:solidFill>
              <a:srgbClr val="78A22F"/>
            </a:solidFill>
            <a:ln>
              <a:solidFill>
                <a:srgbClr val="78A22F"/>
              </a:solidFill>
            </a:ln>
          </c:spPr>
          <c:invertIfNegative val="0"/>
          <c:cat>
            <c:multiLvlStrRef>
              <c:f>'10.Quals (15-64) '!$C$94:$AU$95</c:f>
              <c:multiLvlStrCache>
                <c:ptCount val="45"/>
                <c:lvl>
                  <c:pt idx="1">
                    <c:v>2015</c:v>
                  </c:pt>
                  <c:pt idx="2">
                    <c:v>2016</c:v>
                  </c:pt>
                  <c:pt idx="3">
                    <c:v>2017</c:v>
                  </c:pt>
                  <c:pt idx="4">
                    <c:v>2018</c:v>
                  </c:pt>
                  <c:pt idx="6">
                    <c:v>2015</c:v>
                  </c:pt>
                  <c:pt idx="7">
                    <c:v>2016</c:v>
                  </c:pt>
                  <c:pt idx="8">
                    <c:v>2017</c:v>
                  </c:pt>
                  <c:pt idx="9">
                    <c:v>2018</c:v>
                  </c:pt>
                  <c:pt idx="11">
                    <c:v>2015</c:v>
                  </c:pt>
                  <c:pt idx="12">
                    <c:v>2016</c:v>
                  </c:pt>
                  <c:pt idx="13">
                    <c:v>2017</c:v>
                  </c:pt>
                  <c:pt idx="14">
                    <c:v>2018</c:v>
                  </c:pt>
                  <c:pt idx="16">
                    <c:v>2015</c:v>
                  </c:pt>
                  <c:pt idx="17">
                    <c:v>2016</c:v>
                  </c:pt>
                  <c:pt idx="18">
                    <c:v>2017</c:v>
                  </c:pt>
                  <c:pt idx="19">
                    <c:v>2018</c:v>
                  </c:pt>
                  <c:pt idx="21">
                    <c:v>2015</c:v>
                  </c:pt>
                  <c:pt idx="22">
                    <c:v>2016</c:v>
                  </c:pt>
                  <c:pt idx="23">
                    <c:v>2017</c:v>
                  </c:pt>
                  <c:pt idx="24">
                    <c:v>2018</c:v>
                  </c:pt>
                  <c:pt idx="26">
                    <c:v>2015</c:v>
                  </c:pt>
                  <c:pt idx="27">
                    <c:v>2016</c:v>
                  </c:pt>
                  <c:pt idx="28">
                    <c:v>2017</c:v>
                  </c:pt>
                  <c:pt idx="29">
                    <c:v>2018</c:v>
                  </c:pt>
                  <c:pt idx="31">
                    <c:v>2015</c:v>
                  </c:pt>
                  <c:pt idx="32">
                    <c:v>2016</c:v>
                  </c:pt>
                  <c:pt idx="33">
                    <c:v>2017</c:v>
                  </c:pt>
                  <c:pt idx="34">
                    <c:v>2018</c:v>
                  </c:pt>
                  <c:pt idx="36">
                    <c:v>2015</c:v>
                  </c:pt>
                  <c:pt idx="37">
                    <c:v>2016</c:v>
                  </c:pt>
                  <c:pt idx="38">
                    <c:v>2017</c:v>
                  </c:pt>
                  <c:pt idx="39">
                    <c:v>2018</c:v>
                  </c:pt>
                  <c:pt idx="41">
                    <c:v>2015</c:v>
                  </c:pt>
                  <c:pt idx="42">
                    <c:v>2016</c:v>
                  </c:pt>
                  <c:pt idx="43">
                    <c:v>2017</c:v>
                  </c:pt>
                  <c:pt idx="44">
                    <c:v>2018</c:v>
                  </c:pt>
                </c:lvl>
                <c:lvl>
                  <c:pt idx="1">
                    <c:v>NSW</c:v>
                  </c:pt>
                  <c:pt idx="6">
                    <c:v>Vic</c:v>
                  </c:pt>
                  <c:pt idx="11">
                    <c:v>Qld</c:v>
                  </c:pt>
                  <c:pt idx="16">
                    <c:v>WA</c:v>
                  </c:pt>
                  <c:pt idx="21">
                    <c:v>SA</c:v>
                  </c:pt>
                  <c:pt idx="26">
                    <c:v>Tas</c:v>
                  </c:pt>
                  <c:pt idx="31">
                    <c:v>ACT</c:v>
                  </c:pt>
                  <c:pt idx="36">
                    <c:v>NT</c:v>
                  </c:pt>
                  <c:pt idx="41">
                    <c:v>Aust</c:v>
                  </c:pt>
                </c:lvl>
              </c:multiLvlStrCache>
            </c:multiLvlStrRef>
          </c:cat>
          <c:val>
            <c:numRef>
              <c:f>'10.Quals (15-64) '!$C$98:$AU$98</c:f>
              <c:numCache>
                <c:formatCode>###\ ###\ ##0.0;\-###\ ###\ ##0.0;"–"</c:formatCode>
                <c:ptCount val="45"/>
                <c:pt idx="1">
                  <c:v>8.8494760907715921</c:v>
                </c:pt>
                <c:pt idx="2">
                  <c:v>9.2840734501806867</c:v>
                </c:pt>
                <c:pt idx="3">
                  <c:v>9.6182166386943777</c:v>
                </c:pt>
                <c:pt idx="4">
                  <c:v>8.749657541544746</c:v>
                </c:pt>
                <c:pt idx="6">
                  <c:v>11.419875312285551</c:v>
                </c:pt>
                <c:pt idx="7">
                  <c:v>11.28310375129762</c:v>
                </c:pt>
                <c:pt idx="8" formatCode="###\ ###\ ##0.00;\-###\ ###\ ##0.00;&quot;–&quot;">
                  <c:v>11.322384367949265</c:v>
                </c:pt>
                <c:pt idx="9">
                  <c:v>9.4092153417745035</c:v>
                </c:pt>
                <c:pt idx="11">
                  <c:v>9.0024235828044752</c:v>
                </c:pt>
                <c:pt idx="12">
                  <c:v>9.638370698043877</c:v>
                </c:pt>
                <c:pt idx="13">
                  <c:v>9.5674848378689283</c:v>
                </c:pt>
                <c:pt idx="14">
                  <c:v>7.9747628343551922</c:v>
                </c:pt>
                <c:pt idx="16">
                  <c:v>6.9053442932345117</c:v>
                </c:pt>
                <c:pt idx="17">
                  <c:v>6.44809878872654</c:v>
                </c:pt>
                <c:pt idx="18">
                  <c:v>6.2534701084710802</c:v>
                </c:pt>
                <c:pt idx="19">
                  <c:v>4.7574577349811387</c:v>
                </c:pt>
                <c:pt idx="21">
                  <c:v>5.9366880073468211</c:v>
                </c:pt>
                <c:pt idx="22">
                  <c:v>6.1847535644901948</c:v>
                </c:pt>
                <c:pt idx="23" formatCode="###\ ###\ ##0.00;\-###\ ###\ ##0.00;&quot;–&quot;">
                  <c:v>5.4096699884414168</c:v>
                </c:pt>
                <c:pt idx="24">
                  <c:v>4.2979129442866144</c:v>
                </c:pt>
                <c:pt idx="26">
                  <c:v>2.9281280437723085</c:v>
                </c:pt>
                <c:pt idx="27">
                  <c:v>3.0433718725148347</c:v>
                </c:pt>
                <c:pt idx="28">
                  <c:v>2.6968765766178966</c:v>
                </c:pt>
                <c:pt idx="29">
                  <c:v>2.3822352449736952</c:v>
                </c:pt>
                <c:pt idx="31">
                  <c:v>16.924120427096096</c:v>
                </c:pt>
                <c:pt idx="32">
                  <c:v>16.736265993132548</c:v>
                </c:pt>
                <c:pt idx="33">
                  <c:v>13.899718374046262</c:v>
                </c:pt>
                <c:pt idx="34">
                  <c:v>14.393176568145471</c:v>
                </c:pt>
                <c:pt idx="36">
                  <c:v>1.5816370228680732</c:v>
                </c:pt>
                <c:pt idx="37">
                  <c:v>2.10707841301021</c:v>
                </c:pt>
                <c:pt idx="38">
                  <c:v>3.1624357630235633</c:v>
                </c:pt>
                <c:pt idx="39">
                  <c:v>2.9083553793146795</c:v>
                </c:pt>
                <c:pt idx="41">
                  <c:v>9.0560477253962546</c:v>
                </c:pt>
                <c:pt idx="42">
                  <c:v>9.2719461278802502</c:v>
                </c:pt>
                <c:pt idx="43">
                  <c:v>9.2679361821942621</c:v>
                </c:pt>
                <c:pt idx="44">
                  <c:v>7.9546389307325711</c:v>
                </c:pt>
              </c:numCache>
            </c:numRef>
          </c:val>
        </c:ser>
        <c:dLbls>
          <c:showLegendKey val="0"/>
          <c:showVal val="0"/>
          <c:showCatName val="0"/>
          <c:showSerName val="0"/>
          <c:showPercent val="0"/>
          <c:showBubbleSize val="0"/>
        </c:dLbls>
        <c:gapWidth val="0"/>
        <c:overlap val="100"/>
        <c:axId val="500250768"/>
        <c:axId val="498756632"/>
      </c:barChart>
      <c:catAx>
        <c:axId val="500250768"/>
        <c:scaling>
          <c:orientation val="minMax"/>
        </c:scaling>
        <c:delete val="0"/>
        <c:axPos val="b"/>
        <c:numFmt formatCode="General" sourceLinked="0"/>
        <c:majorTickMark val="none"/>
        <c:minorTickMark val="none"/>
        <c:tickLblPos val="nextTo"/>
        <c:spPr>
          <a:noFill/>
          <a:ln>
            <a:solidFill>
              <a:srgbClr val="BFBFBF"/>
            </a:solidFill>
          </a:ln>
        </c:spPr>
        <c:txPr>
          <a:bodyPr/>
          <a:lstStyle/>
          <a:p>
            <a:pPr>
              <a:defRPr sz="800" b="0" i="0" baseline="0">
                <a:ln>
                  <a:noFill/>
                </a:ln>
                <a:latin typeface="Arial"/>
                <a:ea typeface="Arial"/>
                <a:cs typeface="Arial"/>
              </a:defRPr>
            </a:pPr>
            <a:endParaRPr lang="en-US"/>
          </a:p>
        </c:txPr>
        <c:crossAx val="498756632"/>
        <c:crosses val="autoZero"/>
        <c:auto val="1"/>
        <c:lblAlgn val="ctr"/>
        <c:lblOffset val="100"/>
        <c:noMultiLvlLbl val="0"/>
      </c:catAx>
      <c:valAx>
        <c:axId val="498756632"/>
        <c:scaling>
          <c:orientation val="minMax"/>
          <c:min val="0"/>
        </c:scaling>
        <c:delete val="0"/>
        <c:axPos val="l"/>
        <c:majorGridlines>
          <c:spPr>
            <a:ln>
              <a:noFill/>
            </a:ln>
          </c:spPr>
        </c:majorGridlines>
        <c:title>
          <c:tx>
            <c:rich>
              <a:bodyPr rot="-5400000" vert="horz"/>
              <a:lstStyle/>
              <a:p>
                <a:pPr>
                  <a:defRPr sz="900">
                    <a:latin typeface="arial"/>
                    <a:ea typeface="arial"/>
                    <a:cs typeface="arial"/>
                  </a:defRPr>
                </a:pPr>
                <a:r>
                  <a:rPr lang="en-AU"/>
                  <a:t>Completions/1000 15–64 year olds</a:t>
                </a:r>
              </a:p>
            </c:rich>
          </c:tx>
          <c:layout>
            <c:manualLayout>
              <c:xMode val="edge"/>
              <c:yMode val="edge"/>
              <c:x val="7.0555555555555554E-3"/>
              <c:y val="0.10145259259259259"/>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250768"/>
        <c:crosses val="autoZero"/>
        <c:crossBetween val="between"/>
        <c:majorUnit val="10"/>
      </c:valAx>
      <c:spPr>
        <a:noFill/>
        <a:ln>
          <a:noFill/>
        </a:ln>
      </c:spPr>
    </c:plotArea>
    <c:legend>
      <c:legendPos val="b"/>
      <c:layout>
        <c:manualLayout>
          <c:xMode val="edge"/>
          <c:yMode val="edge"/>
          <c:x val="0.15097792634249832"/>
          <c:y val="0.93072544727211304"/>
          <c:w val="0.6980439652702255"/>
          <c:h val="5.6244470337410736E-2"/>
        </c:manualLayout>
      </c:layout>
      <c:overlay val="0"/>
      <c:spPr>
        <a:ln>
          <a:noFill/>
        </a:ln>
      </c:spPr>
      <c:txPr>
        <a:bodyPr/>
        <a:lstStyle/>
        <a:p>
          <a:pPr>
            <a:defRPr sz="8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481817236618804E-2"/>
          <c:y val="2.3962955759137337E-2"/>
          <c:w val="0.87394037037037042"/>
          <c:h val="0.8074796296296296"/>
        </c:manualLayout>
      </c:layout>
      <c:barChart>
        <c:barDir val="col"/>
        <c:grouping val="clustered"/>
        <c:varyColors val="0"/>
        <c:ser>
          <c:idx val="0"/>
          <c:order val="0"/>
          <c:tx>
            <c:strRef>
              <c:f>'11.  Impr ed status'!$F$8</c:f>
              <c:strCache>
                <c:ptCount val="1"/>
                <c:pt idx="0">
                  <c:v>2015 to 2017</c:v>
                </c:pt>
              </c:strCache>
            </c:strRef>
          </c:tx>
          <c:spPr>
            <a:solidFill>
              <a:srgbClr val="66BCDB"/>
            </a:solidFill>
            <a:ln w="6350">
              <a:solidFill>
                <a:srgbClr val="66BCDB"/>
              </a:solidFill>
            </a:ln>
          </c:spPr>
          <c:invertIfNegative val="0"/>
          <c:cat>
            <c:strRef>
              <c:f>'11.  Impr ed status'!$G$4:$O$4</c:f>
              <c:strCache>
                <c:ptCount val="9"/>
                <c:pt idx="0">
                  <c:v>NSW</c:v>
                </c:pt>
                <c:pt idx="1">
                  <c:v>Vic</c:v>
                </c:pt>
                <c:pt idx="2">
                  <c:v>Qld</c:v>
                </c:pt>
                <c:pt idx="3">
                  <c:v>WA</c:v>
                </c:pt>
                <c:pt idx="4">
                  <c:v>SA</c:v>
                </c:pt>
                <c:pt idx="5">
                  <c:v>Tas</c:v>
                </c:pt>
                <c:pt idx="6">
                  <c:v>ACT</c:v>
                </c:pt>
                <c:pt idx="7">
                  <c:v>NT</c:v>
                </c:pt>
                <c:pt idx="8">
                  <c:v>Aust</c:v>
                </c:pt>
              </c:strCache>
            </c:strRef>
          </c:cat>
          <c:val>
            <c:numRef>
              <c:f>'11.  Impr ed status'!$G$8:$O$8</c:f>
              <c:numCache>
                <c:formatCode>0.0</c:formatCode>
                <c:ptCount val="9"/>
                <c:pt idx="0">
                  <c:v>47.489994607022226</c:v>
                </c:pt>
                <c:pt idx="1">
                  <c:v>61.907376438113268</c:v>
                </c:pt>
                <c:pt idx="2">
                  <c:v>50.563036205774104</c:v>
                </c:pt>
                <c:pt idx="3">
                  <c:v>44.944142627592008</c:v>
                </c:pt>
                <c:pt idx="4">
                  <c:v>47.421508322887213</c:v>
                </c:pt>
                <c:pt idx="5">
                  <c:v>49.352091817845242</c:v>
                </c:pt>
                <c:pt idx="6">
                  <c:v>45.451602460343153</c:v>
                </c:pt>
                <c:pt idx="7">
                  <c:v>51.375752364574382</c:v>
                </c:pt>
                <c:pt idx="8">
                  <c:v>52.462375950394126</c:v>
                </c:pt>
              </c:numCache>
            </c:numRef>
          </c:val>
        </c:ser>
        <c:ser>
          <c:idx val="1"/>
          <c:order val="1"/>
          <c:tx>
            <c:strRef>
              <c:f>'11.  Impr ed status'!$F$9</c:f>
              <c:strCache>
                <c:ptCount val="1"/>
                <c:pt idx="0">
                  <c:v>2016</c:v>
                </c:pt>
              </c:strCache>
            </c:strRef>
          </c:tx>
          <c:spPr>
            <a:solidFill>
              <a:srgbClr val="66BCDB"/>
            </a:solidFill>
            <a:ln w="9525">
              <a:solidFill>
                <a:srgbClr val="66BCDB"/>
              </a:solidFill>
            </a:ln>
          </c:spPr>
          <c:invertIfNegative val="0"/>
          <c:cat>
            <c:strRef>
              <c:f>'11.  Impr ed status'!$G$4:$O$4</c:f>
              <c:strCache>
                <c:ptCount val="9"/>
                <c:pt idx="0">
                  <c:v>NSW</c:v>
                </c:pt>
                <c:pt idx="1">
                  <c:v>Vic</c:v>
                </c:pt>
                <c:pt idx="2">
                  <c:v>Qld</c:v>
                </c:pt>
                <c:pt idx="3">
                  <c:v>WA</c:v>
                </c:pt>
                <c:pt idx="4">
                  <c:v>SA</c:v>
                </c:pt>
                <c:pt idx="5">
                  <c:v>Tas</c:v>
                </c:pt>
                <c:pt idx="6">
                  <c:v>ACT</c:v>
                </c:pt>
                <c:pt idx="7">
                  <c:v>NT</c:v>
                </c:pt>
                <c:pt idx="8">
                  <c:v>Aust</c:v>
                </c:pt>
              </c:strCache>
            </c:strRef>
          </c:cat>
          <c:val>
            <c:numRef>
              <c:f>'11.  Impr ed status'!$G$9:$O$9</c:f>
              <c:numCache>
                <c:formatCode>0.0</c:formatCode>
                <c:ptCount val="9"/>
                <c:pt idx="0">
                  <c:v>43.907566567922608</c:v>
                </c:pt>
                <c:pt idx="1">
                  <c:v>59.45247998013533</c:v>
                </c:pt>
                <c:pt idx="2">
                  <c:v>52.305571266968322</c:v>
                </c:pt>
                <c:pt idx="3">
                  <c:v>42.275850296590278</c:v>
                </c:pt>
                <c:pt idx="4">
                  <c:v>50.938912133891215</c:v>
                </c:pt>
                <c:pt idx="5">
                  <c:v>52.579914422350868</c:v>
                </c:pt>
                <c:pt idx="6">
                  <c:v>38.103841017987591</c:v>
                </c:pt>
                <c:pt idx="7">
                  <c:v>52.1875</c:v>
                </c:pt>
                <c:pt idx="8">
                  <c:v>50.532996709854473</c:v>
                </c:pt>
              </c:numCache>
            </c:numRef>
          </c:val>
        </c:ser>
        <c:ser>
          <c:idx val="2"/>
          <c:order val="2"/>
          <c:tx>
            <c:strRef>
              <c:f>'11.  Impr ed status'!$F$10</c:f>
              <c:strCache>
                <c:ptCount val="1"/>
                <c:pt idx="0">
                  <c:v>2017</c:v>
                </c:pt>
              </c:strCache>
            </c:strRef>
          </c:tx>
          <c:spPr>
            <a:solidFill>
              <a:srgbClr val="66BCDB"/>
            </a:solidFill>
            <a:ln>
              <a:noFill/>
            </a:ln>
          </c:spPr>
          <c:invertIfNegative val="0"/>
          <c:cat>
            <c:strRef>
              <c:f>'11.  Impr ed status'!$G$4:$O$4</c:f>
              <c:strCache>
                <c:ptCount val="9"/>
                <c:pt idx="0">
                  <c:v>NSW</c:v>
                </c:pt>
                <c:pt idx="1">
                  <c:v>Vic</c:v>
                </c:pt>
                <c:pt idx="2">
                  <c:v>Qld</c:v>
                </c:pt>
                <c:pt idx="3">
                  <c:v>WA</c:v>
                </c:pt>
                <c:pt idx="4">
                  <c:v>SA</c:v>
                </c:pt>
                <c:pt idx="5">
                  <c:v>Tas</c:v>
                </c:pt>
                <c:pt idx="6">
                  <c:v>ACT</c:v>
                </c:pt>
                <c:pt idx="7">
                  <c:v>NT</c:v>
                </c:pt>
                <c:pt idx="8">
                  <c:v>Aust</c:v>
                </c:pt>
              </c:strCache>
            </c:strRef>
          </c:cat>
          <c:val>
            <c:numRef>
              <c:f>'11.  Impr ed status'!$G$10:$O$10</c:f>
              <c:numCache>
                <c:formatCode>0.0</c:formatCode>
                <c:ptCount val="9"/>
                <c:pt idx="0">
                  <c:v>41.763307600881596</c:v>
                </c:pt>
                <c:pt idx="1">
                  <c:v>56.347626387753444</c:v>
                </c:pt>
                <c:pt idx="2">
                  <c:v>49.530037075657511</c:v>
                </c:pt>
                <c:pt idx="3">
                  <c:v>43.549749788782741</c:v>
                </c:pt>
                <c:pt idx="4">
                  <c:v>52.113082359728836</c:v>
                </c:pt>
                <c:pt idx="5">
                  <c:v>49.414893617021278</c:v>
                </c:pt>
                <c:pt idx="6">
                  <c:v>36.211303606929853</c:v>
                </c:pt>
                <c:pt idx="7">
                  <c:v>47.478028276652658</c:v>
                </c:pt>
                <c:pt idx="8">
                  <c:v>48.457026134312123</c:v>
                </c:pt>
              </c:numCache>
            </c:numRef>
          </c:val>
        </c:ser>
        <c:ser>
          <c:idx val="3"/>
          <c:order val="3"/>
          <c:tx>
            <c:strRef>
              <c:f>'11.  Impr ed status'!$F$11</c:f>
              <c:strCache>
                <c:ptCount val="1"/>
                <c:pt idx="0">
                  <c:v>2018</c:v>
                </c:pt>
              </c:strCache>
            </c:strRef>
          </c:tx>
          <c:spPr>
            <a:solidFill>
              <a:srgbClr val="265A9A"/>
            </a:solidFill>
          </c:spPr>
          <c:invertIfNegative val="0"/>
          <c:cat>
            <c:strRef>
              <c:f>'11.  Impr ed status'!$G$4:$O$4</c:f>
              <c:strCache>
                <c:ptCount val="9"/>
                <c:pt idx="0">
                  <c:v>NSW</c:v>
                </c:pt>
                <c:pt idx="1">
                  <c:v>Vic</c:v>
                </c:pt>
                <c:pt idx="2">
                  <c:v>Qld</c:v>
                </c:pt>
                <c:pt idx="3">
                  <c:v>WA</c:v>
                </c:pt>
                <c:pt idx="4">
                  <c:v>SA</c:v>
                </c:pt>
                <c:pt idx="5">
                  <c:v>Tas</c:v>
                </c:pt>
                <c:pt idx="6">
                  <c:v>ACT</c:v>
                </c:pt>
                <c:pt idx="7">
                  <c:v>NT</c:v>
                </c:pt>
                <c:pt idx="8">
                  <c:v>Aust</c:v>
                </c:pt>
              </c:strCache>
            </c:strRef>
          </c:cat>
          <c:val>
            <c:numRef>
              <c:f>'11.  Impr ed status'!$G$11:$O$11</c:f>
              <c:numCache>
                <c:formatCode>0.0</c:formatCode>
                <c:ptCount val="9"/>
                <c:pt idx="0">
                  <c:v>40.796168629125738</c:v>
                </c:pt>
                <c:pt idx="1">
                  <c:v>55.193276143507099</c:v>
                </c:pt>
                <c:pt idx="2">
                  <c:v>51.149645270119905</c:v>
                </c:pt>
                <c:pt idx="3">
                  <c:v>43.414975870478955</c:v>
                </c:pt>
                <c:pt idx="4">
                  <c:v>54.137520078760559</c:v>
                </c:pt>
                <c:pt idx="5">
                  <c:v>51.2309662729472</c:v>
                </c:pt>
                <c:pt idx="6">
                  <c:v>33.048516990768022</c:v>
                </c:pt>
                <c:pt idx="7">
                  <c:v>47.241647241647243</c:v>
                </c:pt>
                <c:pt idx="8">
                  <c:v>48.035862759829698</c:v>
                </c:pt>
              </c:numCache>
            </c:numRef>
          </c:val>
        </c:ser>
        <c:dLbls>
          <c:showLegendKey val="0"/>
          <c:showVal val="0"/>
          <c:showCatName val="0"/>
          <c:showSerName val="0"/>
          <c:showPercent val="0"/>
          <c:showBubbleSize val="0"/>
        </c:dLbls>
        <c:gapWidth val="150"/>
        <c:axId val="498749184"/>
        <c:axId val="498749576"/>
      </c:barChart>
      <c:catAx>
        <c:axId val="4987491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8749576"/>
        <c:crosses val="autoZero"/>
        <c:auto val="1"/>
        <c:lblAlgn val="ctr"/>
        <c:lblOffset val="100"/>
        <c:noMultiLvlLbl val="0"/>
      </c:catAx>
      <c:valAx>
        <c:axId val="498749576"/>
        <c:scaling>
          <c:orientation val="minMax"/>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7.0555555555555554E-3"/>
              <c:y val="0.3108062962962963"/>
            </c:manualLayout>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87491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ayout>
        <c:manualLayout>
          <c:xMode val="edge"/>
          <c:yMode val="edge"/>
          <c:x val="0.3719726514899771"/>
          <c:y val="0.92394132759385905"/>
          <c:w val="0.25605469702004585"/>
          <c:h val="7.6058672406140893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CBB5-BECE-4FFB-B2DC-D6680440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34</TotalTime>
  <Pages>29</Pages>
  <Words>7429</Words>
  <Characters>44001</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Section 5 Vocational education and training - Report on Government Services 2020</vt:lpstr>
    </vt:vector>
  </TitlesOfParts>
  <Company>Productivity Commission</Company>
  <LinksUpToDate>false</LinksUpToDate>
  <CharactersWithSpaces>51328</CharactersWithSpaces>
  <SharedDoc>false</SharedDoc>
  <HLinks>
    <vt:vector size="48" baseType="variant">
      <vt:variant>
        <vt:i4>1179707</vt:i4>
      </vt:variant>
      <vt:variant>
        <vt:i4>44</vt:i4>
      </vt:variant>
      <vt:variant>
        <vt:i4>0</vt:i4>
      </vt:variant>
      <vt:variant>
        <vt:i4>5</vt:i4>
      </vt:variant>
      <vt:variant>
        <vt:lpwstr/>
      </vt:variant>
      <vt:variant>
        <vt:lpwstr>_Toc274747920</vt:lpwstr>
      </vt:variant>
      <vt:variant>
        <vt:i4>1114171</vt:i4>
      </vt:variant>
      <vt:variant>
        <vt:i4>38</vt:i4>
      </vt:variant>
      <vt:variant>
        <vt:i4>0</vt:i4>
      </vt:variant>
      <vt:variant>
        <vt:i4>5</vt:i4>
      </vt:variant>
      <vt:variant>
        <vt:lpwstr/>
      </vt:variant>
      <vt:variant>
        <vt:lpwstr>_Toc274747919</vt:lpwstr>
      </vt:variant>
      <vt:variant>
        <vt:i4>1114171</vt:i4>
      </vt:variant>
      <vt:variant>
        <vt:i4>32</vt:i4>
      </vt:variant>
      <vt:variant>
        <vt:i4>0</vt:i4>
      </vt:variant>
      <vt:variant>
        <vt:i4>5</vt:i4>
      </vt:variant>
      <vt:variant>
        <vt:lpwstr/>
      </vt:variant>
      <vt:variant>
        <vt:lpwstr>_Toc274747918</vt:lpwstr>
      </vt:variant>
      <vt:variant>
        <vt:i4>1114171</vt:i4>
      </vt:variant>
      <vt:variant>
        <vt:i4>26</vt:i4>
      </vt:variant>
      <vt:variant>
        <vt:i4>0</vt:i4>
      </vt:variant>
      <vt:variant>
        <vt:i4>5</vt:i4>
      </vt:variant>
      <vt:variant>
        <vt:lpwstr/>
      </vt:variant>
      <vt:variant>
        <vt:lpwstr>_Toc274747917</vt:lpwstr>
      </vt:variant>
      <vt:variant>
        <vt:i4>1114171</vt:i4>
      </vt:variant>
      <vt:variant>
        <vt:i4>20</vt:i4>
      </vt:variant>
      <vt:variant>
        <vt:i4>0</vt:i4>
      </vt:variant>
      <vt:variant>
        <vt:i4>5</vt:i4>
      </vt:variant>
      <vt:variant>
        <vt:lpwstr/>
      </vt:variant>
      <vt:variant>
        <vt:lpwstr>_Toc274747916</vt:lpwstr>
      </vt:variant>
      <vt:variant>
        <vt:i4>1114171</vt:i4>
      </vt:variant>
      <vt:variant>
        <vt:i4>14</vt:i4>
      </vt:variant>
      <vt:variant>
        <vt:i4>0</vt:i4>
      </vt:variant>
      <vt:variant>
        <vt:i4>5</vt:i4>
      </vt:variant>
      <vt:variant>
        <vt:lpwstr/>
      </vt:variant>
      <vt:variant>
        <vt:lpwstr>_Toc274747915</vt:lpwstr>
      </vt:variant>
      <vt:variant>
        <vt:i4>1114171</vt:i4>
      </vt:variant>
      <vt:variant>
        <vt:i4>8</vt:i4>
      </vt:variant>
      <vt:variant>
        <vt:i4>0</vt:i4>
      </vt:variant>
      <vt:variant>
        <vt:i4>5</vt:i4>
      </vt:variant>
      <vt:variant>
        <vt:lpwstr/>
      </vt:variant>
      <vt:variant>
        <vt:lpwstr>_Toc274747914</vt:lpwstr>
      </vt:variant>
      <vt:variant>
        <vt:i4>1114171</vt:i4>
      </vt:variant>
      <vt:variant>
        <vt:i4>2</vt:i4>
      </vt:variant>
      <vt:variant>
        <vt:i4>0</vt:i4>
      </vt:variant>
      <vt:variant>
        <vt:i4>5</vt:i4>
      </vt:variant>
      <vt:variant>
        <vt:lpwstr/>
      </vt:variant>
      <vt:variant>
        <vt:lpwstr>_Toc274747913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 Vocational education and training - Report on Government Services 2020</dc:title>
  <dc:subject/>
  <dc:creator>Steering Committee for the Review of Government Service Provision</dc:creator>
  <dc:description/>
  <cp:lastModifiedBy>Munce, Melissa</cp:lastModifiedBy>
  <cp:revision>10</cp:revision>
  <cp:lastPrinted>2019-12-02T03:50:00Z</cp:lastPrinted>
  <dcterms:created xsi:type="dcterms:W3CDTF">2019-12-17T23:58:00Z</dcterms:created>
  <dcterms:modified xsi:type="dcterms:W3CDTF">2020-01-13T21:46:00Z</dcterms:modified>
</cp:coreProperties>
</file>