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3E001" w14:textId="2C75B0BC" w:rsidR="004A0A44" w:rsidRPr="00097FC4" w:rsidRDefault="004A0A44" w:rsidP="004A0A44">
      <w:pPr>
        <w:pStyle w:val="Heading1"/>
        <w:spacing w:before="240"/>
      </w:pPr>
      <w:bookmarkStart w:id="0" w:name="_Toc21072037"/>
      <w:bookmarkStart w:id="1" w:name="_Toc49241254"/>
      <w:bookmarkStart w:id="2" w:name="_GoBack"/>
      <w:bookmarkEnd w:id="2"/>
      <w:r w:rsidRPr="00097FC4">
        <w:t>4</w:t>
      </w:r>
      <w:r w:rsidR="00EB3C91" w:rsidRPr="00097FC4">
        <w:tab/>
      </w:r>
      <w:bookmarkEnd w:id="0"/>
      <w:r w:rsidRPr="00097FC4">
        <w:t>School education interpretative material</w:t>
      </w:r>
      <w:bookmarkEnd w:id="1"/>
    </w:p>
    <w:p w14:paraId="2B43943C" w14:textId="49DAA0D6" w:rsidR="0099655C" w:rsidRPr="00097FC4" w:rsidRDefault="0099655C">
      <w:pPr>
        <w:pStyle w:val="TOC1"/>
        <w:rPr>
          <w:rFonts w:asciiTheme="minorHAnsi" w:eastAsiaTheme="minorEastAsia" w:hAnsiTheme="minorHAnsi" w:cstheme="minorBidi"/>
          <w:b w:val="0"/>
          <w:noProof/>
          <w:sz w:val="22"/>
          <w:szCs w:val="22"/>
          <w:lang w:eastAsia="en-AU"/>
        </w:rPr>
      </w:pPr>
      <w:r w:rsidRPr="00363817">
        <w:rPr>
          <w:noProof/>
        </w:rPr>
        <w:t>4</w:t>
      </w:r>
      <w:r w:rsidRPr="00097FC4">
        <w:rPr>
          <w:rFonts w:asciiTheme="minorHAnsi" w:eastAsiaTheme="minorEastAsia" w:hAnsiTheme="minorHAnsi" w:cstheme="minorBidi"/>
          <w:b w:val="0"/>
          <w:noProof/>
          <w:sz w:val="22"/>
          <w:szCs w:val="22"/>
          <w:lang w:eastAsia="en-AU"/>
        </w:rPr>
        <w:tab/>
      </w:r>
      <w:r w:rsidRPr="00363817">
        <w:rPr>
          <w:noProof/>
        </w:rPr>
        <w:t>School education interpretative material</w:t>
      </w:r>
      <w:r w:rsidRPr="00097FC4">
        <w:rPr>
          <w:noProof/>
          <w:webHidden/>
        </w:rPr>
        <w:tab/>
      </w:r>
      <w:r w:rsidR="00B2425A">
        <w:rPr>
          <w:noProof/>
          <w:webHidden/>
        </w:rPr>
        <w:t>4.</w:t>
      </w:r>
      <w:r w:rsidR="00A241A9">
        <w:rPr>
          <w:noProof/>
          <w:webHidden/>
        </w:rPr>
        <w:t>1</w:t>
      </w:r>
    </w:p>
    <w:p w14:paraId="5A9A8A07" w14:textId="40EFD75B" w:rsidR="0099655C" w:rsidRPr="00097FC4" w:rsidRDefault="0099655C">
      <w:pPr>
        <w:pStyle w:val="TOC2"/>
        <w:tabs>
          <w:tab w:val="left" w:pos="1134"/>
        </w:tabs>
        <w:rPr>
          <w:rFonts w:asciiTheme="minorHAnsi" w:eastAsiaTheme="minorEastAsia" w:hAnsiTheme="minorHAnsi" w:cstheme="minorBidi"/>
          <w:noProof/>
          <w:sz w:val="22"/>
          <w:szCs w:val="22"/>
          <w:lang w:eastAsia="en-AU"/>
        </w:rPr>
      </w:pPr>
      <w:r w:rsidRPr="00363817">
        <w:rPr>
          <w:noProof/>
        </w:rPr>
        <w:t>4.1</w:t>
      </w:r>
      <w:r w:rsidRPr="00097FC4">
        <w:rPr>
          <w:rFonts w:asciiTheme="minorHAnsi" w:eastAsiaTheme="minorEastAsia" w:hAnsiTheme="minorHAnsi" w:cstheme="minorBidi"/>
          <w:noProof/>
          <w:sz w:val="22"/>
          <w:szCs w:val="22"/>
          <w:lang w:eastAsia="en-AU"/>
        </w:rPr>
        <w:tab/>
      </w:r>
      <w:r w:rsidRPr="00363817">
        <w:rPr>
          <w:noProof/>
        </w:rPr>
        <w:t>Indicators</w:t>
      </w:r>
      <w:r w:rsidRPr="00097FC4">
        <w:rPr>
          <w:noProof/>
          <w:webHidden/>
        </w:rPr>
        <w:tab/>
      </w:r>
      <w:r w:rsidR="00B2425A">
        <w:rPr>
          <w:noProof/>
          <w:webHidden/>
        </w:rPr>
        <w:t>4.</w:t>
      </w:r>
      <w:r w:rsidR="00A241A9">
        <w:rPr>
          <w:noProof/>
          <w:webHidden/>
        </w:rPr>
        <w:t>2</w:t>
      </w:r>
    </w:p>
    <w:p w14:paraId="75AE0C46" w14:textId="3F091B73" w:rsidR="0099655C" w:rsidRPr="00097FC4" w:rsidRDefault="0099655C">
      <w:pPr>
        <w:pStyle w:val="TOC3"/>
        <w:rPr>
          <w:rFonts w:asciiTheme="minorHAnsi" w:eastAsiaTheme="minorEastAsia" w:hAnsiTheme="minorHAnsi" w:cstheme="minorBidi"/>
          <w:noProof/>
          <w:sz w:val="22"/>
          <w:szCs w:val="22"/>
          <w:lang w:eastAsia="en-AU"/>
        </w:rPr>
      </w:pPr>
      <w:r w:rsidRPr="00363817">
        <w:rPr>
          <w:noProof/>
        </w:rPr>
        <w:t>Outputs</w:t>
      </w:r>
      <w:r w:rsidRPr="00097FC4">
        <w:rPr>
          <w:noProof/>
          <w:webHidden/>
        </w:rPr>
        <w:tab/>
      </w:r>
      <w:r w:rsidR="00B2425A">
        <w:rPr>
          <w:noProof/>
          <w:webHidden/>
        </w:rPr>
        <w:t>4.</w:t>
      </w:r>
      <w:r w:rsidR="00A241A9">
        <w:rPr>
          <w:noProof/>
          <w:webHidden/>
        </w:rPr>
        <w:t>2</w:t>
      </w:r>
    </w:p>
    <w:p w14:paraId="3119E28D" w14:textId="695AEC8F" w:rsidR="0099655C" w:rsidRPr="00097FC4" w:rsidRDefault="0099655C">
      <w:pPr>
        <w:pStyle w:val="TOC3"/>
        <w:rPr>
          <w:rFonts w:asciiTheme="minorHAnsi" w:eastAsiaTheme="minorEastAsia" w:hAnsiTheme="minorHAnsi" w:cstheme="minorBidi"/>
          <w:noProof/>
          <w:sz w:val="22"/>
          <w:szCs w:val="22"/>
          <w:lang w:eastAsia="en-AU"/>
        </w:rPr>
      </w:pPr>
      <w:r w:rsidRPr="00363817">
        <w:rPr>
          <w:noProof/>
        </w:rPr>
        <w:t>Equity</w:t>
      </w:r>
      <w:r w:rsidRPr="00097FC4">
        <w:rPr>
          <w:noProof/>
          <w:webHidden/>
        </w:rPr>
        <w:tab/>
      </w:r>
      <w:r w:rsidR="00B2425A">
        <w:rPr>
          <w:noProof/>
          <w:webHidden/>
        </w:rPr>
        <w:t>4.</w:t>
      </w:r>
      <w:r w:rsidR="00A241A9">
        <w:rPr>
          <w:noProof/>
          <w:webHidden/>
        </w:rPr>
        <w:t>2</w:t>
      </w:r>
    </w:p>
    <w:p w14:paraId="4914FE49" w14:textId="6ABFF5DC" w:rsidR="0099655C" w:rsidRPr="00097FC4" w:rsidRDefault="0099655C">
      <w:pPr>
        <w:pStyle w:val="TOC4"/>
        <w:rPr>
          <w:rFonts w:asciiTheme="minorHAnsi" w:eastAsiaTheme="minorEastAsia" w:hAnsiTheme="minorHAnsi" w:cstheme="minorBidi"/>
          <w:noProof/>
          <w:sz w:val="22"/>
          <w:szCs w:val="22"/>
          <w:lang w:eastAsia="en-AU"/>
        </w:rPr>
      </w:pPr>
      <w:r w:rsidRPr="00363817">
        <w:rPr>
          <w:noProof/>
        </w:rPr>
        <w:t>Access — Attendance by target group</w:t>
      </w:r>
      <w:r w:rsidRPr="00097FC4">
        <w:rPr>
          <w:noProof/>
          <w:webHidden/>
        </w:rPr>
        <w:tab/>
      </w:r>
      <w:r w:rsidR="008D726F">
        <w:rPr>
          <w:noProof/>
          <w:webHidden/>
        </w:rPr>
        <w:t>4.</w:t>
      </w:r>
      <w:r w:rsidR="00A241A9">
        <w:rPr>
          <w:noProof/>
          <w:webHidden/>
        </w:rPr>
        <w:t>2</w:t>
      </w:r>
    </w:p>
    <w:p w14:paraId="456BFFCD" w14:textId="257385E8" w:rsidR="0099655C" w:rsidRPr="00097FC4" w:rsidRDefault="0099655C">
      <w:pPr>
        <w:pStyle w:val="TOC3"/>
        <w:rPr>
          <w:rFonts w:asciiTheme="minorHAnsi" w:eastAsiaTheme="minorEastAsia" w:hAnsiTheme="minorHAnsi" w:cstheme="minorBidi"/>
          <w:noProof/>
          <w:sz w:val="22"/>
          <w:szCs w:val="22"/>
          <w:lang w:eastAsia="en-AU"/>
        </w:rPr>
      </w:pPr>
      <w:r w:rsidRPr="00363817">
        <w:rPr>
          <w:noProof/>
        </w:rPr>
        <w:t>Effectiveness</w:t>
      </w:r>
      <w:r w:rsidRPr="00097FC4">
        <w:rPr>
          <w:noProof/>
          <w:webHidden/>
        </w:rPr>
        <w:tab/>
      </w:r>
      <w:r w:rsidR="008D726F">
        <w:rPr>
          <w:noProof/>
          <w:webHidden/>
        </w:rPr>
        <w:t>4.</w:t>
      </w:r>
      <w:r w:rsidR="00A241A9">
        <w:rPr>
          <w:noProof/>
          <w:webHidden/>
        </w:rPr>
        <w:t>3</w:t>
      </w:r>
    </w:p>
    <w:p w14:paraId="5B4127AC" w14:textId="0DDD0B51" w:rsidR="0099655C" w:rsidRPr="00097FC4" w:rsidRDefault="0099655C">
      <w:pPr>
        <w:pStyle w:val="TOC4"/>
        <w:rPr>
          <w:rFonts w:asciiTheme="minorHAnsi" w:eastAsiaTheme="minorEastAsia" w:hAnsiTheme="minorHAnsi" w:cstheme="minorBidi"/>
          <w:noProof/>
          <w:sz w:val="22"/>
          <w:szCs w:val="22"/>
          <w:lang w:eastAsia="en-AU"/>
        </w:rPr>
      </w:pPr>
      <w:r w:rsidRPr="00363817">
        <w:rPr>
          <w:noProof/>
        </w:rPr>
        <w:t>Access — Attendance</w:t>
      </w:r>
      <w:r w:rsidRPr="00097FC4">
        <w:rPr>
          <w:noProof/>
          <w:webHidden/>
        </w:rPr>
        <w:tab/>
      </w:r>
      <w:r w:rsidR="008D726F">
        <w:rPr>
          <w:noProof/>
          <w:webHidden/>
        </w:rPr>
        <w:t>4.</w:t>
      </w:r>
      <w:r w:rsidR="00A241A9">
        <w:rPr>
          <w:noProof/>
          <w:webHidden/>
        </w:rPr>
        <w:t>3</w:t>
      </w:r>
    </w:p>
    <w:p w14:paraId="6D9BE745" w14:textId="26F29EAB" w:rsidR="0099655C" w:rsidRPr="00097FC4" w:rsidRDefault="0099655C">
      <w:pPr>
        <w:pStyle w:val="TOC4"/>
        <w:rPr>
          <w:rFonts w:asciiTheme="minorHAnsi" w:eastAsiaTheme="minorEastAsia" w:hAnsiTheme="minorHAnsi" w:cstheme="minorBidi"/>
          <w:noProof/>
          <w:sz w:val="22"/>
          <w:szCs w:val="22"/>
          <w:lang w:eastAsia="en-AU"/>
        </w:rPr>
      </w:pPr>
      <w:r w:rsidRPr="00363817">
        <w:rPr>
          <w:noProof/>
        </w:rPr>
        <w:t>Appropriateness — Student engagement</w:t>
      </w:r>
      <w:r w:rsidRPr="00097FC4">
        <w:rPr>
          <w:noProof/>
          <w:webHidden/>
        </w:rPr>
        <w:tab/>
      </w:r>
      <w:r w:rsidR="008D726F">
        <w:rPr>
          <w:noProof/>
          <w:webHidden/>
        </w:rPr>
        <w:t>4.</w:t>
      </w:r>
      <w:r w:rsidR="00A241A9">
        <w:rPr>
          <w:noProof/>
          <w:webHidden/>
        </w:rPr>
        <w:t>4</w:t>
      </w:r>
    </w:p>
    <w:p w14:paraId="11043097" w14:textId="69354F46" w:rsidR="0099655C" w:rsidRPr="00097FC4" w:rsidRDefault="0099655C">
      <w:pPr>
        <w:pStyle w:val="TOC4"/>
        <w:rPr>
          <w:rFonts w:asciiTheme="minorHAnsi" w:eastAsiaTheme="minorEastAsia" w:hAnsiTheme="minorHAnsi" w:cstheme="minorBidi"/>
          <w:noProof/>
          <w:sz w:val="22"/>
          <w:szCs w:val="22"/>
          <w:lang w:eastAsia="en-AU"/>
        </w:rPr>
      </w:pPr>
      <w:r w:rsidRPr="00363817">
        <w:rPr>
          <w:noProof/>
        </w:rPr>
        <w:t>Appropriateness — Retention</w:t>
      </w:r>
      <w:r w:rsidRPr="00097FC4">
        <w:rPr>
          <w:noProof/>
          <w:webHidden/>
        </w:rPr>
        <w:tab/>
      </w:r>
      <w:r w:rsidR="008D726F">
        <w:rPr>
          <w:noProof/>
          <w:webHidden/>
        </w:rPr>
        <w:t>4</w:t>
      </w:r>
      <w:r w:rsidR="00363817">
        <w:rPr>
          <w:noProof/>
          <w:webHidden/>
        </w:rPr>
        <w:t>.8</w:t>
      </w:r>
    </w:p>
    <w:p w14:paraId="68C8C155" w14:textId="54C14435" w:rsidR="0099655C" w:rsidRPr="00097FC4" w:rsidRDefault="0099655C">
      <w:pPr>
        <w:pStyle w:val="TOC4"/>
        <w:rPr>
          <w:rFonts w:asciiTheme="minorHAnsi" w:eastAsiaTheme="minorEastAsia" w:hAnsiTheme="minorHAnsi" w:cstheme="minorBidi"/>
          <w:noProof/>
          <w:sz w:val="22"/>
          <w:szCs w:val="22"/>
          <w:lang w:eastAsia="en-AU"/>
        </w:rPr>
      </w:pPr>
      <w:r w:rsidRPr="00363817">
        <w:rPr>
          <w:noProof/>
        </w:rPr>
        <w:t>Quality — Quality teaching</w:t>
      </w:r>
      <w:r w:rsidRPr="00097FC4">
        <w:rPr>
          <w:noProof/>
          <w:webHidden/>
        </w:rPr>
        <w:tab/>
      </w:r>
      <w:r w:rsidR="008D726F">
        <w:rPr>
          <w:noProof/>
          <w:webHidden/>
        </w:rPr>
        <w:t>4.</w:t>
      </w:r>
      <w:r w:rsidR="00A241A9">
        <w:rPr>
          <w:noProof/>
          <w:webHidden/>
        </w:rPr>
        <w:t>8</w:t>
      </w:r>
    </w:p>
    <w:p w14:paraId="78ADC7B8" w14:textId="2DCC6892" w:rsidR="0099655C" w:rsidRPr="00097FC4" w:rsidRDefault="0099655C">
      <w:pPr>
        <w:pStyle w:val="TOC3"/>
        <w:rPr>
          <w:rFonts w:asciiTheme="minorHAnsi" w:eastAsiaTheme="minorEastAsia" w:hAnsiTheme="minorHAnsi" w:cstheme="minorBidi"/>
          <w:noProof/>
          <w:sz w:val="22"/>
          <w:szCs w:val="22"/>
          <w:lang w:eastAsia="en-AU"/>
        </w:rPr>
      </w:pPr>
      <w:r w:rsidRPr="00363817">
        <w:rPr>
          <w:noProof/>
        </w:rPr>
        <w:t>Efficiency</w:t>
      </w:r>
      <w:r w:rsidRPr="00097FC4">
        <w:rPr>
          <w:noProof/>
          <w:webHidden/>
        </w:rPr>
        <w:tab/>
      </w:r>
      <w:r w:rsidR="008D726F">
        <w:rPr>
          <w:noProof/>
          <w:webHidden/>
        </w:rPr>
        <w:t>4.</w:t>
      </w:r>
      <w:r w:rsidR="00A241A9">
        <w:rPr>
          <w:noProof/>
          <w:webHidden/>
        </w:rPr>
        <w:t>9</w:t>
      </w:r>
    </w:p>
    <w:p w14:paraId="3DD3E8FC" w14:textId="5784C4BC" w:rsidR="0099655C" w:rsidRPr="00097FC4" w:rsidRDefault="0099655C">
      <w:pPr>
        <w:pStyle w:val="TOC4"/>
        <w:rPr>
          <w:rFonts w:asciiTheme="minorHAnsi" w:eastAsiaTheme="minorEastAsia" w:hAnsiTheme="minorHAnsi" w:cstheme="minorBidi"/>
          <w:noProof/>
          <w:sz w:val="22"/>
          <w:szCs w:val="22"/>
          <w:lang w:eastAsia="en-AU"/>
        </w:rPr>
      </w:pPr>
      <w:r w:rsidRPr="00363817">
        <w:rPr>
          <w:noProof/>
        </w:rPr>
        <w:t>Inputs per output unit — Recurrent expenditure per student</w:t>
      </w:r>
      <w:r w:rsidRPr="00097FC4">
        <w:rPr>
          <w:noProof/>
          <w:webHidden/>
        </w:rPr>
        <w:tab/>
      </w:r>
      <w:r w:rsidR="008D726F">
        <w:rPr>
          <w:noProof/>
          <w:webHidden/>
        </w:rPr>
        <w:t>4.</w:t>
      </w:r>
      <w:r w:rsidR="00A241A9">
        <w:rPr>
          <w:noProof/>
          <w:webHidden/>
        </w:rPr>
        <w:t>11</w:t>
      </w:r>
    </w:p>
    <w:p w14:paraId="059DF13A" w14:textId="5615BEE2" w:rsidR="0099655C" w:rsidRPr="00097FC4" w:rsidRDefault="0099655C">
      <w:pPr>
        <w:pStyle w:val="TOC3"/>
        <w:rPr>
          <w:rFonts w:asciiTheme="minorHAnsi" w:eastAsiaTheme="minorEastAsia" w:hAnsiTheme="minorHAnsi" w:cstheme="minorBidi"/>
          <w:noProof/>
          <w:sz w:val="22"/>
          <w:szCs w:val="22"/>
          <w:lang w:eastAsia="en-AU"/>
        </w:rPr>
      </w:pPr>
      <w:r w:rsidRPr="00363817">
        <w:rPr>
          <w:noProof/>
        </w:rPr>
        <w:t>Outcomes</w:t>
      </w:r>
      <w:r w:rsidRPr="00097FC4">
        <w:rPr>
          <w:noProof/>
          <w:webHidden/>
        </w:rPr>
        <w:tab/>
      </w:r>
      <w:r w:rsidR="008D726F">
        <w:rPr>
          <w:noProof/>
          <w:webHidden/>
        </w:rPr>
        <w:t>4.</w:t>
      </w:r>
      <w:r w:rsidR="00A241A9">
        <w:rPr>
          <w:noProof/>
          <w:webHidden/>
        </w:rPr>
        <w:t>12</w:t>
      </w:r>
    </w:p>
    <w:p w14:paraId="173C0435" w14:textId="4DFCF7C6" w:rsidR="0099655C" w:rsidRPr="00097FC4" w:rsidRDefault="0099655C">
      <w:pPr>
        <w:pStyle w:val="TOC4"/>
        <w:rPr>
          <w:rFonts w:asciiTheme="minorHAnsi" w:eastAsiaTheme="minorEastAsia" w:hAnsiTheme="minorHAnsi" w:cstheme="minorBidi"/>
          <w:noProof/>
          <w:sz w:val="22"/>
          <w:szCs w:val="22"/>
          <w:lang w:eastAsia="en-AU"/>
        </w:rPr>
      </w:pPr>
      <w:r w:rsidRPr="00363817">
        <w:rPr>
          <w:noProof/>
        </w:rPr>
        <w:t>Student outcomes (national testing)</w:t>
      </w:r>
      <w:r w:rsidRPr="00097FC4">
        <w:rPr>
          <w:noProof/>
          <w:webHidden/>
        </w:rPr>
        <w:tab/>
      </w:r>
      <w:r w:rsidR="008D726F">
        <w:rPr>
          <w:noProof/>
          <w:webHidden/>
        </w:rPr>
        <w:t>4.</w:t>
      </w:r>
      <w:r w:rsidR="00A241A9">
        <w:rPr>
          <w:noProof/>
          <w:webHidden/>
        </w:rPr>
        <w:t>12</w:t>
      </w:r>
    </w:p>
    <w:p w14:paraId="747A1954" w14:textId="65D1EAAA" w:rsidR="0099655C" w:rsidRPr="00097FC4" w:rsidRDefault="0099655C">
      <w:pPr>
        <w:pStyle w:val="TOC4"/>
        <w:rPr>
          <w:rFonts w:asciiTheme="minorHAnsi" w:eastAsiaTheme="minorEastAsia" w:hAnsiTheme="minorHAnsi" w:cstheme="minorBidi"/>
          <w:noProof/>
          <w:sz w:val="22"/>
          <w:szCs w:val="22"/>
          <w:lang w:eastAsia="en-AU"/>
        </w:rPr>
      </w:pPr>
      <w:r w:rsidRPr="00363817">
        <w:rPr>
          <w:noProof/>
        </w:rPr>
        <w:t>Attainment</w:t>
      </w:r>
      <w:r w:rsidRPr="00097FC4">
        <w:rPr>
          <w:noProof/>
          <w:webHidden/>
        </w:rPr>
        <w:tab/>
      </w:r>
      <w:r w:rsidR="008D726F">
        <w:rPr>
          <w:noProof/>
          <w:webHidden/>
        </w:rPr>
        <w:t>4.</w:t>
      </w:r>
      <w:r w:rsidR="00A241A9">
        <w:rPr>
          <w:noProof/>
          <w:webHidden/>
        </w:rPr>
        <w:t>14</w:t>
      </w:r>
    </w:p>
    <w:p w14:paraId="0B2A8E93" w14:textId="21DB0292" w:rsidR="0099655C" w:rsidRPr="00097FC4" w:rsidRDefault="0099655C">
      <w:pPr>
        <w:pStyle w:val="TOC4"/>
        <w:rPr>
          <w:rFonts w:asciiTheme="minorHAnsi" w:eastAsiaTheme="minorEastAsia" w:hAnsiTheme="minorHAnsi" w:cstheme="minorBidi"/>
          <w:noProof/>
          <w:sz w:val="22"/>
          <w:szCs w:val="22"/>
          <w:lang w:eastAsia="en-AU"/>
        </w:rPr>
      </w:pPr>
      <w:r w:rsidRPr="00363817">
        <w:rPr>
          <w:noProof/>
        </w:rPr>
        <w:t>Equity of outcomes</w:t>
      </w:r>
      <w:r w:rsidRPr="00097FC4">
        <w:rPr>
          <w:noProof/>
          <w:webHidden/>
        </w:rPr>
        <w:tab/>
      </w:r>
      <w:r w:rsidR="008D726F">
        <w:rPr>
          <w:noProof/>
          <w:webHidden/>
        </w:rPr>
        <w:t>4.</w:t>
      </w:r>
      <w:r w:rsidR="00A241A9">
        <w:rPr>
          <w:noProof/>
          <w:webHidden/>
        </w:rPr>
        <w:t>15</w:t>
      </w:r>
    </w:p>
    <w:p w14:paraId="7AAC55F8" w14:textId="5C399367" w:rsidR="0099655C" w:rsidRPr="00097FC4" w:rsidRDefault="0099655C">
      <w:pPr>
        <w:pStyle w:val="TOC4"/>
        <w:rPr>
          <w:rFonts w:asciiTheme="minorHAnsi" w:eastAsiaTheme="minorEastAsia" w:hAnsiTheme="minorHAnsi" w:cstheme="minorBidi"/>
          <w:noProof/>
          <w:sz w:val="22"/>
          <w:szCs w:val="22"/>
          <w:lang w:eastAsia="en-AU"/>
        </w:rPr>
      </w:pPr>
      <w:r w:rsidRPr="00363817">
        <w:rPr>
          <w:noProof/>
        </w:rPr>
        <w:t>Student outcomes (international testing)</w:t>
      </w:r>
      <w:r w:rsidRPr="00097FC4">
        <w:rPr>
          <w:noProof/>
          <w:webHidden/>
        </w:rPr>
        <w:tab/>
      </w:r>
      <w:r w:rsidR="008D726F">
        <w:rPr>
          <w:noProof/>
          <w:webHidden/>
        </w:rPr>
        <w:t>4.</w:t>
      </w:r>
      <w:r w:rsidR="00A241A9">
        <w:rPr>
          <w:noProof/>
          <w:webHidden/>
        </w:rPr>
        <w:t>16</w:t>
      </w:r>
    </w:p>
    <w:p w14:paraId="406B109E" w14:textId="6038592F" w:rsidR="0099655C" w:rsidRPr="00097FC4" w:rsidRDefault="0099655C">
      <w:pPr>
        <w:pStyle w:val="TOC4"/>
        <w:rPr>
          <w:rFonts w:asciiTheme="minorHAnsi" w:eastAsiaTheme="minorEastAsia" w:hAnsiTheme="minorHAnsi" w:cstheme="minorBidi"/>
          <w:noProof/>
          <w:sz w:val="22"/>
          <w:szCs w:val="22"/>
          <w:lang w:eastAsia="en-AU"/>
        </w:rPr>
      </w:pPr>
      <w:r w:rsidRPr="00363817">
        <w:rPr>
          <w:noProof/>
        </w:rPr>
        <w:t>Destination</w:t>
      </w:r>
      <w:r w:rsidRPr="00097FC4">
        <w:rPr>
          <w:noProof/>
          <w:webHidden/>
        </w:rPr>
        <w:tab/>
      </w:r>
      <w:r w:rsidR="008D726F">
        <w:rPr>
          <w:noProof/>
          <w:webHidden/>
        </w:rPr>
        <w:t>4.</w:t>
      </w:r>
      <w:r w:rsidR="00A241A9">
        <w:rPr>
          <w:noProof/>
          <w:webHidden/>
        </w:rPr>
        <w:t>16</w:t>
      </w:r>
    </w:p>
    <w:p w14:paraId="66694B3F" w14:textId="0BF82E71" w:rsidR="0099655C" w:rsidRPr="00097FC4" w:rsidRDefault="0099655C">
      <w:pPr>
        <w:pStyle w:val="TOC2"/>
        <w:tabs>
          <w:tab w:val="left" w:pos="1134"/>
        </w:tabs>
        <w:rPr>
          <w:rFonts w:asciiTheme="minorHAnsi" w:eastAsiaTheme="minorEastAsia" w:hAnsiTheme="minorHAnsi" w:cstheme="minorBidi"/>
          <w:noProof/>
          <w:sz w:val="22"/>
          <w:szCs w:val="22"/>
          <w:lang w:eastAsia="en-AU"/>
        </w:rPr>
      </w:pPr>
      <w:r w:rsidRPr="00363817">
        <w:rPr>
          <w:noProof/>
        </w:rPr>
        <w:t>4.2</w:t>
      </w:r>
      <w:r w:rsidRPr="00097FC4">
        <w:rPr>
          <w:rFonts w:asciiTheme="minorHAnsi" w:eastAsiaTheme="minorEastAsia" w:hAnsiTheme="minorHAnsi" w:cstheme="minorBidi"/>
          <w:noProof/>
          <w:sz w:val="22"/>
          <w:szCs w:val="22"/>
          <w:lang w:eastAsia="en-AU"/>
        </w:rPr>
        <w:tab/>
      </w:r>
      <w:r w:rsidRPr="00363817">
        <w:rPr>
          <w:noProof/>
        </w:rPr>
        <w:t>Definitions of key terms</w:t>
      </w:r>
      <w:r w:rsidRPr="00097FC4">
        <w:rPr>
          <w:noProof/>
          <w:webHidden/>
        </w:rPr>
        <w:tab/>
      </w:r>
      <w:r w:rsidR="008D726F">
        <w:rPr>
          <w:noProof/>
          <w:webHidden/>
        </w:rPr>
        <w:t>4.</w:t>
      </w:r>
      <w:r w:rsidR="00A241A9">
        <w:rPr>
          <w:noProof/>
          <w:webHidden/>
        </w:rPr>
        <w:t>19</w:t>
      </w:r>
    </w:p>
    <w:p w14:paraId="7078A586" w14:textId="1C58AC94" w:rsidR="0099655C" w:rsidRPr="00097FC4" w:rsidRDefault="0099655C">
      <w:pPr>
        <w:pStyle w:val="TOC2"/>
        <w:tabs>
          <w:tab w:val="left" w:pos="1134"/>
        </w:tabs>
        <w:rPr>
          <w:rFonts w:asciiTheme="minorHAnsi" w:eastAsiaTheme="minorEastAsia" w:hAnsiTheme="minorHAnsi" w:cstheme="minorBidi"/>
          <w:noProof/>
          <w:sz w:val="22"/>
          <w:szCs w:val="22"/>
          <w:lang w:eastAsia="en-AU"/>
        </w:rPr>
      </w:pPr>
      <w:r w:rsidRPr="00363817">
        <w:rPr>
          <w:noProof/>
        </w:rPr>
        <w:t>4.3</w:t>
      </w:r>
      <w:r w:rsidRPr="00097FC4">
        <w:rPr>
          <w:rFonts w:asciiTheme="minorHAnsi" w:eastAsiaTheme="minorEastAsia" w:hAnsiTheme="minorHAnsi" w:cstheme="minorBidi"/>
          <w:noProof/>
          <w:sz w:val="22"/>
          <w:szCs w:val="22"/>
          <w:lang w:eastAsia="en-AU"/>
        </w:rPr>
        <w:tab/>
      </w:r>
      <w:r w:rsidRPr="00363817">
        <w:rPr>
          <w:noProof/>
        </w:rPr>
        <w:t>References</w:t>
      </w:r>
      <w:r w:rsidRPr="00097FC4">
        <w:rPr>
          <w:noProof/>
          <w:webHidden/>
        </w:rPr>
        <w:tab/>
      </w:r>
      <w:r w:rsidR="008D726F">
        <w:rPr>
          <w:noProof/>
          <w:webHidden/>
        </w:rPr>
        <w:t>4.</w:t>
      </w:r>
      <w:r w:rsidR="00A241A9">
        <w:rPr>
          <w:noProof/>
          <w:webHidden/>
        </w:rPr>
        <w:t>23</w:t>
      </w:r>
    </w:p>
    <w:p w14:paraId="4DE85F12" w14:textId="5B6EEF2E" w:rsidR="004A0A44" w:rsidRPr="00427B49" w:rsidRDefault="004A0A44" w:rsidP="004A0A44">
      <w:pPr>
        <w:pStyle w:val="BodyText"/>
      </w:pPr>
      <w:r w:rsidRPr="00A11D2B">
        <w:t>The school education interpretative material is supporting material and includes explanations of why indicators have been chosen</w:t>
      </w:r>
      <w:r w:rsidRPr="00427B49">
        <w:t>, and wherever possible, a link to the stated objectives of the service. It includes indicator definitions, technical details defining how the indicator is measured and guidance on how the indicator is to be interpreted, including caveats and the indicator’s completeness and comparability status.</w:t>
      </w:r>
    </w:p>
    <w:p w14:paraId="5724671A" w14:textId="27957384" w:rsidR="00403A44" w:rsidRDefault="004A0A44" w:rsidP="001A080D">
      <w:pPr>
        <w:pStyle w:val="BodyText"/>
      </w:pPr>
      <w:r w:rsidRPr="00427B49">
        <w:lastRenderedPageBreak/>
        <w:t>Further information on the Report on Government Services including other reported service areas, the glossary and list of abbreviations is available at https://www.pc.gov.au/research/</w:t>
      </w:r>
      <w:r w:rsidRPr="00427B49">
        <w:br/>
      </w:r>
      <w:bookmarkStart w:id="3" w:name="_Toc46822942"/>
      <w:bookmarkStart w:id="4" w:name="_Toc49241255"/>
      <w:r w:rsidR="00403A44" w:rsidRPr="00403A44">
        <w:t>ongoing/report on government services.</w:t>
      </w:r>
    </w:p>
    <w:p w14:paraId="63E40268" w14:textId="7CE4231F" w:rsidR="00F80224" w:rsidRPr="00CD38E4" w:rsidRDefault="00F80224" w:rsidP="00403A44">
      <w:pPr>
        <w:pStyle w:val="Heading2"/>
      </w:pPr>
      <w:r>
        <w:t>4</w:t>
      </w:r>
      <w:r w:rsidRPr="009722F6">
        <w:t>.</w:t>
      </w:r>
      <w:r w:rsidRPr="009722F6">
        <w:rPr>
          <w:noProof/>
        </w:rPr>
        <w:t>1</w:t>
      </w:r>
      <w:r w:rsidRPr="009722F6">
        <w:tab/>
        <w:t>Indicators</w:t>
      </w:r>
      <w:bookmarkEnd w:id="3"/>
      <w:bookmarkEnd w:id="4"/>
    </w:p>
    <w:p w14:paraId="7D81993E" w14:textId="796EB6DA" w:rsidR="00F80224" w:rsidRPr="00427B49" w:rsidRDefault="00F80224" w:rsidP="00F80224">
      <w:pPr>
        <w:pStyle w:val="BodyText"/>
      </w:pPr>
      <w:r w:rsidRPr="00427B49">
        <w:t xml:space="preserve">Different delivery contexts, locations and types of clients can affect the equity, effectiveness and efficiency of </w:t>
      </w:r>
      <w:r w:rsidR="007843E7">
        <w:t>school</w:t>
      </w:r>
      <w:r w:rsidR="009E5F3C">
        <w:t xml:space="preserve"> education</w:t>
      </w:r>
      <w:r w:rsidR="007843E7">
        <w:t xml:space="preserve"> </w:t>
      </w:r>
      <w:r w:rsidRPr="00427B49">
        <w:t>services.</w:t>
      </w:r>
    </w:p>
    <w:p w14:paraId="6FE0C8DF" w14:textId="77777777" w:rsidR="00F80224" w:rsidRPr="00427B49" w:rsidRDefault="00F80224" w:rsidP="00F80224">
      <w:pPr>
        <w:pStyle w:val="BodyText"/>
      </w:pPr>
      <w:r w:rsidRPr="00427B49">
        <w:t>The comparability of performance indicator results is shaded in indicator interpretation boxes, figures and data tables as follows:</w:t>
      </w:r>
    </w:p>
    <w:p w14:paraId="1D86FBD7" w14:textId="77777777" w:rsidR="00F80224" w:rsidRPr="00427B49" w:rsidRDefault="00F80224" w:rsidP="00F80224">
      <w:pPr>
        <w:pStyle w:val="ListBullet"/>
        <w:numPr>
          <w:ilvl w:val="0"/>
          <w:numId w:val="0"/>
        </w:numPr>
      </w:pPr>
      <w:r w:rsidRPr="00427B49">
        <w:rPr>
          <w:shd w:val="clear" w:color="auto" w:fill="F15A25"/>
        </w:rPr>
        <w:t xml:space="preserve">    </w:t>
      </w:r>
      <w:r w:rsidRPr="00427B49">
        <w:t xml:space="preserve"> Data are comparable (subject to caveats) across jurisdictions and over time.</w:t>
      </w:r>
    </w:p>
    <w:p w14:paraId="5E781F13" w14:textId="77777777" w:rsidR="00F80224" w:rsidRPr="00427B49" w:rsidRDefault="00F80224" w:rsidP="00F80224">
      <w:pPr>
        <w:pStyle w:val="ListBullet"/>
        <w:numPr>
          <w:ilvl w:val="0"/>
          <w:numId w:val="0"/>
        </w:numPr>
      </w:pPr>
      <w:r w:rsidRPr="00427B49">
        <w:rPr>
          <w:shd w:val="clear" w:color="auto" w:fill="FCDED3"/>
        </w:rPr>
        <w:t xml:space="preserve"> </w:t>
      </w:r>
      <w:r w:rsidRPr="00427B49">
        <w:rPr>
          <w:color w:val="000000" w:themeColor="text1"/>
          <w:shd w:val="clear" w:color="auto" w:fill="FCDED3"/>
        </w:rPr>
        <w:t xml:space="preserve">   </w:t>
      </w:r>
      <w:r w:rsidRPr="00427B49">
        <w:t xml:space="preserve"> Data are either not comparable (subject to caveats) within jurisdictions over time or are not comparable across jurisdictions or both.</w:t>
      </w:r>
    </w:p>
    <w:p w14:paraId="414D100B" w14:textId="77777777" w:rsidR="00F80224" w:rsidRPr="00427B49" w:rsidRDefault="00F80224" w:rsidP="00F80224">
      <w:pPr>
        <w:pStyle w:val="BodyText"/>
      </w:pPr>
      <w:r w:rsidRPr="00427B49">
        <w:t>The completeness of performance indicator results is shaded in indicator interpretation boxes, figures and data tables as follows:</w:t>
      </w:r>
    </w:p>
    <w:p w14:paraId="446D3E4D" w14:textId="77777777" w:rsidR="00F80224" w:rsidRPr="00427B49" w:rsidRDefault="00F80224" w:rsidP="00F80224">
      <w:pPr>
        <w:pStyle w:val="BodyText"/>
        <w:keepLines/>
        <w:spacing w:before="120"/>
      </w:pPr>
      <w:r w:rsidRPr="00427B49">
        <w:rPr>
          <w:shd w:val="clear" w:color="auto" w:fill="F15A25"/>
        </w:rPr>
        <w:t xml:space="preserve">    </w:t>
      </w:r>
      <w:r w:rsidRPr="00427B49">
        <w:t xml:space="preserve"> Data are complete (subject to caveats) for the current reporting period. All required data are available for all jurisdictions.</w:t>
      </w:r>
    </w:p>
    <w:p w14:paraId="2DFBF4AD" w14:textId="7C9B4D43" w:rsidR="00F80224" w:rsidRPr="00427B49" w:rsidRDefault="00F80224" w:rsidP="00F80224">
      <w:pPr>
        <w:pStyle w:val="BodyText"/>
        <w:keepLines/>
        <w:spacing w:before="120"/>
      </w:pPr>
      <w:r w:rsidRPr="00427B49">
        <w:rPr>
          <w:shd w:val="clear" w:color="auto" w:fill="FCDED3"/>
        </w:rPr>
        <w:t xml:space="preserve">    </w:t>
      </w:r>
      <w:r w:rsidRPr="00427B49">
        <w:t xml:space="preserve"> Data are incomplete for the current reporting period. At least some data were not available.</w:t>
      </w:r>
      <w:r w:rsidR="005B408E">
        <w:t xml:space="preserve"> </w:t>
      </w:r>
    </w:p>
    <w:p w14:paraId="35E66F7C" w14:textId="77777777" w:rsidR="00F80224" w:rsidRPr="00427B49" w:rsidRDefault="00F80224" w:rsidP="00F80224">
      <w:pPr>
        <w:pStyle w:val="Heading3"/>
      </w:pPr>
      <w:bookmarkStart w:id="5" w:name="_Toc46822943"/>
      <w:bookmarkStart w:id="6" w:name="_Toc49241256"/>
      <w:r w:rsidRPr="00427B49">
        <w:t>Outputs</w:t>
      </w:r>
      <w:bookmarkEnd w:id="5"/>
      <w:bookmarkEnd w:id="6"/>
    </w:p>
    <w:p w14:paraId="644FAB55" w14:textId="77777777" w:rsidR="00F80224" w:rsidRPr="00427B49" w:rsidRDefault="00F80224" w:rsidP="00F80224">
      <w:pPr>
        <w:pStyle w:val="BodyText"/>
      </w:pPr>
      <w:r w:rsidRPr="00427B49">
        <w:t>Outputs are the services delivered (while outcomes are the impact of these services on the status of an individual or group) (see section 1). Output information is also critical for equitable, efficient and effective management of government services.</w:t>
      </w:r>
    </w:p>
    <w:p w14:paraId="5F6CBA10" w14:textId="77777777" w:rsidR="00F80224" w:rsidRDefault="00F80224" w:rsidP="00F80224">
      <w:pPr>
        <w:pStyle w:val="Heading3"/>
      </w:pPr>
      <w:bookmarkStart w:id="7" w:name="_Toc46822944"/>
      <w:bookmarkStart w:id="8" w:name="_Toc49241257"/>
      <w:r w:rsidRPr="00427B49">
        <w:t>Equity</w:t>
      </w:r>
      <w:bookmarkEnd w:id="7"/>
      <w:bookmarkEnd w:id="8"/>
    </w:p>
    <w:p w14:paraId="692ADE03" w14:textId="77777777" w:rsidR="00F80224" w:rsidRPr="001020B5" w:rsidRDefault="00F80224" w:rsidP="00F80224">
      <w:pPr>
        <w:pStyle w:val="Heading4"/>
      </w:pPr>
      <w:bookmarkStart w:id="9" w:name="_Toc46822945"/>
      <w:bookmarkStart w:id="10" w:name="_Toc49241258"/>
      <w:r w:rsidRPr="001020B5">
        <w:t>Access — Attendance by target group</w:t>
      </w:r>
      <w:bookmarkEnd w:id="9"/>
      <w:bookmarkEnd w:id="10"/>
      <w:r w:rsidRPr="001020B5">
        <w:t xml:space="preserve"> </w:t>
      </w:r>
    </w:p>
    <w:p w14:paraId="2C941001" w14:textId="77777777" w:rsidR="00F80224" w:rsidRPr="001020B5" w:rsidRDefault="00F80224" w:rsidP="00F80224">
      <w:pPr>
        <w:pStyle w:val="BodyText"/>
      </w:pPr>
      <w:r w:rsidRPr="001020B5">
        <w:t>‘Attendance by target group’ is an indicator of governments’ objective for school education services to be provided in an equitable manner (box</w:t>
      </w:r>
      <w:r>
        <w:t xml:space="preserve"> 4.1</w:t>
      </w:r>
      <w:r w:rsidRPr="001020B5">
        <w:t xml:space="preserve">). </w:t>
      </w:r>
    </w:p>
    <w:p w14:paraId="4736B3F4" w14:textId="77777777" w:rsidR="00F80224" w:rsidRPr="001020B5" w:rsidRDefault="00F80224" w:rsidP="00F8022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80224" w:rsidRPr="001020B5" w14:paraId="2CAE78EC" w14:textId="77777777" w:rsidTr="007B217F">
        <w:tc>
          <w:tcPr>
            <w:tcW w:w="5000" w:type="pct"/>
            <w:tcBorders>
              <w:top w:val="single" w:sz="6" w:space="0" w:color="78A22F"/>
              <w:left w:val="nil"/>
              <w:bottom w:val="nil"/>
              <w:right w:val="nil"/>
            </w:tcBorders>
            <w:shd w:val="clear" w:color="auto" w:fill="F2F2F2"/>
          </w:tcPr>
          <w:p w14:paraId="18A27D52" w14:textId="5EFE445C" w:rsidR="00F80224" w:rsidRPr="001020B5" w:rsidRDefault="00F80224" w:rsidP="007B217F">
            <w:pPr>
              <w:pStyle w:val="BoxTitle"/>
            </w:pPr>
            <w:r w:rsidRPr="001020B5">
              <w:rPr>
                <w:b w:val="0"/>
              </w:rPr>
              <w:t>Box</w:t>
            </w:r>
            <w:r>
              <w:rPr>
                <w:b w:val="0"/>
              </w:rPr>
              <w:t xml:space="preserve"> 4.1</w:t>
            </w:r>
            <w:r w:rsidRPr="001020B5">
              <w:tab/>
              <w:t>Attendance</w:t>
            </w:r>
            <w:r w:rsidR="003C5A00">
              <w:t xml:space="preserve"> </w:t>
            </w:r>
            <w:r w:rsidRPr="001020B5">
              <w:t>by target group</w:t>
            </w:r>
          </w:p>
        </w:tc>
      </w:tr>
      <w:tr w:rsidR="00F80224" w:rsidRPr="009A1395" w14:paraId="02CCA319" w14:textId="77777777" w:rsidTr="007B217F">
        <w:trPr>
          <w:cantSplit/>
        </w:trPr>
        <w:tc>
          <w:tcPr>
            <w:tcW w:w="5000" w:type="pct"/>
            <w:tcBorders>
              <w:top w:val="nil"/>
              <w:left w:val="nil"/>
              <w:bottom w:val="nil"/>
              <w:right w:val="nil"/>
            </w:tcBorders>
            <w:shd w:val="clear" w:color="auto" w:fill="F2F2F2"/>
          </w:tcPr>
          <w:p w14:paraId="3C61D02C" w14:textId="77777777" w:rsidR="00F80224" w:rsidRPr="00D846E1" w:rsidRDefault="00F80224" w:rsidP="007B217F">
            <w:pPr>
              <w:pStyle w:val="Box"/>
            </w:pPr>
            <w:r w:rsidRPr="00D846E1">
              <w:t>‘Attendance by target group’ compares the attendance rate of those in the target group (Aboriginal and Torres Strait Islander students, students in remote/very remote areas) with the attendance rate of those outside the target group (non</w:t>
            </w:r>
            <w:r w:rsidRPr="00D846E1">
              <w:noBreakHyphen/>
              <w:t xml:space="preserve">Indigenous students, students in major cities and regional areas). </w:t>
            </w:r>
          </w:p>
          <w:p w14:paraId="0F7C0B0B" w14:textId="77777777" w:rsidR="00F80224" w:rsidRPr="00D846E1" w:rsidRDefault="00F80224" w:rsidP="007B217F">
            <w:pPr>
              <w:pStyle w:val="Box"/>
            </w:pPr>
            <w:r w:rsidRPr="00D846E1">
              <w:t>Similar rates of attendance for those within and outside the target groups indicates equity of access.</w:t>
            </w:r>
          </w:p>
          <w:p w14:paraId="24C05D6B" w14:textId="77777777" w:rsidR="00F80224" w:rsidRPr="00D846E1" w:rsidRDefault="00F80224" w:rsidP="007B217F">
            <w:pPr>
              <w:pStyle w:val="Box"/>
            </w:pPr>
            <w:r w:rsidRPr="00D846E1">
              <w:t xml:space="preserve">The student attendance rate is the number of actual </w:t>
            </w:r>
            <w:proofErr w:type="gramStart"/>
            <w:r w:rsidRPr="00D846E1">
              <w:t>full time</w:t>
            </w:r>
            <w:proofErr w:type="gramEnd"/>
            <w:r w:rsidRPr="00D846E1">
              <w:t xml:space="preserve"> equivalent student days attended by full time students as a percentage of the total number of possible student attendance days attended over the period.</w:t>
            </w:r>
          </w:p>
        </w:tc>
      </w:tr>
      <w:tr w:rsidR="00F80224" w:rsidRPr="009A1395" w14:paraId="2D775105" w14:textId="77777777" w:rsidTr="007B217F">
        <w:trPr>
          <w:cantSplit/>
        </w:trPr>
        <w:tc>
          <w:tcPr>
            <w:tcW w:w="5000" w:type="pct"/>
            <w:tcBorders>
              <w:top w:val="nil"/>
              <w:left w:val="nil"/>
              <w:bottom w:val="nil"/>
              <w:right w:val="nil"/>
            </w:tcBorders>
            <w:shd w:val="clear" w:color="auto" w:fill="F2F2F2"/>
          </w:tcPr>
          <w:p w14:paraId="7F99A5A8" w14:textId="77777777" w:rsidR="00F80224" w:rsidRPr="00D846E1" w:rsidRDefault="00F80224" w:rsidP="007B217F">
            <w:pPr>
              <w:pStyle w:val="Box"/>
            </w:pPr>
            <w:r w:rsidRPr="00D846E1">
              <w:t>Data reported for this measure are:</w:t>
            </w:r>
          </w:p>
          <w:p w14:paraId="44752B59" w14:textId="3C4B3139" w:rsidR="00F80224" w:rsidRPr="00D846E1" w:rsidRDefault="00F80224" w:rsidP="007B217F">
            <w:pPr>
              <w:pStyle w:val="BoxComparable"/>
            </w:pPr>
            <w:r w:rsidRPr="005C2C6B">
              <w:rPr>
                <w:shd w:val="clear" w:color="auto" w:fill="F15A25"/>
              </w:rPr>
              <w:t xml:space="preserve">    </w:t>
            </w:r>
            <w:r w:rsidRPr="00D846E1">
              <w:t xml:space="preserve"> </w:t>
            </w:r>
            <w:r w:rsidR="005C2C6B" w:rsidRPr="003C5A00">
              <w:t xml:space="preserve">comparable across jurisdictions (subject to caveats) from 2018 onwards but </w:t>
            </w:r>
            <w:r w:rsidRPr="003C5A00">
              <w:t xml:space="preserve">not prior to 2018 and </w:t>
            </w:r>
            <w:r w:rsidR="00DE0296" w:rsidRPr="003C5A00">
              <w:t xml:space="preserve">are </w:t>
            </w:r>
            <w:r w:rsidRPr="003C5A00">
              <w:t>not comparable over time (data for 2018 are not comparable to earlier years)</w:t>
            </w:r>
            <w:r w:rsidRPr="00D846E1">
              <w:t xml:space="preserve"> </w:t>
            </w:r>
          </w:p>
          <w:p w14:paraId="5E0CD5EA" w14:textId="0CC0BB9F" w:rsidR="00F80224" w:rsidRPr="00D846E1" w:rsidRDefault="007941E3" w:rsidP="007B217F">
            <w:pPr>
              <w:pStyle w:val="BoxComparable"/>
            </w:pPr>
            <w:r w:rsidRPr="00796966">
              <w:rPr>
                <w:shd w:val="clear" w:color="auto" w:fill="FCDED3"/>
              </w:rPr>
              <w:t xml:space="preserve">    </w:t>
            </w:r>
            <w:r>
              <w:t xml:space="preserve"> </w:t>
            </w:r>
            <w:r w:rsidR="005E568B" w:rsidRPr="005E568B">
              <w:t>incomplete for the current reporting period; 2020 data were not available due to COVID-19.</w:t>
            </w:r>
          </w:p>
        </w:tc>
      </w:tr>
      <w:tr w:rsidR="00F80224" w:rsidRPr="009A1395" w14:paraId="285FD9B6" w14:textId="77777777" w:rsidTr="007B217F">
        <w:tc>
          <w:tcPr>
            <w:tcW w:w="5000" w:type="pct"/>
            <w:tcBorders>
              <w:top w:val="nil"/>
              <w:left w:val="nil"/>
              <w:bottom w:val="single" w:sz="6" w:space="0" w:color="78A22F"/>
              <w:right w:val="nil"/>
            </w:tcBorders>
            <w:shd w:val="clear" w:color="auto" w:fill="F2F2F2"/>
          </w:tcPr>
          <w:p w14:paraId="556BEC94" w14:textId="77777777" w:rsidR="00F80224" w:rsidRPr="009A1395" w:rsidRDefault="00F80224" w:rsidP="007B217F">
            <w:pPr>
              <w:pStyle w:val="Box"/>
              <w:keepNext w:val="0"/>
              <w:spacing w:before="0" w:line="120" w:lineRule="exact"/>
              <w:rPr>
                <w:highlight w:val="yellow"/>
              </w:rPr>
            </w:pPr>
          </w:p>
        </w:tc>
      </w:tr>
      <w:tr w:rsidR="00F80224" w:rsidRPr="009A1395" w14:paraId="47379652" w14:textId="77777777" w:rsidTr="007B217F">
        <w:tc>
          <w:tcPr>
            <w:tcW w:w="5000" w:type="pct"/>
            <w:tcBorders>
              <w:top w:val="single" w:sz="6" w:space="0" w:color="78A22F"/>
              <w:left w:val="nil"/>
              <w:bottom w:val="nil"/>
              <w:right w:val="nil"/>
            </w:tcBorders>
          </w:tcPr>
          <w:p w14:paraId="002FDCD5" w14:textId="77777777" w:rsidR="00F80224" w:rsidRPr="009A1395" w:rsidRDefault="00F80224" w:rsidP="007B217F">
            <w:pPr>
              <w:pStyle w:val="BoxSpaceBelow"/>
              <w:rPr>
                <w:highlight w:val="yellow"/>
              </w:rPr>
            </w:pPr>
          </w:p>
        </w:tc>
      </w:tr>
    </w:tbl>
    <w:p w14:paraId="2583FC53" w14:textId="77777777" w:rsidR="00F80224" w:rsidRPr="001020B5" w:rsidRDefault="00F80224" w:rsidP="00F80224">
      <w:pPr>
        <w:pStyle w:val="Heading3"/>
      </w:pPr>
      <w:bookmarkStart w:id="11" w:name="_Toc46822946"/>
      <w:bookmarkStart w:id="12" w:name="_Toc49241259"/>
      <w:r w:rsidRPr="001020B5">
        <w:t>Effectiveness</w:t>
      </w:r>
      <w:bookmarkEnd w:id="11"/>
      <w:bookmarkEnd w:id="12"/>
      <w:r w:rsidRPr="001020B5">
        <w:t xml:space="preserve"> </w:t>
      </w:r>
    </w:p>
    <w:p w14:paraId="5373CB93" w14:textId="77777777" w:rsidR="00F80224" w:rsidRPr="001020B5" w:rsidRDefault="00F80224" w:rsidP="00F80224">
      <w:pPr>
        <w:pStyle w:val="Heading4"/>
      </w:pPr>
      <w:bookmarkStart w:id="13" w:name="_Toc46822947"/>
      <w:bookmarkStart w:id="14" w:name="_Toc49241260"/>
      <w:r w:rsidRPr="001020B5">
        <w:t>Access — Attendance</w:t>
      </w:r>
      <w:bookmarkEnd w:id="13"/>
      <w:bookmarkEnd w:id="14"/>
      <w:r w:rsidRPr="001020B5">
        <w:t xml:space="preserve"> </w:t>
      </w:r>
    </w:p>
    <w:p w14:paraId="1C55B4ED" w14:textId="77777777" w:rsidR="00F80224" w:rsidRPr="001020B5" w:rsidRDefault="00F80224" w:rsidP="00F80224">
      <w:pPr>
        <w:pStyle w:val="BodyText"/>
      </w:pPr>
      <w:r w:rsidRPr="001020B5">
        <w:t>‘Attendance’ is an indicator of governments’ objective that school education services promotes student participation (box</w:t>
      </w:r>
      <w:r>
        <w:t xml:space="preserve"> 4.2</w:t>
      </w:r>
      <w:r w:rsidRPr="001020B5">
        <w:t>).</w:t>
      </w:r>
    </w:p>
    <w:p w14:paraId="1F0A9881" w14:textId="77777777" w:rsidR="00F80224" w:rsidRPr="001020B5" w:rsidRDefault="00F80224" w:rsidP="00F8022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80224" w:rsidRPr="001020B5" w14:paraId="526A44C6" w14:textId="77777777" w:rsidTr="007B217F">
        <w:tc>
          <w:tcPr>
            <w:tcW w:w="5000" w:type="pct"/>
            <w:tcBorders>
              <w:top w:val="single" w:sz="6" w:space="0" w:color="78A22F"/>
              <w:left w:val="nil"/>
              <w:bottom w:val="nil"/>
              <w:right w:val="nil"/>
            </w:tcBorders>
            <w:shd w:val="clear" w:color="auto" w:fill="F2F2F2"/>
          </w:tcPr>
          <w:p w14:paraId="74894D60" w14:textId="2657DCDF" w:rsidR="00F80224" w:rsidRPr="001020B5" w:rsidRDefault="00F80224" w:rsidP="007B217F">
            <w:pPr>
              <w:pStyle w:val="BoxTitle"/>
            </w:pPr>
            <w:r w:rsidRPr="001020B5">
              <w:rPr>
                <w:b w:val="0"/>
              </w:rPr>
              <w:t>Box</w:t>
            </w:r>
            <w:r>
              <w:rPr>
                <w:b w:val="0"/>
              </w:rPr>
              <w:t xml:space="preserve"> 4.2</w:t>
            </w:r>
            <w:r w:rsidRPr="001020B5">
              <w:tab/>
              <w:t>Attendance</w:t>
            </w:r>
          </w:p>
        </w:tc>
      </w:tr>
      <w:tr w:rsidR="00F80224" w:rsidRPr="009A1395" w14:paraId="6334D629" w14:textId="77777777" w:rsidTr="007B217F">
        <w:tc>
          <w:tcPr>
            <w:tcW w:w="5000" w:type="pct"/>
            <w:tcBorders>
              <w:top w:val="nil"/>
              <w:left w:val="nil"/>
              <w:bottom w:val="nil"/>
              <w:right w:val="nil"/>
            </w:tcBorders>
            <w:shd w:val="clear" w:color="auto" w:fill="F2F2F2"/>
          </w:tcPr>
          <w:p w14:paraId="51DD4528" w14:textId="77777777" w:rsidR="00F80224" w:rsidRPr="001020B5" w:rsidRDefault="00F80224" w:rsidP="007B217F">
            <w:pPr>
              <w:pStyle w:val="Box"/>
            </w:pPr>
            <w:r w:rsidRPr="001020B5">
              <w:t xml:space="preserve">‘Attendance’ is defined by the student attendance rate — the number of actual </w:t>
            </w:r>
            <w:proofErr w:type="gramStart"/>
            <w:r w:rsidRPr="001020B5">
              <w:t>full time</w:t>
            </w:r>
            <w:proofErr w:type="gramEnd"/>
            <w:r w:rsidRPr="001020B5">
              <w:t xml:space="preserve"> equivalent student days attended by full time students as a percentage of the total number of possible student attendance days attended over the period.</w:t>
            </w:r>
          </w:p>
          <w:p w14:paraId="30B2F895" w14:textId="77777777" w:rsidR="00F80224" w:rsidRPr="00FE52C8" w:rsidRDefault="00F80224" w:rsidP="007B217F">
            <w:pPr>
              <w:pStyle w:val="Box"/>
            </w:pPr>
            <w:r w:rsidRPr="001020B5">
              <w:t xml:space="preserve">Higher or increasing rates of attendance are desirable. Poor attendance has been related to poor student </w:t>
            </w:r>
            <w:r w:rsidRPr="00FE52C8">
              <w:t>outcomes, particularly once patterns of non</w:t>
            </w:r>
            <w:r w:rsidRPr="00FE52C8">
              <w:noBreakHyphen/>
              <w:t xml:space="preserve">attendance are established (Hancock et al. 2013). </w:t>
            </w:r>
          </w:p>
          <w:p w14:paraId="5CF738EE" w14:textId="77777777" w:rsidR="00F80224" w:rsidRPr="00FE52C8" w:rsidRDefault="00F80224" w:rsidP="007B217F">
            <w:pPr>
              <w:pStyle w:val="Box"/>
            </w:pPr>
            <w:r w:rsidRPr="00FE52C8">
              <w:t>Data reported for this measure are:</w:t>
            </w:r>
          </w:p>
          <w:p w14:paraId="134FE345" w14:textId="483F336A" w:rsidR="00F80224" w:rsidRPr="00FE52C8" w:rsidRDefault="00F80224" w:rsidP="007B217F">
            <w:pPr>
              <w:pStyle w:val="BoxComparable"/>
            </w:pPr>
            <w:r w:rsidRPr="00DE0296">
              <w:rPr>
                <w:shd w:val="clear" w:color="auto" w:fill="F15A25"/>
              </w:rPr>
              <w:t xml:space="preserve">    </w:t>
            </w:r>
            <w:r w:rsidRPr="00FE52C8">
              <w:t xml:space="preserve"> </w:t>
            </w:r>
            <w:r w:rsidR="00DE0296" w:rsidRPr="003C5A00">
              <w:t>comparable across jurisdictions (subject to caveats) from 2018 onwards but not prior to 2018 and are not comparable over time (data for 2018 are not comparable to earlier years)</w:t>
            </w:r>
          </w:p>
          <w:p w14:paraId="7ACE9B9D" w14:textId="6A4A7BFA" w:rsidR="00F80224" w:rsidRPr="009A1395" w:rsidRDefault="007941E3" w:rsidP="007B217F">
            <w:pPr>
              <w:pStyle w:val="BoxComparable"/>
              <w:rPr>
                <w:highlight w:val="yellow"/>
              </w:rPr>
            </w:pPr>
            <w:r w:rsidRPr="00796966">
              <w:rPr>
                <w:shd w:val="clear" w:color="auto" w:fill="FCDED3"/>
              </w:rPr>
              <w:t xml:space="preserve">    </w:t>
            </w:r>
            <w:r>
              <w:t xml:space="preserve"> </w:t>
            </w:r>
            <w:r w:rsidR="005E568B" w:rsidRPr="005E568B">
              <w:t>incomplete for the current reporting period; 2020 data were not available due to COVID-19.</w:t>
            </w:r>
          </w:p>
        </w:tc>
      </w:tr>
      <w:tr w:rsidR="00F80224" w:rsidRPr="009A1395" w14:paraId="56BE219E" w14:textId="77777777" w:rsidTr="007B217F">
        <w:tc>
          <w:tcPr>
            <w:tcW w:w="5000" w:type="pct"/>
            <w:tcBorders>
              <w:top w:val="nil"/>
              <w:left w:val="nil"/>
              <w:bottom w:val="single" w:sz="6" w:space="0" w:color="78A22F"/>
              <w:right w:val="nil"/>
            </w:tcBorders>
            <w:shd w:val="clear" w:color="auto" w:fill="F2F2F2"/>
          </w:tcPr>
          <w:p w14:paraId="7D08D41C" w14:textId="77777777" w:rsidR="00F80224" w:rsidRPr="009A1395" w:rsidRDefault="00F80224" w:rsidP="007B217F">
            <w:pPr>
              <w:pStyle w:val="Box"/>
              <w:spacing w:before="0" w:line="120" w:lineRule="exact"/>
              <w:rPr>
                <w:highlight w:val="yellow"/>
              </w:rPr>
            </w:pPr>
          </w:p>
        </w:tc>
      </w:tr>
      <w:tr w:rsidR="00F80224" w:rsidRPr="009A1395" w14:paraId="7EC74A46" w14:textId="77777777" w:rsidTr="007B217F">
        <w:tc>
          <w:tcPr>
            <w:tcW w:w="5000" w:type="pct"/>
            <w:tcBorders>
              <w:top w:val="single" w:sz="6" w:space="0" w:color="78A22F"/>
              <w:left w:val="nil"/>
              <w:bottom w:val="nil"/>
              <w:right w:val="nil"/>
            </w:tcBorders>
          </w:tcPr>
          <w:p w14:paraId="571C9685" w14:textId="77777777" w:rsidR="00F80224" w:rsidRPr="009A1395" w:rsidRDefault="00F80224" w:rsidP="007B217F">
            <w:pPr>
              <w:pStyle w:val="BoxSpaceBelow"/>
              <w:rPr>
                <w:highlight w:val="yellow"/>
              </w:rPr>
            </w:pPr>
          </w:p>
        </w:tc>
      </w:tr>
    </w:tbl>
    <w:p w14:paraId="3E795717" w14:textId="77777777" w:rsidR="00F80224" w:rsidRPr="001020B5" w:rsidRDefault="00F80224" w:rsidP="00F80224">
      <w:pPr>
        <w:pStyle w:val="Heading4"/>
      </w:pPr>
      <w:bookmarkStart w:id="15" w:name="_Toc46822948"/>
      <w:bookmarkStart w:id="16" w:name="_Toc49241261"/>
      <w:r w:rsidRPr="001020B5">
        <w:lastRenderedPageBreak/>
        <w:t>Appropriateness — Student engagement</w:t>
      </w:r>
      <w:bookmarkEnd w:id="15"/>
      <w:bookmarkEnd w:id="16"/>
      <w:r w:rsidRPr="001020B5">
        <w:t xml:space="preserve"> </w:t>
      </w:r>
    </w:p>
    <w:p w14:paraId="500EEA57" w14:textId="77777777" w:rsidR="00F80224" w:rsidRPr="001020B5" w:rsidRDefault="00F80224" w:rsidP="00F80224">
      <w:pPr>
        <w:pStyle w:val="BodyText"/>
      </w:pPr>
      <w:r w:rsidRPr="001020B5">
        <w:t>‘Student engagement’ is an indicator of governments’ objective that school education services engage all students (box</w:t>
      </w:r>
      <w:r>
        <w:t xml:space="preserve"> 4.3</w:t>
      </w:r>
      <w:r w:rsidRPr="001020B5">
        <w:t>).</w:t>
      </w:r>
    </w:p>
    <w:p w14:paraId="6740F567" w14:textId="77777777" w:rsidR="00F80224" w:rsidRPr="001020B5" w:rsidRDefault="00F80224" w:rsidP="00F8022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80224" w:rsidRPr="001020B5" w14:paraId="7BD1F817" w14:textId="77777777" w:rsidTr="007B217F">
        <w:tc>
          <w:tcPr>
            <w:tcW w:w="5000" w:type="pct"/>
            <w:tcBorders>
              <w:top w:val="single" w:sz="6" w:space="0" w:color="78A22F"/>
              <w:left w:val="nil"/>
              <w:bottom w:val="nil"/>
              <w:right w:val="nil"/>
            </w:tcBorders>
            <w:shd w:val="clear" w:color="auto" w:fill="F2F2F2"/>
          </w:tcPr>
          <w:p w14:paraId="42135C8A" w14:textId="77777777" w:rsidR="00F80224" w:rsidRPr="001020B5" w:rsidRDefault="00F80224" w:rsidP="007B217F">
            <w:pPr>
              <w:pStyle w:val="BoxTitle"/>
            </w:pPr>
            <w:r w:rsidRPr="001020B5">
              <w:rPr>
                <w:b w:val="0"/>
              </w:rPr>
              <w:t>Box</w:t>
            </w:r>
            <w:r>
              <w:rPr>
                <w:b w:val="0"/>
              </w:rPr>
              <w:t xml:space="preserve"> 4.3</w:t>
            </w:r>
            <w:r w:rsidRPr="001020B5">
              <w:tab/>
              <w:t>Student engagement</w:t>
            </w:r>
          </w:p>
        </w:tc>
      </w:tr>
      <w:tr w:rsidR="00F80224" w:rsidRPr="009A1395" w14:paraId="7E014B6C" w14:textId="77777777" w:rsidTr="007B217F">
        <w:trPr>
          <w:cantSplit/>
        </w:trPr>
        <w:tc>
          <w:tcPr>
            <w:tcW w:w="5000" w:type="pct"/>
            <w:tcBorders>
              <w:top w:val="nil"/>
              <w:left w:val="nil"/>
              <w:bottom w:val="nil"/>
              <w:right w:val="nil"/>
            </w:tcBorders>
            <w:shd w:val="clear" w:color="auto" w:fill="F2F2F2"/>
          </w:tcPr>
          <w:p w14:paraId="41278204" w14:textId="77777777" w:rsidR="00F80224" w:rsidRPr="001020B5" w:rsidRDefault="00F80224" w:rsidP="007B217F">
            <w:pPr>
              <w:pStyle w:val="Box"/>
            </w:pPr>
            <w:r w:rsidRPr="001020B5">
              <w:rPr>
                <w:bCs/>
              </w:rPr>
              <w:t xml:space="preserve">‘Student engagement’ is defined </w:t>
            </w:r>
            <w:r w:rsidRPr="001020B5">
              <w:t>as encompassing the following three dimensions:</w:t>
            </w:r>
          </w:p>
          <w:p w14:paraId="23B3B071" w14:textId="77777777" w:rsidR="00F80224" w:rsidRPr="001020B5" w:rsidRDefault="00F80224" w:rsidP="007B217F">
            <w:pPr>
              <w:pStyle w:val="BoxListBullet"/>
              <w:rPr>
                <w:shd w:val="clear" w:color="auto" w:fill="FFFF00"/>
              </w:rPr>
            </w:pPr>
            <w:r w:rsidRPr="001020B5">
              <w:rPr>
                <w:i/>
              </w:rPr>
              <w:t>behavioural engagement</w:t>
            </w:r>
            <w:r w:rsidRPr="001020B5">
              <w:t xml:space="preserve"> — which may be measured by identifiable behaviours of engagement, such as school attendance, attainment and retention</w:t>
            </w:r>
          </w:p>
          <w:p w14:paraId="3F84A27D" w14:textId="77777777" w:rsidR="00F80224" w:rsidRPr="001020B5" w:rsidRDefault="00F80224" w:rsidP="007B217F">
            <w:pPr>
              <w:pStyle w:val="BoxListBullet"/>
              <w:rPr>
                <w:shd w:val="clear" w:color="auto" w:fill="FFFF00"/>
              </w:rPr>
            </w:pPr>
            <w:r w:rsidRPr="001020B5">
              <w:rPr>
                <w:i/>
              </w:rPr>
              <w:t>emotional engagement</w:t>
            </w:r>
            <w:r w:rsidRPr="001020B5">
              <w:t xml:space="preserve"> — which may be measured by students’ attitudes to learning and school </w:t>
            </w:r>
          </w:p>
          <w:p w14:paraId="5E5A5B2B" w14:textId="77777777" w:rsidR="00F80224" w:rsidRPr="001020B5" w:rsidRDefault="00F80224" w:rsidP="007B217F">
            <w:pPr>
              <w:pStyle w:val="BoxListBullet"/>
              <w:rPr>
                <w:bCs/>
              </w:rPr>
            </w:pPr>
            <w:r w:rsidRPr="001020B5">
              <w:rPr>
                <w:i/>
              </w:rPr>
              <w:t xml:space="preserve">cognitive </w:t>
            </w:r>
            <w:r w:rsidRPr="001020B5">
              <w:rPr>
                <w:i/>
                <w:shd w:val="clear" w:color="auto" w:fill="F2F2F2" w:themeFill="background1" w:themeFillShade="F2"/>
              </w:rPr>
              <w:t>engagement</w:t>
            </w:r>
            <w:r w:rsidRPr="001020B5">
              <w:rPr>
                <w:shd w:val="clear" w:color="auto" w:fill="F2F2F2" w:themeFill="background1" w:themeFillShade="F2"/>
              </w:rPr>
              <w:t xml:space="preserve"> — </w:t>
            </w:r>
            <w:r w:rsidRPr="001020B5">
              <w:t xml:space="preserve">which may be measured by </w:t>
            </w:r>
            <w:r w:rsidRPr="001020B5">
              <w:rPr>
                <w:shd w:val="clear" w:color="auto" w:fill="F2F2F2" w:themeFill="background1" w:themeFillShade="F2"/>
              </w:rPr>
              <w:t>students’ perception of intellectual challenge, effort or interest and motivation (Fredricks, Blumenfeld, and Paris 2004).</w:t>
            </w:r>
          </w:p>
          <w:p w14:paraId="4B685E95" w14:textId="1886D5A3" w:rsidR="00F80224" w:rsidRPr="001020B5" w:rsidRDefault="00F80224" w:rsidP="007B217F">
            <w:pPr>
              <w:pStyle w:val="Box"/>
            </w:pPr>
            <w:r w:rsidRPr="001020B5">
              <w:t xml:space="preserve">It is measured using data from the Programme for International Student Assessment (PISA) — a triennial </w:t>
            </w:r>
            <w:r w:rsidR="00C70539" w:rsidRPr="003C5A00">
              <w:rPr>
                <w:lang w:val="en"/>
              </w:rPr>
              <w:t>assessment</w:t>
            </w:r>
            <w:r w:rsidRPr="001020B5">
              <w:rPr>
                <w:lang w:val="en"/>
              </w:rPr>
              <w:t xml:space="preserve"> of 15 year</w:t>
            </w:r>
            <w:r w:rsidRPr="001020B5">
              <w:rPr>
                <w:lang w:val="en"/>
              </w:rPr>
              <w:noBreakHyphen/>
              <w:t>old students</w:t>
            </w:r>
            <w:r w:rsidRPr="001020B5">
              <w:t xml:space="preserve"> conducted by the Organisation for Economic Cooperation and Development (OECD)</w:t>
            </w:r>
            <w:r w:rsidR="00C70539">
              <w:t xml:space="preserve"> </w:t>
            </w:r>
            <w:r w:rsidR="00C70539" w:rsidRPr="003C5A00">
              <w:t>that also collects student and school background contextual data</w:t>
            </w:r>
            <w:r w:rsidRPr="003C5A00">
              <w:t xml:space="preserve">. </w:t>
            </w:r>
            <w:r w:rsidRPr="001020B5">
              <w:t xml:space="preserve">PISA collects information on one aspect of </w:t>
            </w:r>
            <w:r w:rsidRPr="001020B5">
              <w:rPr>
                <w:i/>
              </w:rPr>
              <w:t>emotional engagement</w:t>
            </w:r>
            <w:r w:rsidRPr="001020B5">
              <w:t xml:space="preserve"> — students’ sense of belonging at school. Students’ level of agreement to six statements are combined to construct a Sense of Belonging as School Index (table 4A.25).</w:t>
            </w:r>
          </w:p>
        </w:tc>
      </w:tr>
      <w:tr w:rsidR="00F80224" w:rsidRPr="009A1395" w14:paraId="5FFA9784" w14:textId="77777777" w:rsidTr="007B217F">
        <w:tc>
          <w:tcPr>
            <w:tcW w:w="5000" w:type="pct"/>
            <w:tcBorders>
              <w:top w:val="nil"/>
              <w:left w:val="nil"/>
              <w:bottom w:val="nil"/>
              <w:right w:val="nil"/>
            </w:tcBorders>
            <w:shd w:val="clear" w:color="auto" w:fill="F2F2F2"/>
          </w:tcPr>
          <w:p w14:paraId="12B77183" w14:textId="5C42FBB8" w:rsidR="00F80224" w:rsidRPr="001020B5" w:rsidRDefault="00F80224" w:rsidP="007B217F">
            <w:pPr>
              <w:pStyle w:val="Box"/>
            </w:pPr>
            <w:r w:rsidRPr="001020B5">
              <w:t>Higher or increasing scores on the Index illustrate a greater sense of belonging at school, which is desirable</w:t>
            </w:r>
            <w:r w:rsidRPr="003C5A00">
              <w:t xml:space="preserve">. </w:t>
            </w:r>
            <w:r w:rsidR="00A97C81" w:rsidRPr="003C5A00">
              <w:t xml:space="preserve">The index </w:t>
            </w:r>
            <w:r w:rsidR="00361BDD" w:rsidRPr="003C5A00">
              <w:t>is</w:t>
            </w:r>
            <w:r w:rsidR="00A97C81" w:rsidRPr="003C5A00">
              <w:t xml:space="preserve"> standardised to have a mean of 0 across OECD countries. Higher values o</w:t>
            </w:r>
            <w:r w:rsidR="001C6116" w:rsidRPr="003C5A00">
              <w:t>f</w:t>
            </w:r>
            <w:r w:rsidR="00A97C81" w:rsidRPr="003C5A00">
              <w:t xml:space="preserve"> the index indicate a greater sense of belonging at school than the OECD average and lower values indicate a lesser sense of belonging at school than the OECD average.</w:t>
            </w:r>
          </w:p>
          <w:p w14:paraId="228A6B0F" w14:textId="77777777" w:rsidR="00F80224" w:rsidRPr="001020B5" w:rsidRDefault="00F80224" w:rsidP="007B217F">
            <w:pPr>
              <w:pStyle w:val="Box"/>
            </w:pPr>
            <w:r w:rsidRPr="001020B5">
              <w:t>Data reported for this measure are:</w:t>
            </w:r>
          </w:p>
          <w:p w14:paraId="3339E854" w14:textId="77777777" w:rsidR="00F80224" w:rsidRPr="001020B5" w:rsidRDefault="00F80224" w:rsidP="007B217F">
            <w:pPr>
              <w:pStyle w:val="BoxComparable"/>
            </w:pPr>
            <w:r w:rsidRPr="001020B5">
              <w:rPr>
                <w:shd w:val="clear" w:color="auto" w:fill="F15A25"/>
              </w:rPr>
              <w:t xml:space="preserve">    </w:t>
            </w:r>
            <w:r w:rsidRPr="001020B5">
              <w:t xml:space="preserve"> comparable (subject to caveats) across jurisdictions (Index scores are only available for one year)</w:t>
            </w:r>
          </w:p>
          <w:p w14:paraId="4F92BC1A" w14:textId="7132C485" w:rsidR="00F80224" w:rsidRPr="001020B5" w:rsidRDefault="00F80224" w:rsidP="007B217F">
            <w:pPr>
              <w:pStyle w:val="BoxComparable"/>
            </w:pPr>
            <w:r w:rsidRPr="001020B5">
              <w:rPr>
                <w:shd w:val="clear" w:color="auto" w:fill="F15A25"/>
              </w:rPr>
              <w:t xml:space="preserve">    </w:t>
            </w:r>
            <w:r w:rsidRPr="001020B5">
              <w:t xml:space="preserve"> complete for the current reporting period (subject to caveats). All required </w:t>
            </w:r>
            <w:r w:rsidR="009E5F3C">
              <w:t>2018</w:t>
            </w:r>
            <w:r w:rsidR="009E5F3C" w:rsidRPr="001020B5">
              <w:t xml:space="preserve"> </w:t>
            </w:r>
            <w:r w:rsidRPr="001020B5">
              <w:t>data are available for all jurisdictions.</w:t>
            </w:r>
          </w:p>
          <w:p w14:paraId="4B470644" w14:textId="77777777" w:rsidR="00F80224" w:rsidRPr="001020B5" w:rsidRDefault="00F80224" w:rsidP="007B217F">
            <w:pPr>
              <w:pStyle w:val="Box"/>
            </w:pPr>
            <w:r w:rsidRPr="001020B5">
              <w:t>These data should be interpreted with caution, as they are limited to one aspect of emotional engagement and captured for students at a single age (students aged 15 years).</w:t>
            </w:r>
          </w:p>
          <w:p w14:paraId="7EC829DA" w14:textId="36016F82" w:rsidR="00F80224" w:rsidRPr="001020B5" w:rsidRDefault="00F80224" w:rsidP="007B217F">
            <w:pPr>
              <w:pStyle w:val="Box"/>
              <w:rPr>
                <w:strike/>
              </w:rPr>
            </w:pPr>
            <w:r w:rsidRPr="001020B5">
              <w:rPr>
                <w:bCs/>
              </w:rPr>
              <w:t xml:space="preserve">National data are not </w:t>
            </w:r>
            <w:r w:rsidR="00A76F75">
              <w:rPr>
                <w:bCs/>
              </w:rPr>
              <w:t>currently agreed</w:t>
            </w:r>
            <w:r w:rsidRPr="001020B5">
              <w:rPr>
                <w:bCs/>
              </w:rPr>
              <w:t xml:space="preserve"> to report against behavioural or cognitive engagement. However contextual</w:t>
            </w:r>
            <w:r w:rsidRPr="001020B5" w:rsidDel="009A0B6D">
              <w:rPr>
                <w:bCs/>
              </w:rPr>
              <w:t xml:space="preserve"> </w:t>
            </w:r>
            <w:r w:rsidRPr="001020B5">
              <w:rPr>
                <w:bCs/>
              </w:rPr>
              <w:t>information</w:t>
            </w:r>
            <w:r w:rsidRPr="001020B5">
              <w:t xml:space="preserve"> is provided on State and Territory government student engagement surveys, where they have been conducted (table 4</w:t>
            </w:r>
            <w:r w:rsidR="000B48BF">
              <w:t>.1</w:t>
            </w:r>
            <w:r w:rsidRPr="001020B5">
              <w:t>). These surveys collect information from students across the behavioural, emotional, and cognitive domains of engagement. In addition</w:t>
            </w:r>
            <w:r w:rsidR="00A76F75">
              <w:t>, some</w:t>
            </w:r>
            <w:r w:rsidRPr="001020B5">
              <w:t xml:space="preserve"> aspects of behavioural engagement are captured via the attendance, retention and attainment indicators.</w:t>
            </w:r>
          </w:p>
        </w:tc>
      </w:tr>
      <w:tr w:rsidR="00F80224" w:rsidRPr="009A1395" w14:paraId="546C4650" w14:textId="77777777" w:rsidTr="007B217F">
        <w:tc>
          <w:tcPr>
            <w:tcW w:w="5000" w:type="pct"/>
            <w:tcBorders>
              <w:top w:val="nil"/>
              <w:left w:val="nil"/>
              <w:bottom w:val="single" w:sz="6" w:space="0" w:color="78A22F"/>
              <w:right w:val="nil"/>
            </w:tcBorders>
            <w:shd w:val="clear" w:color="auto" w:fill="F2F2F2"/>
          </w:tcPr>
          <w:p w14:paraId="2B937E98" w14:textId="77777777" w:rsidR="00F80224" w:rsidRPr="009A1395" w:rsidRDefault="00F80224" w:rsidP="007B217F">
            <w:pPr>
              <w:pStyle w:val="Box"/>
              <w:keepNext w:val="0"/>
              <w:spacing w:before="0" w:line="120" w:lineRule="exact"/>
              <w:rPr>
                <w:highlight w:val="yellow"/>
              </w:rPr>
            </w:pPr>
          </w:p>
        </w:tc>
      </w:tr>
      <w:tr w:rsidR="00F80224" w:rsidRPr="009A1395" w14:paraId="1805C86F" w14:textId="77777777" w:rsidTr="007B217F">
        <w:tc>
          <w:tcPr>
            <w:tcW w:w="5000" w:type="pct"/>
            <w:tcBorders>
              <w:top w:val="single" w:sz="6" w:space="0" w:color="78A22F"/>
              <w:left w:val="nil"/>
              <w:bottom w:val="nil"/>
              <w:right w:val="nil"/>
            </w:tcBorders>
          </w:tcPr>
          <w:p w14:paraId="58D254A3" w14:textId="77777777" w:rsidR="00F80224" w:rsidRPr="009A1395" w:rsidRDefault="00F80224" w:rsidP="007B217F">
            <w:pPr>
              <w:pStyle w:val="BoxSpaceBelow"/>
              <w:rPr>
                <w:highlight w:val="yellow"/>
              </w:rPr>
            </w:pPr>
          </w:p>
        </w:tc>
      </w:tr>
    </w:tbl>
    <w:p w14:paraId="62976ADA" w14:textId="6B27B157" w:rsidR="005E48A5" w:rsidRDefault="005E48A5" w:rsidP="005E48A5">
      <w:pPr>
        <w:pStyle w:val="BodyText"/>
      </w:pPr>
      <w:bookmarkStart w:id="17" w:name="_Toc46822949"/>
      <w:bookmarkStart w:id="18" w:name="_Toc49241262"/>
    </w:p>
    <w:tbl>
      <w:tblPr>
        <w:tblW w:w="5242"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9214"/>
      </w:tblGrid>
      <w:tr w:rsidR="005E48A5" w14:paraId="3B7D4C6B" w14:textId="77777777" w:rsidTr="000B48BF">
        <w:tc>
          <w:tcPr>
            <w:tcW w:w="5000" w:type="pct"/>
            <w:tcBorders>
              <w:top w:val="single" w:sz="6" w:space="0" w:color="78A22F"/>
              <w:left w:val="nil"/>
              <w:bottom w:val="nil"/>
              <w:right w:val="nil"/>
            </w:tcBorders>
            <w:shd w:val="clear" w:color="auto" w:fill="auto"/>
          </w:tcPr>
          <w:p w14:paraId="29121AE5" w14:textId="02CE6DED" w:rsidR="000B48BF" w:rsidRPr="00D54DA5" w:rsidRDefault="005E48A5" w:rsidP="000B48BF">
            <w:pPr>
              <w:pStyle w:val="TableTitle"/>
              <w:rPr>
                <w:b w:val="0"/>
              </w:rPr>
            </w:pPr>
            <w:r>
              <w:rPr>
                <w:b w:val="0"/>
              </w:rPr>
              <w:lastRenderedPageBreak/>
              <w:t>Table 4.1</w:t>
            </w:r>
            <w:r>
              <w:tab/>
            </w:r>
            <w:r w:rsidRPr="00D409DE">
              <w:t>School student engagement survey results</w:t>
            </w:r>
          </w:p>
          <w:tbl>
            <w:tblPr>
              <w:tblW w:w="8629" w:type="dxa"/>
              <w:tblCellMar>
                <w:top w:w="28" w:type="dxa"/>
                <w:left w:w="0" w:type="dxa"/>
                <w:right w:w="0" w:type="dxa"/>
              </w:tblCellMar>
              <w:tblLook w:val="0600" w:firstRow="0" w:lastRow="0" w:firstColumn="0" w:lastColumn="0" w:noHBand="1" w:noVBand="1"/>
            </w:tblPr>
            <w:tblGrid>
              <w:gridCol w:w="1136"/>
              <w:gridCol w:w="20"/>
              <w:gridCol w:w="7443"/>
              <w:gridCol w:w="12"/>
              <w:gridCol w:w="6"/>
              <w:gridCol w:w="6"/>
              <w:gridCol w:w="6"/>
            </w:tblGrid>
            <w:tr w:rsidR="005E48A5" w:rsidRPr="00A251C8" w14:paraId="4AB712A4" w14:textId="77777777" w:rsidTr="000F0FD2">
              <w:trPr>
                <w:gridAfter w:val="3"/>
                <w:wAfter w:w="18" w:type="dxa"/>
              </w:trPr>
              <w:tc>
                <w:tcPr>
                  <w:tcW w:w="8611" w:type="dxa"/>
                  <w:gridSpan w:val="4"/>
                  <w:tcBorders>
                    <w:top w:val="single" w:sz="6" w:space="0" w:color="BFBFBF"/>
                    <w:bottom w:val="single" w:sz="6" w:space="0" w:color="BFBFBF"/>
                  </w:tcBorders>
                  <w:shd w:val="clear" w:color="auto" w:fill="auto"/>
                </w:tcPr>
                <w:p w14:paraId="76A59E4E" w14:textId="77777777" w:rsidR="005E48A5" w:rsidRPr="00A251C8" w:rsidRDefault="005E48A5" w:rsidP="000B48BF">
                  <w:pPr>
                    <w:pStyle w:val="TableBodyText"/>
                    <w:ind w:right="28"/>
                    <w:jc w:val="left"/>
                  </w:pPr>
                  <w:r w:rsidRPr="00A251C8">
                    <w:rPr>
                      <w:b/>
                    </w:rPr>
                    <w:t>New South Wales</w:t>
                  </w:r>
                </w:p>
              </w:tc>
            </w:tr>
            <w:tr w:rsidR="005E48A5" w:rsidRPr="00A251C8" w14:paraId="7AC58C1D" w14:textId="77777777" w:rsidTr="000F0FD2">
              <w:trPr>
                <w:gridAfter w:val="3"/>
                <w:wAfter w:w="18" w:type="dxa"/>
              </w:trPr>
              <w:tc>
                <w:tcPr>
                  <w:tcW w:w="1136" w:type="dxa"/>
                  <w:tcBorders>
                    <w:bottom w:val="single" w:sz="6" w:space="0" w:color="BFBFBF"/>
                  </w:tcBorders>
                  <w:shd w:val="clear" w:color="auto" w:fill="auto"/>
                </w:tcPr>
                <w:p w14:paraId="6C53049A" w14:textId="77777777" w:rsidR="005E48A5" w:rsidRPr="00A251C8" w:rsidRDefault="005E48A5" w:rsidP="000B48BF">
                  <w:pPr>
                    <w:pStyle w:val="TableBodyText"/>
                    <w:jc w:val="left"/>
                    <w:rPr>
                      <w:rFonts w:cs="Arial"/>
                      <w:i/>
                      <w:iCs/>
                      <w:color w:val="000000"/>
                      <w:sz w:val="20"/>
                    </w:rPr>
                  </w:pPr>
                  <w:r w:rsidRPr="00A251C8">
                    <w:rPr>
                      <w:rFonts w:cs="Arial"/>
                      <w:i/>
                      <w:iCs/>
                      <w:color w:val="000000"/>
                      <w:sz w:val="20"/>
                    </w:rPr>
                    <w:t>Key Features:</w:t>
                  </w:r>
                </w:p>
              </w:tc>
              <w:tc>
                <w:tcPr>
                  <w:tcW w:w="20" w:type="dxa"/>
                  <w:tcBorders>
                    <w:bottom w:val="single" w:sz="6" w:space="0" w:color="BFBFBF"/>
                  </w:tcBorders>
                </w:tcPr>
                <w:p w14:paraId="47E47EC8" w14:textId="77777777" w:rsidR="005E48A5" w:rsidRPr="00A251C8" w:rsidRDefault="005E48A5" w:rsidP="000B48BF">
                  <w:pPr>
                    <w:pStyle w:val="TableBodyText"/>
                    <w:jc w:val="left"/>
                    <w:rPr>
                      <w:rFonts w:cs="Arial"/>
                      <w:i/>
                      <w:iCs/>
                      <w:color w:val="000000"/>
                      <w:sz w:val="20"/>
                    </w:rPr>
                  </w:pPr>
                </w:p>
              </w:tc>
              <w:tc>
                <w:tcPr>
                  <w:tcW w:w="7455" w:type="dxa"/>
                  <w:gridSpan w:val="2"/>
                  <w:tcBorders>
                    <w:bottom w:val="single" w:sz="6" w:space="0" w:color="BFBFBF"/>
                  </w:tcBorders>
                  <w:shd w:val="clear" w:color="auto" w:fill="auto"/>
                </w:tcPr>
                <w:p w14:paraId="23E09BCB" w14:textId="7E5CF349" w:rsidR="005E48A5" w:rsidRPr="00A251C8" w:rsidRDefault="00390440" w:rsidP="000904CB">
                  <w:pPr>
                    <w:pStyle w:val="TableUnitsRow"/>
                    <w:jc w:val="both"/>
                    <w:rPr>
                      <w:rFonts w:cs="Arial"/>
                      <w:i/>
                      <w:iCs/>
                      <w:color w:val="000000"/>
                      <w:sz w:val="20"/>
                    </w:rPr>
                  </w:pPr>
                  <w:r w:rsidRPr="00C44573">
                    <w:t>Student engagement data is collected from NSW government schools twice a year, in Term 1 and Term 3, for students in Years 4 to 6 (primary schools) and Year 7 to 12 (high schools). The surveys are available to all department schools, and all students within scope in participating schools.</w:t>
                  </w:r>
                </w:p>
              </w:tc>
            </w:tr>
            <w:tr w:rsidR="005E48A5" w:rsidRPr="00A251C8" w14:paraId="4972505A" w14:textId="77777777" w:rsidTr="000F0FD2">
              <w:trPr>
                <w:gridAfter w:val="3"/>
                <w:wAfter w:w="18" w:type="dxa"/>
              </w:trPr>
              <w:tc>
                <w:tcPr>
                  <w:tcW w:w="1136" w:type="dxa"/>
                  <w:tcBorders>
                    <w:bottom w:val="single" w:sz="6" w:space="0" w:color="BFBFBF"/>
                  </w:tcBorders>
                  <w:shd w:val="clear" w:color="auto" w:fill="auto"/>
                </w:tcPr>
                <w:p w14:paraId="079D3EC8" w14:textId="77777777" w:rsidR="005E48A5" w:rsidRPr="00A251C8" w:rsidRDefault="005E48A5" w:rsidP="000B48BF">
                  <w:pPr>
                    <w:pStyle w:val="TableBodyText"/>
                    <w:jc w:val="left"/>
                    <w:rPr>
                      <w:rFonts w:cs="Arial"/>
                      <w:i/>
                      <w:iCs/>
                      <w:color w:val="000000"/>
                      <w:sz w:val="20"/>
                    </w:rPr>
                  </w:pPr>
                  <w:r w:rsidRPr="00A251C8">
                    <w:rPr>
                      <w:rFonts w:cs="Arial"/>
                      <w:i/>
                      <w:iCs/>
                      <w:color w:val="000000"/>
                      <w:sz w:val="20"/>
                    </w:rPr>
                    <w:t>Domain:</w:t>
                  </w:r>
                </w:p>
              </w:tc>
              <w:tc>
                <w:tcPr>
                  <w:tcW w:w="20" w:type="dxa"/>
                  <w:tcBorders>
                    <w:bottom w:val="single" w:sz="6" w:space="0" w:color="BFBFBF"/>
                  </w:tcBorders>
                </w:tcPr>
                <w:p w14:paraId="367E3714" w14:textId="77777777" w:rsidR="005E48A5" w:rsidRPr="00A251C8" w:rsidRDefault="005E48A5" w:rsidP="000B48BF">
                  <w:pPr>
                    <w:pStyle w:val="TableBodyText"/>
                    <w:jc w:val="left"/>
                  </w:pPr>
                </w:p>
              </w:tc>
              <w:tc>
                <w:tcPr>
                  <w:tcW w:w="7455" w:type="dxa"/>
                  <w:gridSpan w:val="2"/>
                  <w:tcBorders>
                    <w:bottom w:val="single" w:sz="6" w:space="0" w:color="BFBFBF"/>
                  </w:tcBorders>
                  <w:shd w:val="clear" w:color="auto" w:fill="auto"/>
                </w:tcPr>
                <w:p w14:paraId="2313CB7D" w14:textId="406F350D" w:rsidR="005E48A5" w:rsidRPr="00A251C8" w:rsidRDefault="00C44573" w:rsidP="000904CB">
                  <w:pPr>
                    <w:pStyle w:val="TableUnitsRow"/>
                    <w:jc w:val="both"/>
                  </w:pPr>
                  <w:r w:rsidRPr="00C44573">
                    <w:t>Data are collected on the key domains of student engagement: behavioural, emotional and cognitive.</w:t>
                  </w:r>
                </w:p>
              </w:tc>
            </w:tr>
            <w:tr w:rsidR="005E48A5" w:rsidRPr="00A251C8" w14:paraId="65E517C2" w14:textId="77777777" w:rsidTr="000F0FD2">
              <w:trPr>
                <w:gridAfter w:val="3"/>
                <w:wAfter w:w="18" w:type="dxa"/>
              </w:trPr>
              <w:tc>
                <w:tcPr>
                  <w:tcW w:w="1136" w:type="dxa"/>
                  <w:tcBorders>
                    <w:bottom w:val="single" w:sz="6" w:space="0" w:color="BFBFBF"/>
                  </w:tcBorders>
                  <w:shd w:val="clear" w:color="auto" w:fill="auto"/>
                </w:tcPr>
                <w:p w14:paraId="418173A6" w14:textId="77777777" w:rsidR="005E48A5" w:rsidRPr="00A251C8" w:rsidRDefault="005E48A5" w:rsidP="000B48BF">
                  <w:pPr>
                    <w:pStyle w:val="TableBodyText"/>
                    <w:jc w:val="left"/>
                    <w:rPr>
                      <w:rFonts w:cs="Arial"/>
                      <w:i/>
                      <w:iCs/>
                      <w:color w:val="000000"/>
                      <w:sz w:val="20"/>
                    </w:rPr>
                  </w:pPr>
                  <w:r w:rsidRPr="00A251C8">
                    <w:rPr>
                      <w:rFonts w:cs="Arial"/>
                      <w:i/>
                      <w:iCs/>
                      <w:color w:val="000000"/>
                      <w:sz w:val="20"/>
                    </w:rPr>
                    <w:t>Statistics:</w:t>
                  </w:r>
                </w:p>
              </w:tc>
              <w:tc>
                <w:tcPr>
                  <w:tcW w:w="20" w:type="dxa"/>
                  <w:tcBorders>
                    <w:bottom w:val="single" w:sz="6" w:space="0" w:color="BFBFBF"/>
                  </w:tcBorders>
                </w:tcPr>
                <w:p w14:paraId="1E3E70D0" w14:textId="77777777" w:rsidR="005E48A5" w:rsidRPr="00A251C8" w:rsidRDefault="005E48A5" w:rsidP="000B48BF">
                  <w:pPr>
                    <w:pStyle w:val="TableBodyText"/>
                    <w:jc w:val="left"/>
                  </w:pPr>
                </w:p>
              </w:tc>
              <w:tc>
                <w:tcPr>
                  <w:tcW w:w="7455" w:type="dxa"/>
                  <w:gridSpan w:val="2"/>
                  <w:tcBorders>
                    <w:bottom w:val="single" w:sz="6" w:space="0" w:color="BFBFBF"/>
                  </w:tcBorders>
                  <w:shd w:val="clear" w:color="auto" w:fill="auto"/>
                </w:tcPr>
                <w:p w14:paraId="5C7A964E" w14:textId="52753012" w:rsidR="005E48A5" w:rsidRPr="00A251C8" w:rsidRDefault="00C44573" w:rsidP="000904CB">
                  <w:pPr>
                    <w:pStyle w:val="TableUnitsRow"/>
                    <w:jc w:val="both"/>
                  </w:pPr>
                  <w:r w:rsidRPr="00C44573">
                    <w:t xml:space="preserve">Student engagement is multi-dimensional and differs across school years. As such, there is no single indicator of engagement. Longitudinal modelling conducted by the NSW Department of Education shows that various drivers of student engagement can impact student outcomes. Students who demonstrate positive attitudes towards attendance and </w:t>
                  </w:r>
                  <w:proofErr w:type="gramStart"/>
                  <w:r w:rsidRPr="00C44573">
                    <w:t>behaviour, and</w:t>
                  </w:r>
                  <w:proofErr w:type="gramEnd"/>
                  <w:r w:rsidRPr="00C44573">
                    <w:t xml:space="preserve"> are academically motivated can be several months ahead in their learning compared with students who do not demonstrate these traits. Similarly, students who experience high academic expectations and who have a positive sense of belonging and high levels of advocacy at school experience a range of positive schooling outcomes.</w:t>
                  </w:r>
                </w:p>
              </w:tc>
            </w:tr>
            <w:tr w:rsidR="005E48A5" w:rsidRPr="00A251C8" w14:paraId="3311FAAB" w14:textId="77777777" w:rsidTr="000F0FD2">
              <w:trPr>
                <w:gridAfter w:val="3"/>
                <w:wAfter w:w="18" w:type="dxa"/>
              </w:trPr>
              <w:tc>
                <w:tcPr>
                  <w:tcW w:w="1136" w:type="dxa"/>
                  <w:tcBorders>
                    <w:bottom w:val="single" w:sz="6" w:space="0" w:color="BFBFBF"/>
                  </w:tcBorders>
                  <w:shd w:val="clear" w:color="auto" w:fill="auto"/>
                </w:tcPr>
                <w:p w14:paraId="20CD5D1F" w14:textId="77777777" w:rsidR="005E48A5" w:rsidRPr="00A251C8" w:rsidRDefault="005E48A5" w:rsidP="000B48BF">
                  <w:pPr>
                    <w:pStyle w:val="TableBodyText"/>
                    <w:jc w:val="left"/>
                    <w:rPr>
                      <w:rFonts w:cs="Arial"/>
                      <w:i/>
                      <w:iCs/>
                      <w:color w:val="000000"/>
                      <w:sz w:val="20"/>
                    </w:rPr>
                  </w:pPr>
                  <w:r w:rsidRPr="00A251C8">
                    <w:rPr>
                      <w:rFonts w:cs="Arial"/>
                      <w:i/>
                      <w:iCs/>
                      <w:color w:val="000000"/>
                      <w:sz w:val="20"/>
                    </w:rPr>
                    <w:t>Link:</w:t>
                  </w:r>
                </w:p>
              </w:tc>
              <w:tc>
                <w:tcPr>
                  <w:tcW w:w="20" w:type="dxa"/>
                  <w:tcBorders>
                    <w:bottom w:val="single" w:sz="6" w:space="0" w:color="BFBFBF"/>
                  </w:tcBorders>
                </w:tcPr>
                <w:p w14:paraId="017A3A78" w14:textId="77777777" w:rsidR="005E48A5" w:rsidRPr="00A251C8" w:rsidRDefault="005E48A5" w:rsidP="000B48BF">
                  <w:pPr>
                    <w:pStyle w:val="TableBodyText"/>
                    <w:jc w:val="left"/>
                  </w:pPr>
                </w:p>
              </w:tc>
              <w:tc>
                <w:tcPr>
                  <w:tcW w:w="7455" w:type="dxa"/>
                  <w:gridSpan w:val="2"/>
                  <w:tcBorders>
                    <w:bottom w:val="single" w:sz="6" w:space="0" w:color="BFBFBF"/>
                  </w:tcBorders>
                  <w:shd w:val="clear" w:color="auto" w:fill="auto"/>
                </w:tcPr>
                <w:p w14:paraId="1CCB0655" w14:textId="4EC21D00" w:rsidR="00C44573" w:rsidRPr="00C44573" w:rsidRDefault="00C44573" w:rsidP="000904CB">
                  <w:pPr>
                    <w:keepNext/>
                    <w:keepLines/>
                    <w:spacing w:after="40" w:line="200" w:lineRule="atLeast"/>
                    <w:ind w:left="6" w:right="113"/>
                    <w:jc w:val="both"/>
                    <w:rPr>
                      <w:rFonts w:ascii="Arial" w:hAnsi="Arial"/>
                      <w:sz w:val="18"/>
                      <w:szCs w:val="18"/>
                    </w:rPr>
                  </w:pPr>
                  <w:r w:rsidRPr="00C44573">
                    <w:rPr>
                      <w:rFonts w:ascii="Arial" w:hAnsi="Arial"/>
                      <w:sz w:val="18"/>
                      <w:szCs w:val="20"/>
                    </w:rPr>
                    <w:t>More information, including results from longitudinal modelling, is available from the NSW Centre for Education Statistics and Evaluation website:</w:t>
                  </w:r>
                  <w:r w:rsidR="008D1CB3">
                    <w:rPr>
                      <w:rFonts w:ascii="Arial" w:hAnsi="Arial"/>
                      <w:sz w:val="18"/>
                      <w:szCs w:val="20"/>
                    </w:rPr>
                    <w:t xml:space="preserve"> </w:t>
                  </w:r>
                </w:p>
                <w:p w14:paraId="2D691331" w14:textId="087EC814" w:rsidR="005E48A5" w:rsidRPr="00C44573" w:rsidRDefault="00C44573" w:rsidP="000904CB">
                  <w:pPr>
                    <w:pStyle w:val="TableBodyText"/>
                    <w:ind w:right="28"/>
                    <w:jc w:val="both"/>
                    <w:rPr>
                      <w:rFonts w:cs="Arial"/>
                      <w:szCs w:val="18"/>
                    </w:rPr>
                  </w:pPr>
                  <w:r w:rsidRPr="00C44573">
                    <w:rPr>
                      <w:rFonts w:cs="Arial"/>
                      <w:color w:val="0563C1"/>
                      <w:szCs w:val="18"/>
                      <w:u w:val="single"/>
                    </w:rPr>
                    <w:t>http://surveys.cese.nsw.gov.au/</w:t>
                  </w:r>
                </w:p>
              </w:tc>
            </w:tr>
            <w:tr w:rsidR="005E48A5" w:rsidRPr="00A251C8" w14:paraId="0533E4FE" w14:textId="77777777" w:rsidTr="000F0FD2">
              <w:trPr>
                <w:gridAfter w:val="3"/>
                <w:wAfter w:w="18" w:type="dxa"/>
              </w:trPr>
              <w:tc>
                <w:tcPr>
                  <w:tcW w:w="1136" w:type="dxa"/>
                  <w:tcBorders>
                    <w:bottom w:val="single" w:sz="6" w:space="0" w:color="BFBFBF"/>
                  </w:tcBorders>
                  <w:shd w:val="clear" w:color="auto" w:fill="auto"/>
                </w:tcPr>
                <w:p w14:paraId="53CA50FB" w14:textId="77777777" w:rsidR="005E48A5" w:rsidRPr="00A251C8" w:rsidRDefault="005E48A5" w:rsidP="000B48BF">
                  <w:pPr>
                    <w:pStyle w:val="TableBodyText"/>
                    <w:jc w:val="left"/>
                  </w:pPr>
                  <w:r w:rsidRPr="00A251C8">
                    <w:rPr>
                      <w:b/>
                    </w:rPr>
                    <w:t>Victoria</w:t>
                  </w:r>
                </w:p>
              </w:tc>
              <w:tc>
                <w:tcPr>
                  <w:tcW w:w="20" w:type="dxa"/>
                  <w:tcBorders>
                    <w:bottom w:val="single" w:sz="6" w:space="0" w:color="BFBFBF"/>
                  </w:tcBorders>
                </w:tcPr>
                <w:p w14:paraId="13918561" w14:textId="77777777" w:rsidR="005E48A5" w:rsidRPr="00A251C8" w:rsidRDefault="005E48A5" w:rsidP="000B48BF">
                  <w:pPr>
                    <w:pStyle w:val="TableBodyText"/>
                    <w:jc w:val="left"/>
                  </w:pPr>
                </w:p>
              </w:tc>
              <w:tc>
                <w:tcPr>
                  <w:tcW w:w="7455" w:type="dxa"/>
                  <w:gridSpan w:val="2"/>
                  <w:tcBorders>
                    <w:bottom w:val="single" w:sz="6" w:space="0" w:color="BFBFBF"/>
                  </w:tcBorders>
                  <w:shd w:val="clear" w:color="auto" w:fill="auto"/>
                </w:tcPr>
                <w:p w14:paraId="50B685B2" w14:textId="77777777" w:rsidR="005E48A5" w:rsidRPr="00A251C8" w:rsidRDefault="005E48A5" w:rsidP="000904CB">
                  <w:pPr>
                    <w:pStyle w:val="TableBodyText"/>
                    <w:ind w:right="28"/>
                    <w:jc w:val="both"/>
                  </w:pPr>
                </w:p>
              </w:tc>
            </w:tr>
            <w:tr w:rsidR="005E48A5" w:rsidRPr="00A251C8" w14:paraId="63323EAA" w14:textId="77777777" w:rsidTr="000F0FD2">
              <w:trPr>
                <w:gridAfter w:val="3"/>
                <w:wAfter w:w="18" w:type="dxa"/>
              </w:trPr>
              <w:tc>
                <w:tcPr>
                  <w:tcW w:w="1136" w:type="dxa"/>
                  <w:tcBorders>
                    <w:bottom w:val="single" w:sz="6" w:space="0" w:color="BFBFBF"/>
                  </w:tcBorders>
                  <w:shd w:val="clear" w:color="auto" w:fill="auto"/>
                </w:tcPr>
                <w:p w14:paraId="32E4AA42" w14:textId="77777777" w:rsidR="005E48A5" w:rsidRPr="00A251C8" w:rsidRDefault="005E48A5" w:rsidP="000B48BF">
                  <w:pPr>
                    <w:pStyle w:val="TableBodyText"/>
                    <w:jc w:val="left"/>
                    <w:rPr>
                      <w:b/>
                    </w:rPr>
                  </w:pPr>
                  <w:r w:rsidRPr="00A251C8">
                    <w:rPr>
                      <w:rFonts w:cs="Arial"/>
                      <w:i/>
                      <w:iCs/>
                      <w:color w:val="000000"/>
                      <w:sz w:val="20"/>
                    </w:rPr>
                    <w:t>Key Features:</w:t>
                  </w:r>
                </w:p>
              </w:tc>
              <w:tc>
                <w:tcPr>
                  <w:tcW w:w="20" w:type="dxa"/>
                  <w:tcBorders>
                    <w:bottom w:val="single" w:sz="6" w:space="0" w:color="BFBFBF"/>
                  </w:tcBorders>
                </w:tcPr>
                <w:p w14:paraId="0964727B" w14:textId="77777777" w:rsidR="005E48A5" w:rsidRPr="00A251C8" w:rsidRDefault="005E48A5" w:rsidP="000B48BF">
                  <w:pPr>
                    <w:pStyle w:val="TableBodyText"/>
                    <w:jc w:val="left"/>
                  </w:pPr>
                </w:p>
              </w:tc>
              <w:tc>
                <w:tcPr>
                  <w:tcW w:w="7455" w:type="dxa"/>
                  <w:gridSpan w:val="2"/>
                  <w:tcBorders>
                    <w:bottom w:val="single" w:sz="6" w:space="0" w:color="BFBFBF"/>
                  </w:tcBorders>
                  <w:shd w:val="clear" w:color="auto" w:fill="auto"/>
                </w:tcPr>
                <w:p w14:paraId="5254499B" w14:textId="24265102" w:rsidR="002E0479" w:rsidRDefault="002E0479" w:rsidP="000904CB">
                  <w:pPr>
                    <w:pStyle w:val="TableUnitsRow"/>
                    <w:jc w:val="both"/>
                  </w:pPr>
                  <w:r>
                    <w:t>The annual Attitudes to School Survey gathers data to support: (1) student wellbeing; (2) engagement; (3) school improvement; and (4) planning in Victorian government schools.</w:t>
                  </w:r>
                </w:p>
                <w:p w14:paraId="2D13946F" w14:textId="0698B3E7" w:rsidR="005E48A5" w:rsidRPr="00A251C8" w:rsidRDefault="002E0479" w:rsidP="000904CB">
                  <w:pPr>
                    <w:pStyle w:val="TableUnitsRow"/>
                    <w:jc w:val="both"/>
                  </w:pPr>
                  <w:r>
                    <w:t>The online survey captures the attitudes and experiences of students in Years 4 to 12 and is designed principally to inform improvement opportunities within government schools.</w:t>
                  </w:r>
                </w:p>
              </w:tc>
            </w:tr>
            <w:tr w:rsidR="005E48A5" w:rsidRPr="00A251C8" w14:paraId="59DAC39B" w14:textId="77777777" w:rsidTr="000F0FD2">
              <w:trPr>
                <w:gridAfter w:val="3"/>
                <w:wAfter w:w="18" w:type="dxa"/>
              </w:trPr>
              <w:tc>
                <w:tcPr>
                  <w:tcW w:w="1136" w:type="dxa"/>
                  <w:tcBorders>
                    <w:bottom w:val="single" w:sz="6" w:space="0" w:color="BFBFBF"/>
                  </w:tcBorders>
                  <w:shd w:val="clear" w:color="auto" w:fill="auto"/>
                </w:tcPr>
                <w:p w14:paraId="199ADF85" w14:textId="77777777" w:rsidR="005E48A5" w:rsidRPr="00A251C8" w:rsidRDefault="005E48A5" w:rsidP="000B48BF">
                  <w:pPr>
                    <w:pStyle w:val="TableBodyText"/>
                    <w:jc w:val="left"/>
                    <w:rPr>
                      <w:rFonts w:cs="Arial"/>
                      <w:i/>
                      <w:iCs/>
                      <w:color w:val="000000"/>
                      <w:sz w:val="20"/>
                    </w:rPr>
                  </w:pPr>
                  <w:r w:rsidRPr="00A251C8">
                    <w:rPr>
                      <w:rFonts w:cs="Arial"/>
                      <w:i/>
                      <w:iCs/>
                      <w:color w:val="000000"/>
                      <w:sz w:val="20"/>
                    </w:rPr>
                    <w:t>Domain:</w:t>
                  </w:r>
                </w:p>
              </w:tc>
              <w:tc>
                <w:tcPr>
                  <w:tcW w:w="20" w:type="dxa"/>
                  <w:tcBorders>
                    <w:bottom w:val="single" w:sz="6" w:space="0" w:color="BFBFBF"/>
                  </w:tcBorders>
                </w:tcPr>
                <w:p w14:paraId="657DAA09" w14:textId="77777777" w:rsidR="005E48A5" w:rsidRPr="00A251C8" w:rsidRDefault="005E48A5" w:rsidP="000B48BF">
                  <w:pPr>
                    <w:pStyle w:val="TableBodyText"/>
                    <w:jc w:val="left"/>
                  </w:pPr>
                </w:p>
              </w:tc>
              <w:tc>
                <w:tcPr>
                  <w:tcW w:w="7455" w:type="dxa"/>
                  <w:gridSpan w:val="2"/>
                  <w:tcBorders>
                    <w:bottom w:val="single" w:sz="6" w:space="0" w:color="BFBFBF"/>
                  </w:tcBorders>
                  <w:shd w:val="clear" w:color="auto" w:fill="auto"/>
                </w:tcPr>
                <w:p w14:paraId="20F1085E" w14:textId="0C497097" w:rsidR="005E48A5" w:rsidRPr="00A251C8" w:rsidRDefault="002E0479" w:rsidP="000904CB">
                  <w:pPr>
                    <w:pStyle w:val="TableUnitsRow"/>
                    <w:jc w:val="both"/>
                  </w:pPr>
                  <w:r w:rsidRPr="002E0479">
                    <w:t xml:space="preserve">The </w:t>
                  </w:r>
                  <w:r w:rsidR="005C763B" w:rsidRPr="005C763B">
                    <w:t>Attitudes to School Survey</w:t>
                  </w:r>
                  <w:r w:rsidRPr="002E0479">
                    <w:t xml:space="preserve"> measures aspects of student’s emotional and cognitive engagement.</w:t>
                  </w:r>
                </w:p>
              </w:tc>
            </w:tr>
            <w:tr w:rsidR="005E48A5" w:rsidRPr="00A251C8" w14:paraId="34209AE2" w14:textId="77777777" w:rsidTr="000F0FD2">
              <w:trPr>
                <w:gridAfter w:val="3"/>
                <w:wAfter w:w="18" w:type="dxa"/>
              </w:trPr>
              <w:tc>
                <w:tcPr>
                  <w:tcW w:w="1136" w:type="dxa"/>
                  <w:tcBorders>
                    <w:bottom w:val="single" w:sz="6" w:space="0" w:color="BFBFBF"/>
                  </w:tcBorders>
                  <w:shd w:val="clear" w:color="auto" w:fill="auto"/>
                </w:tcPr>
                <w:p w14:paraId="388EF9C2" w14:textId="77777777" w:rsidR="005E48A5" w:rsidRPr="00A251C8" w:rsidRDefault="005E48A5" w:rsidP="000B48BF">
                  <w:pPr>
                    <w:pStyle w:val="TableBodyText"/>
                    <w:jc w:val="left"/>
                    <w:rPr>
                      <w:rFonts w:cs="Arial"/>
                      <w:i/>
                      <w:iCs/>
                      <w:color w:val="000000"/>
                      <w:sz w:val="20"/>
                    </w:rPr>
                  </w:pPr>
                  <w:r w:rsidRPr="00A251C8">
                    <w:rPr>
                      <w:rFonts w:cs="Arial"/>
                      <w:i/>
                      <w:iCs/>
                      <w:color w:val="000000"/>
                      <w:sz w:val="20"/>
                    </w:rPr>
                    <w:t>Statistics:</w:t>
                  </w:r>
                </w:p>
              </w:tc>
              <w:tc>
                <w:tcPr>
                  <w:tcW w:w="20" w:type="dxa"/>
                  <w:tcBorders>
                    <w:bottom w:val="single" w:sz="6" w:space="0" w:color="BFBFBF"/>
                  </w:tcBorders>
                </w:tcPr>
                <w:p w14:paraId="60106942" w14:textId="77777777" w:rsidR="005E48A5" w:rsidRPr="00A251C8" w:rsidRDefault="005E48A5" w:rsidP="000B48BF">
                  <w:pPr>
                    <w:pStyle w:val="TableBodyText"/>
                    <w:jc w:val="left"/>
                  </w:pPr>
                </w:p>
              </w:tc>
              <w:tc>
                <w:tcPr>
                  <w:tcW w:w="7455" w:type="dxa"/>
                  <w:gridSpan w:val="2"/>
                  <w:tcBorders>
                    <w:bottom w:val="single" w:sz="6" w:space="0" w:color="BFBFBF"/>
                  </w:tcBorders>
                  <w:shd w:val="clear" w:color="auto" w:fill="auto"/>
                </w:tcPr>
                <w:p w14:paraId="70A2E463" w14:textId="2071B7B4" w:rsidR="005E48A5" w:rsidRPr="00A251C8" w:rsidRDefault="002E0479" w:rsidP="000904CB">
                  <w:pPr>
                    <w:pStyle w:val="TableUnitsRow"/>
                    <w:jc w:val="both"/>
                  </w:pPr>
                  <w:r w:rsidRPr="002E0479">
                    <w:t xml:space="preserve">Results for 2019 indicate that </w:t>
                  </w:r>
                  <w:proofErr w:type="gramStart"/>
                  <w:r w:rsidRPr="002E0479">
                    <w:t>the majority of</w:t>
                  </w:r>
                  <w:proofErr w:type="gramEnd"/>
                  <w:r w:rsidRPr="002E0479">
                    <w:t xml:space="preserve"> Victorian government school students feel connected to their schooling. On a </w:t>
                  </w:r>
                  <w:proofErr w:type="gramStart"/>
                  <w:r w:rsidRPr="002E0479">
                    <w:t>five point</w:t>
                  </w:r>
                  <w:proofErr w:type="gramEnd"/>
                  <w:r w:rsidRPr="002E0479">
                    <w:t xml:space="preserve"> </w:t>
                  </w:r>
                  <w:proofErr w:type="spellStart"/>
                  <w:r w:rsidRPr="002E0479">
                    <w:t>likert</w:t>
                  </w:r>
                  <w:proofErr w:type="spellEnd"/>
                  <w:r w:rsidRPr="002E0479">
                    <w:t xml:space="preserve"> scale, students in Year</w:t>
                  </w:r>
                  <w:r w:rsidR="0015493D">
                    <w:t>s</w:t>
                  </w:r>
                  <w:r w:rsidRPr="002E0479">
                    <w:t xml:space="preserve"> 5 to 6 record a mean score of 4.2 and students in Year 7 to 9 record a mean score of 3.5.</w:t>
                  </w:r>
                </w:p>
              </w:tc>
            </w:tr>
            <w:tr w:rsidR="005E48A5" w:rsidRPr="00A251C8" w14:paraId="05EE9946" w14:textId="77777777" w:rsidTr="000F0FD2">
              <w:trPr>
                <w:gridAfter w:val="2"/>
                <w:wAfter w:w="12" w:type="dxa"/>
              </w:trPr>
              <w:tc>
                <w:tcPr>
                  <w:tcW w:w="1136" w:type="dxa"/>
                  <w:tcBorders>
                    <w:bottom w:val="single" w:sz="6" w:space="0" w:color="BFBFBF"/>
                  </w:tcBorders>
                  <w:shd w:val="clear" w:color="auto" w:fill="auto"/>
                </w:tcPr>
                <w:p w14:paraId="61E29FC0" w14:textId="77777777" w:rsidR="005E48A5" w:rsidRPr="00A251C8" w:rsidRDefault="005E48A5" w:rsidP="000B48BF">
                  <w:pPr>
                    <w:pStyle w:val="TableBodyText"/>
                    <w:jc w:val="left"/>
                    <w:rPr>
                      <w:rFonts w:cs="Arial"/>
                      <w:i/>
                      <w:iCs/>
                      <w:color w:val="000000"/>
                      <w:sz w:val="20"/>
                    </w:rPr>
                  </w:pPr>
                  <w:r w:rsidRPr="00A251C8">
                    <w:rPr>
                      <w:rFonts w:cs="Arial"/>
                      <w:i/>
                      <w:iCs/>
                      <w:color w:val="000000"/>
                      <w:sz w:val="20"/>
                    </w:rPr>
                    <w:t>Link:</w:t>
                  </w:r>
                </w:p>
              </w:tc>
              <w:tc>
                <w:tcPr>
                  <w:tcW w:w="20" w:type="dxa"/>
                  <w:tcBorders>
                    <w:bottom w:val="single" w:sz="6" w:space="0" w:color="BFBFBF"/>
                  </w:tcBorders>
                </w:tcPr>
                <w:p w14:paraId="4E1765CF" w14:textId="77777777" w:rsidR="005E48A5" w:rsidRPr="00A251C8" w:rsidRDefault="005E48A5" w:rsidP="000B48BF">
                  <w:pPr>
                    <w:pStyle w:val="TableBodyText"/>
                    <w:jc w:val="left"/>
                  </w:pPr>
                </w:p>
              </w:tc>
              <w:tc>
                <w:tcPr>
                  <w:tcW w:w="7455" w:type="dxa"/>
                  <w:gridSpan w:val="2"/>
                  <w:tcBorders>
                    <w:bottom w:val="single" w:sz="6" w:space="0" w:color="BFBFBF"/>
                  </w:tcBorders>
                  <w:shd w:val="clear" w:color="auto" w:fill="auto"/>
                </w:tcPr>
                <w:p w14:paraId="72A9A6F7" w14:textId="15D853B5" w:rsidR="005E48A5" w:rsidRPr="00A251C8" w:rsidRDefault="002E0479" w:rsidP="000B48BF">
                  <w:pPr>
                    <w:pStyle w:val="TableBodyText"/>
                    <w:ind w:right="28"/>
                    <w:jc w:val="left"/>
                    <w:rPr>
                      <w:color w:val="0000FF"/>
                      <w:u w:val="single"/>
                    </w:rPr>
                  </w:pPr>
                  <w:r w:rsidRPr="002E0479">
                    <w:rPr>
                      <w:color w:val="0000FF"/>
                      <w:u w:val="single"/>
                    </w:rPr>
                    <w:t>https://www2.education.vic.gov.au/pal/data-collection-surveys/policy</w:t>
                  </w:r>
                </w:p>
              </w:tc>
              <w:tc>
                <w:tcPr>
                  <w:tcW w:w="6" w:type="dxa"/>
                  <w:tcBorders>
                    <w:bottom w:val="single" w:sz="6" w:space="0" w:color="BFBFBF"/>
                  </w:tcBorders>
                  <w:shd w:val="clear" w:color="auto" w:fill="auto"/>
                </w:tcPr>
                <w:p w14:paraId="717739BA" w14:textId="77777777" w:rsidR="005E48A5" w:rsidRPr="00A251C8" w:rsidRDefault="005E48A5" w:rsidP="000B48BF">
                  <w:pPr>
                    <w:pStyle w:val="TableBodyText"/>
                    <w:ind w:right="28"/>
                    <w:jc w:val="left"/>
                  </w:pPr>
                </w:p>
              </w:tc>
            </w:tr>
            <w:tr w:rsidR="005E48A5" w:rsidRPr="00A251C8" w14:paraId="583B3BA5" w14:textId="77777777" w:rsidTr="000F0FD2">
              <w:trPr>
                <w:gridAfter w:val="4"/>
                <w:wAfter w:w="30" w:type="dxa"/>
              </w:trPr>
              <w:tc>
                <w:tcPr>
                  <w:tcW w:w="8599" w:type="dxa"/>
                  <w:gridSpan w:val="3"/>
                  <w:tcBorders>
                    <w:bottom w:val="single" w:sz="6" w:space="0" w:color="BFBFBF"/>
                  </w:tcBorders>
                  <w:shd w:val="clear" w:color="auto" w:fill="auto"/>
                </w:tcPr>
                <w:p w14:paraId="2D7AB9EB" w14:textId="77777777" w:rsidR="005E48A5" w:rsidRPr="00A251C8" w:rsidRDefault="005E48A5" w:rsidP="000B48BF">
                  <w:pPr>
                    <w:pStyle w:val="TableUnitsRow"/>
                    <w:ind w:left="0"/>
                    <w:jc w:val="left"/>
                    <w:rPr>
                      <w:b/>
                    </w:rPr>
                  </w:pPr>
                  <w:r w:rsidRPr="00A251C8">
                    <w:rPr>
                      <w:b/>
                    </w:rPr>
                    <w:t>Queensland</w:t>
                  </w:r>
                </w:p>
              </w:tc>
            </w:tr>
            <w:tr w:rsidR="005E48A5" w:rsidRPr="00A251C8" w14:paraId="4D21BBC1" w14:textId="77777777" w:rsidTr="000F0FD2">
              <w:trPr>
                <w:gridAfter w:val="3"/>
                <w:wAfter w:w="18" w:type="dxa"/>
              </w:trPr>
              <w:tc>
                <w:tcPr>
                  <w:tcW w:w="1136" w:type="dxa"/>
                  <w:tcBorders>
                    <w:bottom w:val="single" w:sz="6" w:space="0" w:color="BFBFBF"/>
                  </w:tcBorders>
                  <w:shd w:val="clear" w:color="auto" w:fill="auto"/>
                </w:tcPr>
                <w:p w14:paraId="736C0985" w14:textId="77777777" w:rsidR="005E48A5" w:rsidRPr="00A251C8" w:rsidRDefault="005E48A5" w:rsidP="000B48BF">
                  <w:pPr>
                    <w:pStyle w:val="TableBodyText"/>
                    <w:jc w:val="left"/>
                    <w:rPr>
                      <w:b/>
                    </w:rPr>
                  </w:pPr>
                </w:p>
              </w:tc>
              <w:tc>
                <w:tcPr>
                  <w:tcW w:w="20" w:type="dxa"/>
                  <w:tcBorders>
                    <w:bottom w:val="single" w:sz="6" w:space="0" w:color="BFBFBF"/>
                  </w:tcBorders>
                </w:tcPr>
                <w:p w14:paraId="12B638B1" w14:textId="77777777" w:rsidR="005E48A5" w:rsidRPr="00A251C8" w:rsidRDefault="005E48A5" w:rsidP="000B48BF">
                  <w:pPr>
                    <w:pStyle w:val="TableBodyText"/>
                    <w:jc w:val="left"/>
                  </w:pPr>
                </w:p>
              </w:tc>
              <w:tc>
                <w:tcPr>
                  <w:tcW w:w="7455" w:type="dxa"/>
                  <w:gridSpan w:val="2"/>
                  <w:tcBorders>
                    <w:bottom w:val="single" w:sz="6" w:space="0" w:color="BFBFBF"/>
                  </w:tcBorders>
                  <w:shd w:val="clear" w:color="auto" w:fill="auto"/>
                </w:tcPr>
                <w:p w14:paraId="73A99E10" w14:textId="77777777" w:rsidR="005E48A5" w:rsidRPr="00A251C8" w:rsidRDefault="005E48A5" w:rsidP="000B48BF">
                  <w:pPr>
                    <w:pStyle w:val="TableUnitsRow"/>
                    <w:ind w:left="0"/>
                    <w:jc w:val="left"/>
                  </w:pPr>
                  <w:r w:rsidRPr="00A251C8">
                    <w:t>..</w:t>
                  </w:r>
                </w:p>
              </w:tc>
            </w:tr>
            <w:tr w:rsidR="005E48A5" w:rsidRPr="00A251C8" w14:paraId="2A4EAD7C" w14:textId="77777777" w:rsidTr="000F0FD2">
              <w:trPr>
                <w:gridAfter w:val="4"/>
                <w:wAfter w:w="30" w:type="dxa"/>
              </w:trPr>
              <w:tc>
                <w:tcPr>
                  <w:tcW w:w="8599" w:type="dxa"/>
                  <w:gridSpan w:val="3"/>
                  <w:tcBorders>
                    <w:bottom w:val="single" w:sz="6" w:space="0" w:color="BFBFBF"/>
                  </w:tcBorders>
                  <w:shd w:val="clear" w:color="auto" w:fill="auto"/>
                </w:tcPr>
                <w:p w14:paraId="222CC357" w14:textId="77777777" w:rsidR="005E48A5" w:rsidRPr="00A251C8" w:rsidRDefault="005E48A5" w:rsidP="000B48BF">
                  <w:pPr>
                    <w:pStyle w:val="TableBodyText"/>
                    <w:ind w:right="28"/>
                    <w:jc w:val="left"/>
                    <w:rPr>
                      <w:b/>
                    </w:rPr>
                  </w:pPr>
                  <w:r w:rsidRPr="00A251C8">
                    <w:rPr>
                      <w:b/>
                    </w:rPr>
                    <w:t>Western Australia</w:t>
                  </w:r>
                </w:p>
              </w:tc>
            </w:tr>
            <w:tr w:rsidR="005E48A5" w:rsidRPr="00A251C8" w14:paraId="142CD903" w14:textId="77777777" w:rsidTr="000F0FD2">
              <w:trPr>
                <w:gridAfter w:val="3"/>
                <w:wAfter w:w="18" w:type="dxa"/>
              </w:trPr>
              <w:tc>
                <w:tcPr>
                  <w:tcW w:w="1136" w:type="dxa"/>
                  <w:tcBorders>
                    <w:bottom w:val="single" w:sz="6" w:space="0" w:color="BFBFBF"/>
                  </w:tcBorders>
                  <w:shd w:val="clear" w:color="auto" w:fill="auto"/>
                </w:tcPr>
                <w:p w14:paraId="27622F76" w14:textId="77777777" w:rsidR="005E48A5" w:rsidRPr="00A251C8" w:rsidRDefault="005E48A5" w:rsidP="000B48BF">
                  <w:pPr>
                    <w:pStyle w:val="TableBodyText"/>
                    <w:ind w:right="28"/>
                    <w:jc w:val="left"/>
                    <w:rPr>
                      <w:b/>
                    </w:rPr>
                  </w:pPr>
                </w:p>
              </w:tc>
              <w:tc>
                <w:tcPr>
                  <w:tcW w:w="20" w:type="dxa"/>
                  <w:tcBorders>
                    <w:bottom w:val="single" w:sz="6" w:space="0" w:color="BFBFBF"/>
                  </w:tcBorders>
                </w:tcPr>
                <w:p w14:paraId="7CC38B4B" w14:textId="77777777" w:rsidR="005E48A5" w:rsidRPr="00A251C8" w:rsidRDefault="005E48A5" w:rsidP="000B48BF">
                  <w:pPr>
                    <w:pStyle w:val="TableBodyText"/>
                    <w:ind w:right="28"/>
                    <w:rPr>
                      <w:b/>
                    </w:rPr>
                  </w:pPr>
                </w:p>
              </w:tc>
              <w:tc>
                <w:tcPr>
                  <w:tcW w:w="7455" w:type="dxa"/>
                  <w:gridSpan w:val="2"/>
                  <w:tcBorders>
                    <w:bottom w:val="single" w:sz="6" w:space="0" w:color="BFBFBF"/>
                  </w:tcBorders>
                  <w:shd w:val="clear" w:color="auto" w:fill="auto"/>
                </w:tcPr>
                <w:p w14:paraId="74C3BCBF" w14:textId="77777777" w:rsidR="005E48A5" w:rsidRPr="00A251C8" w:rsidRDefault="005E48A5" w:rsidP="000B48BF">
                  <w:pPr>
                    <w:pStyle w:val="TableBodyText"/>
                    <w:ind w:right="28"/>
                    <w:jc w:val="left"/>
                  </w:pPr>
                  <w:r w:rsidRPr="00A251C8">
                    <w:t>..</w:t>
                  </w:r>
                </w:p>
              </w:tc>
            </w:tr>
            <w:tr w:rsidR="0074520F" w:rsidRPr="00A251C8" w14:paraId="77B25D1C" w14:textId="77777777" w:rsidTr="000F0FD2">
              <w:trPr>
                <w:gridAfter w:val="3"/>
                <w:wAfter w:w="18" w:type="dxa"/>
              </w:trPr>
              <w:tc>
                <w:tcPr>
                  <w:tcW w:w="8611" w:type="dxa"/>
                  <w:gridSpan w:val="4"/>
                  <w:tcBorders>
                    <w:bottom w:val="single" w:sz="6" w:space="0" w:color="BFBFBF"/>
                  </w:tcBorders>
                  <w:shd w:val="clear" w:color="auto" w:fill="auto"/>
                </w:tcPr>
                <w:p w14:paraId="1DCDB556" w14:textId="77777777" w:rsidR="0074520F" w:rsidRPr="00A251C8" w:rsidRDefault="0074520F" w:rsidP="0074520F">
                  <w:pPr>
                    <w:pStyle w:val="TableBodyText"/>
                    <w:ind w:right="28"/>
                    <w:jc w:val="left"/>
                  </w:pPr>
                  <w:r w:rsidRPr="00A251C8">
                    <w:rPr>
                      <w:b/>
                    </w:rPr>
                    <w:t>South Australia</w:t>
                  </w:r>
                </w:p>
              </w:tc>
            </w:tr>
            <w:tr w:rsidR="0074520F" w:rsidRPr="00A251C8" w14:paraId="35D84FC7" w14:textId="77777777" w:rsidTr="000F0FD2">
              <w:tc>
                <w:tcPr>
                  <w:tcW w:w="1136" w:type="dxa"/>
                  <w:tcBorders>
                    <w:bottom w:val="single" w:sz="6" w:space="0" w:color="BFBFBF"/>
                  </w:tcBorders>
                  <w:shd w:val="clear" w:color="auto" w:fill="auto"/>
                </w:tcPr>
                <w:p w14:paraId="10AAF635" w14:textId="77777777" w:rsidR="0074520F" w:rsidRPr="00A251C8" w:rsidRDefault="0074520F" w:rsidP="0074520F">
                  <w:pPr>
                    <w:pStyle w:val="TableBodyText"/>
                    <w:jc w:val="left"/>
                    <w:rPr>
                      <w:b/>
                    </w:rPr>
                  </w:pPr>
                  <w:r w:rsidRPr="00A251C8">
                    <w:rPr>
                      <w:rFonts w:cs="Arial"/>
                      <w:i/>
                      <w:iCs/>
                      <w:color w:val="000000"/>
                      <w:sz w:val="20"/>
                    </w:rPr>
                    <w:t>Key Features:</w:t>
                  </w:r>
                </w:p>
              </w:tc>
              <w:tc>
                <w:tcPr>
                  <w:tcW w:w="20" w:type="dxa"/>
                  <w:tcBorders>
                    <w:bottom w:val="single" w:sz="6" w:space="0" w:color="BFBFBF"/>
                  </w:tcBorders>
                </w:tcPr>
                <w:p w14:paraId="09B40CA0" w14:textId="77777777" w:rsidR="0074520F" w:rsidRPr="00A251C8" w:rsidRDefault="0074520F" w:rsidP="0074520F">
                  <w:pPr>
                    <w:pStyle w:val="TableBodyText"/>
                  </w:pPr>
                </w:p>
              </w:tc>
              <w:tc>
                <w:tcPr>
                  <w:tcW w:w="7467" w:type="dxa"/>
                  <w:gridSpan w:val="4"/>
                  <w:tcBorders>
                    <w:bottom w:val="single" w:sz="6" w:space="0" w:color="BFBFBF"/>
                  </w:tcBorders>
                  <w:shd w:val="clear" w:color="auto" w:fill="auto"/>
                </w:tcPr>
                <w:p w14:paraId="37840591" w14:textId="64FA17A2" w:rsidR="000904CB" w:rsidRDefault="000904CB" w:rsidP="003C5A00">
                  <w:pPr>
                    <w:pStyle w:val="TableBodyText"/>
                    <w:jc w:val="both"/>
                  </w:pPr>
                  <w:r>
                    <w:t xml:space="preserve">Data </w:t>
                  </w:r>
                  <w:r w:rsidR="00601F6E">
                    <w:t xml:space="preserve">are </w:t>
                  </w:r>
                  <w:r>
                    <w:t>sourced from the Wellbeing and Engagement Collection</w:t>
                  </w:r>
                  <w:r w:rsidR="00601F6E">
                    <w:t xml:space="preserve"> and are collected annually. </w:t>
                  </w:r>
                  <w:r w:rsidR="00601F6E" w:rsidRPr="00601F6E">
                    <w:t>Collection of 2020 data were delayed due to COVID-19 and were not available in time for inclusion in the 2021 Report.</w:t>
                  </w:r>
                  <w:r w:rsidR="00601F6E">
                    <w:t xml:space="preserve"> Data for 2019 are the most recent available. </w:t>
                  </w:r>
                  <w:r>
                    <w:t xml:space="preserve">The window for completion </w:t>
                  </w:r>
                  <w:r w:rsidR="00601F6E">
                    <w:t xml:space="preserve">for 2019 </w:t>
                  </w:r>
                  <w:r>
                    <w:t>was March 18 to April 5</w:t>
                  </w:r>
                  <w:r w:rsidR="00601F6E">
                    <w:t>.</w:t>
                  </w:r>
                </w:p>
                <w:p w14:paraId="5ED65867" w14:textId="36618A13" w:rsidR="000904CB" w:rsidRDefault="000904CB" w:rsidP="000904CB">
                  <w:pPr>
                    <w:pStyle w:val="TableBodyText"/>
                    <w:jc w:val="both"/>
                  </w:pPr>
                  <w:r>
                    <w:t xml:space="preserve">The purpose of the survey is to seek students’ views about their wellbeing and engagement with school. Students in </w:t>
                  </w:r>
                  <w:r w:rsidR="0015493D">
                    <w:t>Years</w:t>
                  </w:r>
                  <w:r>
                    <w:t xml:space="preserve"> 4 to 12 participated in the collection. The survey is voluntary at a school, student and question level — 93 per cent of all public schools participated. </w:t>
                  </w:r>
                </w:p>
                <w:p w14:paraId="604DBC04" w14:textId="600A4141" w:rsidR="0074520F" w:rsidRPr="00A251C8" w:rsidRDefault="000904CB" w:rsidP="000904CB">
                  <w:pPr>
                    <w:pStyle w:val="TableUnitsRow"/>
                    <w:jc w:val="both"/>
                  </w:pPr>
                  <w:r>
                    <w:t>The survey asks students about their social and emotional wellbeing; school relationships and engagement and learning in school; and physical health and wellbeing and after school activities. Students’ answers are kept confidential.</w:t>
                  </w:r>
                </w:p>
              </w:tc>
              <w:tc>
                <w:tcPr>
                  <w:tcW w:w="6" w:type="dxa"/>
                  <w:tcBorders>
                    <w:bottom w:val="single" w:sz="6" w:space="0" w:color="BFBFBF"/>
                  </w:tcBorders>
                  <w:shd w:val="clear" w:color="auto" w:fill="auto"/>
                </w:tcPr>
                <w:p w14:paraId="2132D313" w14:textId="77777777" w:rsidR="0074520F" w:rsidRPr="00A251C8" w:rsidRDefault="0074520F" w:rsidP="0074520F">
                  <w:pPr>
                    <w:pStyle w:val="TableBodyText"/>
                    <w:ind w:right="28"/>
                  </w:pPr>
                </w:p>
              </w:tc>
            </w:tr>
          </w:tbl>
          <w:p w14:paraId="178DF1AE" w14:textId="77777777" w:rsidR="005E48A5" w:rsidRPr="001B18BB" w:rsidRDefault="005E48A5" w:rsidP="000B48BF">
            <w:pPr>
              <w:pStyle w:val="Subtitle"/>
            </w:pPr>
          </w:p>
        </w:tc>
      </w:tr>
      <w:tr w:rsidR="005E48A5" w14:paraId="195BAC66" w14:textId="77777777" w:rsidTr="000B48BF">
        <w:tc>
          <w:tcPr>
            <w:tcW w:w="5000" w:type="pct"/>
            <w:tcBorders>
              <w:top w:val="nil"/>
              <w:left w:val="nil"/>
              <w:bottom w:val="nil"/>
              <w:right w:val="nil"/>
            </w:tcBorders>
            <w:shd w:val="clear" w:color="auto" w:fill="auto"/>
          </w:tcPr>
          <w:tbl>
            <w:tblPr>
              <w:tblW w:w="8767" w:type="dxa"/>
              <w:tblCellMar>
                <w:top w:w="28" w:type="dxa"/>
                <w:left w:w="0" w:type="dxa"/>
                <w:right w:w="0" w:type="dxa"/>
              </w:tblCellMar>
              <w:tblLook w:val="0600" w:firstRow="0" w:lastRow="0" w:firstColumn="0" w:lastColumn="0" w:noHBand="1" w:noVBand="1"/>
            </w:tblPr>
            <w:tblGrid>
              <w:gridCol w:w="1141"/>
              <w:gridCol w:w="20"/>
              <w:gridCol w:w="2166"/>
              <w:gridCol w:w="1739"/>
              <w:gridCol w:w="1739"/>
              <w:gridCol w:w="1636"/>
              <w:gridCol w:w="259"/>
              <w:gridCol w:w="9"/>
              <w:gridCol w:w="50"/>
              <w:gridCol w:w="8"/>
            </w:tblGrid>
            <w:tr w:rsidR="005E48A5" w:rsidRPr="00A251C8" w14:paraId="4EAAE0E7" w14:textId="77777777" w:rsidTr="008D1CB3">
              <w:tc>
                <w:tcPr>
                  <w:tcW w:w="1141" w:type="dxa"/>
                  <w:tcBorders>
                    <w:top w:val="single" w:sz="6" w:space="0" w:color="BFBFBF"/>
                    <w:bottom w:val="single" w:sz="6" w:space="0" w:color="BFBFBF"/>
                  </w:tcBorders>
                  <w:shd w:val="clear" w:color="auto" w:fill="auto"/>
                </w:tcPr>
                <w:p w14:paraId="58115DB6" w14:textId="77777777" w:rsidR="005E48A5" w:rsidRPr="00A251C8" w:rsidRDefault="005E48A5" w:rsidP="000B48BF">
                  <w:pPr>
                    <w:pStyle w:val="TableBodyText"/>
                    <w:jc w:val="left"/>
                    <w:rPr>
                      <w:rFonts w:cs="Arial"/>
                      <w:i/>
                      <w:iCs/>
                      <w:color w:val="000000"/>
                      <w:sz w:val="20"/>
                    </w:rPr>
                  </w:pPr>
                  <w:r w:rsidRPr="00A251C8">
                    <w:rPr>
                      <w:rFonts w:cs="Arial"/>
                      <w:i/>
                      <w:iCs/>
                      <w:color w:val="000000"/>
                      <w:sz w:val="20"/>
                    </w:rPr>
                    <w:lastRenderedPageBreak/>
                    <w:t>Domain:</w:t>
                  </w:r>
                </w:p>
              </w:tc>
              <w:tc>
                <w:tcPr>
                  <w:tcW w:w="20" w:type="dxa"/>
                  <w:tcBorders>
                    <w:top w:val="single" w:sz="6" w:space="0" w:color="BFBFBF"/>
                    <w:bottom w:val="single" w:sz="6" w:space="0" w:color="BFBFBF"/>
                  </w:tcBorders>
                </w:tcPr>
                <w:p w14:paraId="2D44F0AD" w14:textId="77777777" w:rsidR="005E48A5" w:rsidRPr="00A251C8" w:rsidRDefault="005E48A5" w:rsidP="000B48BF">
                  <w:pPr>
                    <w:pStyle w:val="TableBodyText"/>
                  </w:pPr>
                </w:p>
              </w:tc>
              <w:tc>
                <w:tcPr>
                  <w:tcW w:w="7598" w:type="dxa"/>
                  <w:gridSpan w:val="7"/>
                  <w:tcBorders>
                    <w:top w:val="single" w:sz="6" w:space="0" w:color="BFBFBF"/>
                    <w:bottom w:val="single" w:sz="6" w:space="0" w:color="BFBFBF"/>
                  </w:tcBorders>
                  <w:shd w:val="clear" w:color="auto" w:fill="auto"/>
                </w:tcPr>
                <w:p w14:paraId="64B5D209" w14:textId="77777777" w:rsidR="000904CB" w:rsidRDefault="000904CB" w:rsidP="000904CB">
                  <w:pPr>
                    <w:pStyle w:val="TableBodyText"/>
                    <w:ind w:left="0"/>
                    <w:jc w:val="both"/>
                  </w:pPr>
                  <w:r>
                    <w:t>Connectedness to school – having at least on adult at school who provides support to a young person.</w:t>
                  </w:r>
                </w:p>
                <w:p w14:paraId="2E47984F" w14:textId="77777777" w:rsidR="000904CB" w:rsidRDefault="000904CB" w:rsidP="000904CB">
                  <w:pPr>
                    <w:pStyle w:val="TableBodyText"/>
                    <w:ind w:left="0"/>
                    <w:jc w:val="both"/>
                  </w:pPr>
                  <w:r>
                    <w:t>Emotional engagement with teachers – support and relationships with teachers.</w:t>
                  </w:r>
                </w:p>
                <w:p w14:paraId="0BAADDE7" w14:textId="77777777" w:rsidR="000904CB" w:rsidRDefault="000904CB" w:rsidP="000904CB">
                  <w:pPr>
                    <w:pStyle w:val="TableBodyText"/>
                    <w:ind w:left="0"/>
                    <w:jc w:val="both"/>
                  </w:pPr>
                  <w:r>
                    <w:t xml:space="preserve">School climate- overall tone of the school environment, including the way teachers and students interact and how students treat each other. </w:t>
                  </w:r>
                </w:p>
                <w:p w14:paraId="350F9A2B" w14:textId="77777777" w:rsidR="000904CB" w:rsidRDefault="000904CB" w:rsidP="000904CB">
                  <w:pPr>
                    <w:pStyle w:val="TableBodyText"/>
                    <w:ind w:left="0"/>
                    <w:jc w:val="both"/>
                  </w:pPr>
                  <w:r>
                    <w:t xml:space="preserve">School belonging – the degree to which young people feel connected and valued at their school. </w:t>
                  </w:r>
                </w:p>
                <w:p w14:paraId="329A46C1" w14:textId="77777777" w:rsidR="000904CB" w:rsidRDefault="000904CB" w:rsidP="000904CB">
                  <w:pPr>
                    <w:pStyle w:val="TableBodyText"/>
                    <w:ind w:left="0"/>
                    <w:jc w:val="both"/>
                  </w:pPr>
                  <w:r>
                    <w:t xml:space="preserve">Peer belonging – feeling that they belong to a social group. </w:t>
                  </w:r>
                </w:p>
                <w:p w14:paraId="63991980" w14:textId="77777777" w:rsidR="000904CB" w:rsidRDefault="000904CB" w:rsidP="000904CB">
                  <w:pPr>
                    <w:pStyle w:val="TableBodyText"/>
                    <w:ind w:left="0"/>
                    <w:jc w:val="both"/>
                  </w:pPr>
                  <w:r>
                    <w:t xml:space="preserve">Friendship intimacy – quality of social support from peers. </w:t>
                  </w:r>
                </w:p>
                <w:p w14:paraId="037436F8" w14:textId="77777777" w:rsidR="000904CB" w:rsidRDefault="000904CB" w:rsidP="000904CB">
                  <w:pPr>
                    <w:pStyle w:val="TableBodyText"/>
                    <w:ind w:left="0"/>
                    <w:jc w:val="both"/>
                  </w:pPr>
                  <w:r>
                    <w:t>Perseverance – having the tenacity to stick with things and pursue goals, despite challenges that arise</w:t>
                  </w:r>
                </w:p>
                <w:p w14:paraId="1C6D780D" w14:textId="77777777" w:rsidR="000904CB" w:rsidRDefault="000904CB" w:rsidP="000904CB">
                  <w:pPr>
                    <w:pStyle w:val="TableBodyText"/>
                    <w:ind w:left="0"/>
                    <w:jc w:val="both"/>
                  </w:pPr>
                  <w:r>
                    <w:t xml:space="preserve">Cognitive engagement – persistence with classroom tasks, generating ideas and attitudes related to holding a growth mindset. </w:t>
                  </w:r>
                </w:p>
                <w:p w14:paraId="67CBD145" w14:textId="2EA347CA" w:rsidR="005E48A5" w:rsidRPr="00A251C8" w:rsidRDefault="000904CB" w:rsidP="000904CB">
                  <w:pPr>
                    <w:pStyle w:val="TableUnitsRow"/>
                    <w:jc w:val="both"/>
                    <w:rPr>
                      <w:i/>
                    </w:rPr>
                  </w:pPr>
                  <w:r>
                    <w:t>Academic self-concept – perceptions of themselves as students and how interested and confident they feel at school.</w:t>
                  </w:r>
                </w:p>
              </w:tc>
              <w:tc>
                <w:tcPr>
                  <w:tcW w:w="8" w:type="dxa"/>
                  <w:tcBorders>
                    <w:top w:val="single" w:sz="6" w:space="0" w:color="BFBFBF"/>
                    <w:bottom w:val="single" w:sz="6" w:space="0" w:color="BFBFBF"/>
                  </w:tcBorders>
                  <w:shd w:val="clear" w:color="auto" w:fill="auto"/>
                </w:tcPr>
                <w:p w14:paraId="112835F6" w14:textId="77777777" w:rsidR="005E48A5" w:rsidRPr="00A251C8" w:rsidRDefault="005E48A5" w:rsidP="000B48BF">
                  <w:pPr>
                    <w:pStyle w:val="TableBodyText"/>
                    <w:ind w:right="28"/>
                  </w:pPr>
                </w:p>
              </w:tc>
            </w:tr>
            <w:tr w:rsidR="005E48A5" w:rsidRPr="00A251C8" w14:paraId="6D83E562" w14:textId="77777777" w:rsidTr="008D1CB3">
              <w:tc>
                <w:tcPr>
                  <w:tcW w:w="1141" w:type="dxa"/>
                  <w:tcBorders>
                    <w:bottom w:val="single" w:sz="6" w:space="0" w:color="BFBFBF"/>
                  </w:tcBorders>
                  <w:shd w:val="clear" w:color="auto" w:fill="auto"/>
                </w:tcPr>
                <w:p w14:paraId="0C82E326" w14:textId="77777777" w:rsidR="005E48A5" w:rsidRPr="00A251C8" w:rsidRDefault="005E48A5" w:rsidP="000B48BF">
                  <w:pPr>
                    <w:pStyle w:val="TableBodyText"/>
                    <w:ind w:left="0"/>
                    <w:jc w:val="left"/>
                    <w:rPr>
                      <w:rFonts w:cs="Arial"/>
                      <w:i/>
                      <w:iCs/>
                      <w:color w:val="000000"/>
                      <w:sz w:val="20"/>
                    </w:rPr>
                  </w:pPr>
                  <w:r w:rsidRPr="00A251C8">
                    <w:rPr>
                      <w:rFonts w:cs="Arial"/>
                      <w:i/>
                      <w:iCs/>
                      <w:color w:val="000000"/>
                      <w:sz w:val="20"/>
                    </w:rPr>
                    <w:t>Statistics:</w:t>
                  </w:r>
                </w:p>
              </w:tc>
              <w:tc>
                <w:tcPr>
                  <w:tcW w:w="20" w:type="dxa"/>
                  <w:tcBorders>
                    <w:bottom w:val="single" w:sz="6" w:space="0" w:color="BFBFBF"/>
                  </w:tcBorders>
                </w:tcPr>
                <w:p w14:paraId="1450EB7E" w14:textId="77777777" w:rsidR="005E48A5" w:rsidRPr="00A251C8" w:rsidRDefault="005E48A5" w:rsidP="000B48BF">
                  <w:pPr>
                    <w:pStyle w:val="TableBodyText"/>
                  </w:pPr>
                </w:p>
              </w:tc>
              <w:tc>
                <w:tcPr>
                  <w:tcW w:w="7598" w:type="dxa"/>
                  <w:gridSpan w:val="7"/>
                  <w:tcBorders>
                    <w:bottom w:val="single" w:sz="6" w:space="0" w:color="BFBFBF"/>
                  </w:tcBorders>
                  <w:shd w:val="clear" w:color="auto" w:fill="auto"/>
                </w:tcPr>
                <w:p w14:paraId="2F80A136" w14:textId="23AC6EA2" w:rsidR="005E48A5" w:rsidRPr="00A251C8" w:rsidRDefault="005E48A5" w:rsidP="00CE1F66">
                  <w:pPr>
                    <w:pStyle w:val="TableUnitsRow"/>
                    <w:jc w:val="left"/>
                  </w:pPr>
                  <w:r w:rsidRPr="00A251C8">
                    <w:t>The proportion of students who reported low, medium and high levels of wellbeing in 2019.</w:t>
                  </w:r>
                </w:p>
              </w:tc>
              <w:tc>
                <w:tcPr>
                  <w:tcW w:w="8" w:type="dxa"/>
                  <w:tcBorders>
                    <w:bottom w:val="single" w:sz="6" w:space="0" w:color="BFBFBF"/>
                  </w:tcBorders>
                  <w:shd w:val="clear" w:color="auto" w:fill="auto"/>
                </w:tcPr>
                <w:p w14:paraId="74B5622A" w14:textId="77777777" w:rsidR="005E48A5" w:rsidRPr="00A251C8" w:rsidRDefault="005E48A5" w:rsidP="000B48BF">
                  <w:pPr>
                    <w:pStyle w:val="TableBodyText"/>
                    <w:ind w:right="28"/>
                  </w:pPr>
                </w:p>
              </w:tc>
            </w:tr>
            <w:tr w:rsidR="005E48A5" w:rsidRPr="00A251C8" w14:paraId="3F9C312C" w14:textId="77777777" w:rsidTr="00903A63">
              <w:tblPrEx>
                <w:tblCellMar>
                  <w:top w:w="0" w:type="dxa"/>
                  <w:left w:w="108" w:type="dxa"/>
                  <w:right w:w="108" w:type="dxa"/>
                </w:tblCellMar>
                <w:tblLook w:val="04A0" w:firstRow="1" w:lastRow="0" w:firstColumn="1" w:lastColumn="0" w:noHBand="0" w:noVBand="1"/>
              </w:tblPrEx>
              <w:trPr>
                <w:gridAfter w:val="4"/>
                <w:wAfter w:w="326" w:type="dxa"/>
                <w:trHeight w:val="330"/>
              </w:trPr>
              <w:tc>
                <w:tcPr>
                  <w:tcW w:w="3327" w:type="dxa"/>
                  <w:gridSpan w:val="3"/>
                  <w:tcBorders>
                    <w:top w:val="single" w:sz="4" w:space="0" w:color="BFBFBF"/>
                    <w:left w:val="nil"/>
                    <w:bottom w:val="single" w:sz="4" w:space="0" w:color="BFBFBF"/>
                    <w:right w:val="nil"/>
                  </w:tcBorders>
                  <w:shd w:val="clear" w:color="auto" w:fill="auto"/>
                  <w:hideMark/>
                </w:tcPr>
                <w:p w14:paraId="7803D1D1" w14:textId="77777777" w:rsidR="005E48A5" w:rsidRPr="00A251C8" w:rsidRDefault="005E48A5" w:rsidP="000B48BF">
                  <w:pPr>
                    <w:rPr>
                      <w:rFonts w:ascii="Arial" w:hAnsi="Arial" w:cs="Arial"/>
                      <w:sz w:val="20"/>
                      <w:szCs w:val="20"/>
                    </w:rPr>
                  </w:pPr>
                  <w:r w:rsidRPr="00A251C8">
                    <w:rPr>
                      <w:rFonts w:ascii="Arial" w:hAnsi="Arial" w:cs="Arial"/>
                      <w:sz w:val="20"/>
                      <w:szCs w:val="20"/>
                    </w:rPr>
                    <w:t>Domain</w:t>
                  </w:r>
                </w:p>
              </w:tc>
              <w:tc>
                <w:tcPr>
                  <w:tcW w:w="1739" w:type="dxa"/>
                  <w:tcBorders>
                    <w:top w:val="single" w:sz="4" w:space="0" w:color="BFBFBF"/>
                    <w:left w:val="nil"/>
                    <w:bottom w:val="single" w:sz="4" w:space="0" w:color="BFBFBF"/>
                    <w:right w:val="nil"/>
                  </w:tcBorders>
                  <w:shd w:val="clear" w:color="auto" w:fill="auto"/>
                  <w:hideMark/>
                </w:tcPr>
                <w:p w14:paraId="45952A73" w14:textId="77777777" w:rsidR="005E48A5" w:rsidRPr="00A251C8" w:rsidRDefault="005E48A5" w:rsidP="000B48BF">
                  <w:pPr>
                    <w:jc w:val="center"/>
                    <w:rPr>
                      <w:rFonts w:ascii="Arial" w:hAnsi="Arial" w:cs="Arial"/>
                      <w:sz w:val="20"/>
                      <w:szCs w:val="20"/>
                    </w:rPr>
                  </w:pPr>
                  <w:r w:rsidRPr="00A251C8">
                    <w:rPr>
                      <w:rFonts w:ascii="Arial" w:hAnsi="Arial" w:cs="Arial"/>
                      <w:sz w:val="20"/>
                      <w:szCs w:val="20"/>
                    </w:rPr>
                    <w:t>High</w:t>
                  </w:r>
                </w:p>
              </w:tc>
              <w:tc>
                <w:tcPr>
                  <w:tcW w:w="1739" w:type="dxa"/>
                  <w:tcBorders>
                    <w:top w:val="single" w:sz="4" w:space="0" w:color="BFBFBF"/>
                    <w:left w:val="nil"/>
                    <w:bottom w:val="single" w:sz="4" w:space="0" w:color="BFBFBF"/>
                    <w:right w:val="nil"/>
                  </w:tcBorders>
                  <w:shd w:val="clear" w:color="auto" w:fill="auto"/>
                  <w:hideMark/>
                </w:tcPr>
                <w:p w14:paraId="068A4A6F" w14:textId="77777777" w:rsidR="005E48A5" w:rsidRPr="00A251C8" w:rsidRDefault="005E48A5" w:rsidP="000B48BF">
                  <w:pPr>
                    <w:jc w:val="center"/>
                    <w:rPr>
                      <w:rFonts w:ascii="Arial" w:hAnsi="Arial" w:cs="Arial"/>
                      <w:sz w:val="20"/>
                      <w:szCs w:val="20"/>
                    </w:rPr>
                  </w:pPr>
                  <w:r w:rsidRPr="00A251C8">
                    <w:rPr>
                      <w:rFonts w:ascii="Arial" w:hAnsi="Arial" w:cs="Arial"/>
                      <w:sz w:val="20"/>
                      <w:szCs w:val="20"/>
                    </w:rPr>
                    <w:t>Medium</w:t>
                  </w:r>
                </w:p>
              </w:tc>
              <w:tc>
                <w:tcPr>
                  <w:tcW w:w="1636" w:type="dxa"/>
                  <w:tcBorders>
                    <w:top w:val="single" w:sz="4" w:space="0" w:color="BFBFBF"/>
                    <w:left w:val="nil"/>
                    <w:bottom w:val="single" w:sz="4" w:space="0" w:color="BFBFBF"/>
                    <w:right w:val="nil"/>
                  </w:tcBorders>
                  <w:shd w:val="clear" w:color="auto" w:fill="auto"/>
                  <w:hideMark/>
                </w:tcPr>
                <w:p w14:paraId="025630D6" w14:textId="77777777" w:rsidR="005E48A5" w:rsidRPr="00A251C8" w:rsidRDefault="005E48A5" w:rsidP="000B48BF">
                  <w:pPr>
                    <w:jc w:val="center"/>
                    <w:rPr>
                      <w:rFonts w:ascii="Arial" w:hAnsi="Arial" w:cs="Arial"/>
                      <w:sz w:val="20"/>
                      <w:szCs w:val="20"/>
                    </w:rPr>
                  </w:pPr>
                  <w:r w:rsidRPr="00A251C8">
                    <w:rPr>
                      <w:rFonts w:ascii="Arial" w:hAnsi="Arial" w:cs="Arial"/>
                      <w:sz w:val="20"/>
                      <w:szCs w:val="20"/>
                    </w:rPr>
                    <w:t>Low</w:t>
                  </w:r>
                </w:p>
              </w:tc>
            </w:tr>
            <w:tr w:rsidR="005E48A5" w:rsidRPr="00A251C8" w14:paraId="0B106B27" w14:textId="77777777" w:rsidTr="00903A63">
              <w:tblPrEx>
                <w:tblCellMar>
                  <w:top w:w="0" w:type="dxa"/>
                  <w:left w:w="108" w:type="dxa"/>
                  <w:right w:w="108" w:type="dxa"/>
                </w:tblCellMar>
                <w:tblLook w:val="04A0" w:firstRow="1" w:lastRow="0" w:firstColumn="1" w:lastColumn="0" w:noHBand="0" w:noVBand="1"/>
              </w:tblPrEx>
              <w:trPr>
                <w:gridAfter w:val="4"/>
                <w:wAfter w:w="326" w:type="dxa"/>
                <w:trHeight w:val="330"/>
              </w:trPr>
              <w:tc>
                <w:tcPr>
                  <w:tcW w:w="3327" w:type="dxa"/>
                  <w:gridSpan w:val="3"/>
                  <w:tcBorders>
                    <w:top w:val="nil"/>
                    <w:left w:val="nil"/>
                    <w:bottom w:val="nil"/>
                    <w:right w:val="nil"/>
                  </w:tcBorders>
                  <w:shd w:val="clear" w:color="auto" w:fill="auto"/>
                  <w:hideMark/>
                </w:tcPr>
                <w:p w14:paraId="66173E00" w14:textId="77777777" w:rsidR="005E48A5" w:rsidRPr="00A251C8" w:rsidRDefault="005E48A5" w:rsidP="000B48BF">
                  <w:pPr>
                    <w:rPr>
                      <w:rFonts w:ascii="Arial" w:hAnsi="Arial" w:cs="Arial"/>
                      <w:sz w:val="18"/>
                      <w:szCs w:val="18"/>
                    </w:rPr>
                  </w:pPr>
                  <w:r w:rsidRPr="00A251C8">
                    <w:rPr>
                      <w:rFonts w:ascii="Arial" w:hAnsi="Arial" w:cs="Arial"/>
                      <w:sz w:val="18"/>
                      <w:szCs w:val="18"/>
                    </w:rPr>
                    <w:t>Connectedness to school</w:t>
                  </w:r>
                </w:p>
              </w:tc>
              <w:tc>
                <w:tcPr>
                  <w:tcW w:w="1739" w:type="dxa"/>
                  <w:tcBorders>
                    <w:top w:val="nil"/>
                    <w:left w:val="nil"/>
                    <w:bottom w:val="nil"/>
                    <w:right w:val="nil"/>
                  </w:tcBorders>
                  <w:shd w:val="clear" w:color="auto" w:fill="auto"/>
                  <w:hideMark/>
                </w:tcPr>
                <w:p w14:paraId="24B26EC0" w14:textId="77777777" w:rsidR="005E48A5" w:rsidRPr="00A251C8" w:rsidRDefault="005E48A5" w:rsidP="000B48BF">
                  <w:pPr>
                    <w:jc w:val="center"/>
                    <w:rPr>
                      <w:rFonts w:ascii="Arial" w:hAnsi="Arial" w:cs="Arial"/>
                      <w:sz w:val="18"/>
                      <w:szCs w:val="18"/>
                    </w:rPr>
                  </w:pPr>
                  <w:r w:rsidRPr="00A251C8">
                    <w:rPr>
                      <w:rFonts w:ascii="Arial" w:hAnsi="Arial" w:cs="Arial"/>
                      <w:sz w:val="18"/>
                      <w:szCs w:val="18"/>
                    </w:rPr>
                    <w:t>60%</w:t>
                  </w:r>
                </w:p>
              </w:tc>
              <w:tc>
                <w:tcPr>
                  <w:tcW w:w="1739" w:type="dxa"/>
                  <w:tcBorders>
                    <w:top w:val="nil"/>
                    <w:left w:val="nil"/>
                    <w:bottom w:val="nil"/>
                    <w:right w:val="nil"/>
                  </w:tcBorders>
                  <w:shd w:val="clear" w:color="auto" w:fill="auto"/>
                  <w:hideMark/>
                </w:tcPr>
                <w:p w14:paraId="6C4F930A" w14:textId="77777777" w:rsidR="005E48A5" w:rsidRPr="00A251C8" w:rsidRDefault="005E48A5" w:rsidP="000B48BF">
                  <w:pPr>
                    <w:jc w:val="center"/>
                    <w:rPr>
                      <w:rFonts w:ascii="Arial" w:hAnsi="Arial" w:cs="Arial"/>
                      <w:sz w:val="18"/>
                      <w:szCs w:val="18"/>
                    </w:rPr>
                  </w:pPr>
                  <w:r w:rsidRPr="00A251C8">
                    <w:rPr>
                      <w:rFonts w:ascii="Arial" w:hAnsi="Arial" w:cs="Arial"/>
                      <w:sz w:val="18"/>
                      <w:szCs w:val="18"/>
                    </w:rPr>
                    <w:t>30%</w:t>
                  </w:r>
                </w:p>
              </w:tc>
              <w:tc>
                <w:tcPr>
                  <w:tcW w:w="1636" w:type="dxa"/>
                  <w:tcBorders>
                    <w:top w:val="nil"/>
                    <w:left w:val="nil"/>
                    <w:bottom w:val="nil"/>
                    <w:right w:val="nil"/>
                  </w:tcBorders>
                  <w:shd w:val="clear" w:color="auto" w:fill="auto"/>
                  <w:hideMark/>
                </w:tcPr>
                <w:p w14:paraId="43C8D7ED" w14:textId="77777777" w:rsidR="005E48A5" w:rsidRPr="00A251C8" w:rsidRDefault="005E48A5" w:rsidP="000B48BF">
                  <w:pPr>
                    <w:jc w:val="center"/>
                    <w:rPr>
                      <w:rFonts w:ascii="Arial" w:hAnsi="Arial" w:cs="Arial"/>
                      <w:sz w:val="18"/>
                      <w:szCs w:val="18"/>
                    </w:rPr>
                  </w:pPr>
                  <w:r w:rsidRPr="00A251C8">
                    <w:rPr>
                      <w:rFonts w:ascii="Arial" w:hAnsi="Arial" w:cs="Arial"/>
                      <w:sz w:val="18"/>
                      <w:szCs w:val="18"/>
                    </w:rPr>
                    <w:t>10%</w:t>
                  </w:r>
                </w:p>
              </w:tc>
            </w:tr>
            <w:tr w:rsidR="005E48A5" w:rsidRPr="00A251C8" w14:paraId="4E0C147B" w14:textId="77777777" w:rsidTr="00903A63">
              <w:tblPrEx>
                <w:tblCellMar>
                  <w:top w:w="0" w:type="dxa"/>
                  <w:left w:w="108" w:type="dxa"/>
                  <w:right w:w="108" w:type="dxa"/>
                </w:tblCellMar>
                <w:tblLook w:val="04A0" w:firstRow="1" w:lastRow="0" w:firstColumn="1" w:lastColumn="0" w:noHBand="0" w:noVBand="1"/>
              </w:tblPrEx>
              <w:trPr>
                <w:gridAfter w:val="4"/>
                <w:wAfter w:w="326" w:type="dxa"/>
                <w:trHeight w:val="330"/>
              </w:trPr>
              <w:tc>
                <w:tcPr>
                  <w:tcW w:w="3327" w:type="dxa"/>
                  <w:gridSpan w:val="3"/>
                  <w:tcBorders>
                    <w:top w:val="nil"/>
                    <w:left w:val="nil"/>
                    <w:bottom w:val="nil"/>
                    <w:right w:val="nil"/>
                  </w:tcBorders>
                  <w:shd w:val="clear" w:color="auto" w:fill="auto"/>
                  <w:hideMark/>
                </w:tcPr>
                <w:p w14:paraId="0FEB78A9" w14:textId="77777777" w:rsidR="005E48A5" w:rsidRPr="00A251C8" w:rsidRDefault="005E48A5" w:rsidP="000B48BF">
                  <w:pPr>
                    <w:rPr>
                      <w:rFonts w:ascii="Arial" w:hAnsi="Arial" w:cs="Arial"/>
                      <w:sz w:val="18"/>
                      <w:szCs w:val="18"/>
                    </w:rPr>
                  </w:pPr>
                  <w:r w:rsidRPr="00A251C8">
                    <w:rPr>
                      <w:rFonts w:ascii="Arial" w:hAnsi="Arial" w:cs="Arial"/>
                      <w:sz w:val="18"/>
                      <w:szCs w:val="18"/>
                    </w:rPr>
                    <w:t>Emotional engagement with teacher</w:t>
                  </w:r>
                </w:p>
              </w:tc>
              <w:tc>
                <w:tcPr>
                  <w:tcW w:w="1739" w:type="dxa"/>
                  <w:tcBorders>
                    <w:top w:val="nil"/>
                    <w:left w:val="nil"/>
                    <w:bottom w:val="nil"/>
                    <w:right w:val="nil"/>
                  </w:tcBorders>
                  <w:shd w:val="clear" w:color="auto" w:fill="auto"/>
                  <w:hideMark/>
                </w:tcPr>
                <w:p w14:paraId="5780956E" w14:textId="77777777" w:rsidR="005E48A5" w:rsidRPr="00A251C8" w:rsidRDefault="005E48A5" w:rsidP="000B48BF">
                  <w:pPr>
                    <w:jc w:val="center"/>
                    <w:rPr>
                      <w:rFonts w:ascii="Arial" w:hAnsi="Arial" w:cs="Arial"/>
                      <w:sz w:val="18"/>
                      <w:szCs w:val="18"/>
                    </w:rPr>
                  </w:pPr>
                  <w:r w:rsidRPr="00A251C8">
                    <w:rPr>
                      <w:rFonts w:ascii="Arial" w:hAnsi="Arial" w:cs="Arial"/>
                      <w:sz w:val="18"/>
                      <w:szCs w:val="18"/>
                    </w:rPr>
                    <w:t>72%</w:t>
                  </w:r>
                </w:p>
              </w:tc>
              <w:tc>
                <w:tcPr>
                  <w:tcW w:w="1739" w:type="dxa"/>
                  <w:tcBorders>
                    <w:top w:val="nil"/>
                    <w:left w:val="nil"/>
                    <w:bottom w:val="nil"/>
                    <w:right w:val="nil"/>
                  </w:tcBorders>
                  <w:shd w:val="clear" w:color="auto" w:fill="auto"/>
                  <w:hideMark/>
                </w:tcPr>
                <w:p w14:paraId="7AF172FA" w14:textId="77777777" w:rsidR="005E48A5" w:rsidRPr="00A251C8" w:rsidRDefault="005E48A5" w:rsidP="000B48BF">
                  <w:pPr>
                    <w:jc w:val="center"/>
                    <w:rPr>
                      <w:rFonts w:ascii="Arial" w:hAnsi="Arial" w:cs="Arial"/>
                      <w:sz w:val="18"/>
                      <w:szCs w:val="18"/>
                    </w:rPr>
                  </w:pPr>
                  <w:r w:rsidRPr="00A251C8">
                    <w:rPr>
                      <w:rFonts w:ascii="Arial" w:hAnsi="Arial" w:cs="Arial"/>
                      <w:sz w:val="18"/>
                      <w:szCs w:val="18"/>
                    </w:rPr>
                    <w:t>25%</w:t>
                  </w:r>
                </w:p>
              </w:tc>
              <w:tc>
                <w:tcPr>
                  <w:tcW w:w="1636" w:type="dxa"/>
                  <w:tcBorders>
                    <w:top w:val="nil"/>
                    <w:left w:val="nil"/>
                    <w:bottom w:val="nil"/>
                    <w:right w:val="nil"/>
                  </w:tcBorders>
                  <w:shd w:val="clear" w:color="auto" w:fill="auto"/>
                  <w:hideMark/>
                </w:tcPr>
                <w:p w14:paraId="1BD4CEBE" w14:textId="77777777" w:rsidR="005E48A5" w:rsidRPr="00A251C8" w:rsidRDefault="005E48A5" w:rsidP="000B48BF">
                  <w:pPr>
                    <w:jc w:val="center"/>
                    <w:rPr>
                      <w:rFonts w:ascii="Arial" w:hAnsi="Arial" w:cs="Arial"/>
                      <w:sz w:val="18"/>
                      <w:szCs w:val="18"/>
                    </w:rPr>
                  </w:pPr>
                  <w:r w:rsidRPr="00A251C8">
                    <w:rPr>
                      <w:rFonts w:ascii="Arial" w:hAnsi="Arial" w:cs="Arial"/>
                      <w:sz w:val="18"/>
                      <w:szCs w:val="18"/>
                    </w:rPr>
                    <w:t>3%</w:t>
                  </w:r>
                </w:p>
              </w:tc>
            </w:tr>
            <w:tr w:rsidR="005E48A5" w:rsidRPr="00A251C8" w14:paraId="032EFF0E" w14:textId="77777777" w:rsidTr="00903A63">
              <w:tblPrEx>
                <w:tblCellMar>
                  <w:top w:w="0" w:type="dxa"/>
                  <w:left w:w="108" w:type="dxa"/>
                  <w:right w:w="108" w:type="dxa"/>
                </w:tblCellMar>
                <w:tblLook w:val="04A0" w:firstRow="1" w:lastRow="0" w:firstColumn="1" w:lastColumn="0" w:noHBand="0" w:noVBand="1"/>
              </w:tblPrEx>
              <w:trPr>
                <w:gridAfter w:val="4"/>
                <w:wAfter w:w="326" w:type="dxa"/>
                <w:trHeight w:val="330"/>
              </w:trPr>
              <w:tc>
                <w:tcPr>
                  <w:tcW w:w="3327" w:type="dxa"/>
                  <w:gridSpan w:val="3"/>
                  <w:tcBorders>
                    <w:top w:val="nil"/>
                    <w:left w:val="nil"/>
                    <w:bottom w:val="nil"/>
                    <w:right w:val="nil"/>
                  </w:tcBorders>
                  <w:shd w:val="clear" w:color="auto" w:fill="auto"/>
                  <w:hideMark/>
                </w:tcPr>
                <w:p w14:paraId="407A9B22" w14:textId="77777777" w:rsidR="005E48A5" w:rsidRPr="00A251C8" w:rsidRDefault="005E48A5" w:rsidP="000B48BF">
                  <w:pPr>
                    <w:rPr>
                      <w:rFonts w:ascii="Arial" w:hAnsi="Arial" w:cs="Arial"/>
                      <w:sz w:val="18"/>
                      <w:szCs w:val="18"/>
                    </w:rPr>
                  </w:pPr>
                  <w:r w:rsidRPr="00A251C8">
                    <w:rPr>
                      <w:rFonts w:ascii="Arial" w:hAnsi="Arial" w:cs="Arial"/>
                      <w:sz w:val="18"/>
                      <w:szCs w:val="18"/>
                    </w:rPr>
                    <w:t>School climate</w:t>
                  </w:r>
                </w:p>
              </w:tc>
              <w:tc>
                <w:tcPr>
                  <w:tcW w:w="1739" w:type="dxa"/>
                  <w:tcBorders>
                    <w:top w:val="nil"/>
                    <w:left w:val="nil"/>
                    <w:bottom w:val="nil"/>
                    <w:right w:val="nil"/>
                  </w:tcBorders>
                  <w:shd w:val="clear" w:color="auto" w:fill="auto"/>
                  <w:hideMark/>
                </w:tcPr>
                <w:p w14:paraId="3A9E4922" w14:textId="77777777" w:rsidR="005E48A5" w:rsidRPr="00A251C8" w:rsidRDefault="005E48A5" w:rsidP="000B48BF">
                  <w:pPr>
                    <w:jc w:val="center"/>
                    <w:rPr>
                      <w:rFonts w:ascii="Arial" w:hAnsi="Arial" w:cs="Arial"/>
                      <w:sz w:val="18"/>
                      <w:szCs w:val="18"/>
                    </w:rPr>
                  </w:pPr>
                  <w:r w:rsidRPr="00A251C8">
                    <w:rPr>
                      <w:rFonts w:ascii="Arial" w:hAnsi="Arial" w:cs="Arial"/>
                      <w:sz w:val="18"/>
                      <w:szCs w:val="18"/>
                    </w:rPr>
                    <w:t>38%</w:t>
                  </w:r>
                </w:p>
              </w:tc>
              <w:tc>
                <w:tcPr>
                  <w:tcW w:w="1739" w:type="dxa"/>
                  <w:tcBorders>
                    <w:top w:val="nil"/>
                    <w:left w:val="nil"/>
                    <w:bottom w:val="nil"/>
                    <w:right w:val="nil"/>
                  </w:tcBorders>
                  <w:shd w:val="clear" w:color="auto" w:fill="auto"/>
                  <w:hideMark/>
                </w:tcPr>
                <w:p w14:paraId="656878C3" w14:textId="77777777" w:rsidR="005E48A5" w:rsidRPr="00A251C8" w:rsidRDefault="005E48A5" w:rsidP="000B48BF">
                  <w:pPr>
                    <w:jc w:val="center"/>
                    <w:rPr>
                      <w:rFonts w:ascii="Arial" w:hAnsi="Arial" w:cs="Arial"/>
                      <w:sz w:val="18"/>
                      <w:szCs w:val="18"/>
                    </w:rPr>
                  </w:pPr>
                  <w:r w:rsidRPr="00A251C8">
                    <w:rPr>
                      <w:rFonts w:ascii="Arial" w:hAnsi="Arial" w:cs="Arial"/>
                      <w:sz w:val="18"/>
                      <w:szCs w:val="18"/>
                    </w:rPr>
                    <w:t>43%</w:t>
                  </w:r>
                </w:p>
              </w:tc>
              <w:tc>
                <w:tcPr>
                  <w:tcW w:w="1636" w:type="dxa"/>
                  <w:tcBorders>
                    <w:top w:val="nil"/>
                    <w:left w:val="nil"/>
                    <w:bottom w:val="nil"/>
                    <w:right w:val="nil"/>
                  </w:tcBorders>
                  <w:shd w:val="clear" w:color="auto" w:fill="auto"/>
                  <w:hideMark/>
                </w:tcPr>
                <w:p w14:paraId="73EDC1C1" w14:textId="77777777" w:rsidR="005E48A5" w:rsidRPr="00A251C8" w:rsidRDefault="005E48A5" w:rsidP="000B48BF">
                  <w:pPr>
                    <w:jc w:val="center"/>
                    <w:rPr>
                      <w:rFonts w:ascii="Arial" w:hAnsi="Arial" w:cs="Arial"/>
                      <w:sz w:val="18"/>
                      <w:szCs w:val="18"/>
                    </w:rPr>
                  </w:pPr>
                  <w:r w:rsidRPr="00A251C8">
                    <w:rPr>
                      <w:rFonts w:ascii="Arial" w:hAnsi="Arial" w:cs="Arial"/>
                      <w:sz w:val="18"/>
                      <w:szCs w:val="18"/>
                    </w:rPr>
                    <w:t>20%</w:t>
                  </w:r>
                </w:p>
              </w:tc>
            </w:tr>
            <w:tr w:rsidR="005E48A5" w:rsidRPr="00A251C8" w14:paraId="4DC5EDFB" w14:textId="77777777" w:rsidTr="00903A63">
              <w:tblPrEx>
                <w:tblCellMar>
                  <w:top w:w="0" w:type="dxa"/>
                  <w:left w:w="108" w:type="dxa"/>
                  <w:right w:w="108" w:type="dxa"/>
                </w:tblCellMar>
                <w:tblLook w:val="04A0" w:firstRow="1" w:lastRow="0" w:firstColumn="1" w:lastColumn="0" w:noHBand="0" w:noVBand="1"/>
              </w:tblPrEx>
              <w:trPr>
                <w:gridAfter w:val="4"/>
                <w:wAfter w:w="326" w:type="dxa"/>
                <w:trHeight w:val="330"/>
              </w:trPr>
              <w:tc>
                <w:tcPr>
                  <w:tcW w:w="3327" w:type="dxa"/>
                  <w:gridSpan w:val="3"/>
                  <w:tcBorders>
                    <w:top w:val="nil"/>
                    <w:left w:val="nil"/>
                    <w:bottom w:val="nil"/>
                    <w:right w:val="nil"/>
                  </w:tcBorders>
                  <w:shd w:val="clear" w:color="auto" w:fill="auto"/>
                  <w:hideMark/>
                </w:tcPr>
                <w:p w14:paraId="3CFB6BF7" w14:textId="77777777" w:rsidR="005E48A5" w:rsidRPr="00A251C8" w:rsidRDefault="005E48A5" w:rsidP="000B48BF">
                  <w:pPr>
                    <w:rPr>
                      <w:rFonts w:ascii="Arial" w:hAnsi="Arial" w:cs="Arial"/>
                      <w:sz w:val="18"/>
                      <w:szCs w:val="18"/>
                    </w:rPr>
                  </w:pPr>
                  <w:r w:rsidRPr="00A251C8">
                    <w:rPr>
                      <w:rFonts w:ascii="Arial" w:hAnsi="Arial" w:cs="Arial"/>
                      <w:sz w:val="18"/>
                      <w:szCs w:val="18"/>
                    </w:rPr>
                    <w:t>School belonging</w:t>
                  </w:r>
                </w:p>
              </w:tc>
              <w:tc>
                <w:tcPr>
                  <w:tcW w:w="1739" w:type="dxa"/>
                  <w:tcBorders>
                    <w:top w:val="nil"/>
                    <w:left w:val="nil"/>
                    <w:bottom w:val="nil"/>
                    <w:right w:val="nil"/>
                  </w:tcBorders>
                  <w:shd w:val="clear" w:color="auto" w:fill="auto"/>
                  <w:hideMark/>
                </w:tcPr>
                <w:p w14:paraId="1469BF33" w14:textId="77777777" w:rsidR="005E48A5" w:rsidRPr="00A251C8" w:rsidRDefault="005E48A5" w:rsidP="000B48BF">
                  <w:pPr>
                    <w:jc w:val="center"/>
                    <w:rPr>
                      <w:rFonts w:ascii="Arial" w:hAnsi="Arial" w:cs="Arial"/>
                      <w:sz w:val="18"/>
                      <w:szCs w:val="18"/>
                    </w:rPr>
                  </w:pPr>
                  <w:r w:rsidRPr="00A251C8">
                    <w:rPr>
                      <w:rFonts w:ascii="Arial" w:hAnsi="Arial" w:cs="Arial"/>
                      <w:sz w:val="18"/>
                      <w:szCs w:val="18"/>
                    </w:rPr>
                    <w:t>45%</w:t>
                  </w:r>
                </w:p>
              </w:tc>
              <w:tc>
                <w:tcPr>
                  <w:tcW w:w="1739" w:type="dxa"/>
                  <w:tcBorders>
                    <w:top w:val="nil"/>
                    <w:left w:val="nil"/>
                    <w:bottom w:val="nil"/>
                    <w:right w:val="nil"/>
                  </w:tcBorders>
                  <w:shd w:val="clear" w:color="auto" w:fill="auto"/>
                  <w:hideMark/>
                </w:tcPr>
                <w:p w14:paraId="37D8B130" w14:textId="77777777" w:rsidR="005E48A5" w:rsidRPr="00A251C8" w:rsidRDefault="005E48A5" w:rsidP="000B48BF">
                  <w:pPr>
                    <w:jc w:val="center"/>
                    <w:rPr>
                      <w:rFonts w:ascii="Arial" w:hAnsi="Arial" w:cs="Arial"/>
                      <w:sz w:val="18"/>
                      <w:szCs w:val="18"/>
                    </w:rPr>
                  </w:pPr>
                  <w:r w:rsidRPr="00A251C8">
                    <w:rPr>
                      <w:rFonts w:ascii="Arial" w:hAnsi="Arial" w:cs="Arial"/>
                      <w:sz w:val="18"/>
                      <w:szCs w:val="18"/>
                    </w:rPr>
                    <w:t>34%</w:t>
                  </w:r>
                </w:p>
              </w:tc>
              <w:tc>
                <w:tcPr>
                  <w:tcW w:w="1636" w:type="dxa"/>
                  <w:tcBorders>
                    <w:top w:val="nil"/>
                    <w:left w:val="nil"/>
                    <w:bottom w:val="nil"/>
                    <w:right w:val="nil"/>
                  </w:tcBorders>
                  <w:shd w:val="clear" w:color="auto" w:fill="auto"/>
                  <w:hideMark/>
                </w:tcPr>
                <w:p w14:paraId="0F1257FB" w14:textId="77777777" w:rsidR="005E48A5" w:rsidRPr="00A251C8" w:rsidRDefault="005E48A5" w:rsidP="000B48BF">
                  <w:pPr>
                    <w:jc w:val="center"/>
                    <w:rPr>
                      <w:rFonts w:ascii="Arial" w:hAnsi="Arial" w:cs="Arial"/>
                      <w:sz w:val="18"/>
                      <w:szCs w:val="18"/>
                    </w:rPr>
                  </w:pPr>
                  <w:r w:rsidRPr="00A251C8">
                    <w:rPr>
                      <w:rFonts w:ascii="Arial" w:hAnsi="Arial" w:cs="Arial"/>
                      <w:sz w:val="18"/>
                      <w:szCs w:val="18"/>
                    </w:rPr>
                    <w:t>21%</w:t>
                  </w:r>
                </w:p>
              </w:tc>
            </w:tr>
            <w:tr w:rsidR="005E48A5" w:rsidRPr="00A251C8" w14:paraId="10EA366F" w14:textId="77777777" w:rsidTr="00903A63">
              <w:tblPrEx>
                <w:tblCellMar>
                  <w:top w:w="0" w:type="dxa"/>
                  <w:left w:w="108" w:type="dxa"/>
                  <w:right w:w="108" w:type="dxa"/>
                </w:tblCellMar>
                <w:tblLook w:val="04A0" w:firstRow="1" w:lastRow="0" w:firstColumn="1" w:lastColumn="0" w:noHBand="0" w:noVBand="1"/>
              </w:tblPrEx>
              <w:trPr>
                <w:gridAfter w:val="4"/>
                <w:wAfter w:w="326" w:type="dxa"/>
                <w:trHeight w:val="330"/>
              </w:trPr>
              <w:tc>
                <w:tcPr>
                  <w:tcW w:w="3327" w:type="dxa"/>
                  <w:gridSpan w:val="3"/>
                  <w:tcBorders>
                    <w:top w:val="nil"/>
                    <w:left w:val="nil"/>
                    <w:bottom w:val="nil"/>
                    <w:right w:val="nil"/>
                  </w:tcBorders>
                  <w:shd w:val="clear" w:color="auto" w:fill="auto"/>
                  <w:hideMark/>
                </w:tcPr>
                <w:p w14:paraId="3D47A00F" w14:textId="77777777" w:rsidR="005E48A5" w:rsidRPr="00A251C8" w:rsidRDefault="005E48A5" w:rsidP="000B48BF">
                  <w:pPr>
                    <w:rPr>
                      <w:rFonts w:ascii="Arial" w:hAnsi="Arial" w:cs="Arial"/>
                      <w:sz w:val="18"/>
                      <w:szCs w:val="18"/>
                    </w:rPr>
                  </w:pPr>
                  <w:r w:rsidRPr="00A251C8">
                    <w:rPr>
                      <w:rFonts w:ascii="Arial" w:hAnsi="Arial" w:cs="Arial"/>
                      <w:sz w:val="18"/>
                      <w:szCs w:val="18"/>
                    </w:rPr>
                    <w:t>Peer belonging</w:t>
                  </w:r>
                </w:p>
              </w:tc>
              <w:tc>
                <w:tcPr>
                  <w:tcW w:w="1739" w:type="dxa"/>
                  <w:tcBorders>
                    <w:top w:val="nil"/>
                    <w:left w:val="nil"/>
                    <w:bottom w:val="nil"/>
                    <w:right w:val="nil"/>
                  </w:tcBorders>
                  <w:shd w:val="clear" w:color="auto" w:fill="auto"/>
                  <w:hideMark/>
                </w:tcPr>
                <w:p w14:paraId="7FD42C2C" w14:textId="77777777" w:rsidR="005E48A5" w:rsidRPr="00A251C8" w:rsidRDefault="005E48A5" w:rsidP="000B48BF">
                  <w:pPr>
                    <w:jc w:val="center"/>
                    <w:rPr>
                      <w:rFonts w:ascii="Arial" w:hAnsi="Arial" w:cs="Arial"/>
                      <w:sz w:val="18"/>
                      <w:szCs w:val="18"/>
                    </w:rPr>
                  </w:pPr>
                  <w:r w:rsidRPr="00A251C8">
                    <w:rPr>
                      <w:rFonts w:ascii="Arial" w:hAnsi="Arial" w:cs="Arial"/>
                      <w:sz w:val="18"/>
                      <w:szCs w:val="18"/>
                    </w:rPr>
                    <w:t>54%</w:t>
                  </w:r>
                </w:p>
              </w:tc>
              <w:tc>
                <w:tcPr>
                  <w:tcW w:w="1739" w:type="dxa"/>
                  <w:tcBorders>
                    <w:top w:val="nil"/>
                    <w:left w:val="nil"/>
                    <w:bottom w:val="nil"/>
                    <w:right w:val="nil"/>
                  </w:tcBorders>
                  <w:shd w:val="clear" w:color="auto" w:fill="auto"/>
                  <w:hideMark/>
                </w:tcPr>
                <w:p w14:paraId="09AF9431" w14:textId="77777777" w:rsidR="005E48A5" w:rsidRPr="00A251C8" w:rsidRDefault="005E48A5" w:rsidP="000B48BF">
                  <w:pPr>
                    <w:jc w:val="center"/>
                    <w:rPr>
                      <w:rFonts w:ascii="Arial" w:hAnsi="Arial" w:cs="Arial"/>
                      <w:sz w:val="18"/>
                      <w:szCs w:val="18"/>
                    </w:rPr>
                  </w:pPr>
                  <w:r w:rsidRPr="00A251C8">
                    <w:rPr>
                      <w:rFonts w:ascii="Arial" w:hAnsi="Arial" w:cs="Arial"/>
                      <w:sz w:val="18"/>
                      <w:szCs w:val="18"/>
                    </w:rPr>
                    <w:t>31%</w:t>
                  </w:r>
                </w:p>
              </w:tc>
              <w:tc>
                <w:tcPr>
                  <w:tcW w:w="1636" w:type="dxa"/>
                  <w:tcBorders>
                    <w:top w:val="nil"/>
                    <w:left w:val="nil"/>
                    <w:bottom w:val="nil"/>
                    <w:right w:val="nil"/>
                  </w:tcBorders>
                  <w:shd w:val="clear" w:color="auto" w:fill="auto"/>
                  <w:hideMark/>
                </w:tcPr>
                <w:p w14:paraId="2FD4C730" w14:textId="77777777" w:rsidR="005E48A5" w:rsidRPr="00A251C8" w:rsidRDefault="005E48A5" w:rsidP="000B48BF">
                  <w:pPr>
                    <w:jc w:val="center"/>
                    <w:rPr>
                      <w:rFonts w:ascii="Arial" w:hAnsi="Arial" w:cs="Arial"/>
                      <w:sz w:val="18"/>
                      <w:szCs w:val="18"/>
                    </w:rPr>
                  </w:pPr>
                  <w:r w:rsidRPr="00A251C8">
                    <w:rPr>
                      <w:rFonts w:ascii="Arial" w:hAnsi="Arial" w:cs="Arial"/>
                      <w:sz w:val="18"/>
                      <w:szCs w:val="18"/>
                    </w:rPr>
                    <w:t>15%</w:t>
                  </w:r>
                </w:p>
              </w:tc>
            </w:tr>
            <w:tr w:rsidR="005E48A5" w:rsidRPr="00A251C8" w14:paraId="1726E580" w14:textId="77777777" w:rsidTr="00903A63">
              <w:tblPrEx>
                <w:tblCellMar>
                  <w:top w:w="0" w:type="dxa"/>
                  <w:left w:w="108" w:type="dxa"/>
                  <w:right w:w="108" w:type="dxa"/>
                </w:tblCellMar>
                <w:tblLook w:val="04A0" w:firstRow="1" w:lastRow="0" w:firstColumn="1" w:lastColumn="0" w:noHBand="0" w:noVBand="1"/>
              </w:tblPrEx>
              <w:trPr>
                <w:gridAfter w:val="4"/>
                <w:wAfter w:w="326" w:type="dxa"/>
                <w:trHeight w:val="330"/>
              </w:trPr>
              <w:tc>
                <w:tcPr>
                  <w:tcW w:w="3327" w:type="dxa"/>
                  <w:gridSpan w:val="3"/>
                  <w:tcBorders>
                    <w:top w:val="nil"/>
                    <w:left w:val="nil"/>
                    <w:bottom w:val="nil"/>
                    <w:right w:val="nil"/>
                  </w:tcBorders>
                  <w:shd w:val="clear" w:color="auto" w:fill="auto"/>
                  <w:hideMark/>
                </w:tcPr>
                <w:p w14:paraId="04370A6F" w14:textId="77777777" w:rsidR="005E48A5" w:rsidRPr="00A251C8" w:rsidRDefault="005E48A5" w:rsidP="000B48BF">
                  <w:pPr>
                    <w:rPr>
                      <w:rFonts w:ascii="Arial" w:hAnsi="Arial" w:cs="Arial"/>
                      <w:sz w:val="18"/>
                      <w:szCs w:val="18"/>
                    </w:rPr>
                  </w:pPr>
                  <w:r w:rsidRPr="00A251C8">
                    <w:rPr>
                      <w:rFonts w:ascii="Arial" w:hAnsi="Arial" w:cs="Arial"/>
                      <w:sz w:val="18"/>
                      <w:szCs w:val="18"/>
                    </w:rPr>
                    <w:t>Friendship intimacy</w:t>
                  </w:r>
                </w:p>
              </w:tc>
              <w:tc>
                <w:tcPr>
                  <w:tcW w:w="1739" w:type="dxa"/>
                  <w:tcBorders>
                    <w:top w:val="nil"/>
                    <w:left w:val="nil"/>
                    <w:bottom w:val="nil"/>
                    <w:right w:val="nil"/>
                  </w:tcBorders>
                  <w:shd w:val="clear" w:color="auto" w:fill="auto"/>
                  <w:hideMark/>
                </w:tcPr>
                <w:p w14:paraId="4E97EA16" w14:textId="6898D0FD" w:rsidR="005E48A5" w:rsidRPr="00A251C8" w:rsidRDefault="005E48A5" w:rsidP="000B48BF">
                  <w:pPr>
                    <w:jc w:val="center"/>
                    <w:rPr>
                      <w:rFonts w:ascii="Arial" w:hAnsi="Arial" w:cs="Arial"/>
                      <w:sz w:val="18"/>
                      <w:szCs w:val="18"/>
                    </w:rPr>
                  </w:pPr>
                  <w:r w:rsidRPr="00A251C8">
                    <w:rPr>
                      <w:rFonts w:ascii="Arial" w:hAnsi="Arial" w:cs="Arial"/>
                      <w:sz w:val="18"/>
                      <w:szCs w:val="18"/>
                    </w:rPr>
                    <w:t>69%</w:t>
                  </w:r>
                </w:p>
              </w:tc>
              <w:tc>
                <w:tcPr>
                  <w:tcW w:w="1739" w:type="dxa"/>
                  <w:tcBorders>
                    <w:top w:val="nil"/>
                    <w:left w:val="nil"/>
                    <w:bottom w:val="nil"/>
                    <w:right w:val="nil"/>
                  </w:tcBorders>
                  <w:shd w:val="clear" w:color="auto" w:fill="auto"/>
                  <w:hideMark/>
                </w:tcPr>
                <w:p w14:paraId="34FC3CD0" w14:textId="77777777" w:rsidR="005E48A5" w:rsidRPr="00A251C8" w:rsidRDefault="005E48A5" w:rsidP="000B48BF">
                  <w:pPr>
                    <w:jc w:val="center"/>
                    <w:rPr>
                      <w:rFonts w:ascii="Arial" w:hAnsi="Arial" w:cs="Arial"/>
                      <w:sz w:val="18"/>
                      <w:szCs w:val="18"/>
                    </w:rPr>
                  </w:pPr>
                  <w:r w:rsidRPr="00A251C8">
                    <w:rPr>
                      <w:rFonts w:ascii="Arial" w:hAnsi="Arial" w:cs="Arial"/>
                      <w:sz w:val="18"/>
                      <w:szCs w:val="18"/>
                    </w:rPr>
                    <w:t>20%</w:t>
                  </w:r>
                </w:p>
              </w:tc>
              <w:tc>
                <w:tcPr>
                  <w:tcW w:w="1636" w:type="dxa"/>
                  <w:tcBorders>
                    <w:top w:val="nil"/>
                    <w:left w:val="nil"/>
                    <w:bottom w:val="nil"/>
                    <w:right w:val="nil"/>
                  </w:tcBorders>
                  <w:shd w:val="clear" w:color="auto" w:fill="auto"/>
                  <w:hideMark/>
                </w:tcPr>
                <w:p w14:paraId="4BB5C3D7" w14:textId="77777777" w:rsidR="005E48A5" w:rsidRPr="00A251C8" w:rsidRDefault="005E48A5" w:rsidP="000B48BF">
                  <w:pPr>
                    <w:jc w:val="center"/>
                    <w:rPr>
                      <w:rFonts w:ascii="Arial" w:hAnsi="Arial" w:cs="Arial"/>
                      <w:sz w:val="18"/>
                      <w:szCs w:val="18"/>
                    </w:rPr>
                  </w:pPr>
                  <w:r w:rsidRPr="00A251C8">
                    <w:rPr>
                      <w:rFonts w:ascii="Arial" w:hAnsi="Arial" w:cs="Arial"/>
                      <w:sz w:val="18"/>
                      <w:szCs w:val="18"/>
                    </w:rPr>
                    <w:t>10%</w:t>
                  </w:r>
                </w:p>
              </w:tc>
            </w:tr>
            <w:tr w:rsidR="005E48A5" w:rsidRPr="00A251C8" w14:paraId="23950F2A" w14:textId="77777777" w:rsidTr="00903A63">
              <w:tblPrEx>
                <w:tblCellMar>
                  <w:top w:w="0" w:type="dxa"/>
                  <w:left w:w="108" w:type="dxa"/>
                  <w:right w:w="108" w:type="dxa"/>
                </w:tblCellMar>
                <w:tblLook w:val="04A0" w:firstRow="1" w:lastRow="0" w:firstColumn="1" w:lastColumn="0" w:noHBand="0" w:noVBand="1"/>
              </w:tblPrEx>
              <w:trPr>
                <w:gridAfter w:val="4"/>
                <w:wAfter w:w="326" w:type="dxa"/>
                <w:trHeight w:val="330"/>
              </w:trPr>
              <w:tc>
                <w:tcPr>
                  <w:tcW w:w="3327" w:type="dxa"/>
                  <w:gridSpan w:val="3"/>
                  <w:tcBorders>
                    <w:top w:val="nil"/>
                    <w:left w:val="nil"/>
                    <w:bottom w:val="nil"/>
                    <w:right w:val="nil"/>
                  </w:tcBorders>
                  <w:shd w:val="clear" w:color="auto" w:fill="auto"/>
                  <w:hideMark/>
                </w:tcPr>
                <w:p w14:paraId="4A3F2389" w14:textId="77777777" w:rsidR="005E48A5" w:rsidRPr="00A251C8" w:rsidRDefault="005E48A5" w:rsidP="000B48BF">
                  <w:pPr>
                    <w:rPr>
                      <w:rFonts w:ascii="Arial" w:hAnsi="Arial" w:cs="Arial"/>
                      <w:sz w:val="18"/>
                      <w:szCs w:val="18"/>
                    </w:rPr>
                  </w:pPr>
                  <w:r w:rsidRPr="00A251C8">
                    <w:rPr>
                      <w:rFonts w:ascii="Arial" w:hAnsi="Arial" w:cs="Arial"/>
                      <w:sz w:val="18"/>
                      <w:szCs w:val="18"/>
                    </w:rPr>
                    <w:t>Perseverance</w:t>
                  </w:r>
                </w:p>
              </w:tc>
              <w:tc>
                <w:tcPr>
                  <w:tcW w:w="1739" w:type="dxa"/>
                  <w:tcBorders>
                    <w:top w:val="nil"/>
                    <w:left w:val="nil"/>
                    <w:bottom w:val="nil"/>
                    <w:right w:val="nil"/>
                  </w:tcBorders>
                  <w:shd w:val="clear" w:color="auto" w:fill="auto"/>
                  <w:hideMark/>
                </w:tcPr>
                <w:p w14:paraId="734315E9" w14:textId="77777777" w:rsidR="005E48A5" w:rsidRPr="00A251C8" w:rsidRDefault="005E48A5" w:rsidP="000B48BF">
                  <w:pPr>
                    <w:jc w:val="center"/>
                    <w:rPr>
                      <w:rFonts w:ascii="Arial" w:hAnsi="Arial" w:cs="Arial"/>
                      <w:sz w:val="18"/>
                      <w:szCs w:val="18"/>
                    </w:rPr>
                  </w:pPr>
                  <w:r w:rsidRPr="00A251C8">
                    <w:rPr>
                      <w:rFonts w:ascii="Arial" w:hAnsi="Arial" w:cs="Arial"/>
                      <w:sz w:val="18"/>
                      <w:szCs w:val="18"/>
                    </w:rPr>
                    <w:t>45%</w:t>
                  </w:r>
                </w:p>
              </w:tc>
              <w:tc>
                <w:tcPr>
                  <w:tcW w:w="1739" w:type="dxa"/>
                  <w:tcBorders>
                    <w:top w:val="nil"/>
                    <w:left w:val="nil"/>
                    <w:bottom w:val="nil"/>
                    <w:right w:val="nil"/>
                  </w:tcBorders>
                  <w:shd w:val="clear" w:color="auto" w:fill="auto"/>
                  <w:hideMark/>
                </w:tcPr>
                <w:p w14:paraId="6FAC6EFF" w14:textId="77777777" w:rsidR="005E48A5" w:rsidRPr="00A251C8" w:rsidRDefault="005E48A5" w:rsidP="000B48BF">
                  <w:pPr>
                    <w:jc w:val="center"/>
                    <w:rPr>
                      <w:rFonts w:ascii="Arial" w:hAnsi="Arial" w:cs="Arial"/>
                      <w:sz w:val="18"/>
                      <w:szCs w:val="18"/>
                    </w:rPr>
                  </w:pPr>
                  <w:r w:rsidRPr="00A251C8">
                    <w:rPr>
                      <w:rFonts w:ascii="Arial" w:hAnsi="Arial" w:cs="Arial"/>
                      <w:sz w:val="18"/>
                      <w:szCs w:val="18"/>
                    </w:rPr>
                    <w:t>41%</w:t>
                  </w:r>
                </w:p>
              </w:tc>
              <w:tc>
                <w:tcPr>
                  <w:tcW w:w="1636" w:type="dxa"/>
                  <w:tcBorders>
                    <w:top w:val="nil"/>
                    <w:left w:val="nil"/>
                    <w:bottom w:val="nil"/>
                    <w:right w:val="nil"/>
                  </w:tcBorders>
                  <w:shd w:val="clear" w:color="auto" w:fill="auto"/>
                  <w:hideMark/>
                </w:tcPr>
                <w:p w14:paraId="452B2772" w14:textId="77777777" w:rsidR="005E48A5" w:rsidRPr="00A251C8" w:rsidRDefault="005E48A5" w:rsidP="000B48BF">
                  <w:pPr>
                    <w:jc w:val="center"/>
                    <w:rPr>
                      <w:rFonts w:ascii="Arial" w:hAnsi="Arial" w:cs="Arial"/>
                      <w:sz w:val="18"/>
                      <w:szCs w:val="18"/>
                    </w:rPr>
                  </w:pPr>
                  <w:r w:rsidRPr="00A251C8">
                    <w:rPr>
                      <w:rFonts w:ascii="Arial" w:hAnsi="Arial" w:cs="Arial"/>
                      <w:sz w:val="18"/>
                      <w:szCs w:val="18"/>
                    </w:rPr>
                    <w:t>14%</w:t>
                  </w:r>
                </w:p>
              </w:tc>
            </w:tr>
            <w:tr w:rsidR="005E48A5" w:rsidRPr="00A251C8" w14:paraId="4BBC5107" w14:textId="77777777" w:rsidTr="00903A63">
              <w:tblPrEx>
                <w:tblCellMar>
                  <w:top w:w="0" w:type="dxa"/>
                  <w:left w:w="108" w:type="dxa"/>
                  <w:right w:w="108" w:type="dxa"/>
                </w:tblCellMar>
                <w:tblLook w:val="04A0" w:firstRow="1" w:lastRow="0" w:firstColumn="1" w:lastColumn="0" w:noHBand="0" w:noVBand="1"/>
              </w:tblPrEx>
              <w:trPr>
                <w:gridAfter w:val="4"/>
                <w:wAfter w:w="326" w:type="dxa"/>
                <w:trHeight w:val="330"/>
              </w:trPr>
              <w:tc>
                <w:tcPr>
                  <w:tcW w:w="3327" w:type="dxa"/>
                  <w:gridSpan w:val="3"/>
                  <w:tcBorders>
                    <w:top w:val="nil"/>
                    <w:left w:val="nil"/>
                    <w:bottom w:val="nil"/>
                    <w:right w:val="nil"/>
                  </w:tcBorders>
                  <w:shd w:val="clear" w:color="auto" w:fill="auto"/>
                  <w:hideMark/>
                </w:tcPr>
                <w:p w14:paraId="2873946D" w14:textId="77777777" w:rsidR="005E48A5" w:rsidRPr="00A251C8" w:rsidRDefault="005E48A5" w:rsidP="000B48BF">
                  <w:pPr>
                    <w:rPr>
                      <w:rFonts w:ascii="Arial" w:hAnsi="Arial" w:cs="Arial"/>
                      <w:sz w:val="18"/>
                      <w:szCs w:val="18"/>
                    </w:rPr>
                  </w:pPr>
                  <w:r w:rsidRPr="00A251C8">
                    <w:rPr>
                      <w:rFonts w:ascii="Arial" w:hAnsi="Arial" w:cs="Arial"/>
                      <w:sz w:val="18"/>
                      <w:szCs w:val="18"/>
                    </w:rPr>
                    <w:t>Cognitive engagement</w:t>
                  </w:r>
                </w:p>
              </w:tc>
              <w:tc>
                <w:tcPr>
                  <w:tcW w:w="1739" w:type="dxa"/>
                  <w:tcBorders>
                    <w:top w:val="nil"/>
                    <w:left w:val="nil"/>
                    <w:bottom w:val="nil"/>
                    <w:right w:val="nil"/>
                  </w:tcBorders>
                  <w:shd w:val="clear" w:color="auto" w:fill="auto"/>
                  <w:hideMark/>
                </w:tcPr>
                <w:p w14:paraId="7511EF17" w14:textId="77777777" w:rsidR="005E48A5" w:rsidRPr="00A251C8" w:rsidRDefault="005E48A5" w:rsidP="000B48BF">
                  <w:pPr>
                    <w:jc w:val="center"/>
                    <w:rPr>
                      <w:rFonts w:ascii="Arial" w:hAnsi="Arial" w:cs="Arial"/>
                      <w:sz w:val="18"/>
                      <w:szCs w:val="18"/>
                    </w:rPr>
                  </w:pPr>
                  <w:r w:rsidRPr="00A251C8">
                    <w:rPr>
                      <w:rFonts w:ascii="Arial" w:hAnsi="Arial" w:cs="Arial"/>
                      <w:sz w:val="18"/>
                      <w:szCs w:val="18"/>
                    </w:rPr>
                    <w:t>49%</w:t>
                  </w:r>
                </w:p>
              </w:tc>
              <w:tc>
                <w:tcPr>
                  <w:tcW w:w="1739" w:type="dxa"/>
                  <w:tcBorders>
                    <w:top w:val="nil"/>
                    <w:left w:val="nil"/>
                    <w:bottom w:val="nil"/>
                    <w:right w:val="nil"/>
                  </w:tcBorders>
                  <w:shd w:val="clear" w:color="auto" w:fill="auto"/>
                  <w:hideMark/>
                </w:tcPr>
                <w:p w14:paraId="4C0E28DC" w14:textId="77777777" w:rsidR="005E48A5" w:rsidRPr="00A251C8" w:rsidRDefault="005E48A5" w:rsidP="000B48BF">
                  <w:pPr>
                    <w:jc w:val="center"/>
                    <w:rPr>
                      <w:rFonts w:ascii="Arial" w:hAnsi="Arial" w:cs="Arial"/>
                      <w:sz w:val="18"/>
                      <w:szCs w:val="18"/>
                    </w:rPr>
                  </w:pPr>
                  <w:r w:rsidRPr="00A251C8">
                    <w:rPr>
                      <w:rFonts w:ascii="Arial" w:hAnsi="Arial" w:cs="Arial"/>
                      <w:sz w:val="18"/>
                      <w:szCs w:val="18"/>
                    </w:rPr>
                    <w:t>38%</w:t>
                  </w:r>
                </w:p>
              </w:tc>
              <w:tc>
                <w:tcPr>
                  <w:tcW w:w="1636" w:type="dxa"/>
                  <w:tcBorders>
                    <w:top w:val="nil"/>
                    <w:left w:val="nil"/>
                    <w:bottom w:val="nil"/>
                    <w:right w:val="nil"/>
                  </w:tcBorders>
                  <w:shd w:val="clear" w:color="auto" w:fill="auto"/>
                  <w:hideMark/>
                </w:tcPr>
                <w:p w14:paraId="56426227" w14:textId="77777777" w:rsidR="005E48A5" w:rsidRPr="00A251C8" w:rsidRDefault="005E48A5" w:rsidP="000B48BF">
                  <w:pPr>
                    <w:jc w:val="center"/>
                    <w:rPr>
                      <w:rFonts w:ascii="Arial" w:hAnsi="Arial" w:cs="Arial"/>
                      <w:sz w:val="18"/>
                      <w:szCs w:val="18"/>
                    </w:rPr>
                  </w:pPr>
                  <w:r w:rsidRPr="00A251C8">
                    <w:rPr>
                      <w:rFonts w:ascii="Arial" w:hAnsi="Arial" w:cs="Arial"/>
                      <w:sz w:val="18"/>
                      <w:szCs w:val="18"/>
                    </w:rPr>
                    <w:t>13%</w:t>
                  </w:r>
                </w:p>
              </w:tc>
            </w:tr>
            <w:tr w:rsidR="005E48A5" w:rsidRPr="00A251C8" w14:paraId="60A22D75" w14:textId="77777777" w:rsidTr="00903A63">
              <w:tblPrEx>
                <w:tblCellMar>
                  <w:top w:w="0" w:type="dxa"/>
                  <w:left w:w="108" w:type="dxa"/>
                  <w:right w:w="108" w:type="dxa"/>
                </w:tblCellMar>
                <w:tblLook w:val="04A0" w:firstRow="1" w:lastRow="0" w:firstColumn="1" w:lastColumn="0" w:noHBand="0" w:noVBand="1"/>
              </w:tblPrEx>
              <w:trPr>
                <w:gridAfter w:val="4"/>
                <w:wAfter w:w="326" w:type="dxa"/>
                <w:trHeight w:val="330"/>
              </w:trPr>
              <w:tc>
                <w:tcPr>
                  <w:tcW w:w="3327" w:type="dxa"/>
                  <w:gridSpan w:val="3"/>
                  <w:tcBorders>
                    <w:top w:val="nil"/>
                    <w:left w:val="nil"/>
                    <w:bottom w:val="single" w:sz="4" w:space="0" w:color="BFBFBF"/>
                    <w:right w:val="nil"/>
                  </w:tcBorders>
                  <w:shd w:val="clear" w:color="auto" w:fill="auto"/>
                  <w:hideMark/>
                </w:tcPr>
                <w:p w14:paraId="127D51BD" w14:textId="77777777" w:rsidR="005E48A5" w:rsidRPr="00A251C8" w:rsidRDefault="005E48A5" w:rsidP="000B48BF">
                  <w:pPr>
                    <w:rPr>
                      <w:rFonts w:ascii="Arial" w:hAnsi="Arial" w:cs="Arial"/>
                      <w:sz w:val="18"/>
                      <w:szCs w:val="18"/>
                    </w:rPr>
                  </w:pPr>
                  <w:r w:rsidRPr="00A251C8">
                    <w:rPr>
                      <w:rFonts w:ascii="Arial" w:hAnsi="Arial" w:cs="Arial"/>
                      <w:sz w:val="18"/>
                      <w:szCs w:val="18"/>
                    </w:rPr>
                    <w:t>Academic self-concept</w:t>
                  </w:r>
                </w:p>
              </w:tc>
              <w:tc>
                <w:tcPr>
                  <w:tcW w:w="1739" w:type="dxa"/>
                  <w:tcBorders>
                    <w:top w:val="nil"/>
                    <w:left w:val="nil"/>
                    <w:bottom w:val="single" w:sz="4" w:space="0" w:color="BFBFBF"/>
                    <w:right w:val="nil"/>
                  </w:tcBorders>
                  <w:shd w:val="clear" w:color="auto" w:fill="auto"/>
                  <w:hideMark/>
                </w:tcPr>
                <w:p w14:paraId="6CB56B1E" w14:textId="77777777" w:rsidR="005E48A5" w:rsidRPr="00A251C8" w:rsidRDefault="005E48A5" w:rsidP="000B48BF">
                  <w:pPr>
                    <w:jc w:val="center"/>
                    <w:rPr>
                      <w:rFonts w:ascii="Arial" w:hAnsi="Arial" w:cs="Arial"/>
                      <w:sz w:val="18"/>
                      <w:szCs w:val="18"/>
                    </w:rPr>
                  </w:pPr>
                  <w:r w:rsidRPr="00A251C8">
                    <w:rPr>
                      <w:rFonts w:ascii="Arial" w:hAnsi="Arial" w:cs="Arial"/>
                      <w:sz w:val="18"/>
                      <w:szCs w:val="18"/>
                    </w:rPr>
                    <w:t>64%</w:t>
                  </w:r>
                </w:p>
              </w:tc>
              <w:tc>
                <w:tcPr>
                  <w:tcW w:w="1739" w:type="dxa"/>
                  <w:tcBorders>
                    <w:top w:val="nil"/>
                    <w:left w:val="nil"/>
                    <w:bottom w:val="single" w:sz="4" w:space="0" w:color="BFBFBF"/>
                    <w:right w:val="nil"/>
                  </w:tcBorders>
                  <w:shd w:val="clear" w:color="auto" w:fill="auto"/>
                  <w:hideMark/>
                </w:tcPr>
                <w:p w14:paraId="06DB453A" w14:textId="77777777" w:rsidR="005E48A5" w:rsidRPr="00A251C8" w:rsidRDefault="005E48A5" w:rsidP="000B48BF">
                  <w:pPr>
                    <w:jc w:val="center"/>
                    <w:rPr>
                      <w:rFonts w:ascii="Arial" w:hAnsi="Arial" w:cs="Arial"/>
                      <w:sz w:val="18"/>
                      <w:szCs w:val="18"/>
                    </w:rPr>
                  </w:pPr>
                  <w:r w:rsidRPr="00A251C8">
                    <w:rPr>
                      <w:rFonts w:ascii="Arial" w:hAnsi="Arial" w:cs="Arial"/>
                      <w:sz w:val="18"/>
                      <w:szCs w:val="18"/>
                    </w:rPr>
                    <w:t>28%</w:t>
                  </w:r>
                </w:p>
              </w:tc>
              <w:tc>
                <w:tcPr>
                  <w:tcW w:w="1636" w:type="dxa"/>
                  <w:tcBorders>
                    <w:top w:val="nil"/>
                    <w:left w:val="nil"/>
                    <w:bottom w:val="single" w:sz="4" w:space="0" w:color="BFBFBF"/>
                    <w:right w:val="nil"/>
                  </w:tcBorders>
                  <w:shd w:val="clear" w:color="auto" w:fill="auto"/>
                  <w:hideMark/>
                </w:tcPr>
                <w:p w14:paraId="24FB8821" w14:textId="77777777" w:rsidR="005E48A5" w:rsidRPr="00A251C8" w:rsidRDefault="005E48A5" w:rsidP="000B48BF">
                  <w:pPr>
                    <w:jc w:val="center"/>
                    <w:rPr>
                      <w:rFonts w:ascii="Arial" w:hAnsi="Arial" w:cs="Arial"/>
                      <w:sz w:val="18"/>
                      <w:szCs w:val="18"/>
                    </w:rPr>
                  </w:pPr>
                  <w:r w:rsidRPr="00A251C8">
                    <w:rPr>
                      <w:rFonts w:ascii="Arial" w:hAnsi="Arial" w:cs="Arial"/>
                      <w:sz w:val="18"/>
                      <w:szCs w:val="18"/>
                    </w:rPr>
                    <w:t>8%</w:t>
                  </w:r>
                </w:p>
              </w:tc>
            </w:tr>
            <w:tr w:rsidR="005E48A5" w:rsidRPr="00A251C8" w14:paraId="48C03B9F" w14:textId="77777777" w:rsidTr="00903A63">
              <w:trPr>
                <w:gridAfter w:val="2"/>
                <w:wAfter w:w="58" w:type="dxa"/>
              </w:trPr>
              <w:tc>
                <w:tcPr>
                  <w:tcW w:w="8700" w:type="dxa"/>
                  <w:gridSpan w:val="7"/>
                  <w:tcBorders>
                    <w:bottom w:val="single" w:sz="6" w:space="0" w:color="BFBFBF"/>
                  </w:tcBorders>
                  <w:shd w:val="clear" w:color="auto" w:fill="auto"/>
                </w:tcPr>
                <w:tbl>
                  <w:tblPr>
                    <w:tblW w:w="8598" w:type="dxa"/>
                    <w:tblCellMar>
                      <w:top w:w="28" w:type="dxa"/>
                      <w:left w:w="0" w:type="dxa"/>
                      <w:right w:w="0" w:type="dxa"/>
                    </w:tblCellMar>
                    <w:tblLook w:val="0600" w:firstRow="0" w:lastRow="0" w:firstColumn="0" w:lastColumn="0" w:noHBand="1" w:noVBand="1"/>
                  </w:tblPr>
                  <w:tblGrid>
                    <w:gridCol w:w="1133"/>
                    <w:gridCol w:w="9"/>
                    <w:gridCol w:w="7456"/>
                  </w:tblGrid>
                  <w:tr w:rsidR="005E48A5" w:rsidRPr="00A251C8" w14:paraId="58B36869" w14:textId="77777777" w:rsidTr="000B48BF">
                    <w:tc>
                      <w:tcPr>
                        <w:tcW w:w="1039" w:type="dxa"/>
                        <w:shd w:val="clear" w:color="auto" w:fill="auto"/>
                      </w:tcPr>
                      <w:p w14:paraId="48B6C8AE" w14:textId="77777777" w:rsidR="005E48A5" w:rsidRPr="00A251C8" w:rsidRDefault="005E48A5" w:rsidP="000B48BF">
                        <w:pPr>
                          <w:pStyle w:val="TableBodyText"/>
                          <w:jc w:val="left"/>
                          <w:rPr>
                            <w:rFonts w:cs="Arial"/>
                            <w:i/>
                            <w:iCs/>
                            <w:color w:val="000000"/>
                            <w:sz w:val="20"/>
                          </w:rPr>
                        </w:pPr>
                        <w:r w:rsidRPr="00A251C8">
                          <w:rPr>
                            <w:rFonts w:cs="Arial"/>
                            <w:i/>
                            <w:iCs/>
                            <w:color w:val="000000"/>
                            <w:sz w:val="20"/>
                          </w:rPr>
                          <w:t>Link:</w:t>
                        </w:r>
                      </w:p>
                    </w:tc>
                    <w:tc>
                      <w:tcPr>
                        <w:tcW w:w="8" w:type="dxa"/>
                      </w:tcPr>
                      <w:p w14:paraId="273D999F" w14:textId="77777777" w:rsidR="005E48A5" w:rsidRPr="00A251C8" w:rsidRDefault="005E48A5" w:rsidP="000B48BF">
                        <w:pPr>
                          <w:pStyle w:val="TableBodyText"/>
                          <w:jc w:val="left"/>
                        </w:pPr>
                      </w:p>
                    </w:tc>
                    <w:tc>
                      <w:tcPr>
                        <w:tcW w:w="6839" w:type="dxa"/>
                        <w:shd w:val="clear" w:color="auto" w:fill="auto"/>
                      </w:tcPr>
                      <w:p w14:paraId="013B3D83" w14:textId="073DCAC6" w:rsidR="005E48A5" w:rsidRPr="00A251C8" w:rsidRDefault="000904CB" w:rsidP="000B48BF">
                        <w:pPr>
                          <w:pStyle w:val="TableBodyText"/>
                          <w:ind w:right="28"/>
                          <w:jc w:val="left"/>
                          <w:rPr>
                            <w:color w:val="0000FF"/>
                            <w:u w:val="single"/>
                          </w:rPr>
                        </w:pPr>
                        <w:r w:rsidRPr="000904CB">
                          <w:rPr>
                            <w:color w:val="0000FF"/>
                            <w:u w:val="single"/>
                          </w:rPr>
                          <w:t>https://www.education.sa.gov.au/department/research-and-data/wellbeing-and-engagement-collection/about-wellbeing-and-engagement-collection</w:t>
                        </w:r>
                      </w:p>
                    </w:tc>
                  </w:tr>
                </w:tbl>
                <w:p w14:paraId="75B96939" w14:textId="77777777" w:rsidR="005E48A5" w:rsidRPr="00A251C8" w:rsidRDefault="005E48A5" w:rsidP="000B48BF">
                  <w:pPr>
                    <w:pStyle w:val="TableBodyText"/>
                    <w:jc w:val="left"/>
                    <w:rPr>
                      <w:rFonts w:cs="Arial"/>
                      <w:i/>
                      <w:iCs/>
                      <w:color w:val="000000"/>
                      <w:sz w:val="20"/>
                    </w:rPr>
                  </w:pPr>
                </w:p>
              </w:tc>
              <w:tc>
                <w:tcPr>
                  <w:tcW w:w="9" w:type="dxa"/>
                  <w:shd w:val="clear" w:color="auto" w:fill="auto"/>
                </w:tcPr>
                <w:p w14:paraId="65069648" w14:textId="77777777" w:rsidR="005E48A5" w:rsidRPr="00A251C8" w:rsidRDefault="005E48A5" w:rsidP="000B48BF">
                  <w:pPr>
                    <w:pStyle w:val="TableBodyText"/>
                    <w:ind w:right="28"/>
                  </w:pPr>
                </w:p>
              </w:tc>
            </w:tr>
            <w:tr w:rsidR="00724B08" w:rsidRPr="00A251C8" w14:paraId="11C97F76" w14:textId="77777777" w:rsidTr="00903A63">
              <w:trPr>
                <w:gridAfter w:val="2"/>
                <w:wAfter w:w="58" w:type="dxa"/>
              </w:trPr>
              <w:tc>
                <w:tcPr>
                  <w:tcW w:w="8709" w:type="dxa"/>
                  <w:gridSpan w:val="8"/>
                  <w:tcBorders>
                    <w:top w:val="single" w:sz="6" w:space="0" w:color="BFBFBF"/>
                    <w:bottom w:val="single" w:sz="6" w:space="0" w:color="BFBFBF"/>
                  </w:tcBorders>
                  <w:shd w:val="clear" w:color="auto" w:fill="auto"/>
                </w:tcPr>
                <w:p w14:paraId="5C2BA799" w14:textId="678FAC80" w:rsidR="00724B08" w:rsidRPr="00724B08" w:rsidRDefault="00F54F28" w:rsidP="00724B08">
                  <w:pPr>
                    <w:pStyle w:val="TableUnitsRow"/>
                    <w:ind w:right="28"/>
                    <w:jc w:val="left"/>
                    <w:rPr>
                      <w:b/>
                    </w:rPr>
                  </w:pPr>
                  <w:r>
                    <w:rPr>
                      <w:b/>
                    </w:rPr>
                    <w:t>Tasmania</w:t>
                  </w:r>
                </w:p>
              </w:tc>
            </w:tr>
            <w:tr w:rsidR="00F54F28" w:rsidRPr="00A251C8" w14:paraId="263DB6C2" w14:textId="77777777" w:rsidTr="00903A63">
              <w:trPr>
                <w:gridAfter w:val="2"/>
                <w:wAfter w:w="58" w:type="dxa"/>
              </w:trPr>
              <w:tc>
                <w:tcPr>
                  <w:tcW w:w="1141" w:type="dxa"/>
                  <w:tcBorders>
                    <w:top w:val="single" w:sz="6" w:space="0" w:color="BFBFBF"/>
                    <w:bottom w:val="single" w:sz="6" w:space="0" w:color="BFBFBF"/>
                  </w:tcBorders>
                </w:tcPr>
                <w:p w14:paraId="47ACC14B" w14:textId="1108DEAF" w:rsidR="00F54F28" w:rsidRPr="000F0FD2" w:rsidRDefault="000F0FD2" w:rsidP="00724B08">
                  <w:pPr>
                    <w:pStyle w:val="TableUnitsRow"/>
                    <w:ind w:right="28"/>
                    <w:jc w:val="left"/>
                    <w:rPr>
                      <w:bCs/>
                      <w:i/>
                      <w:iCs/>
                      <w:sz w:val="20"/>
                    </w:rPr>
                  </w:pPr>
                  <w:r w:rsidRPr="000F0FD2">
                    <w:rPr>
                      <w:bCs/>
                      <w:i/>
                      <w:iCs/>
                      <w:sz w:val="20"/>
                    </w:rPr>
                    <w:t>Key features:</w:t>
                  </w:r>
                </w:p>
              </w:tc>
              <w:tc>
                <w:tcPr>
                  <w:tcW w:w="7568" w:type="dxa"/>
                  <w:gridSpan w:val="7"/>
                  <w:tcBorders>
                    <w:top w:val="single" w:sz="6" w:space="0" w:color="BFBFBF"/>
                    <w:bottom w:val="single" w:sz="6" w:space="0" w:color="BFBFBF"/>
                  </w:tcBorders>
                  <w:shd w:val="clear" w:color="auto" w:fill="auto"/>
                </w:tcPr>
                <w:p w14:paraId="18CAC875" w14:textId="757D9D88" w:rsidR="00903A63" w:rsidRPr="00903A63" w:rsidRDefault="00903A63" w:rsidP="00C73CCC">
                  <w:pPr>
                    <w:shd w:val="clear" w:color="auto" w:fill="FFFFFF"/>
                    <w:spacing w:after="40"/>
                    <w:jc w:val="both"/>
                    <w:rPr>
                      <w:rFonts w:asciiTheme="minorHAnsi" w:hAnsiTheme="minorHAnsi" w:cstheme="minorHAnsi"/>
                      <w:color w:val="000000"/>
                      <w:sz w:val="18"/>
                      <w:szCs w:val="18"/>
                      <w:shd w:val="clear" w:color="auto" w:fill="FFFFFF"/>
                    </w:rPr>
                  </w:pPr>
                  <w:r w:rsidRPr="00903A63">
                    <w:rPr>
                      <w:rFonts w:asciiTheme="minorHAnsi" w:hAnsiTheme="minorHAnsi" w:cstheme="minorHAnsi"/>
                      <w:color w:val="000000"/>
                      <w:sz w:val="18"/>
                      <w:szCs w:val="18"/>
                      <w:shd w:val="clear" w:color="auto" w:fill="FFFFFF"/>
                    </w:rPr>
                    <w:t xml:space="preserve">The Tasmanian Department of Education conducts an annual </w:t>
                  </w:r>
                  <w:r w:rsidRPr="00903A63">
                    <w:rPr>
                      <w:rFonts w:asciiTheme="minorHAnsi" w:hAnsiTheme="minorHAnsi" w:cstheme="minorHAnsi"/>
                      <w:color w:val="611A96"/>
                      <w:sz w:val="18"/>
                      <w:szCs w:val="18"/>
                      <w:u w:val="single"/>
                      <w:shd w:val="clear" w:color="auto" w:fill="FFFFFF"/>
                    </w:rPr>
                    <w:t>Student Wellbeing Survey</w:t>
                  </w:r>
                  <w:r w:rsidRPr="00903A63">
                    <w:rPr>
                      <w:rFonts w:asciiTheme="minorHAnsi" w:hAnsiTheme="minorHAnsi" w:cstheme="minorHAnsi"/>
                      <w:color w:val="000000"/>
                      <w:sz w:val="18"/>
                      <w:szCs w:val="18"/>
                      <w:shd w:val="clear" w:color="auto" w:fill="FFFFFF"/>
                    </w:rPr>
                    <w:t> for students in Years 4 to 12 in Tasmanian Government schools. This survey was first run in 2019 and received 28</w:t>
                  </w:r>
                  <w:r>
                    <w:rPr>
                      <w:rFonts w:asciiTheme="minorHAnsi" w:hAnsiTheme="minorHAnsi" w:cstheme="minorHAnsi"/>
                      <w:color w:val="000000"/>
                      <w:sz w:val="18"/>
                      <w:szCs w:val="18"/>
                      <w:shd w:val="clear" w:color="auto" w:fill="FFFFFF"/>
                    </w:rPr>
                    <w:t xml:space="preserve"> </w:t>
                  </w:r>
                  <w:r w:rsidRPr="00903A63">
                    <w:rPr>
                      <w:rFonts w:asciiTheme="minorHAnsi" w:hAnsiTheme="minorHAnsi" w:cstheme="minorHAnsi"/>
                      <w:color w:val="000000"/>
                      <w:sz w:val="18"/>
                      <w:szCs w:val="18"/>
                      <w:shd w:val="clear" w:color="auto" w:fill="FFFFFF"/>
                    </w:rPr>
                    <w:t xml:space="preserve">663 valid responses. </w:t>
                  </w:r>
                </w:p>
                <w:p w14:paraId="7712C5DD" w14:textId="2B995444" w:rsidR="00F54F28" w:rsidRPr="000F0FD2" w:rsidRDefault="00903A63" w:rsidP="00C73CCC">
                  <w:pPr>
                    <w:pStyle w:val="TableUnitsRow"/>
                    <w:spacing w:afterLines="40" w:after="96"/>
                    <w:ind w:right="28"/>
                    <w:jc w:val="both"/>
                    <w:rPr>
                      <w:bCs/>
                      <w:i/>
                      <w:iCs/>
                    </w:rPr>
                  </w:pPr>
                  <w:r w:rsidRPr="00903A63">
                    <w:rPr>
                      <w:rFonts w:asciiTheme="minorHAnsi" w:hAnsiTheme="minorHAnsi" w:cstheme="minorHAnsi"/>
                      <w:color w:val="000000"/>
                      <w:szCs w:val="18"/>
                      <w:shd w:val="clear" w:color="auto" w:fill="FFFFFF"/>
                    </w:rPr>
                    <w:t xml:space="preserve">The Student Wellbeing survey supports the </w:t>
                  </w:r>
                  <w:r w:rsidRPr="00903A63">
                    <w:rPr>
                      <w:rFonts w:asciiTheme="minorHAnsi" w:hAnsiTheme="minorHAnsi" w:cstheme="minorHAnsi"/>
                      <w:i/>
                      <w:iCs/>
                      <w:color w:val="082DE8"/>
                      <w:szCs w:val="18"/>
                      <w:u w:val="single"/>
                    </w:rPr>
                    <w:t>2018-2021 Department of Education Child and Student Wellbeing Strategy: Safe, Well and Positive Learners</w:t>
                  </w:r>
                  <w:r w:rsidRPr="00903A63">
                    <w:rPr>
                      <w:rFonts w:asciiTheme="minorHAnsi" w:hAnsiTheme="minorHAnsi" w:cstheme="minorHAnsi"/>
                      <w:color w:val="000000"/>
                      <w:szCs w:val="18"/>
                    </w:rPr>
                    <w:t>  which was published on 28 June 2018 and was developed to support the Department’s Wellbeing Goal under the </w:t>
                  </w:r>
                  <w:r w:rsidRPr="00903A63">
                    <w:rPr>
                      <w:rFonts w:asciiTheme="minorHAnsi" w:hAnsiTheme="minorHAnsi" w:cstheme="minorHAnsi"/>
                      <w:i/>
                      <w:iCs/>
                      <w:color w:val="611A96"/>
                      <w:szCs w:val="18"/>
                      <w:u w:val="single"/>
                    </w:rPr>
                    <w:t>2018-2021 Department of Education Strategic Plan, Learners First: Every Learner Every Day</w:t>
                  </w:r>
                  <w:r w:rsidRPr="00903A63">
                    <w:rPr>
                      <w:rFonts w:asciiTheme="minorHAnsi" w:hAnsiTheme="minorHAnsi" w:cstheme="minorHAnsi"/>
                      <w:color w:val="611A96"/>
                      <w:szCs w:val="18"/>
                      <w:u w:val="single"/>
                    </w:rPr>
                    <w:t>.</w:t>
                  </w:r>
                  <w:r w:rsidRPr="00903A63">
                    <w:rPr>
                      <w:rFonts w:asciiTheme="minorHAnsi" w:hAnsiTheme="minorHAnsi" w:cstheme="minorHAnsi"/>
                      <w:color w:val="000000"/>
                      <w:szCs w:val="18"/>
                    </w:rPr>
                    <w:t xml:space="preserve"> It supports the </w:t>
                  </w:r>
                  <w:r w:rsidRPr="00903A63">
                    <w:rPr>
                      <w:rFonts w:asciiTheme="minorHAnsi" w:hAnsiTheme="minorHAnsi" w:cstheme="minorHAnsi"/>
                      <w:color w:val="611A96"/>
                      <w:szCs w:val="18"/>
                      <w:u w:val="single"/>
                    </w:rPr>
                    <w:t xml:space="preserve">Tasmanian Child and Youth Wellbeing </w:t>
                  </w:r>
                  <w:proofErr w:type="gramStart"/>
                  <w:r w:rsidRPr="00903A63">
                    <w:rPr>
                      <w:rFonts w:asciiTheme="minorHAnsi" w:hAnsiTheme="minorHAnsi" w:cstheme="minorHAnsi"/>
                      <w:color w:val="611A96"/>
                      <w:szCs w:val="18"/>
                      <w:u w:val="single"/>
                    </w:rPr>
                    <w:t>Framework </w:t>
                  </w:r>
                  <w:r w:rsidRPr="00903A63">
                    <w:rPr>
                      <w:rFonts w:asciiTheme="minorHAnsi" w:hAnsiTheme="minorHAnsi" w:cstheme="minorHAnsi"/>
                      <w:color w:val="000000"/>
                      <w:szCs w:val="18"/>
                    </w:rPr>
                    <w:t> and</w:t>
                  </w:r>
                  <w:proofErr w:type="gramEnd"/>
                  <w:r w:rsidRPr="00903A63">
                    <w:rPr>
                      <w:rFonts w:asciiTheme="minorHAnsi" w:hAnsiTheme="minorHAnsi" w:cstheme="minorHAnsi"/>
                      <w:color w:val="000000"/>
                      <w:szCs w:val="18"/>
                    </w:rPr>
                    <w:t xml:space="preserve"> adopts the six </w:t>
                  </w:r>
                  <w:r w:rsidRPr="00903A63">
                    <w:rPr>
                      <w:rFonts w:asciiTheme="minorHAnsi" w:hAnsiTheme="minorHAnsi" w:cstheme="minorHAnsi"/>
                      <w:color w:val="611A96"/>
                      <w:szCs w:val="18"/>
                      <w:u w:val="single"/>
                    </w:rPr>
                    <w:t>ARACY</w:t>
                  </w:r>
                  <w:r w:rsidRPr="00903A63">
                    <w:rPr>
                      <w:rFonts w:asciiTheme="minorHAnsi" w:hAnsiTheme="minorHAnsi" w:cstheme="minorHAnsi"/>
                      <w:color w:val="000000"/>
                      <w:szCs w:val="18"/>
                    </w:rPr>
                    <w:t>  wellbeing domains: Loved and Safe, Material Basics, Healthy, Learning, Participating and Positive sense of culture and identity.</w:t>
                  </w:r>
                </w:p>
              </w:tc>
            </w:tr>
            <w:tr w:rsidR="00F54F28" w:rsidRPr="00A251C8" w14:paraId="2CC37E81" w14:textId="77777777" w:rsidTr="00903A63">
              <w:trPr>
                <w:gridAfter w:val="2"/>
                <w:wAfter w:w="58" w:type="dxa"/>
              </w:trPr>
              <w:tc>
                <w:tcPr>
                  <w:tcW w:w="1141" w:type="dxa"/>
                  <w:tcBorders>
                    <w:top w:val="single" w:sz="6" w:space="0" w:color="BFBFBF"/>
                    <w:bottom w:val="single" w:sz="6" w:space="0" w:color="BFBFBF"/>
                  </w:tcBorders>
                </w:tcPr>
                <w:p w14:paraId="56975EF2" w14:textId="0B1B4D14" w:rsidR="00F54F28" w:rsidRPr="000F0FD2" w:rsidRDefault="000F0FD2" w:rsidP="00724B08">
                  <w:pPr>
                    <w:pStyle w:val="TableUnitsRow"/>
                    <w:ind w:right="28"/>
                    <w:jc w:val="left"/>
                    <w:rPr>
                      <w:bCs/>
                      <w:i/>
                      <w:iCs/>
                      <w:sz w:val="20"/>
                    </w:rPr>
                  </w:pPr>
                  <w:r w:rsidRPr="000F0FD2">
                    <w:rPr>
                      <w:bCs/>
                      <w:i/>
                      <w:iCs/>
                      <w:sz w:val="20"/>
                    </w:rPr>
                    <w:t>Domain:</w:t>
                  </w:r>
                </w:p>
              </w:tc>
              <w:tc>
                <w:tcPr>
                  <w:tcW w:w="7568" w:type="dxa"/>
                  <w:gridSpan w:val="7"/>
                  <w:tcBorders>
                    <w:top w:val="single" w:sz="6" w:space="0" w:color="BFBFBF"/>
                    <w:bottom w:val="single" w:sz="6" w:space="0" w:color="BFBFBF"/>
                  </w:tcBorders>
                  <w:shd w:val="clear" w:color="auto" w:fill="auto"/>
                </w:tcPr>
                <w:p w14:paraId="0D89E667" w14:textId="77777777" w:rsidR="000F0FD2" w:rsidRPr="001C7E6E" w:rsidRDefault="000F0FD2" w:rsidP="00C73CCC">
                  <w:pPr>
                    <w:pStyle w:val="NormalWeb"/>
                    <w:shd w:val="clear" w:color="auto" w:fill="FFFFFF"/>
                    <w:spacing w:before="0" w:beforeAutospacing="0" w:after="40" w:afterAutospacing="0"/>
                    <w:jc w:val="both"/>
                    <w:rPr>
                      <w:rFonts w:asciiTheme="minorHAnsi" w:hAnsiTheme="minorHAnsi" w:cstheme="minorHAnsi"/>
                      <w:color w:val="000000"/>
                      <w:sz w:val="18"/>
                      <w:szCs w:val="18"/>
                    </w:rPr>
                  </w:pPr>
                  <w:r w:rsidRPr="001C7E6E">
                    <w:rPr>
                      <w:rFonts w:asciiTheme="minorHAnsi" w:hAnsiTheme="minorHAnsi" w:cstheme="minorHAnsi"/>
                      <w:color w:val="000000"/>
                      <w:sz w:val="18"/>
                      <w:szCs w:val="18"/>
                    </w:rPr>
                    <w:t>The domain of Learning within the Student Wellbeing Survey measures the following subdomains of engagement:</w:t>
                  </w:r>
                </w:p>
                <w:p w14:paraId="7E58ACEB" w14:textId="2EE80067" w:rsidR="000F0FD2" w:rsidRPr="008D1CB3" w:rsidRDefault="000F0FD2" w:rsidP="00C73CCC">
                  <w:pPr>
                    <w:pStyle w:val="TableBullet"/>
                    <w:jc w:val="both"/>
                  </w:pPr>
                  <w:r w:rsidRPr="008D1CB3">
                    <w:t xml:space="preserve">Emotional Engagement with teachers </w:t>
                  </w:r>
                  <w:r w:rsidR="008D1CB3">
                    <w:t>—</w:t>
                  </w:r>
                  <w:r w:rsidRPr="008D1CB3">
                    <w:t xml:space="preserve"> </w:t>
                  </w:r>
                  <w:r w:rsidRPr="008D1CB3">
                    <w:rPr>
                      <w:i/>
                      <w:iCs/>
                    </w:rPr>
                    <w:t>Support and relationships with teachers.</w:t>
                  </w:r>
                </w:p>
                <w:p w14:paraId="2AEEB9B8" w14:textId="43D11559" w:rsidR="000F0FD2" w:rsidRPr="008D1CB3" w:rsidRDefault="000F0FD2" w:rsidP="00C73CCC">
                  <w:pPr>
                    <w:pStyle w:val="TableBullet"/>
                    <w:jc w:val="both"/>
                  </w:pPr>
                  <w:r w:rsidRPr="008D1CB3">
                    <w:t xml:space="preserve">Engagement (flow) </w:t>
                  </w:r>
                  <w:r w:rsidR="008D1CB3">
                    <w:t>—</w:t>
                  </w:r>
                  <w:r w:rsidRPr="008D1CB3">
                    <w:t xml:space="preserve"> </w:t>
                  </w:r>
                  <w:r w:rsidRPr="008D1CB3">
                    <w:rPr>
                      <w:i/>
                      <w:iCs/>
                    </w:rPr>
                    <w:t>Being absorbed, interested and involved in activity or the world.</w:t>
                  </w:r>
                </w:p>
                <w:p w14:paraId="55EAD392" w14:textId="1AFD1235" w:rsidR="00F54F28" w:rsidRPr="000F0FD2" w:rsidRDefault="000F0FD2" w:rsidP="00C73CCC">
                  <w:pPr>
                    <w:pStyle w:val="TableBullet"/>
                    <w:jc w:val="both"/>
                    <w:rPr>
                      <w:bCs/>
                      <w:i/>
                      <w:iCs/>
                    </w:rPr>
                  </w:pPr>
                  <w:r w:rsidRPr="008D1CB3">
                    <w:t xml:space="preserve">Cognitive Engagement </w:t>
                  </w:r>
                  <w:r w:rsidR="008D1CB3">
                    <w:t>—</w:t>
                  </w:r>
                  <w:r w:rsidRPr="008D1CB3">
                    <w:t xml:space="preserve"> </w:t>
                  </w:r>
                  <w:r w:rsidRPr="008D1CB3">
                    <w:rPr>
                      <w:i/>
                      <w:iCs/>
                    </w:rPr>
                    <w:t>Persistence with classroom tasks, generating ideas and attitudes related to holding a growth mindset.</w:t>
                  </w:r>
                </w:p>
              </w:tc>
            </w:tr>
            <w:tr w:rsidR="00F54F28" w:rsidRPr="00A251C8" w14:paraId="489B3F27" w14:textId="77777777" w:rsidTr="00903A63">
              <w:trPr>
                <w:gridAfter w:val="2"/>
                <w:wAfter w:w="58" w:type="dxa"/>
              </w:trPr>
              <w:tc>
                <w:tcPr>
                  <w:tcW w:w="1141" w:type="dxa"/>
                  <w:tcBorders>
                    <w:top w:val="single" w:sz="6" w:space="0" w:color="BFBFBF"/>
                    <w:bottom w:val="single" w:sz="6" w:space="0" w:color="BFBFBF"/>
                  </w:tcBorders>
                </w:tcPr>
                <w:p w14:paraId="29C4044A" w14:textId="3BEDE524" w:rsidR="00F54F28" w:rsidRPr="000F0FD2" w:rsidRDefault="000F0FD2" w:rsidP="00724B08">
                  <w:pPr>
                    <w:pStyle w:val="TableUnitsRow"/>
                    <w:ind w:right="28"/>
                    <w:jc w:val="left"/>
                    <w:rPr>
                      <w:bCs/>
                      <w:i/>
                      <w:iCs/>
                      <w:sz w:val="20"/>
                    </w:rPr>
                  </w:pPr>
                  <w:r w:rsidRPr="000F0FD2">
                    <w:rPr>
                      <w:bCs/>
                      <w:i/>
                      <w:iCs/>
                      <w:sz w:val="20"/>
                    </w:rPr>
                    <w:t>Statistics:</w:t>
                  </w:r>
                </w:p>
              </w:tc>
              <w:tc>
                <w:tcPr>
                  <w:tcW w:w="7568" w:type="dxa"/>
                  <w:gridSpan w:val="7"/>
                  <w:tcBorders>
                    <w:top w:val="single" w:sz="6" w:space="0" w:color="BFBFBF"/>
                    <w:bottom w:val="single" w:sz="6" w:space="0" w:color="BFBFBF"/>
                  </w:tcBorders>
                  <w:shd w:val="clear" w:color="auto" w:fill="auto"/>
                </w:tcPr>
                <w:p w14:paraId="5256EAA4" w14:textId="77777777" w:rsidR="000F0FD2" w:rsidRPr="001C7E6E" w:rsidRDefault="000F0FD2" w:rsidP="00C73CCC">
                  <w:pPr>
                    <w:pStyle w:val="TableBodyText"/>
                    <w:jc w:val="both"/>
                    <w:rPr>
                      <w:rFonts w:asciiTheme="minorHAnsi" w:hAnsiTheme="minorHAnsi" w:cstheme="minorHAnsi"/>
                      <w:color w:val="000000"/>
                      <w:szCs w:val="18"/>
                    </w:rPr>
                  </w:pPr>
                  <w:r w:rsidRPr="001C7E6E">
                    <w:rPr>
                      <w:rFonts w:asciiTheme="minorHAnsi" w:hAnsiTheme="minorHAnsi" w:cstheme="minorHAnsi"/>
                      <w:color w:val="000000"/>
                      <w:szCs w:val="18"/>
                    </w:rPr>
                    <w:t>The levels of engagement are determined based on respondents who indicated medium or high wellbeing, as a proportion of all responses across the questions associated with the three Learning subdomains associated with engagement in the Student Wellbeing Survey.</w:t>
                  </w:r>
                </w:p>
                <w:p w14:paraId="6B7466F3" w14:textId="77777777" w:rsidR="000F0FD2" w:rsidRPr="001C7E6E" w:rsidRDefault="000F0FD2" w:rsidP="00C73CCC">
                  <w:pPr>
                    <w:pStyle w:val="TableBodyText"/>
                    <w:jc w:val="both"/>
                    <w:rPr>
                      <w:rFonts w:asciiTheme="minorHAnsi" w:hAnsiTheme="minorHAnsi" w:cstheme="minorHAnsi"/>
                      <w:color w:val="000000"/>
                      <w:szCs w:val="18"/>
                    </w:rPr>
                  </w:pPr>
                  <w:r w:rsidRPr="001C7E6E">
                    <w:rPr>
                      <w:rFonts w:asciiTheme="minorHAnsi" w:hAnsiTheme="minorHAnsi" w:cstheme="minorHAnsi"/>
                      <w:color w:val="000000"/>
                      <w:szCs w:val="18"/>
                    </w:rPr>
                    <w:t xml:space="preserve">In 2019 these are: </w:t>
                  </w:r>
                </w:p>
                <w:p w14:paraId="6B9E5C28" w14:textId="2274143F" w:rsidR="000F0FD2" w:rsidRPr="001C7E6E" w:rsidRDefault="000F0FD2" w:rsidP="00C73CCC">
                  <w:pPr>
                    <w:pStyle w:val="TableBodyText"/>
                    <w:jc w:val="both"/>
                    <w:rPr>
                      <w:rFonts w:asciiTheme="minorHAnsi" w:hAnsiTheme="minorHAnsi" w:cstheme="minorHAnsi"/>
                      <w:color w:val="000000"/>
                      <w:szCs w:val="18"/>
                    </w:rPr>
                  </w:pPr>
                  <w:r w:rsidRPr="001C7E6E">
                    <w:rPr>
                      <w:rFonts w:asciiTheme="minorHAnsi" w:hAnsiTheme="minorHAnsi" w:cstheme="minorHAnsi"/>
                      <w:color w:val="000000"/>
                      <w:szCs w:val="18"/>
                    </w:rPr>
                    <w:t xml:space="preserve">1. Emotional Engagement with teachers </w:t>
                  </w:r>
                  <w:r>
                    <w:rPr>
                      <w:rFonts w:asciiTheme="minorHAnsi" w:hAnsiTheme="minorHAnsi" w:cstheme="minorHAnsi"/>
                      <w:color w:val="000000"/>
                      <w:szCs w:val="18"/>
                    </w:rPr>
                    <w:t>—</w:t>
                  </w:r>
                  <w:r w:rsidRPr="001C7E6E">
                    <w:rPr>
                      <w:rFonts w:asciiTheme="minorHAnsi" w:hAnsiTheme="minorHAnsi" w:cstheme="minorHAnsi"/>
                      <w:color w:val="000000"/>
                      <w:szCs w:val="18"/>
                    </w:rPr>
                    <w:t xml:space="preserve"> 95</w:t>
                  </w:r>
                  <w:r>
                    <w:rPr>
                      <w:rFonts w:asciiTheme="minorHAnsi" w:hAnsiTheme="minorHAnsi" w:cstheme="minorHAnsi"/>
                      <w:color w:val="000000"/>
                      <w:szCs w:val="18"/>
                    </w:rPr>
                    <w:t xml:space="preserve"> per cent</w:t>
                  </w:r>
                </w:p>
                <w:p w14:paraId="35424951" w14:textId="6BCC56C2" w:rsidR="000F0FD2" w:rsidRPr="001C7E6E" w:rsidRDefault="000F0FD2" w:rsidP="00C73CCC">
                  <w:pPr>
                    <w:pStyle w:val="TableBodyText"/>
                    <w:jc w:val="both"/>
                    <w:rPr>
                      <w:rFonts w:asciiTheme="minorHAnsi" w:hAnsiTheme="minorHAnsi" w:cstheme="minorHAnsi"/>
                      <w:color w:val="000000"/>
                      <w:szCs w:val="18"/>
                    </w:rPr>
                  </w:pPr>
                  <w:r w:rsidRPr="001C7E6E">
                    <w:rPr>
                      <w:rFonts w:asciiTheme="minorHAnsi" w:hAnsiTheme="minorHAnsi" w:cstheme="minorHAnsi"/>
                      <w:color w:val="000000"/>
                      <w:szCs w:val="18"/>
                    </w:rPr>
                    <w:t xml:space="preserve">2. Engagement (flow) </w:t>
                  </w:r>
                  <w:r>
                    <w:rPr>
                      <w:rFonts w:asciiTheme="minorHAnsi" w:hAnsiTheme="minorHAnsi" w:cstheme="minorHAnsi"/>
                      <w:color w:val="000000"/>
                      <w:szCs w:val="18"/>
                    </w:rPr>
                    <w:t>—</w:t>
                  </w:r>
                  <w:r w:rsidRPr="001C7E6E">
                    <w:rPr>
                      <w:rFonts w:asciiTheme="minorHAnsi" w:hAnsiTheme="minorHAnsi" w:cstheme="minorHAnsi"/>
                      <w:color w:val="000000"/>
                      <w:szCs w:val="18"/>
                    </w:rPr>
                    <w:t xml:space="preserve"> 62</w:t>
                  </w:r>
                  <w:r>
                    <w:rPr>
                      <w:rFonts w:asciiTheme="minorHAnsi" w:hAnsiTheme="minorHAnsi" w:cstheme="minorHAnsi"/>
                      <w:color w:val="000000"/>
                      <w:szCs w:val="18"/>
                    </w:rPr>
                    <w:t xml:space="preserve"> per cent</w:t>
                  </w:r>
                </w:p>
                <w:p w14:paraId="0D59C9B1" w14:textId="6056BCF9" w:rsidR="00F54F28" w:rsidRPr="000F0FD2" w:rsidRDefault="000F0FD2" w:rsidP="00C73CCC">
                  <w:pPr>
                    <w:pStyle w:val="TableUnitsRow"/>
                    <w:ind w:right="28"/>
                    <w:jc w:val="both"/>
                    <w:rPr>
                      <w:bCs/>
                      <w:i/>
                      <w:iCs/>
                    </w:rPr>
                  </w:pPr>
                  <w:r w:rsidRPr="001C7E6E">
                    <w:rPr>
                      <w:rFonts w:asciiTheme="minorHAnsi" w:hAnsiTheme="minorHAnsi" w:cstheme="minorHAnsi"/>
                      <w:color w:val="000000"/>
                      <w:szCs w:val="18"/>
                    </w:rPr>
                    <w:t>3. Lear</w:t>
                  </w:r>
                  <w:r>
                    <w:rPr>
                      <w:rFonts w:asciiTheme="minorHAnsi" w:hAnsiTheme="minorHAnsi" w:cstheme="minorHAnsi"/>
                      <w:color w:val="000000"/>
                      <w:szCs w:val="18"/>
                    </w:rPr>
                    <w:t>ning — Cognitive Engagement 83 per cent</w:t>
                  </w:r>
                </w:p>
              </w:tc>
            </w:tr>
            <w:tr w:rsidR="00F54F28" w:rsidRPr="00A251C8" w14:paraId="2D61E836" w14:textId="77777777" w:rsidTr="00903A63">
              <w:trPr>
                <w:gridAfter w:val="2"/>
                <w:wAfter w:w="58" w:type="dxa"/>
              </w:trPr>
              <w:tc>
                <w:tcPr>
                  <w:tcW w:w="1141" w:type="dxa"/>
                  <w:tcBorders>
                    <w:top w:val="single" w:sz="6" w:space="0" w:color="BFBFBF"/>
                    <w:bottom w:val="single" w:sz="6" w:space="0" w:color="BFBFBF"/>
                  </w:tcBorders>
                </w:tcPr>
                <w:p w14:paraId="7CA3D267" w14:textId="6BF52123" w:rsidR="00F54F28" w:rsidRPr="000F0FD2" w:rsidRDefault="000F0FD2" w:rsidP="00724B08">
                  <w:pPr>
                    <w:pStyle w:val="TableUnitsRow"/>
                    <w:ind w:right="28"/>
                    <w:jc w:val="left"/>
                    <w:rPr>
                      <w:bCs/>
                      <w:i/>
                      <w:iCs/>
                      <w:sz w:val="20"/>
                    </w:rPr>
                  </w:pPr>
                  <w:r w:rsidRPr="000F0FD2">
                    <w:rPr>
                      <w:bCs/>
                      <w:i/>
                      <w:iCs/>
                      <w:sz w:val="20"/>
                    </w:rPr>
                    <w:lastRenderedPageBreak/>
                    <w:t>Link:</w:t>
                  </w:r>
                </w:p>
              </w:tc>
              <w:tc>
                <w:tcPr>
                  <w:tcW w:w="7568" w:type="dxa"/>
                  <w:gridSpan w:val="7"/>
                  <w:tcBorders>
                    <w:top w:val="single" w:sz="6" w:space="0" w:color="BFBFBF"/>
                    <w:bottom w:val="single" w:sz="6" w:space="0" w:color="BFBFBF"/>
                  </w:tcBorders>
                  <w:shd w:val="clear" w:color="auto" w:fill="auto"/>
                </w:tcPr>
                <w:p w14:paraId="193B38C5" w14:textId="77777777" w:rsidR="00903A63" w:rsidRPr="00903A63" w:rsidRDefault="00903A63" w:rsidP="00C73CCC">
                  <w:pPr>
                    <w:keepNext/>
                    <w:keepLines/>
                    <w:spacing w:after="40" w:line="200" w:lineRule="atLeast"/>
                    <w:ind w:left="6" w:right="113"/>
                    <w:jc w:val="both"/>
                    <w:rPr>
                      <w:rFonts w:ascii="Arial" w:hAnsi="Arial"/>
                      <w:bCs/>
                      <w:sz w:val="18"/>
                      <w:szCs w:val="20"/>
                    </w:rPr>
                  </w:pPr>
                  <w:r w:rsidRPr="00903A63">
                    <w:rPr>
                      <w:rFonts w:ascii="Arial" w:hAnsi="Arial"/>
                      <w:bCs/>
                      <w:sz w:val="18"/>
                      <w:szCs w:val="20"/>
                    </w:rPr>
                    <w:t>2019 Student Wellbeing Survey State Report:</w:t>
                  </w:r>
                </w:p>
                <w:p w14:paraId="0FFDAD25" w14:textId="03312EAA" w:rsidR="00903A63" w:rsidRPr="00903A63" w:rsidRDefault="00903A63" w:rsidP="00C73CCC">
                  <w:pPr>
                    <w:keepNext/>
                    <w:keepLines/>
                    <w:spacing w:after="40" w:line="200" w:lineRule="atLeast"/>
                    <w:ind w:right="113"/>
                    <w:jc w:val="both"/>
                    <w:rPr>
                      <w:rFonts w:ascii="Arial" w:hAnsi="Arial"/>
                      <w:color w:val="0000FF"/>
                      <w:sz w:val="18"/>
                      <w:szCs w:val="20"/>
                      <w:u w:val="single"/>
                    </w:rPr>
                  </w:pPr>
                  <w:r w:rsidRPr="00903A63">
                    <w:rPr>
                      <w:rFonts w:ascii="Arial" w:hAnsi="Arial"/>
                      <w:color w:val="0000FF"/>
                      <w:sz w:val="18"/>
                      <w:szCs w:val="20"/>
                      <w:u w:val="single"/>
                    </w:rPr>
                    <w:t>https://publicdocumentcentre.education.tas.gov.au/library/Shared%20Documents/Tasmanian-Government-School-Report.PDF</w:t>
                  </w:r>
                </w:p>
                <w:p w14:paraId="0F5AAA83" w14:textId="77777777" w:rsidR="00903A63" w:rsidRPr="00903A63" w:rsidRDefault="00903A63" w:rsidP="00C73CCC">
                  <w:pPr>
                    <w:keepNext/>
                    <w:keepLines/>
                    <w:spacing w:after="40" w:line="200" w:lineRule="atLeast"/>
                    <w:ind w:right="113"/>
                    <w:jc w:val="both"/>
                    <w:rPr>
                      <w:rFonts w:ascii="Arial" w:hAnsi="Arial"/>
                      <w:bCs/>
                      <w:sz w:val="18"/>
                      <w:szCs w:val="20"/>
                    </w:rPr>
                  </w:pPr>
                  <w:r w:rsidRPr="00903A63">
                    <w:rPr>
                      <w:rFonts w:ascii="Arial" w:hAnsi="Arial"/>
                      <w:bCs/>
                      <w:sz w:val="18"/>
                      <w:szCs w:val="20"/>
                    </w:rPr>
                    <w:t>Information on the Student Wellbeing Survey may be found at:</w:t>
                  </w:r>
                </w:p>
                <w:p w14:paraId="244C24DB" w14:textId="646629C0" w:rsidR="00903A63" w:rsidRPr="00903A63" w:rsidRDefault="00903A63" w:rsidP="00C73CCC">
                  <w:pPr>
                    <w:keepNext/>
                    <w:keepLines/>
                    <w:spacing w:after="40" w:line="200" w:lineRule="atLeast"/>
                    <w:ind w:left="6" w:right="113"/>
                    <w:jc w:val="both"/>
                    <w:rPr>
                      <w:rFonts w:ascii="Arial" w:hAnsi="Arial"/>
                      <w:sz w:val="18"/>
                      <w:szCs w:val="20"/>
                    </w:rPr>
                  </w:pPr>
                  <w:r w:rsidRPr="00903A63">
                    <w:rPr>
                      <w:rFonts w:ascii="Arial" w:hAnsi="Arial"/>
                      <w:color w:val="0000FF"/>
                      <w:sz w:val="18"/>
                      <w:szCs w:val="20"/>
                      <w:u w:val="single"/>
                    </w:rPr>
                    <w:t>https://www.education.tas.gov.au/about-us/projects/child-student-wellbeing/student-wellbeing-survey-2/</w:t>
                  </w:r>
                </w:p>
                <w:p w14:paraId="37936A4D" w14:textId="1A7703FD" w:rsidR="00F54F28" w:rsidRPr="000F0FD2" w:rsidRDefault="00903A63" w:rsidP="00C73CCC">
                  <w:pPr>
                    <w:keepNext/>
                    <w:keepLines/>
                    <w:spacing w:after="40" w:line="200" w:lineRule="atLeast"/>
                    <w:ind w:left="6" w:right="113"/>
                    <w:jc w:val="both"/>
                    <w:rPr>
                      <w:bCs/>
                      <w:i/>
                      <w:iCs/>
                    </w:rPr>
                  </w:pPr>
                  <w:r w:rsidRPr="00903A63">
                    <w:rPr>
                      <w:rFonts w:ascii="Arial" w:hAnsi="Arial"/>
                      <w:sz w:val="18"/>
                      <w:szCs w:val="20"/>
                    </w:rPr>
                    <w:t xml:space="preserve">Additional information on the Department’s Student and Child Wellbeing Strategy may be found at: </w:t>
                  </w:r>
                  <w:r w:rsidRPr="00903A63">
                    <w:rPr>
                      <w:rFonts w:ascii="Arial" w:hAnsi="Arial"/>
                      <w:color w:val="0000FF"/>
                      <w:sz w:val="18"/>
                      <w:szCs w:val="20"/>
                      <w:u w:val="single"/>
                    </w:rPr>
                    <w:t>https://www.education.tas.gov.au/about-us/projects/child-student-wellbeing/</w:t>
                  </w:r>
                </w:p>
              </w:tc>
            </w:tr>
            <w:tr w:rsidR="00F54F28" w:rsidRPr="00A251C8" w14:paraId="302179E3" w14:textId="77777777" w:rsidTr="00903A63">
              <w:trPr>
                <w:gridAfter w:val="2"/>
                <w:wAfter w:w="58" w:type="dxa"/>
              </w:trPr>
              <w:tc>
                <w:tcPr>
                  <w:tcW w:w="8709" w:type="dxa"/>
                  <w:gridSpan w:val="8"/>
                  <w:tcBorders>
                    <w:top w:val="single" w:sz="6" w:space="0" w:color="BFBFBF"/>
                    <w:bottom w:val="single" w:sz="6" w:space="0" w:color="BFBFBF"/>
                  </w:tcBorders>
                  <w:shd w:val="clear" w:color="auto" w:fill="auto"/>
                </w:tcPr>
                <w:p w14:paraId="7F81C2F7" w14:textId="50BE5871" w:rsidR="00F54F28" w:rsidRDefault="00F54F28" w:rsidP="00724B08">
                  <w:pPr>
                    <w:pStyle w:val="TableUnitsRow"/>
                    <w:ind w:right="28"/>
                    <w:jc w:val="left"/>
                    <w:rPr>
                      <w:b/>
                    </w:rPr>
                  </w:pPr>
                  <w:r>
                    <w:rPr>
                      <w:b/>
                    </w:rPr>
                    <w:t>Australian Capital Territory</w:t>
                  </w:r>
                </w:p>
              </w:tc>
            </w:tr>
            <w:tr w:rsidR="00724B08" w:rsidRPr="00A251C8" w14:paraId="367DF5BE" w14:textId="77777777" w:rsidTr="008D1CB3">
              <w:trPr>
                <w:gridAfter w:val="2"/>
                <w:wAfter w:w="58" w:type="dxa"/>
              </w:trPr>
              <w:tc>
                <w:tcPr>
                  <w:tcW w:w="1141" w:type="dxa"/>
                  <w:tcBorders>
                    <w:bottom w:val="single" w:sz="6" w:space="0" w:color="BFBFBF"/>
                  </w:tcBorders>
                  <w:shd w:val="clear" w:color="auto" w:fill="auto"/>
                </w:tcPr>
                <w:p w14:paraId="04CE6E49" w14:textId="77777777" w:rsidR="00724B08" w:rsidRPr="00A251C8" w:rsidRDefault="00724B08" w:rsidP="00724B08">
                  <w:pPr>
                    <w:pStyle w:val="TableBodyText"/>
                    <w:jc w:val="left"/>
                    <w:rPr>
                      <w:rFonts w:cs="Arial"/>
                      <w:i/>
                      <w:iCs/>
                      <w:color w:val="000000"/>
                      <w:sz w:val="20"/>
                    </w:rPr>
                  </w:pPr>
                  <w:r w:rsidRPr="00A251C8">
                    <w:rPr>
                      <w:rFonts w:cs="Arial"/>
                      <w:i/>
                      <w:iCs/>
                      <w:color w:val="000000"/>
                      <w:sz w:val="20"/>
                    </w:rPr>
                    <w:t>Key Features:</w:t>
                  </w:r>
                </w:p>
              </w:tc>
              <w:tc>
                <w:tcPr>
                  <w:tcW w:w="20" w:type="dxa"/>
                  <w:tcBorders>
                    <w:bottom w:val="single" w:sz="6" w:space="0" w:color="BFBFBF"/>
                  </w:tcBorders>
                </w:tcPr>
                <w:p w14:paraId="7E699C64" w14:textId="77777777" w:rsidR="00724B08" w:rsidRPr="00A251C8" w:rsidRDefault="00724B08" w:rsidP="00724B08">
                  <w:pPr>
                    <w:pStyle w:val="TableBodyText"/>
                  </w:pPr>
                </w:p>
              </w:tc>
              <w:tc>
                <w:tcPr>
                  <w:tcW w:w="7548" w:type="dxa"/>
                  <w:gridSpan w:val="6"/>
                  <w:tcBorders>
                    <w:bottom w:val="single" w:sz="6" w:space="0" w:color="BFBFBF"/>
                  </w:tcBorders>
                  <w:shd w:val="clear" w:color="auto" w:fill="auto"/>
                </w:tcPr>
                <w:p w14:paraId="31076523" w14:textId="77777777" w:rsidR="00724B08" w:rsidRDefault="005003F0" w:rsidP="005003F0">
                  <w:pPr>
                    <w:pStyle w:val="TableUnitsRow"/>
                    <w:jc w:val="both"/>
                  </w:pPr>
                  <w:r w:rsidRPr="005003F0">
                    <w:t xml:space="preserve">The ACT conducts the Australian School Climate and School Identification Measurement Tool (ASCSIMT) survey in all public schools. All students in years 4-12, school staff and parents of all students from preschool to year 12 are invited to complete the survey. The ASCSIMT was developed in partnership with the Australian National University. The survey explores the relationships between school climate and the sense of belonging of students and how these relate to student behavioural and emotional engagement and to </w:t>
                  </w:r>
                  <w:proofErr w:type="gramStart"/>
                  <w:r w:rsidRPr="005003F0">
                    <w:t>a number of</w:t>
                  </w:r>
                  <w:proofErr w:type="gramEnd"/>
                  <w:r w:rsidRPr="005003F0">
                    <w:t xml:space="preserve"> domains of student wellbeing and behaviour. The survey is conducted every August in conjunction with the School Satisfaction Survey.</w:t>
                  </w:r>
                </w:p>
                <w:p w14:paraId="34A1992C" w14:textId="50542C66" w:rsidR="005003F0" w:rsidRPr="00A251C8" w:rsidRDefault="005003F0" w:rsidP="005003F0">
                  <w:pPr>
                    <w:pStyle w:val="TableUnitsRow"/>
                    <w:jc w:val="both"/>
                  </w:pPr>
                  <w:r w:rsidRPr="005003F0">
                    <w:t>The survey allows for longitudinal research into student engagement.</w:t>
                  </w:r>
                </w:p>
              </w:tc>
            </w:tr>
            <w:tr w:rsidR="00724B08" w:rsidRPr="00A251C8" w14:paraId="7696F5D3" w14:textId="77777777" w:rsidTr="008D1CB3">
              <w:trPr>
                <w:gridAfter w:val="2"/>
                <w:wAfter w:w="58" w:type="dxa"/>
              </w:trPr>
              <w:tc>
                <w:tcPr>
                  <w:tcW w:w="1141" w:type="dxa"/>
                  <w:tcBorders>
                    <w:top w:val="single" w:sz="6" w:space="0" w:color="BFBFBF"/>
                    <w:bottom w:val="single" w:sz="6" w:space="0" w:color="BFBFBF"/>
                  </w:tcBorders>
                  <w:shd w:val="clear" w:color="auto" w:fill="auto"/>
                </w:tcPr>
                <w:p w14:paraId="19493BD0" w14:textId="77777777" w:rsidR="00724B08" w:rsidRPr="00A251C8" w:rsidRDefault="00724B08" w:rsidP="00724B08">
                  <w:pPr>
                    <w:pStyle w:val="TableBodyText"/>
                    <w:jc w:val="left"/>
                    <w:rPr>
                      <w:rFonts w:cs="Arial"/>
                      <w:i/>
                      <w:iCs/>
                      <w:color w:val="000000"/>
                      <w:sz w:val="20"/>
                    </w:rPr>
                  </w:pPr>
                  <w:r w:rsidRPr="00A251C8">
                    <w:rPr>
                      <w:rFonts w:cs="Arial"/>
                      <w:i/>
                      <w:iCs/>
                      <w:color w:val="000000"/>
                      <w:sz w:val="20"/>
                    </w:rPr>
                    <w:t>Domain:</w:t>
                  </w:r>
                </w:p>
              </w:tc>
              <w:tc>
                <w:tcPr>
                  <w:tcW w:w="20" w:type="dxa"/>
                  <w:tcBorders>
                    <w:top w:val="single" w:sz="6" w:space="0" w:color="BFBFBF"/>
                    <w:bottom w:val="single" w:sz="6" w:space="0" w:color="BFBFBF"/>
                  </w:tcBorders>
                </w:tcPr>
                <w:p w14:paraId="29886079" w14:textId="77777777" w:rsidR="00724B08" w:rsidRPr="00A251C8" w:rsidRDefault="00724B08" w:rsidP="00724B08">
                  <w:pPr>
                    <w:pStyle w:val="TableBodyText"/>
                  </w:pPr>
                </w:p>
              </w:tc>
              <w:tc>
                <w:tcPr>
                  <w:tcW w:w="7548" w:type="dxa"/>
                  <w:gridSpan w:val="6"/>
                  <w:tcBorders>
                    <w:top w:val="single" w:sz="6" w:space="0" w:color="BFBFBF"/>
                    <w:bottom w:val="single" w:sz="6" w:space="0" w:color="BFBFBF"/>
                  </w:tcBorders>
                  <w:shd w:val="clear" w:color="auto" w:fill="auto"/>
                </w:tcPr>
                <w:p w14:paraId="7530F6F2" w14:textId="5CA7FFC5" w:rsidR="005003F0" w:rsidRDefault="005003F0" w:rsidP="005003F0">
                  <w:pPr>
                    <w:pStyle w:val="TableUnitsRow"/>
                    <w:jc w:val="both"/>
                  </w:pPr>
                  <w:r>
                    <w:t>The domains addressed by the survey include:</w:t>
                  </w:r>
                </w:p>
                <w:p w14:paraId="727EA2B7" w14:textId="5E011795" w:rsidR="005003F0" w:rsidRDefault="005003F0" w:rsidP="005003F0">
                  <w:pPr>
                    <w:pStyle w:val="TableBullet"/>
                    <w:jc w:val="both"/>
                  </w:pPr>
                  <w:r>
                    <w:t>Academic emphasis (cognitive engagement)</w:t>
                  </w:r>
                </w:p>
                <w:p w14:paraId="7F35299B" w14:textId="7A572BE5" w:rsidR="005003F0" w:rsidRDefault="005003F0" w:rsidP="005003F0">
                  <w:pPr>
                    <w:pStyle w:val="TableBullet"/>
                    <w:jc w:val="both"/>
                  </w:pPr>
                  <w:r>
                    <w:t>Shared values and approach</w:t>
                  </w:r>
                </w:p>
                <w:p w14:paraId="358A2B80" w14:textId="7D20BFDA" w:rsidR="005003F0" w:rsidRDefault="005003F0" w:rsidP="005003F0">
                  <w:pPr>
                    <w:pStyle w:val="TableBullet"/>
                    <w:jc w:val="both"/>
                  </w:pPr>
                  <w:r>
                    <w:t>Staff/student and student/student relations</w:t>
                  </w:r>
                </w:p>
                <w:p w14:paraId="10B3A1A6" w14:textId="2E7DB46D" w:rsidR="005003F0" w:rsidRDefault="005003F0" w:rsidP="005003F0">
                  <w:pPr>
                    <w:pStyle w:val="TableBullet"/>
                    <w:jc w:val="both"/>
                  </w:pPr>
                  <w:r>
                    <w:t>School Identification (sense of belonging)</w:t>
                  </w:r>
                </w:p>
                <w:p w14:paraId="564D101B" w14:textId="5F90B7AD" w:rsidR="005003F0" w:rsidRDefault="005003F0" w:rsidP="005003F0">
                  <w:pPr>
                    <w:pStyle w:val="TableBullet"/>
                    <w:jc w:val="both"/>
                  </w:pPr>
                  <w:r>
                    <w:t>Emotional and behavioural engagement</w:t>
                  </w:r>
                </w:p>
                <w:p w14:paraId="656FBB7D" w14:textId="22F707A1" w:rsidR="005003F0" w:rsidRDefault="005003F0" w:rsidP="005003F0">
                  <w:pPr>
                    <w:pStyle w:val="TableBullet"/>
                    <w:jc w:val="both"/>
                  </w:pPr>
                  <w:r>
                    <w:t>Support and safety</w:t>
                  </w:r>
                </w:p>
                <w:p w14:paraId="0A78A8E5" w14:textId="7D17EEFC" w:rsidR="005003F0" w:rsidRDefault="005003F0" w:rsidP="005003F0">
                  <w:pPr>
                    <w:pStyle w:val="TableBullet"/>
                    <w:jc w:val="both"/>
                  </w:pPr>
                  <w:r>
                    <w:t>A range of student behaviours</w:t>
                  </w:r>
                </w:p>
                <w:p w14:paraId="6FE9C77D" w14:textId="7834E1B4" w:rsidR="00724B08" w:rsidRPr="00A251C8" w:rsidRDefault="005003F0" w:rsidP="005003F0">
                  <w:pPr>
                    <w:pStyle w:val="TableBullet"/>
                    <w:jc w:val="both"/>
                  </w:pPr>
                  <w:r>
                    <w:t>A range of emotional wellbeing elements</w:t>
                  </w:r>
                </w:p>
              </w:tc>
            </w:tr>
            <w:tr w:rsidR="00724B08" w:rsidRPr="00A251C8" w14:paraId="34402777" w14:textId="77777777" w:rsidTr="008D1CB3">
              <w:trPr>
                <w:gridAfter w:val="2"/>
                <w:wAfter w:w="58" w:type="dxa"/>
              </w:trPr>
              <w:tc>
                <w:tcPr>
                  <w:tcW w:w="1141" w:type="dxa"/>
                  <w:tcBorders>
                    <w:top w:val="single" w:sz="6" w:space="0" w:color="BFBFBF"/>
                    <w:bottom w:val="single" w:sz="6" w:space="0" w:color="BFBFBF"/>
                  </w:tcBorders>
                  <w:shd w:val="clear" w:color="auto" w:fill="auto"/>
                </w:tcPr>
                <w:p w14:paraId="1861A3C1" w14:textId="77777777" w:rsidR="00724B08" w:rsidRPr="00A251C8" w:rsidRDefault="00724B08" w:rsidP="00724B08">
                  <w:pPr>
                    <w:pStyle w:val="TableBodyText"/>
                    <w:jc w:val="left"/>
                    <w:rPr>
                      <w:rFonts w:cs="Arial"/>
                      <w:i/>
                      <w:iCs/>
                      <w:color w:val="000000"/>
                      <w:sz w:val="20"/>
                    </w:rPr>
                  </w:pPr>
                  <w:r w:rsidRPr="00A251C8">
                    <w:rPr>
                      <w:rFonts w:cs="Arial"/>
                      <w:i/>
                      <w:iCs/>
                      <w:color w:val="000000"/>
                      <w:sz w:val="20"/>
                    </w:rPr>
                    <w:t>Statistics:</w:t>
                  </w:r>
                </w:p>
              </w:tc>
              <w:tc>
                <w:tcPr>
                  <w:tcW w:w="20" w:type="dxa"/>
                  <w:tcBorders>
                    <w:top w:val="single" w:sz="6" w:space="0" w:color="BFBFBF"/>
                    <w:bottom w:val="single" w:sz="6" w:space="0" w:color="BFBFBF"/>
                  </w:tcBorders>
                </w:tcPr>
                <w:p w14:paraId="74D3DF94" w14:textId="77777777" w:rsidR="00724B08" w:rsidRPr="00A251C8" w:rsidRDefault="00724B08" w:rsidP="00724B08">
                  <w:pPr>
                    <w:pStyle w:val="TableBodyText"/>
                  </w:pPr>
                </w:p>
              </w:tc>
              <w:tc>
                <w:tcPr>
                  <w:tcW w:w="7548" w:type="dxa"/>
                  <w:gridSpan w:val="6"/>
                  <w:tcBorders>
                    <w:top w:val="single" w:sz="6" w:space="0" w:color="BFBFBF"/>
                    <w:bottom w:val="single" w:sz="6" w:space="0" w:color="BFBFBF"/>
                  </w:tcBorders>
                  <w:shd w:val="clear" w:color="auto" w:fill="auto"/>
                </w:tcPr>
                <w:p w14:paraId="7F352101" w14:textId="588280D3" w:rsidR="00724B08" w:rsidRPr="00A251C8" w:rsidRDefault="00617F3F" w:rsidP="005003F0">
                  <w:pPr>
                    <w:pStyle w:val="TableUnitsRow"/>
                    <w:jc w:val="both"/>
                  </w:pPr>
                  <w:r>
                    <w:t xml:space="preserve">Results are from the </w:t>
                  </w:r>
                  <w:r w:rsidRPr="003C5A00">
                    <w:t>August 20</w:t>
                  </w:r>
                  <w:r w:rsidR="009B579A" w:rsidRPr="003C5A00">
                    <w:t>20</w:t>
                  </w:r>
                  <w:r>
                    <w:t xml:space="preserve"> survey. </w:t>
                  </w:r>
                  <w:r w:rsidR="005003F0" w:rsidRPr="005003F0">
                    <w:t>Across the ACT</w:t>
                  </w:r>
                  <w:r>
                    <w:t>,</w:t>
                  </w:r>
                  <w:r w:rsidR="005003F0" w:rsidRPr="005003F0">
                    <w:t xml:space="preserve"> 71</w:t>
                  </w:r>
                  <w:r w:rsidR="005003F0">
                    <w:t xml:space="preserve"> per cent</w:t>
                  </w:r>
                  <w:r w:rsidR="005003F0" w:rsidRPr="005003F0">
                    <w:t xml:space="preserve"> of student respondents indicated that they experienced a strong sense of Shared Values and Approach in their schools. Seventy </w:t>
                  </w:r>
                  <w:r w:rsidR="009B579A" w:rsidRPr="003C5A00">
                    <w:t>seven</w:t>
                  </w:r>
                  <w:r w:rsidR="005003F0" w:rsidRPr="005003F0">
                    <w:t xml:space="preserve"> percent of students agreed that their schools had strong Academic emphasis (cognitive engagement). Sixty seven percent of students exhibited strong School Identification (belonging). Eighty two percent of respondents indicated strong behavioural engagement.</w:t>
                  </w:r>
                </w:p>
              </w:tc>
            </w:tr>
            <w:tr w:rsidR="00724B08" w:rsidRPr="00A251C8" w14:paraId="7AF1E8E7" w14:textId="77777777" w:rsidTr="00903A63">
              <w:trPr>
                <w:gridAfter w:val="2"/>
                <w:wAfter w:w="58" w:type="dxa"/>
              </w:trPr>
              <w:tc>
                <w:tcPr>
                  <w:tcW w:w="8709" w:type="dxa"/>
                  <w:gridSpan w:val="8"/>
                  <w:tcBorders>
                    <w:bottom w:val="single" w:sz="6" w:space="0" w:color="BFBFBF"/>
                  </w:tcBorders>
                  <w:shd w:val="clear" w:color="auto" w:fill="auto"/>
                </w:tcPr>
                <w:p w14:paraId="1C36BCB3" w14:textId="77777777" w:rsidR="00724B08" w:rsidRPr="00A251C8" w:rsidRDefault="00724B08" w:rsidP="00724B08">
                  <w:pPr>
                    <w:pStyle w:val="TableUnitsRow"/>
                    <w:jc w:val="left"/>
                    <w:rPr>
                      <w:b/>
                    </w:rPr>
                  </w:pPr>
                  <w:r w:rsidRPr="00A251C8">
                    <w:rPr>
                      <w:b/>
                    </w:rPr>
                    <w:t>Northern Territory</w:t>
                  </w:r>
                </w:p>
              </w:tc>
            </w:tr>
            <w:tr w:rsidR="00724B08" w:rsidRPr="00A251C8" w14:paraId="2035063D" w14:textId="77777777" w:rsidTr="008D1CB3">
              <w:trPr>
                <w:gridAfter w:val="2"/>
                <w:wAfter w:w="58" w:type="dxa"/>
              </w:trPr>
              <w:tc>
                <w:tcPr>
                  <w:tcW w:w="1141" w:type="dxa"/>
                  <w:tcBorders>
                    <w:bottom w:val="single" w:sz="6" w:space="0" w:color="BFBFBF"/>
                  </w:tcBorders>
                  <w:shd w:val="clear" w:color="auto" w:fill="auto"/>
                </w:tcPr>
                <w:p w14:paraId="2D80E9DE" w14:textId="6BD4B651" w:rsidR="00724B08" w:rsidRPr="00A251C8" w:rsidRDefault="00386103" w:rsidP="00724B08">
                  <w:pPr>
                    <w:pStyle w:val="TableBodyText"/>
                    <w:jc w:val="left"/>
                    <w:rPr>
                      <w:rFonts w:cs="Arial"/>
                      <w:i/>
                      <w:iCs/>
                      <w:color w:val="000000"/>
                      <w:sz w:val="20"/>
                    </w:rPr>
                  </w:pPr>
                  <w:r>
                    <w:rPr>
                      <w:rFonts w:cs="Arial"/>
                      <w:i/>
                      <w:iCs/>
                      <w:color w:val="000000"/>
                      <w:sz w:val="20"/>
                    </w:rPr>
                    <w:t>Key features:</w:t>
                  </w:r>
                </w:p>
              </w:tc>
              <w:tc>
                <w:tcPr>
                  <w:tcW w:w="20" w:type="dxa"/>
                  <w:tcBorders>
                    <w:bottom w:val="single" w:sz="6" w:space="0" w:color="BFBFBF"/>
                  </w:tcBorders>
                </w:tcPr>
                <w:p w14:paraId="4598BE8B" w14:textId="77777777" w:rsidR="00724B08" w:rsidRPr="00A251C8" w:rsidRDefault="00724B08" w:rsidP="00724B08">
                  <w:pPr>
                    <w:pStyle w:val="TableBodyText"/>
                  </w:pPr>
                </w:p>
              </w:tc>
              <w:tc>
                <w:tcPr>
                  <w:tcW w:w="7548" w:type="dxa"/>
                  <w:gridSpan w:val="6"/>
                  <w:tcBorders>
                    <w:bottom w:val="single" w:sz="6" w:space="0" w:color="BFBFBF"/>
                  </w:tcBorders>
                  <w:shd w:val="clear" w:color="auto" w:fill="auto"/>
                </w:tcPr>
                <w:p w14:paraId="143FE4BB" w14:textId="77777777" w:rsidR="00386103" w:rsidRDefault="00386103" w:rsidP="00386103">
                  <w:pPr>
                    <w:pStyle w:val="TableUnitsRow"/>
                    <w:spacing w:before="0"/>
                    <w:jc w:val="both"/>
                  </w:pPr>
                  <w:r>
                    <w:t xml:space="preserve">The Northern Territory Department of Education annual School Survey collects the opinions of staff, students and their families about school performance, culture and services. </w:t>
                  </w:r>
                </w:p>
                <w:p w14:paraId="35094238" w14:textId="77777777" w:rsidR="00386103" w:rsidRDefault="00386103" w:rsidP="00386103">
                  <w:pPr>
                    <w:pStyle w:val="TableUnitsRow"/>
                    <w:spacing w:before="0"/>
                    <w:jc w:val="both"/>
                  </w:pPr>
                  <w:r>
                    <w:t xml:space="preserve">The NT School Survey is conducted in all Northern Territory Government schools across Weeks 4 – 6 of Term 3. </w:t>
                  </w:r>
                </w:p>
                <w:p w14:paraId="0FD2AC9F" w14:textId="2CC32302" w:rsidR="00724B08" w:rsidRPr="00A251C8" w:rsidRDefault="00386103" w:rsidP="00386103">
                  <w:pPr>
                    <w:pStyle w:val="TableUnitsRow"/>
                    <w:spacing w:before="0"/>
                    <w:jc w:val="both"/>
                  </w:pPr>
                  <w:r>
                    <w:t xml:space="preserve">There are three different versions of the survey designed to specifically target: students in </w:t>
                  </w:r>
                  <w:r w:rsidR="002D26F4">
                    <w:t>Y</w:t>
                  </w:r>
                  <w:r>
                    <w:t>ears 5</w:t>
                  </w:r>
                  <w:r w:rsidR="002D26F4">
                    <w:t xml:space="preserve"> to</w:t>
                  </w:r>
                  <w:r>
                    <w:t>12, parents and carers of students at all year levels and school-based staff including teaching and administration staff.</w:t>
                  </w:r>
                </w:p>
              </w:tc>
            </w:tr>
            <w:tr w:rsidR="00386103" w:rsidRPr="00A251C8" w14:paraId="0B286689" w14:textId="77777777" w:rsidTr="008D1CB3">
              <w:trPr>
                <w:gridAfter w:val="2"/>
                <w:wAfter w:w="58" w:type="dxa"/>
              </w:trPr>
              <w:tc>
                <w:tcPr>
                  <w:tcW w:w="1141" w:type="dxa"/>
                  <w:tcBorders>
                    <w:top w:val="single" w:sz="6" w:space="0" w:color="BFBFBF"/>
                    <w:bottom w:val="single" w:sz="6" w:space="0" w:color="BFBFBF"/>
                  </w:tcBorders>
                  <w:shd w:val="clear" w:color="auto" w:fill="auto"/>
                </w:tcPr>
                <w:p w14:paraId="63CBCC99" w14:textId="01B730B8" w:rsidR="00386103" w:rsidRPr="00A251C8" w:rsidRDefault="00386103" w:rsidP="00724B08">
                  <w:pPr>
                    <w:pStyle w:val="TableBodyText"/>
                    <w:jc w:val="left"/>
                    <w:rPr>
                      <w:rFonts w:cs="Arial"/>
                      <w:i/>
                      <w:iCs/>
                      <w:color w:val="000000"/>
                      <w:sz w:val="20"/>
                    </w:rPr>
                  </w:pPr>
                  <w:r>
                    <w:rPr>
                      <w:rFonts w:cs="Arial"/>
                      <w:i/>
                      <w:iCs/>
                      <w:color w:val="000000"/>
                      <w:sz w:val="20"/>
                    </w:rPr>
                    <w:t>Domain:</w:t>
                  </w:r>
                </w:p>
              </w:tc>
              <w:tc>
                <w:tcPr>
                  <w:tcW w:w="20" w:type="dxa"/>
                  <w:tcBorders>
                    <w:top w:val="single" w:sz="6" w:space="0" w:color="BFBFBF"/>
                    <w:bottom w:val="single" w:sz="6" w:space="0" w:color="BFBFBF"/>
                  </w:tcBorders>
                </w:tcPr>
                <w:p w14:paraId="1C75030B" w14:textId="77777777" w:rsidR="00386103" w:rsidRPr="00A251C8" w:rsidRDefault="00386103" w:rsidP="00724B08">
                  <w:pPr>
                    <w:pStyle w:val="TableBodyText"/>
                  </w:pPr>
                </w:p>
              </w:tc>
              <w:tc>
                <w:tcPr>
                  <w:tcW w:w="7548" w:type="dxa"/>
                  <w:gridSpan w:val="6"/>
                  <w:tcBorders>
                    <w:top w:val="single" w:sz="6" w:space="0" w:color="BFBFBF"/>
                    <w:bottom w:val="single" w:sz="6" w:space="0" w:color="BFBFBF"/>
                  </w:tcBorders>
                  <w:shd w:val="clear" w:color="auto" w:fill="auto"/>
                </w:tcPr>
                <w:p w14:paraId="50028154" w14:textId="2351886E" w:rsidR="00386103" w:rsidRPr="00A251C8" w:rsidRDefault="00386103" w:rsidP="00386103">
                  <w:pPr>
                    <w:pStyle w:val="TableUnitsRow"/>
                    <w:jc w:val="both"/>
                  </w:pPr>
                  <w:r w:rsidRPr="00386103">
                    <w:t xml:space="preserve">The NT School Survey contains questions that aim to provide schools with key insights into student wellbeing, engagement, and learning experiences from the perspective of the school community.  </w:t>
                  </w:r>
                </w:p>
              </w:tc>
            </w:tr>
            <w:tr w:rsidR="00386103" w:rsidRPr="00A251C8" w14:paraId="5D1A4DC7" w14:textId="77777777" w:rsidTr="008D1CB3">
              <w:trPr>
                <w:gridAfter w:val="2"/>
                <w:wAfter w:w="58" w:type="dxa"/>
              </w:trPr>
              <w:tc>
                <w:tcPr>
                  <w:tcW w:w="1141" w:type="dxa"/>
                  <w:tcBorders>
                    <w:bottom w:val="single" w:sz="6" w:space="0" w:color="BFBFBF"/>
                  </w:tcBorders>
                  <w:shd w:val="clear" w:color="auto" w:fill="auto"/>
                </w:tcPr>
                <w:p w14:paraId="7A3031FF" w14:textId="1CB97560" w:rsidR="00386103" w:rsidRPr="00A251C8" w:rsidRDefault="00386103" w:rsidP="00724B08">
                  <w:pPr>
                    <w:pStyle w:val="TableBodyText"/>
                    <w:jc w:val="left"/>
                    <w:rPr>
                      <w:rFonts w:cs="Arial"/>
                      <w:i/>
                      <w:iCs/>
                      <w:color w:val="000000"/>
                      <w:sz w:val="20"/>
                    </w:rPr>
                  </w:pPr>
                  <w:r>
                    <w:rPr>
                      <w:rFonts w:cs="Arial"/>
                      <w:i/>
                      <w:iCs/>
                      <w:color w:val="000000"/>
                      <w:sz w:val="20"/>
                    </w:rPr>
                    <w:t>Link:</w:t>
                  </w:r>
                </w:p>
              </w:tc>
              <w:tc>
                <w:tcPr>
                  <w:tcW w:w="20" w:type="dxa"/>
                  <w:tcBorders>
                    <w:bottom w:val="single" w:sz="6" w:space="0" w:color="BFBFBF"/>
                  </w:tcBorders>
                </w:tcPr>
                <w:p w14:paraId="25FAFB60" w14:textId="77777777" w:rsidR="00386103" w:rsidRPr="00A251C8" w:rsidRDefault="00386103" w:rsidP="00724B08">
                  <w:pPr>
                    <w:pStyle w:val="TableBodyText"/>
                  </w:pPr>
                </w:p>
              </w:tc>
              <w:tc>
                <w:tcPr>
                  <w:tcW w:w="7548" w:type="dxa"/>
                  <w:gridSpan w:val="6"/>
                  <w:tcBorders>
                    <w:bottom w:val="single" w:sz="6" w:space="0" w:color="BFBFBF"/>
                  </w:tcBorders>
                  <w:shd w:val="clear" w:color="auto" w:fill="auto"/>
                </w:tcPr>
                <w:p w14:paraId="288A4F8B" w14:textId="3535FC5E" w:rsidR="00386103" w:rsidRPr="00386103" w:rsidRDefault="00386103" w:rsidP="00724B08">
                  <w:pPr>
                    <w:pStyle w:val="TableUnitsRow"/>
                    <w:jc w:val="left"/>
                    <w:rPr>
                      <w:rFonts w:cs="Arial"/>
                      <w:szCs w:val="18"/>
                    </w:rPr>
                  </w:pPr>
                  <w:r w:rsidRPr="00386103">
                    <w:rPr>
                      <w:rFonts w:cs="Arial"/>
                      <w:color w:val="0000FF"/>
                      <w:szCs w:val="18"/>
                      <w:u w:val="single"/>
                    </w:rPr>
                    <w:t>https://education.nt.gov.au/statistics-research-and-strategies/school-survey</w:t>
                  </w:r>
                </w:p>
              </w:tc>
            </w:tr>
          </w:tbl>
          <w:p w14:paraId="2D3D07A9" w14:textId="77777777" w:rsidR="005E48A5" w:rsidRPr="00A251C8" w:rsidRDefault="005E48A5" w:rsidP="000B48BF">
            <w:pPr>
              <w:pStyle w:val="Box"/>
            </w:pPr>
          </w:p>
        </w:tc>
      </w:tr>
      <w:tr w:rsidR="005E48A5" w:rsidRPr="001D5E38" w14:paraId="6993CF40" w14:textId="77777777" w:rsidTr="000B48BF">
        <w:tc>
          <w:tcPr>
            <w:tcW w:w="5000" w:type="pct"/>
            <w:tcBorders>
              <w:top w:val="nil"/>
              <w:left w:val="nil"/>
              <w:bottom w:val="nil"/>
              <w:right w:val="nil"/>
            </w:tcBorders>
            <w:shd w:val="clear" w:color="auto" w:fill="auto"/>
          </w:tcPr>
          <w:p w14:paraId="1D4134D0" w14:textId="45DB1AC0" w:rsidR="005E48A5" w:rsidRPr="001D5E38" w:rsidRDefault="005E48A5" w:rsidP="000B48BF">
            <w:pPr>
              <w:pStyle w:val="Source"/>
            </w:pPr>
            <w:r w:rsidRPr="001D5E38">
              <w:rPr>
                <w:i/>
              </w:rPr>
              <w:lastRenderedPageBreak/>
              <w:t>Source</w:t>
            </w:r>
            <w:r w:rsidRPr="001D5E38">
              <w:t>: State and Territory governments (unpublished</w:t>
            </w:r>
            <w:r w:rsidR="006B303C">
              <w:t>).</w:t>
            </w:r>
          </w:p>
        </w:tc>
      </w:tr>
      <w:tr w:rsidR="005E48A5" w:rsidRPr="001D5E38" w14:paraId="3F227DE7" w14:textId="77777777" w:rsidTr="000B48BF">
        <w:tc>
          <w:tcPr>
            <w:tcW w:w="5000" w:type="pct"/>
            <w:tcBorders>
              <w:top w:val="nil"/>
              <w:left w:val="nil"/>
              <w:bottom w:val="single" w:sz="6" w:space="0" w:color="78A22F"/>
              <w:right w:val="nil"/>
            </w:tcBorders>
            <w:shd w:val="clear" w:color="auto" w:fill="auto"/>
          </w:tcPr>
          <w:p w14:paraId="6682B339" w14:textId="77777777" w:rsidR="005E48A5" w:rsidRPr="001D5E38" w:rsidRDefault="005E48A5" w:rsidP="000B48BF">
            <w:pPr>
              <w:pStyle w:val="Box"/>
              <w:spacing w:before="0" w:line="120" w:lineRule="exact"/>
            </w:pPr>
          </w:p>
        </w:tc>
      </w:tr>
      <w:tr w:rsidR="005E48A5" w:rsidRPr="001D5E38" w14:paraId="5418B102" w14:textId="77777777" w:rsidTr="000B48BF">
        <w:trPr>
          <w:cantSplit/>
        </w:trPr>
        <w:tc>
          <w:tcPr>
            <w:tcW w:w="5000" w:type="pct"/>
            <w:tcBorders>
              <w:top w:val="nil"/>
              <w:left w:val="nil"/>
              <w:bottom w:val="nil"/>
              <w:right w:val="nil"/>
            </w:tcBorders>
            <w:shd w:val="clear" w:color="auto" w:fill="auto"/>
          </w:tcPr>
          <w:p w14:paraId="2944EBD9" w14:textId="77777777" w:rsidR="005E48A5" w:rsidRPr="001D5E38" w:rsidRDefault="005E48A5" w:rsidP="000B48BF">
            <w:pPr>
              <w:pStyle w:val="Note"/>
            </w:pPr>
          </w:p>
        </w:tc>
      </w:tr>
    </w:tbl>
    <w:p w14:paraId="30E70E49" w14:textId="494A70F4" w:rsidR="00F80224" w:rsidRPr="001020B5" w:rsidRDefault="00F80224" w:rsidP="00F80224">
      <w:pPr>
        <w:pStyle w:val="Heading4"/>
      </w:pPr>
      <w:r w:rsidRPr="001020B5">
        <w:lastRenderedPageBreak/>
        <w:t>Appropriateness — Retention</w:t>
      </w:r>
      <w:bookmarkEnd w:id="17"/>
      <w:bookmarkEnd w:id="18"/>
    </w:p>
    <w:p w14:paraId="2B1BD6B2" w14:textId="77777777" w:rsidR="00F80224" w:rsidRPr="001020B5" w:rsidRDefault="00F80224" w:rsidP="00F80224">
      <w:pPr>
        <w:pStyle w:val="BodyText"/>
      </w:pPr>
      <w:r w:rsidRPr="001020B5">
        <w:t>‘Retention’ to the final years of schooling is an indicator of governments’ objective that the school education system aims to engage all students and promote student participation (box</w:t>
      </w:r>
      <w:r>
        <w:t xml:space="preserve"> 4.4</w:t>
      </w:r>
      <w:r w:rsidRPr="001020B5">
        <w:t>).</w:t>
      </w:r>
    </w:p>
    <w:p w14:paraId="66082BC6" w14:textId="77777777" w:rsidR="00F80224" w:rsidRPr="009A1395" w:rsidRDefault="00F80224" w:rsidP="00F80224">
      <w:pPr>
        <w:pStyle w:val="BoxSpaceAbove"/>
        <w:rPr>
          <w:highlight w:val="yellow"/>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80224" w:rsidRPr="009A1395" w14:paraId="0760133E" w14:textId="77777777" w:rsidTr="007B217F">
        <w:tc>
          <w:tcPr>
            <w:tcW w:w="5000" w:type="pct"/>
            <w:tcBorders>
              <w:top w:val="single" w:sz="6" w:space="0" w:color="78A22F"/>
              <w:left w:val="nil"/>
              <w:bottom w:val="nil"/>
              <w:right w:val="nil"/>
            </w:tcBorders>
            <w:shd w:val="clear" w:color="auto" w:fill="F2F2F2"/>
          </w:tcPr>
          <w:p w14:paraId="62844536" w14:textId="77777777" w:rsidR="00F80224" w:rsidRPr="009A1395" w:rsidRDefault="00F80224" w:rsidP="007B217F">
            <w:pPr>
              <w:pStyle w:val="BoxTitle"/>
              <w:rPr>
                <w:highlight w:val="yellow"/>
              </w:rPr>
            </w:pPr>
            <w:r w:rsidRPr="001020B5">
              <w:rPr>
                <w:b w:val="0"/>
              </w:rPr>
              <w:t>Box</w:t>
            </w:r>
            <w:r>
              <w:rPr>
                <w:b w:val="0"/>
              </w:rPr>
              <w:t xml:space="preserve"> 4.4</w:t>
            </w:r>
            <w:r w:rsidRPr="001020B5">
              <w:tab/>
              <w:t>Retention</w:t>
            </w:r>
          </w:p>
        </w:tc>
      </w:tr>
      <w:tr w:rsidR="00F80224" w:rsidRPr="009A1395" w14:paraId="6A77FA97" w14:textId="77777777" w:rsidTr="007B217F">
        <w:trPr>
          <w:cantSplit/>
        </w:trPr>
        <w:tc>
          <w:tcPr>
            <w:tcW w:w="5000" w:type="pct"/>
            <w:tcBorders>
              <w:top w:val="nil"/>
              <w:left w:val="nil"/>
              <w:bottom w:val="nil"/>
              <w:right w:val="nil"/>
            </w:tcBorders>
            <w:shd w:val="clear" w:color="auto" w:fill="F2F2F2"/>
          </w:tcPr>
          <w:p w14:paraId="0BCEF736" w14:textId="77777777" w:rsidR="00F80224" w:rsidRPr="0081164C" w:rsidRDefault="00F80224" w:rsidP="007B217F">
            <w:pPr>
              <w:pStyle w:val="Box"/>
            </w:pPr>
            <w:r w:rsidRPr="0081164C">
              <w:t xml:space="preserve">‘Retention’ (apparent retention rate) is defined as the number of </w:t>
            </w:r>
            <w:proofErr w:type="gramStart"/>
            <w:r w:rsidRPr="0081164C">
              <w:t>full time</w:t>
            </w:r>
            <w:proofErr w:type="gramEnd"/>
            <w:r w:rsidRPr="0081164C">
              <w:t xml:space="preserve"> school students in year 10 that continue to year 12. </w:t>
            </w:r>
          </w:p>
          <w:p w14:paraId="1DEE8340" w14:textId="4826F522" w:rsidR="00F80224" w:rsidRPr="0081164C" w:rsidRDefault="00F80224" w:rsidP="007B217F">
            <w:pPr>
              <w:pStyle w:val="Box"/>
            </w:pPr>
            <w:r w:rsidRPr="0081164C">
              <w:t xml:space="preserve">The term ‘apparent’ is used because the measures are derived from total numbers of students in each of year 10 and year 12, not by tracking the retention of individual students. </w:t>
            </w:r>
            <w:r w:rsidR="00CD421E" w:rsidRPr="003C5A00">
              <w:t>Uncapped rates (rates that can be greater than 100 per cent) are reported for time series analysis.</w:t>
            </w:r>
            <w:r w:rsidR="00CD421E">
              <w:t xml:space="preserve"> </w:t>
            </w:r>
            <w:r w:rsidRPr="0081164C">
              <w:t>Care needs to be taken in interpreting the measures as they do not take account of factors such as:</w:t>
            </w:r>
          </w:p>
          <w:p w14:paraId="622DDD4E" w14:textId="77777777" w:rsidR="00F80224" w:rsidRPr="0081164C" w:rsidRDefault="00F80224" w:rsidP="007B217F">
            <w:pPr>
              <w:pStyle w:val="BoxListBullet"/>
            </w:pPr>
            <w:r w:rsidRPr="0081164C">
              <w:t>students repeating a year of education or returning to education after a period of absence</w:t>
            </w:r>
          </w:p>
          <w:p w14:paraId="148FD5E0" w14:textId="77777777" w:rsidR="00F80224" w:rsidRPr="0081164C" w:rsidRDefault="00F80224" w:rsidP="007B217F">
            <w:pPr>
              <w:pStyle w:val="BoxListBullet"/>
            </w:pPr>
            <w:r w:rsidRPr="0081164C">
              <w:t>movement or migration of students between school sectors, between states/territories and between countries</w:t>
            </w:r>
          </w:p>
          <w:p w14:paraId="6D0CB25D" w14:textId="77777777" w:rsidR="00F80224" w:rsidRPr="0081164C" w:rsidRDefault="00F80224" w:rsidP="007B217F">
            <w:pPr>
              <w:pStyle w:val="BoxListBullet"/>
            </w:pPr>
            <w:r w:rsidRPr="0081164C">
              <w:t xml:space="preserve">the impact of full </w:t>
            </w:r>
            <w:proofErr w:type="gramStart"/>
            <w:r w:rsidRPr="0081164C">
              <w:t>fee paying</w:t>
            </w:r>
            <w:proofErr w:type="gramEnd"/>
            <w:r w:rsidRPr="0081164C">
              <w:t xml:space="preserve"> overseas students.</w:t>
            </w:r>
          </w:p>
          <w:p w14:paraId="1B237846" w14:textId="391F1C44" w:rsidR="00F80224" w:rsidRPr="0081164C" w:rsidRDefault="00F80224" w:rsidP="007B217F">
            <w:pPr>
              <w:pStyle w:val="Box"/>
            </w:pPr>
            <w:r w:rsidRPr="0081164C">
              <w:t xml:space="preserve">These factors </w:t>
            </w:r>
            <w:r w:rsidRPr="003C5A00">
              <w:t xml:space="preserve">may lead to </w:t>
            </w:r>
            <w:r w:rsidR="00CD421E" w:rsidRPr="003C5A00">
              <w:t>uncapped</w:t>
            </w:r>
            <w:r w:rsidR="00CD421E">
              <w:t xml:space="preserve"> </w:t>
            </w:r>
            <w:r w:rsidRPr="0081164C">
              <w:t>apparent retention rates that exceed 100 per cent.</w:t>
            </w:r>
          </w:p>
          <w:p w14:paraId="3AC9CADB" w14:textId="77777777" w:rsidR="00F80224" w:rsidRPr="0081164C" w:rsidRDefault="00F80224" w:rsidP="007B217F">
            <w:pPr>
              <w:pStyle w:val="Box"/>
            </w:pPr>
            <w:r w:rsidRPr="0081164C">
              <w:t>This indicator does not include part time or ungraded students (which has implications for the interpretation of results for all jurisdictions) or provide information on students who pursue year 12 (or equivalent qualifications) through non</w:t>
            </w:r>
            <w:r w:rsidRPr="0081164C">
              <w:noBreakHyphen/>
              <w:t>school pathways.</w:t>
            </w:r>
          </w:p>
        </w:tc>
      </w:tr>
      <w:tr w:rsidR="00F80224" w:rsidRPr="009A1395" w14:paraId="1B5B3A55" w14:textId="77777777" w:rsidTr="007B217F">
        <w:tc>
          <w:tcPr>
            <w:tcW w:w="5000" w:type="pct"/>
            <w:tcBorders>
              <w:top w:val="nil"/>
              <w:left w:val="nil"/>
              <w:bottom w:val="nil"/>
              <w:right w:val="nil"/>
            </w:tcBorders>
            <w:shd w:val="clear" w:color="auto" w:fill="F2F2F2"/>
          </w:tcPr>
          <w:p w14:paraId="17D55431" w14:textId="77777777" w:rsidR="00F80224" w:rsidRPr="0081164C" w:rsidRDefault="00F80224" w:rsidP="007B217F">
            <w:pPr>
              <w:pStyle w:val="Box"/>
            </w:pPr>
            <w:r w:rsidRPr="0081164C">
              <w:t xml:space="preserve">Apparent retention rates are affected by factors that vary across jurisdictions. For this reason, variations in apparent retention rates over time within jurisdictions may be more useful than comparisons across jurisdictions. </w:t>
            </w:r>
          </w:p>
          <w:p w14:paraId="6E0B8D67" w14:textId="77777777" w:rsidR="00F80224" w:rsidRPr="0081164C" w:rsidRDefault="00F80224" w:rsidP="007B217F">
            <w:pPr>
              <w:pStyle w:val="Box"/>
            </w:pPr>
            <w:r w:rsidRPr="0081164C">
              <w:t>A higher or increasing rate is desirable as it suggests that a larger proportion of students are continuing in school, which may result in improved educational outcomes.</w:t>
            </w:r>
          </w:p>
          <w:p w14:paraId="4C3C8BB3" w14:textId="77777777" w:rsidR="00F80224" w:rsidRPr="0081164C" w:rsidRDefault="00F80224" w:rsidP="007B217F">
            <w:pPr>
              <w:pStyle w:val="Box"/>
            </w:pPr>
            <w:r w:rsidRPr="0081164C">
              <w:t>Data reported for this measure are:</w:t>
            </w:r>
          </w:p>
          <w:p w14:paraId="49C81F6E" w14:textId="77777777" w:rsidR="00F80224" w:rsidRPr="0081164C" w:rsidRDefault="00F80224" w:rsidP="007B217F">
            <w:pPr>
              <w:pStyle w:val="BoxComparable"/>
            </w:pPr>
            <w:r w:rsidRPr="0081164C">
              <w:rPr>
                <w:shd w:val="clear" w:color="auto" w:fill="F15A25"/>
              </w:rPr>
              <w:t xml:space="preserve">    </w:t>
            </w:r>
            <w:r w:rsidRPr="0081164C">
              <w:t xml:space="preserve"> comparable (subject to caveats) across jurisdictions and over time</w:t>
            </w:r>
          </w:p>
          <w:p w14:paraId="1D6A8ACA" w14:textId="2DCFA92D" w:rsidR="00F80224" w:rsidRPr="0081164C" w:rsidRDefault="00F80224" w:rsidP="007B217F">
            <w:pPr>
              <w:pStyle w:val="BoxComparable"/>
            </w:pPr>
            <w:r w:rsidRPr="0081164C">
              <w:rPr>
                <w:shd w:val="clear" w:color="auto" w:fill="F15A25"/>
              </w:rPr>
              <w:t xml:space="preserve">    </w:t>
            </w:r>
            <w:r w:rsidRPr="0081164C">
              <w:t xml:space="preserve"> complete for the current reporting period (subject to caveats). All required 201</w:t>
            </w:r>
            <w:r w:rsidR="001D01EA">
              <w:t>9</w:t>
            </w:r>
            <w:r w:rsidRPr="0081164C">
              <w:t xml:space="preserve"> data are available for all jurisdictions.</w:t>
            </w:r>
          </w:p>
        </w:tc>
      </w:tr>
      <w:tr w:rsidR="00F80224" w:rsidRPr="009A1395" w14:paraId="54DAC9B0" w14:textId="77777777" w:rsidTr="007B217F">
        <w:tc>
          <w:tcPr>
            <w:tcW w:w="5000" w:type="pct"/>
            <w:tcBorders>
              <w:top w:val="nil"/>
              <w:left w:val="nil"/>
              <w:bottom w:val="single" w:sz="6" w:space="0" w:color="78A22F"/>
              <w:right w:val="nil"/>
            </w:tcBorders>
            <w:shd w:val="clear" w:color="auto" w:fill="F2F2F2"/>
          </w:tcPr>
          <w:p w14:paraId="15D98548" w14:textId="77777777" w:rsidR="00F80224" w:rsidRPr="009A1395" w:rsidRDefault="00F80224" w:rsidP="007B217F">
            <w:pPr>
              <w:pStyle w:val="Box"/>
              <w:keepNext w:val="0"/>
              <w:spacing w:before="0" w:line="120" w:lineRule="exact"/>
              <w:rPr>
                <w:highlight w:val="yellow"/>
              </w:rPr>
            </w:pPr>
          </w:p>
        </w:tc>
      </w:tr>
      <w:tr w:rsidR="00F80224" w:rsidRPr="009A1395" w14:paraId="66E51749" w14:textId="77777777" w:rsidTr="007B217F">
        <w:tc>
          <w:tcPr>
            <w:tcW w:w="5000" w:type="pct"/>
            <w:tcBorders>
              <w:top w:val="single" w:sz="6" w:space="0" w:color="78A22F"/>
              <w:left w:val="nil"/>
              <w:bottom w:val="nil"/>
              <w:right w:val="nil"/>
            </w:tcBorders>
          </w:tcPr>
          <w:p w14:paraId="6878370F" w14:textId="77777777" w:rsidR="00F80224" w:rsidRPr="009A1395" w:rsidRDefault="00F80224" w:rsidP="007B217F">
            <w:pPr>
              <w:pStyle w:val="BoxSpaceBelow"/>
              <w:rPr>
                <w:highlight w:val="yellow"/>
              </w:rPr>
            </w:pPr>
          </w:p>
        </w:tc>
      </w:tr>
    </w:tbl>
    <w:p w14:paraId="7DBB2761" w14:textId="77777777" w:rsidR="00F80224" w:rsidRPr="00F04ED4" w:rsidRDefault="00F80224" w:rsidP="00F80224">
      <w:pPr>
        <w:pStyle w:val="Heading4"/>
      </w:pPr>
      <w:bookmarkStart w:id="19" w:name="_Toc46822950"/>
      <w:bookmarkStart w:id="20" w:name="_Toc49241263"/>
      <w:r w:rsidRPr="00F04ED4">
        <w:t>Quality — Quality teaching</w:t>
      </w:r>
      <w:bookmarkEnd w:id="19"/>
      <w:bookmarkEnd w:id="20"/>
    </w:p>
    <w:p w14:paraId="0FE2A89B" w14:textId="0E2883A7" w:rsidR="00F80224" w:rsidRPr="00F04ED4" w:rsidRDefault="00F80224" w:rsidP="00F80224">
      <w:pPr>
        <w:pStyle w:val="BodyText"/>
        <w:rPr>
          <w:bCs/>
        </w:rPr>
      </w:pPr>
      <w:r w:rsidRPr="00F04ED4">
        <w:t xml:space="preserve">‘Quality teaching’ is an indicator of governments’ objective that school education delivers high quality teaching </w:t>
      </w:r>
      <w:r w:rsidR="005F163A">
        <w:t>of</w:t>
      </w:r>
      <w:r w:rsidR="005F163A" w:rsidRPr="00F04ED4">
        <w:t xml:space="preserve"> </w:t>
      </w:r>
      <w:r w:rsidRPr="00F04ED4">
        <w:t>a world</w:t>
      </w:r>
      <w:r w:rsidRPr="00F04ED4">
        <w:noBreakHyphen/>
        <w:t>class curriculum (box</w:t>
      </w:r>
      <w:r>
        <w:t xml:space="preserve"> 4.5</w:t>
      </w:r>
      <w:r w:rsidRPr="00F04ED4">
        <w:t>). A good quality curriculum provides the structure for the provision of quality learning (UNESCO</w:t>
      </w:r>
      <w:r w:rsidRPr="00F04ED4">
        <w:noBreakHyphen/>
        <w:t xml:space="preserve">IBE 2016), while </w:t>
      </w:r>
      <w:r w:rsidRPr="00F04ED4">
        <w:rPr>
          <w:bCs/>
        </w:rPr>
        <w:t>teachers are the single most important ‘in</w:t>
      </w:r>
      <w:r w:rsidRPr="00F04ED4">
        <w:rPr>
          <w:bCs/>
        </w:rPr>
        <w:noBreakHyphen/>
        <w:t>school’ influence on student achievement (Hattie 2009). Teacher quality can influence student educational outcomes both directly and indirectly, by fostering a positive, inclusive and safe learning environment (Boon 2011).</w:t>
      </w:r>
    </w:p>
    <w:p w14:paraId="056AF93C" w14:textId="77777777" w:rsidR="00F80224" w:rsidRPr="00F04ED4" w:rsidRDefault="00F80224" w:rsidP="00F8022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80224" w:rsidRPr="00F04ED4" w14:paraId="2CE2F3AA" w14:textId="77777777" w:rsidTr="007B217F">
        <w:tc>
          <w:tcPr>
            <w:tcW w:w="5000" w:type="pct"/>
            <w:tcBorders>
              <w:top w:val="single" w:sz="6" w:space="0" w:color="78A22F"/>
              <w:left w:val="nil"/>
              <w:bottom w:val="nil"/>
              <w:right w:val="nil"/>
            </w:tcBorders>
            <w:shd w:val="clear" w:color="auto" w:fill="F2F2F2"/>
          </w:tcPr>
          <w:p w14:paraId="73E82BBD" w14:textId="77777777" w:rsidR="00F80224" w:rsidRPr="00F04ED4" w:rsidRDefault="00F80224" w:rsidP="007B217F">
            <w:pPr>
              <w:pStyle w:val="BoxTitle"/>
            </w:pPr>
            <w:r w:rsidRPr="00F04ED4">
              <w:rPr>
                <w:b w:val="0"/>
              </w:rPr>
              <w:t>Box</w:t>
            </w:r>
            <w:r>
              <w:rPr>
                <w:b w:val="0"/>
              </w:rPr>
              <w:t xml:space="preserve"> 4.5</w:t>
            </w:r>
            <w:r w:rsidRPr="00F04ED4">
              <w:tab/>
              <w:t>Quality teaching</w:t>
            </w:r>
          </w:p>
        </w:tc>
      </w:tr>
      <w:tr w:rsidR="00F80224" w:rsidRPr="00F04ED4" w14:paraId="18316A1B" w14:textId="77777777" w:rsidTr="007B217F">
        <w:tc>
          <w:tcPr>
            <w:tcW w:w="5000" w:type="pct"/>
            <w:tcBorders>
              <w:top w:val="nil"/>
              <w:left w:val="nil"/>
              <w:bottom w:val="nil"/>
              <w:right w:val="nil"/>
            </w:tcBorders>
            <w:shd w:val="clear" w:color="auto" w:fill="F2F2F2"/>
          </w:tcPr>
          <w:p w14:paraId="19AA79EE" w14:textId="77777777" w:rsidR="00F80224" w:rsidRPr="00F04ED4" w:rsidRDefault="00F80224" w:rsidP="007B217F">
            <w:pPr>
              <w:pStyle w:val="Box"/>
              <w:rPr>
                <w:bCs/>
              </w:rPr>
            </w:pPr>
            <w:r w:rsidRPr="00F04ED4">
              <w:rPr>
                <w:bCs/>
              </w:rPr>
              <w:t>‘Quality teaching’ is defined in relation to the teaching environment, including the quality of the curriculum and the effectiveness of the teachers. Teachers are considered effective where they:</w:t>
            </w:r>
          </w:p>
          <w:p w14:paraId="3C1469A4" w14:textId="77777777" w:rsidR="00F80224" w:rsidRPr="00F04ED4" w:rsidRDefault="00F80224" w:rsidP="007B217F">
            <w:pPr>
              <w:pStyle w:val="BoxListBullet"/>
            </w:pPr>
            <w:r w:rsidRPr="00F04ED4">
              <w:t>create an environment where all students are expected to learn successfully</w:t>
            </w:r>
          </w:p>
          <w:p w14:paraId="76258BAC" w14:textId="77777777" w:rsidR="00F80224" w:rsidRPr="00F04ED4" w:rsidRDefault="00F80224" w:rsidP="007B217F">
            <w:pPr>
              <w:pStyle w:val="BoxListBullet"/>
            </w:pPr>
            <w:r w:rsidRPr="00F04ED4">
              <w:t>have a deep understanding of the curriculum and subjects they teach</w:t>
            </w:r>
          </w:p>
          <w:p w14:paraId="196C302F" w14:textId="77777777" w:rsidR="00F80224" w:rsidRPr="00F04ED4" w:rsidRDefault="00F80224" w:rsidP="007B217F">
            <w:pPr>
              <w:pStyle w:val="BoxListBullet"/>
            </w:pPr>
            <w:r w:rsidRPr="00F04ED4">
              <w:t>have a repertoire of effective teaching strategies to meet student needs</w:t>
            </w:r>
          </w:p>
          <w:p w14:paraId="668147B9" w14:textId="77777777" w:rsidR="00F80224" w:rsidRPr="00F04ED4" w:rsidRDefault="00F80224" w:rsidP="007B217F">
            <w:pPr>
              <w:pStyle w:val="BoxListBullet"/>
            </w:pPr>
            <w:r w:rsidRPr="00F04ED4">
              <w:t>direct their teaching to student needs and readiness</w:t>
            </w:r>
          </w:p>
          <w:p w14:paraId="08A97D72" w14:textId="77777777" w:rsidR="00F80224" w:rsidRPr="00F04ED4" w:rsidRDefault="00F80224" w:rsidP="007B217F">
            <w:pPr>
              <w:pStyle w:val="BoxListBullet"/>
            </w:pPr>
            <w:r w:rsidRPr="00F04ED4">
              <w:t>provide continuous feedback to students about their learning</w:t>
            </w:r>
          </w:p>
          <w:p w14:paraId="693E2DD7" w14:textId="77777777" w:rsidR="00F80224" w:rsidRPr="00F04ED4" w:rsidRDefault="00F80224" w:rsidP="007B217F">
            <w:pPr>
              <w:pStyle w:val="BoxListBullet"/>
            </w:pPr>
            <w:r w:rsidRPr="00F04ED4">
              <w:t>reflect on their own practice and strive for continuous improvement (PC 2012).</w:t>
            </w:r>
          </w:p>
          <w:p w14:paraId="1171907D" w14:textId="77777777" w:rsidR="00F80224" w:rsidRPr="00F04ED4" w:rsidRDefault="00F80224" w:rsidP="007B217F">
            <w:pPr>
              <w:pStyle w:val="Box"/>
              <w:rPr>
                <w:bCs/>
              </w:rPr>
            </w:pPr>
            <w:r w:rsidRPr="00F04ED4">
              <w:rPr>
                <w:bCs/>
              </w:rPr>
              <w:t>This indicator may be measured in future by student responses to survey questions on their perceptions of the teaching environment including the curriculum. High or increasing proportions of students indicating positive responses to the teaching environment are desirable.</w:t>
            </w:r>
          </w:p>
          <w:p w14:paraId="4CC0B6CB" w14:textId="77777777" w:rsidR="00F80224" w:rsidRPr="00F04ED4" w:rsidRDefault="00F80224" w:rsidP="007B217F">
            <w:pPr>
              <w:pStyle w:val="Box"/>
            </w:pPr>
            <w:r w:rsidRPr="00F04ED4">
              <w:rPr>
                <w:bCs/>
              </w:rPr>
              <w:t xml:space="preserve">Data are not yet available for reporting against this indicator. </w:t>
            </w:r>
          </w:p>
        </w:tc>
      </w:tr>
      <w:tr w:rsidR="00F80224" w:rsidRPr="00F04ED4" w14:paraId="7FF97822" w14:textId="77777777" w:rsidTr="007B217F">
        <w:tc>
          <w:tcPr>
            <w:tcW w:w="5000" w:type="pct"/>
            <w:tcBorders>
              <w:top w:val="nil"/>
              <w:left w:val="nil"/>
              <w:bottom w:val="single" w:sz="6" w:space="0" w:color="78A22F"/>
              <w:right w:val="nil"/>
            </w:tcBorders>
            <w:shd w:val="clear" w:color="auto" w:fill="F2F2F2"/>
          </w:tcPr>
          <w:p w14:paraId="3AC057EA" w14:textId="77777777" w:rsidR="00F80224" w:rsidRPr="00F04ED4" w:rsidRDefault="00F80224" w:rsidP="007B217F">
            <w:pPr>
              <w:pStyle w:val="Box"/>
              <w:spacing w:before="0" w:line="120" w:lineRule="exact"/>
            </w:pPr>
          </w:p>
        </w:tc>
      </w:tr>
      <w:tr w:rsidR="00F80224" w:rsidRPr="00F04ED4" w14:paraId="4E212756" w14:textId="77777777" w:rsidTr="007B217F">
        <w:tc>
          <w:tcPr>
            <w:tcW w:w="5000" w:type="pct"/>
            <w:tcBorders>
              <w:top w:val="single" w:sz="6" w:space="0" w:color="78A22F"/>
              <w:left w:val="nil"/>
              <w:bottom w:val="nil"/>
              <w:right w:val="nil"/>
            </w:tcBorders>
          </w:tcPr>
          <w:p w14:paraId="20829F2C" w14:textId="77777777" w:rsidR="00F80224" w:rsidRPr="00F04ED4" w:rsidRDefault="00F80224" w:rsidP="007B217F">
            <w:pPr>
              <w:pStyle w:val="BoxSpaceBelow"/>
            </w:pPr>
          </w:p>
        </w:tc>
      </w:tr>
    </w:tbl>
    <w:p w14:paraId="68EEEB9A" w14:textId="77777777" w:rsidR="00F80224" w:rsidRPr="00F04ED4" w:rsidRDefault="00F80224" w:rsidP="00F80224">
      <w:pPr>
        <w:pStyle w:val="Heading3"/>
      </w:pPr>
      <w:bookmarkStart w:id="21" w:name="_Toc46822951"/>
      <w:bookmarkStart w:id="22" w:name="_Toc49241264"/>
      <w:r w:rsidRPr="00F04ED4">
        <w:t>Efficiency</w:t>
      </w:r>
      <w:bookmarkEnd w:id="21"/>
      <w:bookmarkEnd w:id="22"/>
    </w:p>
    <w:p w14:paraId="30D15939" w14:textId="2E8D31AC" w:rsidR="00F80224" w:rsidRPr="00FE52C8" w:rsidRDefault="00F80224" w:rsidP="00F80224">
      <w:pPr>
        <w:pStyle w:val="BodyText"/>
      </w:pPr>
      <w:r w:rsidRPr="00F04ED4">
        <w:t>An objective of the Steering Committee is to publish comparable estimates of costs. Ideally, such comparison should include the full range of costs to government. This section does not report on non</w:t>
      </w:r>
      <w:r w:rsidRPr="00F04ED4">
        <w:noBreakHyphen/>
        <w:t xml:space="preserve">government </w:t>
      </w:r>
      <w:r w:rsidRPr="00FE52C8">
        <w:t>sources of funding, and so does not compare the efficiency of government and non</w:t>
      </w:r>
      <w:r w:rsidRPr="00FE52C8">
        <w:noBreakHyphen/>
        <w:t>government schools. Box 4.6 provides further information on the data used to report on the efficiency measures in this Report.</w:t>
      </w:r>
    </w:p>
    <w:p w14:paraId="6A58B739" w14:textId="77777777" w:rsidR="00F80224" w:rsidRPr="00FE52C8" w:rsidRDefault="00F80224" w:rsidP="00F80224">
      <w:pPr>
        <w:pStyle w:val="BoxSpaceAbove"/>
        <w:spacing w:before="32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80224" w:rsidRPr="00FE52C8" w14:paraId="2767C530" w14:textId="77777777" w:rsidTr="007B217F">
        <w:tc>
          <w:tcPr>
            <w:tcW w:w="5000" w:type="pct"/>
            <w:tcBorders>
              <w:top w:val="single" w:sz="6" w:space="0" w:color="78A22F"/>
              <w:left w:val="nil"/>
              <w:bottom w:val="nil"/>
              <w:right w:val="nil"/>
            </w:tcBorders>
            <w:shd w:val="clear" w:color="auto" w:fill="F2F2F2"/>
          </w:tcPr>
          <w:p w14:paraId="6879E58A" w14:textId="06DD6CB5" w:rsidR="00F80224" w:rsidRPr="00FE52C8" w:rsidRDefault="00F80224" w:rsidP="007B217F">
            <w:pPr>
              <w:pStyle w:val="BoxTitle"/>
            </w:pPr>
            <w:r w:rsidRPr="00FE52C8">
              <w:rPr>
                <w:b w:val="0"/>
              </w:rPr>
              <w:t>Box 4.6</w:t>
            </w:r>
            <w:r w:rsidRPr="00FE52C8">
              <w:tab/>
              <w:t>School expenditure data reported in this section</w:t>
            </w:r>
          </w:p>
        </w:tc>
      </w:tr>
      <w:tr w:rsidR="00F80224" w:rsidRPr="00FE52C8" w14:paraId="0F968926" w14:textId="77777777" w:rsidTr="007B217F">
        <w:trPr>
          <w:cantSplit/>
          <w:trHeight w:val="4473"/>
        </w:trPr>
        <w:tc>
          <w:tcPr>
            <w:tcW w:w="5000" w:type="pct"/>
            <w:tcBorders>
              <w:top w:val="nil"/>
              <w:left w:val="nil"/>
              <w:bottom w:val="nil"/>
              <w:right w:val="nil"/>
            </w:tcBorders>
            <w:shd w:val="clear" w:color="auto" w:fill="F2F2F2"/>
          </w:tcPr>
          <w:p w14:paraId="5304850C" w14:textId="77777777" w:rsidR="00F80224" w:rsidRPr="00FE52C8" w:rsidRDefault="00F80224" w:rsidP="007B217F">
            <w:pPr>
              <w:pStyle w:val="Box"/>
            </w:pPr>
            <w:r w:rsidRPr="00FE52C8">
              <w:t>Efficiency indicators in this section are based on financial year recurrent expenditure on government and non</w:t>
            </w:r>
            <w:r w:rsidRPr="00FE52C8">
              <w:noBreakHyphen/>
              <w:t>government schools by the Australian Government and State and Territory governments. Capital expenditure is generally excluded, but as Quality Schools funding</w:t>
            </w:r>
            <w:r w:rsidRPr="00FE52C8">
              <w:rPr>
                <w:color w:val="FF0000"/>
              </w:rPr>
              <w:t xml:space="preserve"> </w:t>
            </w:r>
            <w:r w:rsidRPr="00FE52C8">
              <w:t>and Students First funding cannot be separated into capital and recurrent expenditure, these payments are treated as recurrent expenditure in this section. Expenditure relating to funding sources other than government (such as parent contributions and fees) are excluded.</w:t>
            </w:r>
          </w:p>
          <w:p w14:paraId="6F71098E" w14:textId="77777777" w:rsidR="00F80224" w:rsidRPr="00FE52C8" w:rsidRDefault="00F80224" w:rsidP="007B217F">
            <w:pPr>
              <w:pStyle w:val="BoxHeading1"/>
            </w:pPr>
            <w:r w:rsidRPr="00FE52C8">
              <w:t>Sources of data — government recurrent expenditure on government schools</w:t>
            </w:r>
          </w:p>
          <w:p w14:paraId="5E887183" w14:textId="77777777" w:rsidR="00F80224" w:rsidRPr="00FE52C8" w:rsidRDefault="00F80224" w:rsidP="007B217F">
            <w:pPr>
              <w:pStyle w:val="Box"/>
            </w:pPr>
            <w:r w:rsidRPr="00FE52C8">
              <w:t>Total recurrent expenditure on government schools is unpublished data sourced from the NSSC, under the auspices of the Education Council.</w:t>
            </w:r>
          </w:p>
          <w:p w14:paraId="3377A235" w14:textId="7BF13259" w:rsidR="00F80224" w:rsidRPr="00FE52C8" w:rsidRDefault="00F80224" w:rsidP="007B217F">
            <w:pPr>
              <w:pStyle w:val="BoxListBullet"/>
            </w:pPr>
            <w:r w:rsidRPr="00FE52C8">
              <w:t xml:space="preserve">Each State and Territory government reports to the Education Council on its expenditure on government schools. </w:t>
            </w:r>
            <w:r w:rsidR="00C63190" w:rsidRPr="003C5A00">
              <w:t>Recurrent</w:t>
            </w:r>
            <w:r w:rsidR="00C63190">
              <w:t xml:space="preserve"> e</w:t>
            </w:r>
            <w:r w:rsidRPr="00FE52C8">
              <w:t>xpenditure on government schools comprises: employee costs (including salaries, superannuation, workers compensation, payroll tax, termination and long service leave, sick leave</w:t>
            </w:r>
            <w:r w:rsidR="00C63190">
              <w:t xml:space="preserve">, </w:t>
            </w:r>
            <w:r w:rsidR="00C63190" w:rsidRPr="003C5A00">
              <w:t>fringe benefits tax</w:t>
            </w:r>
            <w:r w:rsidRPr="00FE52C8">
              <w:t xml:space="preserve">); </w:t>
            </w:r>
            <w:r w:rsidRPr="003C5A00">
              <w:t xml:space="preserve">capital </w:t>
            </w:r>
            <w:r w:rsidR="00C63190" w:rsidRPr="003C5A00">
              <w:t>related</w:t>
            </w:r>
            <w:r w:rsidR="00C63190">
              <w:t xml:space="preserve"> </w:t>
            </w:r>
            <w:r w:rsidRPr="00FE52C8">
              <w:t>costs (depreciation and user cost of capital [UCC]); umbrella departmental costs; and other costs (including rent and utilities). The Education Council provides unpublished data on the UCC for government schools, imputed as 8 per cent of the written down value of assets (table 4A.13).</w:t>
            </w:r>
          </w:p>
        </w:tc>
      </w:tr>
      <w:tr w:rsidR="00F80224" w:rsidRPr="00FE52C8" w14:paraId="434E9B80" w14:textId="77777777" w:rsidTr="007B217F">
        <w:tc>
          <w:tcPr>
            <w:tcW w:w="5000" w:type="pct"/>
            <w:tcBorders>
              <w:top w:val="nil"/>
              <w:left w:val="nil"/>
              <w:bottom w:val="nil"/>
              <w:right w:val="nil"/>
            </w:tcBorders>
            <w:shd w:val="clear" w:color="auto" w:fill="F2F2F2"/>
          </w:tcPr>
          <w:p w14:paraId="1D182BA2" w14:textId="77777777" w:rsidR="00F80224" w:rsidRPr="00FE52C8" w:rsidRDefault="00F80224" w:rsidP="007B217F">
            <w:pPr>
              <w:pStyle w:val="Continued"/>
              <w:spacing w:before="140"/>
            </w:pPr>
            <w:r w:rsidRPr="00FE52C8">
              <w:t>(continued next page)</w:t>
            </w:r>
          </w:p>
        </w:tc>
      </w:tr>
      <w:tr w:rsidR="00F80224" w:rsidRPr="00FE52C8" w14:paraId="3D63F2A8" w14:textId="77777777" w:rsidTr="007B217F">
        <w:tc>
          <w:tcPr>
            <w:tcW w:w="5000" w:type="pct"/>
            <w:tcBorders>
              <w:top w:val="nil"/>
              <w:left w:val="nil"/>
              <w:bottom w:val="single" w:sz="6" w:space="0" w:color="78A22F"/>
              <w:right w:val="nil"/>
            </w:tcBorders>
            <w:shd w:val="clear" w:color="auto" w:fill="F2F2F2"/>
          </w:tcPr>
          <w:p w14:paraId="39B05970" w14:textId="77777777" w:rsidR="00F80224" w:rsidRPr="00FE52C8" w:rsidRDefault="00F80224" w:rsidP="007B217F">
            <w:pPr>
              <w:pStyle w:val="Box"/>
              <w:keepNext w:val="0"/>
              <w:spacing w:before="0" w:line="80" w:lineRule="exact"/>
            </w:pPr>
          </w:p>
        </w:tc>
      </w:tr>
    </w:tbl>
    <w:p w14:paraId="3E60F01F" w14:textId="77777777" w:rsidR="00F80224" w:rsidRPr="00FE52C8" w:rsidRDefault="00F80224" w:rsidP="00F8022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80224" w:rsidRPr="00FE52C8" w14:paraId="24672C0F" w14:textId="77777777" w:rsidTr="007B217F">
        <w:tc>
          <w:tcPr>
            <w:tcW w:w="5000" w:type="pct"/>
            <w:tcBorders>
              <w:top w:val="single" w:sz="6" w:space="0" w:color="78A22F"/>
              <w:left w:val="nil"/>
              <w:bottom w:val="nil"/>
              <w:right w:val="nil"/>
            </w:tcBorders>
            <w:shd w:val="clear" w:color="auto" w:fill="F2F2F2"/>
          </w:tcPr>
          <w:p w14:paraId="27E8ADFB" w14:textId="77777777" w:rsidR="00F80224" w:rsidRPr="00FE52C8" w:rsidRDefault="00F80224" w:rsidP="007B217F">
            <w:pPr>
              <w:pStyle w:val="BoxTitle"/>
            </w:pPr>
            <w:r w:rsidRPr="00FE52C8">
              <w:rPr>
                <w:b w:val="0"/>
              </w:rPr>
              <w:t>Box</w:t>
            </w:r>
            <w:r>
              <w:rPr>
                <w:b w:val="0"/>
              </w:rPr>
              <w:t xml:space="preserve"> 4.6</w:t>
            </w:r>
            <w:r w:rsidRPr="00FE52C8">
              <w:tab/>
            </w:r>
            <w:r w:rsidRPr="00FE52C8">
              <w:rPr>
                <w:rStyle w:val="Continuedintitle"/>
              </w:rPr>
              <w:t>(continued)</w:t>
            </w:r>
          </w:p>
        </w:tc>
      </w:tr>
      <w:tr w:rsidR="00F80224" w:rsidRPr="00FE52C8" w14:paraId="00AAB737" w14:textId="77777777" w:rsidTr="007B217F">
        <w:trPr>
          <w:cantSplit/>
        </w:trPr>
        <w:tc>
          <w:tcPr>
            <w:tcW w:w="5000" w:type="pct"/>
            <w:tcBorders>
              <w:top w:val="nil"/>
              <w:left w:val="nil"/>
              <w:bottom w:val="nil"/>
              <w:right w:val="nil"/>
            </w:tcBorders>
            <w:shd w:val="clear" w:color="auto" w:fill="F2F2F2"/>
          </w:tcPr>
          <w:p w14:paraId="251205EE" w14:textId="77777777" w:rsidR="00F80224" w:rsidRPr="00FE52C8" w:rsidRDefault="00F80224" w:rsidP="007B217F">
            <w:pPr>
              <w:pStyle w:val="BoxListBullet"/>
            </w:pPr>
            <w:r w:rsidRPr="00FE52C8">
              <w:t xml:space="preserve">The Australian Government reports its allocation to each State and Territory for government schools, consistent with Treasury Final Budget Outcomes — including the Quality Schools funding (from 1 January 2018), Students First funding (to 31 December 2017) and a range of National Partnership payments (table 4A.12). </w:t>
            </w:r>
          </w:p>
          <w:p w14:paraId="3F7A4411" w14:textId="0494D5FD" w:rsidR="00F80224" w:rsidRPr="00FE52C8" w:rsidRDefault="00F80224" w:rsidP="007B217F">
            <w:pPr>
              <w:pStyle w:val="BoxListBullet"/>
            </w:pPr>
            <w:r w:rsidRPr="00FE52C8">
              <w:t xml:space="preserve">To avoid double counting, Australian Government allocations are subtracted from the State and Territory expenditure to identify ‘net’ State and Territory government expenditure (table 4A.10). </w:t>
            </w:r>
          </w:p>
          <w:p w14:paraId="50921A64" w14:textId="77777777" w:rsidR="00F80224" w:rsidRPr="00FE52C8" w:rsidRDefault="00F80224" w:rsidP="007B217F">
            <w:pPr>
              <w:pStyle w:val="BoxHeading1"/>
            </w:pPr>
            <w:r w:rsidRPr="00FE52C8">
              <w:t>Sources of data — government recurrent expenditure on non</w:t>
            </w:r>
            <w:r w:rsidRPr="00FE52C8">
              <w:noBreakHyphen/>
              <w:t>government schools</w:t>
            </w:r>
          </w:p>
          <w:p w14:paraId="100B3C7B" w14:textId="77777777" w:rsidR="00F80224" w:rsidRPr="00FE52C8" w:rsidRDefault="00F80224" w:rsidP="007B217F">
            <w:pPr>
              <w:pStyle w:val="Box"/>
            </w:pPr>
            <w:r w:rsidRPr="00FE52C8">
              <w:t>Total recurrent expenditure on non</w:t>
            </w:r>
            <w:r w:rsidRPr="00FE52C8">
              <w:noBreakHyphen/>
              <w:t>government schools is sourced from unpublished data from State and Territory governments, and published data from the Australian Government as follows:</w:t>
            </w:r>
          </w:p>
          <w:p w14:paraId="1A1BFF78" w14:textId="77777777" w:rsidR="00F80224" w:rsidRPr="00FE52C8" w:rsidRDefault="00F80224" w:rsidP="007B217F">
            <w:pPr>
              <w:pStyle w:val="BoxListBullet"/>
            </w:pPr>
            <w:r w:rsidRPr="00FE52C8">
              <w:t>Each State and Territory government provides unpublished data on its contributions to non</w:t>
            </w:r>
            <w:r w:rsidRPr="00FE52C8">
              <w:noBreakHyphen/>
              <w:t xml:space="preserve">government schools (table 4A.10). </w:t>
            </w:r>
          </w:p>
          <w:p w14:paraId="3F246EB1" w14:textId="77777777" w:rsidR="00F80224" w:rsidRPr="00FE52C8" w:rsidRDefault="00F80224" w:rsidP="007B217F">
            <w:pPr>
              <w:pStyle w:val="BoxListBullet"/>
            </w:pPr>
            <w:r w:rsidRPr="00FE52C8">
              <w:t>The Australian Government reports its allocation to each State and Territory for non</w:t>
            </w:r>
            <w:r w:rsidRPr="00FE52C8">
              <w:noBreakHyphen/>
              <w:t>government schools, consistent with Treasury Final Budget Outcomes — including the Quality Schools funding (from 1 January 2018), Students First funding (to 31 December 2017) and National Partnership payments (see table 4A.12).</w:t>
            </w:r>
          </w:p>
          <w:p w14:paraId="73B75CCE" w14:textId="77777777" w:rsidR="00F80224" w:rsidRPr="00FE52C8" w:rsidRDefault="00F80224" w:rsidP="007B217F">
            <w:pPr>
              <w:pStyle w:val="BoxHeading1"/>
            </w:pPr>
            <w:r w:rsidRPr="00FE52C8">
              <w:t xml:space="preserve">Allocation of funding </w:t>
            </w:r>
          </w:p>
          <w:p w14:paraId="5C70493D" w14:textId="77777777" w:rsidR="00F80224" w:rsidRPr="00FE52C8" w:rsidRDefault="00F80224" w:rsidP="007B217F">
            <w:pPr>
              <w:pStyle w:val="BoxHeading2"/>
            </w:pPr>
            <w:r w:rsidRPr="00FE52C8">
              <w:t xml:space="preserve">Quality Schools Package — Australian Government </w:t>
            </w:r>
          </w:p>
          <w:p w14:paraId="5AB6937B" w14:textId="6C1AABBD" w:rsidR="00F80224" w:rsidRPr="00FE52C8" w:rsidRDefault="00F80224" w:rsidP="007B217F">
            <w:pPr>
              <w:pStyle w:val="Box"/>
            </w:pPr>
            <w:r w:rsidRPr="00FE52C8">
              <w:t>From 1 January 2018 the Australian Government introduced the Quality Schools Package replacing the Students First funding model which had been in effect since 1 January 2014. The Quality Schools Package is needs based. Commonwealth funding will be based on the Schooling Resource Standard that provides a base amount per student and additional funding for disadvantage. Students with greater needs will attract higher levels of funding from the Commonwealth. Funding is provided for government and non-government schools.</w:t>
            </w:r>
          </w:p>
          <w:p w14:paraId="2944CC39" w14:textId="77777777" w:rsidR="00F80224" w:rsidRPr="00FE52C8" w:rsidRDefault="00F80224" w:rsidP="007B217F">
            <w:pPr>
              <w:pStyle w:val="BoxHeading2"/>
            </w:pPr>
            <w:r w:rsidRPr="00FE52C8">
              <w:t>State and Territory governments</w:t>
            </w:r>
          </w:p>
          <w:p w14:paraId="4F5B67D2" w14:textId="1A776EA1" w:rsidR="00F80224" w:rsidRPr="00FE52C8" w:rsidRDefault="00F80224" w:rsidP="007B217F">
            <w:pPr>
              <w:pStyle w:val="Box"/>
            </w:pPr>
            <w:r w:rsidRPr="00FE52C8">
              <w:t xml:space="preserve">In general, State and Territory government </w:t>
            </w:r>
            <w:proofErr w:type="gramStart"/>
            <w:r w:rsidRPr="00FE52C8">
              <w:t>schools</w:t>
            </w:r>
            <w:proofErr w:type="gramEnd"/>
            <w:r w:rsidRPr="00FE52C8">
              <w:t xml:space="preserve"> systems are funded based on a variety of formulas to determine a school’s recurrent or base allocation, with weightings and multipliers added for students facing disadvantage. For non</w:t>
            </w:r>
            <w:r w:rsidRPr="00FE52C8">
              <w:noBreakHyphen/>
              <w:t>government schools, State and Territory governments also provide funding for recurrent and targeted purposes, usually through per capita allocations. Indexation of costs is normally applied to these funding arrangements for both the government and non</w:t>
            </w:r>
            <w:r w:rsidRPr="00FE52C8">
              <w:noBreakHyphen/>
              <w:t>government school sectors. Changes in overall funding by State and Territory governments across years is affected by all these factors, including enrolment numbers and school size, location and staffing profiles.</w:t>
            </w:r>
            <w:r w:rsidR="00C63190">
              <w:t xml:space="preserve"> </w:t>
            </w:r>
            <w:r w:rsidR="00C31398" w:rsidRPr="003C5A00">
              <w:t xml:space="preserve">Commencing 1 January 2019 with the signing of the National School Reform Agreement state and territory </w:t>
            </w:r>
            <w:r w:rsidR="00483134" w:rsidRPr="003C5A00">
              <w:t>funding requirements are set as a percentage of the Schooling Resourcing Standard.</w:t>
            </w:r>
          </w:p>
        </w:tc>
      </w:tr>
      <w:tr w:rsidR="00F80224" w:rsidRPr="00FE52C8" w14:paraId="2268BB6D" w14:textId="77777777" w:rsidTr="007B217F">
        <w:tc>
          <w:tcPr>
            <w:tcW w:w="5000" w:type="pct"/>
            <w:tcBorders>
              <w:top w:val="nil"/>
              <w:left w:val="nil"/>
              <w:bottom w:val="nil"/>
              <w:right w:val="nil"/>
            </w:tcBorders>
            <w:shd w:val="clear" w:color="auto" w:fill="F2F2F2"/>
          </w:tcPr>
          <w:p w14:paraId="304356E1" w14:textId="77777777" w:rsidR="00F80224" w:rsidRPr="00FE52C8" w:rsidRDefault="00F80224" w:rsidP="007B217F">
            <w:pPr>
              <w:pStyle w:val="Continued"/>
            </w:pPr>
            <w:r w:rsidRPr="00FE52C8">
              <w:t>(continued next page)</w:t>
            </w:r>
          </w:p>
        </w:tc>
      </w:tr>
      <w:tr w:rsidR="00F80224" w:rsidRPr="00FE52C8" w14:paraId="2087C3A4" w14:textId="77777777" w:rsidTr="007B217F">
        <w:tc>
          <w:tcPr>
            <w:tcW w:w="5000" w:type="pct"/>
            <w:tcBorders>
              <w:top w:val="nil"/>
              <w:left w:val="nil"/>
              <w:bottom w:val="single" w:sz="6" w:space="0" w:color="78A22F"/>
              <w:right w:val="nil"/>
            </w:tcBorders>
            <w:shd w:val="clear" w:color="auto" w:fill="F2F2F2"/>
          </w:tcPr>
          <w:p w14:paraId="26EB00BB" w14:textId="77777777" w:rsidR="00F80224" w:rsidRPr="00FE52C8" w:rsidRDefault="00F80224" w:rsidP="007B217F">
            <w:pPr>
              <w:pStyle w:val="Box"/>
              <w:keepNext w:val="0"/>
              <w:spacing w:before="0" w:line="120" w:lineRule="exact"/>
            </w:pPr>
          </w:p>
        </w:tc>
      </w:tr>
    </w:tbl>
    <w:p w14:paraId="1369212B" w14:textId="77777777" w:rsidR="00F80224" w:rsidRPr="00FE52C8" w:rsidRDefault="00F80224" w:rsidP="00F8022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80224" w:rsidRPr="00FE52C8" w14:paraId="4169A654" w14:textId="77777777" w:rsidTr="007B217F">
        <w:tc>
          <w:tcPr>
            <w:tcW w:w="5000" w:type="pct"/>
            <w:tcBorders>
              <w:top w:val="single" w:sz="6" w:space="0" w:color="78A22F"/>
              <w:left w:val="nil"/>
              <w:bottom w:val="nil"/>
              <w:right w:val="nil"/>
            </w:tcBorders>
            <w:shd w:val="clear" w:color="auto" w:fill="F2F2F2"/>
          </w:tcPr>
          <w:p w14:paraId="432A1B64" w14:textId="77777777" w:rsidR="00F80224" w:rsidRPr="00FE52C8" w:rsidRDefault="00F80224" w:rsidP="007B217F">
            <w:pPr>
              <w:pStyle w:val="BoxTitle"/>
            </w:pPr>
            <w:r w:rsidRPr="00FE52C8">
              <w:rPr>
                <w:b w:val="0"/>
              </w:rPr>
              <w:t>Box</w:t>
            </w:r>
            <w:r>
              <w:rPr>
                <w:b w:val="0"/>
              </w:rPr>
              <w:t xml:space="preserve"> 4.6</w:t>
            </w:r>
            <w:r w:rsidRPr="00FE52C8">
              <w:tab/>
            </w:r>
            <w:r w:rsidRPr="00FE52C8">
              <w:rPr>
                <w:rStyle w:val="Continuedintitle"/>
              </w:rPr>
              <w:t>(continued)</w:t>
            </w:r>
          </w:p>
        </w:tc>
      </w:tr>
      <w:tr w:rsidR="00F80224" w:rsidRPr="00FE52C8" w14:paraId="744BA645" w14:textId="77777777" w:rsidTr="007B217F">
        <w:tc>
          <w:tcPr>
            <w:tcW w:w="5000" w:type="pct"/>
            <w:tcBorders>
              <w:top w:val="nil"/>
              <w:left w:val="nil"/>
              <w:bottom w:val="nil"/>
              <w:right w:val="nil"/>
            </w:tcBorders>
            <w:shd w:val="clear" w:color="auto" w:fill="F2F2F2"/>
          </w:tcPr>
          <w:p w14:paraId="0D1EC254" w14:textId="77777777" w:rsidR="00F80224" w:rsidRPr="00FE52C8" w:rsidRDefault="00F80224" w:rsidP="007B217F">
            <w:pPr>
              <w:pStyle w:val="BoxHeading1"/>
            </w:pPr>
            <w:r w:rsidRPr="00FE52C8">
              <w:t>User cost of capital (UCC)</w:t>
            </w:r>
          </w:p>
          <w:p w14:paraId="7011D3E0" w14:textId="77777777" w:rsidR="00F80224" w:rsidRPr="00FE52C8" w:rsidRDefault="00F80224" w:rsidP="007B217F">
            <w:pPr>
              <w:pStyle w:val="VET"/>
            </w:pPr>
            <w:r w:rsidRPr="00FE52C8">
              <w:t xml:space="preserve">The UCC is defined as the notional costs to governments of the funds tied up in capital (for example, land and buildings owned by government schools) used to provide services. The notional UCC makes explicit the opportunity cost of using government funds to own assets for the provision of services rather than investing elsewhere or retiring debt. </w:t>
            </w:r>
          </w:p>
          <w:p w14:paraId="76FA1D86" w14:textId="77777777" w:rsidR="00F80224" w:rsidRPr="00FE52C8" w:rsidRDefault="00F80224" w:rsidP="007B217F">
            <w:pPr>
              <w:pStyle w:val="Box"/>
            </w:pPr>
            <w:r w:rsidRPr="00FE52C8">
              <w:t>UCC is only reported for government schools (</w:t>
            </w:r>
            <w:r w:rsidRPr="00FE52C8">
              <w:rPr>
                <w:i/>
              </w:rPr>
              <w:t xml:space="preserve">not </w:t>
            </w:r>
            <w:r w:rsidRPr="00FE52C8">
              <w:t>non</w:t>
            </w:r>
            <w:r w:rsidRPr="00FE52C8">
              <w:noBreakHyphen/>
              <w:t>government schools). It is estimated at 8 per cent of the value of non</w:t>
            </w:r>
            <w:r w:rsidRPr="00FE52C8">
              <w:noBreakHyphen/>
              <w:t>current physical assets, which are re</w:t>
            </w:r>
            <w:r w:rsidRPr="00FE52C8">
              <w:noBreakHyphen/>
              <w:t>valued over time.</w:t>
            </w:r>
          </w:p>
        </w:tc>
      </w:tr>
      <w:tr w:rsidR="00F80224" w:rsidRPr="00FE52C8" w14:paraId="6D329104" w14:textId="77777777" w:rsidTr="007B217F">
        <w:tc>
          <w:tcPr>
            <w:tcW w:w="5000" w:type="pct"/>
            <w:tcBorders>
              <w:top w:val="nil"/>
              <w:left w:val="nil"/>
              <w:bottom w:val="nil"/>
              <w:right w:val="nil"/>
            </w:tcBorders>
            <w:shd w:val="clear" w:color="auto" w:fill="F2F2F2"/>
          </w:tcPr>
          <w:p w14:paraId="1536AA5E" w14:textId="4CBDAFB2" w:rsidR="00F80224" w:rsidRPr="00FE52C8" w:rsidRDefault="00F80224" w:rsidP="007B217F">
            <w:pPr>
              <w:pStyle w:val="BoxSource"/>
            </w:pPr>
            <w:r w:rsidRPr="00FE52C8">
              <w:rPr>
                <w:i/>
              </w:rPr>
              <w:t>Source</w:t>
            </w:r>
            <w:r w:rsidRPr="00FE52C8">
              <w:t>:</w:t>
            </w:r>
            <w:r w:rsidR="00196177">
              <w:t xml:space="preserve"> </w:t>
            </w:r>
            <w:r w:rsidRPr="00FE52C8">
              <w:t>Australian Government Department of Education</w:t>
            </w:r>
            <w:r w:rsidR="00196177">
              <w:t xml:space="preserve"> Skills and Employment</w:t>
            </w:r>
            <w:r w:rsidRPr="00FE52C8">
              <w:t xml:space="preserve"> (20</w:t>
            </w:r>
            <w:r w:rsidR="00196177">
              <w:t>20</w:t>
            </w:r>
            <w:r w:rsidRPr="00FE52C8">
              <w:t xml:space="preserve">) </w:t>
            </w:r>
            <w:r w:rsidRPr="00363817">
              <w:t>https://www.education.gov.au/quality-schools-package-factsheet</w:t>
            </w:r>
            <w:r w:rsidRPr="00FE52C8">
              <w:t xml:space="preserve">, accessed </w:t>
            </w:r>
            <w:r w:rsidR="00196177">
              <w:t>9</w:t>
            </w:r>
            <w:r w:rsidRPr="00FE52C8">
              <w:t xml:space="preserve"> October 20</w:t>
            </w:r>
            <w:r w:rsidR="00196177">
              <w:t>20</w:t>
            </w:r>
            <w:r w:rsidRPr="00FE52C8">
              <w:t>.</w:t>
            </w:r>
          </w:p>
        </w:tc>
      </w:tr>
      <w:tr w:rsidR="00F80224" w:rsidRPr="00FE52C8" w14:paraId="33C715C7" w14:textId="77777777" w:rsidTr="007B217F">
        <w:tc>
          <w:tcPr>
            <w:tcW w:w="5000" w:type="pct"/>
            <w:tcBorders>
              <w:top w:val="nil"/>
              <w:left w:val="nil"/>
              <w:bottom w:val="single" w:sz="6" w:space="0" w:color="78A22F"/>
              <w:right w:val="nil"/>
            </w:tcBorders>
            <w:shd w:val="clear" w:color="auto" w:fill="F2F2F2"/>
          </w:tcPr>
          <w:p w14:paraId="47F2417C" w14:textId="77777777" w:rsidR="00F80224" w:rsidRPr="00FE52C8" w:rsidRDefault="00F80224" w:rsidP="007B217F">
            <w:pPr>
              <w:pStyle w:val="Box"/>
              <w:keepNext w:val="0"/>
              <w:spacing w:before="0" w:line="120" w:lineRule="exact"/>
            </w:pPr>
          </w:p>
        </w:tc>
      </w:tr>
      <w:tr w:rsidR="00F80224" w:rsidRPr="009A1395" w14:paraId="1A8F12AD" w14:textId="77777777" w:rsidTr="007B217F">
        <w:tc>
          <w:tcPr>
            <w:tcW w:w="5000" w:type="pct"/>
            <w:tcBorders>
              <w:top w:val="single" w:sz="6" w:space="0" w:color="78A22F"/>
              <w:left w:val="nil"/>
              <w:bottom w:val="nil"/>
              <w:right w:val="nil"/>
            </w:tcBorders>
          </w:tcPr>
          <w:p w14:paraId="779B4410" w14:textId="77777777" w:rsidR="00F80224" w:rsidRPr="00FE52C8" w:rsidRDefault="00F80224" w:rsidP="007B217F">
            <w:pPr>
              <w:pStyle w:val="BoxSpaceBelow"/>
            </w:pPr>
          </w:p>
        </w:tc>
      </w:tr>
    </w:tbl>
    <w:p w14:paraId="7DCC29DF" w14:textId="77777777" w:rsidR="00F80224" w:rsidRPr="00F04ED4" w:rsidRDefault="00F80224" w:rsidP="00F80224">
      <w:pPr>
        <w:pStyle w:val="Heading4"/>
      </w:pPr>
      <w:bookmarkStart w:id="23" w:name="_Toc46822952"/>
      <w:bookmarkStart w:id="24" w:name="_Toc49241265"/>
      <w:r w:rsidRPr="00F04ED4">
        <w:t>Inputs per output unit — Recurrent expenditure per student</w:t>
      </w:r>
      <w:bookmarkEnd w:id="23"/>
      <w:bookmarkEnd w:id="24"/>
    </w:p>
    <w:p w14:paraId="1C6F449A" w14:textId="77777777" w:rsidR="00F80224" w:rsidRPr="00FE52C8" w:rsidRDefault="00F80224" w:rsidP="00F80224">
      <w:pPr>
        <w:pStyle w:val="BodyText"/>
      </w:pPr>
      <w:r w:rsidRPr="00F04ED4">
        <w:t xml:space="preserve">‘Recurrent expenditure per student’ is an indicator of governments’ objective to provide school education </w:t>
      </w:r>
      <w:r w:rsidRPr="00FE52C8">
        <w:t xml:space="preserve">services in an efficient manner (box 4.7). </w:t>
      </w:r>
    </w:p>
    <w:p w14:paraId="73A793B2" w14:textId="77777777" w:rsidR="00F80224" w:rsidRPr="00FE52C8" w:rsidRDefault="00F80224" w:rsidP="00F8022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80224" w:rsidRPr="00FE52C8" w14:paraId="0D253566" w14:textId="77777777" w:rsidTr="007B217F">
        <w:trPr>
          <w:tblHeader/>
        </w:trPr>
        <w:tc>
          <w:tcPr>
            <w:tcW w:w="5000" w:type="pct"/>
            <w:tcBorders>
              <w:top w:val="single" w:sz="6" w:space="0" w:color="78A22F"/>
              <w:left w:val="nil"/>
              <w:bottom w:val="nil"/>
              <w:right w:val="nil"/>
            </w:tcBorders>
            <w:shd w:val="clear" w:color="auto" w:fill="F2F2F2"/>
          </w:tcPr>
          <w:p w14:paraId="7EDA0600" w14:textId="77777777" w:rsidR="00F80224" w:rsidRPr="00FE52C8" w:rsidRDefault="00F80224" w:rsidP="007B217F">
            <w:pPr>
              <w:pStyle w:val="BoxTitle"/>
            </w:pPr>
            <w:r w:rsidRPr="00FE52C8">
              <w:rPr>
                <w:b w:val="0"/>
              </w:rPr>
              <w:t>Box 4.7</w:t>
            </w:r>
            <w:r w:rsidRPr="00FE52C8">
              <w:tab/>
              <w:t>Recurrent expenditure per student</w:t>
            </w:r>
          </w:p>
        </w:tc>
      </w:tr>
      <w:tr w:rsidR="00F80224" w:rsidRPr="009E7F51" w14:paraId="55603B09" w14:textId="77777777" w:rsidTr="007B217F">
        <w:tc>
          <w:tcPr>
            <w:tcW w:w="5000" w:type="pct"/>
            <w:tcBorders>
              <w:top w:val="nil"/>
              <w:left w:val="nil"/>
              <w:bottom w:val="nil"/>
              <w:right w:val="nil"/>
            </w:tcBorders>
            <w:shd w:val="clear" w:color="auto" w:fill="F2F2F2"/>
          </w:tcPr>
          <w:p w14:paraId="677E4638" w14:textId="266B00D1" w:rsidR="00F80224" w:rsidRPr="009E7F51" w:rsidRDefault="00F80224" w:rsidP="007B217F">
            <w:pPr>
              <w:pStyle w:val="Box"/>
            </w:pPr>
            <w:r w:rsidRPr="009E7F51">
              <w:t>‘Recurrent expenditure per student’ is defined as total government recurrent expenditure per FTE student, reported for government schools and for non</w:t>
            </w:r>
            <w:r w:rsidRPr="009E7F51">
              <w:noBreakHyphen/>
              <w:t>government schools. Government recurrent expenditure per FTE student includes estimates for UCC for government schools (box </w:t>
            </w:r>
            <w:r w:rsidR="007B217F" w:rsidRPr="00BF4A58">
              <w:rPr>
                <w:rFonts w:asciiTheme="minorHAnsi" w:eastAsiaTheme="minorEastAsia" w:hAnsiTheme="minorHAnsi" w:cstheme="minorBidi"/>
              </w:rPr>
              <w:t>4.</w:t>
            </w:r>
            <w:r w:rsidR="0081320E" w:rsidRPr="00BF4A58">
              <w:rPr>
                <w:rFonts w:asciiTheme="minorHAnsi" w:eastAsiaTheme="minorEastAsia" w:hAnsiTheme="minorHAnsi" w:cstheme="minorBidi"/>
              </w:rPr>
              <w:t>6</w:t>
            </w:r>
            <w:r w:rsidRPr="009E7F51">
              <w:t>). UCC is not included for non</w:t>
            </w:r>
            <w:r w:rsidRPr="009E7F51">
              <w:noBreakHyphen/>
              <w:t>government schools.</w:t>
            </w:r>
          </w:p>
          <w:p w14:paraId="7258CD13" w14:textId="605F9D97" w:rsidR="00F80224" w:rsidRPr="009E7F51" w:rsidRDefault="00F80224" w:rsidP="007B217F">
            <w:pPr>
              <w:pStyle w:val="Box"/>
            </w:pPr>
            <w:r w:rsidRPr="009E7F51">
              <w:t xml:space="preserve">FTE student numbers (table 4A.3) are drawn from the ABS publication </w:t>
            </w:r>
            <w:r w:rsidRPr="009E7F51">
              <w:rPr>
                <w:i/>
              </w:rPr>
              <w:t>Schools Australia 201</w:t>
            </w:r>
            <w:r w:rsidR="001D01EA">
              <w:rPr>
                <w:i/>
              </w:rPr>
              <w:t>9</w:t>
            </w:r>
            <w:r w:rsidRPr="009E7F51">
              <w:rPr>
                <w:i/>
              </w:rPr>
              <w:t xml:space="preserve"> </w:t>
            </w:r>
            <w:r w:rsidRPr="009E7F51">
              <w:t>(ABS 20</w:t>
            </w:r>
            <w:r w:rsidR="001D01EA">
              <w:t>20</w:t>
            </w:r>
            <w:r w:rsidRPr="009E7F51">
              <w:t>) and averaged over two calendar years to match the financial year expenditure data.</w:t>
            </w:r>
            <w:r w:rsidR="001A7514">
              <w:t xml:space="preserve"> </w:t>
            </w:r>
            <w:r w:rsidR="001A7514" w:rsidRPr="003C5A00">
              <w:t xml:space="preserve">From 2018-19 FTE </w:t>
            </w:r>
            <w:r w:rsidR="008140F3">
              <w:t xml:space="preserve">enrolled </w:t>
            </w:r>
            <w:r w:rsidR="001A7514" w:rsidRPr="003C5A00">
              <w:t>student</w:t>
            </w:r>
            <w:r w:rsidR="008140F3">
              <w:t>s</w:t>
            </w:r>
            <w:r w:rsidR="001A7514" w:rsidRPr="003C5A00">
              <w:t xml:space="preserve"> used to derive NSW and total Australian recurrent expenditure per student for government and all schools excludes Norfolk Island Central School FTE enrolments.</w:t>
            </w:r>
          </w:p>
          <w:p w14:paraId="53C03FF9" w14:textId="77777777" w:rsidR="00F80224" w:rsidRPr="009E7F51" w:rsidRDefault="00F80224" w:rsidP="007B217F">
            <w:pPr>
              <w:pStyle w:val="Box"/>
            </w:pPr>
            <w:r w:rsidRPr="009E7F51">
              <w:t>Holding other factors constant, a low or decreasing government recurrent expenditure or staff expenditure per FTE student may represent better or improved efficiency.</w:t>
            </w:r>
          </w:p>
          <w:p w14:paraId="116306DB" w14:textId="77777777" w:rsidR="00F80224" w:rsidRPr="009E7F51" w:rsidRDefault="00F80224" w:rsidP="007B217F">
            <w:pPr>
              <w:pStyle w:val="Box"/>
            </w:pPr>
            <w:r w:rsidRPr="009E7F51">
              <w:t>Care should be taken in interpretation of efficiency data as:</w:t>
            </w:r>
          </w:p>
          <w:p w14:paraId="1F0AB968" w14:textId="77777777" w:rsidR="00F80224" w:rsidRPr="009E7F51" w:rsidRDefault="00F80224" w:rsidP="007B217F">
            <w:pPr>
              <w:pStyle w:val="BoxListBullet"/>
            </w:pPr>
            <w:proofErr w:type="gramStart"/>
            <w:r w:rsidRPr="009E7F51">
              <w:t>a number of</w:t>
            </w:r>
            <w:proofErr w:type="gramEnd"/>
            <w:r w:rsidRPr="009E7F51">
              <w:t xml:space="preserve"> factors beyond the control of governments, such as economies of scale, a high proportion of geographically remote students and/or a dispersed population, and migration across states and territories, may influence expenditure</w:t>
            </w:r>
          </w:p>
          <w:p w14:paraId="797786F2" w14:textId="77777777" w:rsidR="00F80224" w:rsidRPr="009E7F51" w:rsidRDefault="00F80224" w:rsidP="007B217F">
            <w:pPr>
              <w:pStyle w:val="BoxListBullet"/>
            </w:pPr>
            <w:r w:rsidRPr="009E7F51">
              <w:t>while high or increasing expenditure per student may reflect deteriorating efficiency, it may also reflect changes in aspects of schooling (increasing school leaving age, improving outcomes for students with special needs, broader curricula or enhancing teacher quality), or the characteristics of the education environment (such as population dispersion).</w:t>
            </w:r>
          </w:p>
          <w:p w14:paraId="7980ECA5" w14:textId="77777777" w:rsidR="00F80224" w:rsidRPr="009E7F51" w:rsidRDefault="00F80224" w:rsidP="007B217F">
            <w:pPr>
              <w:pStyle w:val="Box"/>
            </w:pPr>
            <w:r w:rsidRPr="009E7F51">
              <w:t>Data reported for this measure are:</w:t>
            </w:r>
          </w:p>
          <w:p w14:paraId="62036429" w14:textId="77777777" w:rsidR="00F80224" w:rsidRPr="009E7F51" w:rsidRDefault="00F80224" w:rsidP="007B217F">
            <w:pPr>
              <w:pStyle w:val="BoxComparable"/>
            </w:pPr>
            <w:r w:rsidRPr="009E7F51">
              <w:rPr>
                <w:shd w:val="clear" w:color="auto" w:fill="F15A25"/>
              </w:rPr>
              <w:t xml:space="preserve">    </w:t>
            </w:r>
            <w:r w:rsidRPr="009E7F51">
              <w:t xml:space="preserve"> comparable (subject to caveats) across jurisdictions and over time. (Note that as non</w:t>
            </w:r>
            <w:r w:rsidRPr="009E7F51">
              <w:noBreakHyphen/>
              <w:t xml:space="preserve">government </w:t>
            </w:r>
            <w:proofErr w:type="gramStart"/>
            <w:r w:rsidRPr="009E7F51">
              <w:t>schools</w:t>
            </w:r>
            <w:proofErr w:type="gramEnd"/>
            <w:r w:rsidRPr="009E7F51">
              <w:t xml:space="preserve"> data do not account for UCC nor non</w:t>
            </w:r>
            <w:r w:rsidRPr="009E7F51">
              <w:noBreakHyphen/>
              <w:t xml:space="preserve">government sources of funding, the data are </w:t>
            </w:r>
            <w:r w:rsidRPr="009E7F51">
              <w:rPr>
                <w:i/>
              </w:rPr>
              <w:t>not comparable</w:t>
            </w:r>
            <w:r w:rsidRPr="009E7F51">
              <w:t xml:space="preserve"> for comparing the efficiency of government and non</w:t>
            </w:r>
            <w:r w:rsidRPr="009E7F51">
              <w:noBreakHyphen/>
              <w:t>government schools.)</w:t>
            </w:r>
          </w:p>
          <w:p w14:paraId="37265A3A" w14:textId="1E5119BA" w:rsidR="00F80224" w:rsidRPr="009E7F51" w:rsidRDefault="00F80224" w:rsidP="007B217F">
            <w:pPr>
              <w:pStyle w:val="BoxComparable"/>
            </w:pPr>
            <w:r w:rsidRPr="009E7F51">
              <w:rPr>
                <w:shd w:val="clear" w:color="auto" w:fill="F15A25"/>
              </w:rPr>
              <w:t xml:space="preserve">    </w:t>
            </w:r>
            <w:r w:rsidRPr="009E7F51">
              <w:t xml:space="preserve"> complete for the current reporting period (subject to caveats). All required 201</w:t>
            </w:r>
            <w:r w:rsidR="00F72B40">
              <w:t>8</w:t>
            </w:r>
            <w:r w:rsidRPr="009E7F51">
              <w:noBreakHyphen/>
              <w:t>1</w:t>
            </w:r>
            <w:r w:rsidR="00F72B40">
              <w:t>9</w:t>
            </w:r>
            <w:r w:rsidRPr="009E7F51">
              <w:t xml:space="preserve"> data are available for all jurisdictions.</w:t>
            </w:r>
          </w:p>
        </w:tc>
      </w:tr>
      <w:tr w:rsidR="00F80224" w:rsidRPr="009E7F51" w14:paraId="5052BFB2" w14:textId="77777777" w:rsidTr="007B217F">
        <w:tc>
          <w:tcPr>
            <w:tcW w:w="5000" w:type="pct"/>
            <w:tcBorders>
              <w:top w:val="nil"/>
              <w:left w:val="nil"/>
              <w:bottom w:val="single" w:sz="6" w:space="0" w:color="78A22F"/>
              <w:right w:val="nil"/>
            </w:tcBorders>
            <w:shd w:val="clear" w:color="auto" w:fill="F2F2F2"/>
          </w:tcPr>
          <w:p w14:paraId="7E3B9F14" w14:textId="77777777" w:rsidR="00F80224" w:rsidRPr="009E7F51" w:rsidRDefault="00F80224" w:rsidP="007B217F">
            <w:pPr>
              <w:pStyle w:val="Box"/>
              <w:keepNext w:val="0"/>
              <w:spacing w:before="0" w:line="120" w:lineRule="exact"/>
            </w:pPr>
          </w:p>
        </w:tc>
      </w:tr>
      <w:tr w:rsidR="00F80224" w:rsidRPr="009E7F51" w14:paraId="7FC246E0" w14:textId="77777777" w:rsidTr="007B217F">
        <w:tc>
          <w:tcPr>
            <w:tcW w:w="5000" w:type="pct"/>
            <w:tcBorders>
              <w:top w:val="single" w:sz="6" w:space="0" w:color="78A22F"/>
              <w:left w:val="nil"/>
              <w:bottom w:val="nil"/>
              <w:right w:val="nil"/>
            </w:tcBorders>
          </w:tcPr>
          <w:p w14:paraId="1190EC34" w14:textId="77777777" w:rsidR="00F80224" w:rsidRPr="009E7F51" w:rsidRDefault="00F80224" w:rsidP="007B217F">
            <w:pPr>
              <w:pStyle w:val="BoxSpaceBelow"/>
            </w:pPr>
          </w:p>
        </w:tc>
      </w:tr>
    </w:tbl>
    <w:p w14:paraId="5B260439" w14:textId="77777777" w:rsidR="00F80224" w:rsidRPr="009E7F51" w:rsidRDefault="00F80224" w:rsidP="00F80224">
      <w:pPr>
        <w:pStyle w:val="Heading3"/>
      </w:pPr>
      <w:bookmarkStart w:id="25" w:name="_Toc46822953"/>
      <w:bookmarkStart w:id="26" w:name="_Toc49241266"/>
      <w:r w:rsidRPr="009E7F51">
        <w:t>Outcomes</w:t>
      </w:r>
      <w:bookmarkEnd w:id="25"/>
      <w:bookmarkEnd w:id="26"/>
    </w:p>
    <w:p w14:paraId="5C7CDA7E" w14:textId="77777777" w:rsidR="00F80224" w:rsidRPr="009E7F51" w:rsidRDefault="00F80224" w:rsidP="00F80224">
      <w:pPr>
        <w:pStyle w:val="BodyText"/>
      </w:pPr>
      <w:r w:rsidRPr="009E7F51">
        <w:t>Outcomes are the impact of services on the status of an individual or group (see section 1).</w:t>
      </w:r>
    </w:p>
    <w:p w14:paraId="3CD7012B" w14:textId="77777777" w:rsidR="00F80224" w:rsidRPr="009E7F51" w:rsidRDefault="00F80224" w:rsidP="00F80224">
      <w:pPr>
        <w:pStyle w:val="Heading4"/>
      </w:pPr>
      <w:bookmarkStart w:id="27" w:name="_Toc46822954"/>
      <w:bookmarkStart w:id="28" w:name="_Toc49241267"/>
      <w:r w:rsidRPr="009E7F51">
        <w:t>Student outcomes (national testing)</w:t>
      </w:r>
      <w:bookmarkEnd w:id="27"/>
      <w:bookmarkEnd w:id="28"/>
      <w:r w:rsidRPr="009E7F51">
        <w:t xml:space="preserve"> </w:t>
      </w:r>
    </w:p>
    <w:p w14:paraId="1F54AFF5" w14:textId="581F0AF8" w:rsidR="00F80224" w:rsidRPr="009E7F51" w:rsidRDefault="00F80224" w:rsidP="00F80224">
      <w:pPr>
        <w:pStyle w:val="BodyText"/>
      </w:pPr>
      <w:r w:rsidRPr="009E7F51">
        <w:t>‘Student outcomes (national testing)’ is an indicator of governments’ objective that Australian schooling aims for all young Australians to become successful</w:t>
      </w:r>
      <w:r w:rsidR="00C75BC0">
        <w:t xml:space="preserve"> lifelong</w:t>
      </w:r>
      <w:r w:rsidRPr="009E7F51">
        <w:t xml:space="preserve"> learners, confident and creative individuals, and active and informed </w:t>
      </w:r>
      <w:r w:rsidR="00C75BC0">
        <w:t>members of the community</w:t>
      </w:r>
      <w:r w:rsidRPr="009E7F51">
        <w:t xml:space="preserve"> (box</w:t>
      </w:r>
      <w:r w:rsidR="003D5B51">
        <w:t> </w:t>
      </w:r>
      <w:r w:rsidRPr="009E7F51">
        <w:t>4.8).</w:t>
      </w:r>
    </w:p>
    <w:p w14:paraId="0EEEFB9C" w14:textId="77777777" w:rsidR="00F80224" w:rsidRPr="009E7F51" w:rsidRDefault="00F80224" w:rsidP="00F8022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80224" w:rsidRPr="009E7F51" w14:paraId="41820A2F" w14:textId="77777777" w:rsidTr="007B217F">
        <w:trPr>
          <w:tblHeader/>
        </w:trPr>
        <w:tc>
          <w:tcPr>
            <w:tcW w:w="5000" w:type="pct"/>
            <w:tcBorders>
              <w:top w:val="single" w:sz="6" w:space="0" w:color="78A22F"/>
              <w:left w:val="nil"/>
              <w:bottom w:val="nil"/>
              <w:right w:val="nil"/>
            </w:tcBorders>
            <w:shd w:val="clear" w:color="auto" w:fill="F2F2F2"/>
          </w:tcPr>
          <w:p w14:paraId="01374C98" w14:textId="77777777" w:rsidR="00F80224" w:rsidRPr="009E7F51" w:rsidRDefault="00F80224" w:rsidP="007B217F">
            <w:pPr>
              <w:pStyle w:val="BoxTitle"/>
            </w:pPr>
            <w:r w:rsidRPr="009E7F51">
              <w:rPr>
                <w:b w:val="0"/>
              </w:rPr>
              <w:t>Box 4.8</w:t>
            </w:r>
            <w:r w:rsidRPr="009E7F51">
              <w:tab/>
              <w:t>Student outcomes (national testing)</w:t>
            </w:r>
          </w:p>
        </w:tc>
      </w:tr>
      <w:tr w:rsidR="00F80224" w:rsidRPr="009E7F51" w14:paraId="26FA3676" w14:textId="77777777" w:rsidTr="007B217F">
        <w:tc>
          <w:tcPr>
            <w:tcW w:w="5000" w:type="pct"/>
            <w:tcBorders>
              <w:top w:val="nil"/>
              <w:left w:val="nil"/>
              <w:bottom w:val="nil"/>
              <w:right w:val="nil"/>
            </w:tcBorders>
            <w:shd w:val="clear" w:color="auto" w:fill="F2F2F2"/>
          </w:tcPr>
          <w:p w14:paraId="34CD71EF" w14:textId="77777777" w:rsidR="00F80224" w:rsidRPr="009E7F51" w:rsidRDefault="00F80224" w:rsidP="007B217F">
            <w:pPr>
              <w:pStyle w:val="Box"/>
            </w:pPr>
            <w:r w:rsidRPr="009E7F51">
              <w:t xml:space="preserve">‘Student outcomes (national testing)’ is defined by measures drawn from the National Assessment Program — Literacy and Numeracy (NAPLAN) and National Assessment Program (NAP) sample assessments. </w:t>
            </w:r>
          </w:p>
          <w:p w14:paraId="4898C05B" w14:textId="6EA3E0DA" w:rsidR="00F80224" w:rsidRPr="009E7F51" w:rsidRDefault="00F80224" w:rsidP="007B217F">
            <w:pPr>
              <w:pStyle w:val="Box"/>
            </w:pPr>
            <w:r w:rsidRPr="009E7F51">
              <w:t>All data are accompanied by confidence intervals. See sub-section 4.</w:t>
            </w:r>
            <w:r w:rsidR="00F72B40">
              <w:t>2</w:t>
            </w:r>
            <w:r w:rsidRPr="009E7F51">
              <w:t xml:space="preserve"> for details on NAPLAN and NAP confidence intervals.</w:t>
            </w:r>
          </w:p>
          <w:p w14:paraId="2718376E" w14:textId="77777777" w:rsidR="00F80224" w:rsidRPr="009E7F51" w:rsidRDefault="00F80224" w:rsidP="007B217F">
            <w:pPr>
              <w:pStyle w:val="BoxHeading1"/>
            </w:pPr>
            <w:r w:rsidRPr="009E7F51">
              <w:t>National Assessment Program — Literacy and Numeracy (NAPLAN)</w:t>
            </w:r>
          </w:p>
          <w:p w14:paraId="67133EAA" w14:textId="096BE28D" w:rsidR="00F80224" w:rsidRPr="009E7F51" w:rsidRDefault="00F80224" w:rsidP="007B217F">
            <w:pPr>
              <w:pStyle w:val="Box"/>
            </w:pPr>
            <w:r w:rsidRPr="009E7F51">
              <w:t>NAPLAN testing is undertaken by students in years 3, 5, 7 and 9. Measures are reported for the proportion of students at or above the national minimum standard in NAPLAN testing and mean scale score for reading, numeracy and writing.</w:t>
            </w:r>
            <w:r w:rsidR="005C12E7">
              <w:t xml:space="preserve"> </w:t>
            </w:r>
          </w:p>
          <w:p w14:paraId="6857F970" w14:textId="3D389B2F" w:rsidR="00F80224" w:rsidRDefault="00F80224" w:rsidP="007B217F">
            <w:pPr>
              <w:pStyle w:val="Box"/>
            </w:pPr>
            <w:r w:rsidRPr="009E7F51">
              <w:t>Achieving (but not exceeding) the national minimum standard represents achievement of the basic elements of literacy or numeracy for the year level (ACARA 20</w:t>
            </w:r>
            <w:r w:rsidR="00BC06ED">
              <w:t>20</w:t>
            </w:r>
            <w:r w:rsidRPr="009E7F51">
              <w:t>). The mean scale score refers to a mean (average) score on a common national scale.</w:t>
            </w:r>
          </w:p>
          <w:p w14:paraId="3FA62321" w14:textId="3EBC2E7F" w:rsidR="00AB2449" w:rsidRPr="009E7F51" w:rsidRDefault="00AB2449" w:rsidP="007B217F">
            <w:pPr>
              <w:pStyle w:val="Box"/>
            </w:pPr>
            <w:r w:rsidRPr="00AB2449">
              <w:t>States and territories have different school starting ages resulting in differing average age</w:t>
            </w:r>
            <w:r>
              <w:t>s</w:t>
            </w:r>
            <w:r w:rsidRPr="00AB2449">
              <w:t xml:space="preserve"> of students and average time students had spent in schooling at the time of testing. See </w:t>
            </w:r>
            <w:r>
              <w:t>table</w:t>
            </w:r>
            <w:r w:rsidRPr="00AB2449">
              <w:t xml:space="preserve"> 4.</w:t>
            </w:r>
            <w:r>
              <w:t>2</w:t>
            </w:r>
            <w:r w:rsidRPr="00AB2449">
              <w:t xml:space="preserve"> for more information on average </w:t>
            </w:r>
            <w:r w:rsidR="00531657">
              <w:t>age</w:t>
            </w:r>
            <w:r w:rsidR="00BF4A58">
              <w:t>s</w:t>
            </w:r>
            <w:r w:rsidR="00531657">
              <w:t xml:space="preserve"> </w:t>
            </w:r>
            <w:r w:rsidRPr="00AB2449">
              <w:t>of students and average years of schooling across jurisdictions at the time of testing</w:t>
            </w:r>
            <w:r w:rsidR="00940048">
              <w:t xml:space="preserve"> in 2019</w:t>
            </w:r>
            <w:r w:rsidRPr="00AB2449">
              <w:t>.</w:t>
            </w:r>
          </w:p>
          <w:p w14:paraId="12093D4B" w14:textId="77777777" w:rsidR="00F80224" w:rsidRPr="009E7F51" w:rsidRDefault="00F80224" w:rsidP="007B217F">
            <w:pPr>
              <w:pStyle w:val="Box"/>
            </w:pPr>
            <w:r w:rsidRPr="009E7F51">
              <w:t>A high or increasing mean scale score or proportion of students achieving at or above the national minimum standard is desirable.</w:t>
            </w:r>
          </w:p>
          <w:p w14:paraId="0781268A" w14:textId="77777777" w:rsidR="00F80224" w:rsidRPr="009E7F51" w:rsidRDefault="00F80224" w:rsidP="007B217F">
            <w:pPr>
              <w:pStyle w:val="Box"/>
            </w:pPr>
            <w:r w:rsidRPr="009E7F51">
              <w:t xml:space="preserve">From 2018, NAPLAN has been transitioning from pen and paper tests to online testing. For the 2018 transition year, the online test results were equated with the pen and paper tests. Results for both the tests are reported on the same NAPLAN assessment scale and so should be comparable with previous years. </w:t>
            </w:r>
          </w:p>
          <w:p w14:paraId="00B029C5" w14:textId="77777777" w:rsidR="00F80224" w:rsidRPr="009E7F51" w:rsidRDefault="00F80224" w:rsidP="007B217F">
            <w:pPr>
              <w:pStyle w:val="Box"/>
            </w:pPr>
            <w:r w:rsidRPr="009E7F51">
              <w:t xml:space="preserve">Data reported for these measures are: </w:t>
            </w:r>
          </w:p>
          <w:p w14:paraId="013F0F6F" w14:textId="77777777" w:rsidR="00F80224" w:rsidRPr="009E7F51" w:rsidRDefault="00F80224" w:rsidP="007B217F">
            <w:pPr>
              <w:pStyle w:val="BoxComparable"/>
            </w:pPr>
            <w:r w:rsidRPr="009E7F51">
              <w:rPr>
                <w:shd w:val="clear" w:color="auto" w:fill="F15A25"/>
              </w:rPr>
              <w:t xml:space="preserve">    </w:t>
            </w:r>
            <w:r w:rsidRPr="009E7F51">
              <w:t xml:space="preserve"> comparable (subject to caveats) across jurisdictions and over time</w:t>
            </w:r>
          </w:p>
          <w:p w14:paraId="4EFF3A75" w14:textId="7BABDBC9" w:rsidR="00E13374" w:rsidRPr="009E7F51" w:rsidRDefault="00E13374" w:rsidP="007B217F">
            <w:pPr>
              <w:pStyle w:val="BoxComparable"/>
            </w:pPr>
            <w:r w:rsidRPr="009E7F51">
              <w:rPr>
                <w:shd w:val="clear" w:color="auto" w:fill="F15A25"/>
              </w:rPr>
              <w:t xml:space="preserve">    </w:t>
            </w:r>
            <w:r w:rsidRPr="009E7F51">
              <w:t xml:space="preserve"> complete for the current reporting period (subject to caveats). All required </w:t>
            </w:r>
            <w:r>
              <w:t>2019</w:t>
            </w:r>
            <w:r w:rsidRPr="009E7F51">
              <w:t xml:space="preserve"> data are available for all jurisdictions.</w:t>
            </w:r>
          </w:p>
          <w:p w14:paraId="0B23A555" w14:textId="77777777" w:rsidR="00F80224" w:rsidRPr="009E7F51" w:rsidRDefault="00F80224" w:rsidP="007B217F">
            <w:pPr>
              <w:pStyle w:val="BoxHeading1"/>
            </w:pPr>
            <w:r w:rsidRPr="009E7F51">
              <w:t>NAP Sample assessments</w:t>
            </w:r>
          </w:p>
          <w:p w14:paraId="718A7788" w14:textId="77777777" w:rsidR="00F80224" w:rsidRPr="009E7F51" w:rsidRDefault="00F80224" w:rsidP="007B217F">
            <w:pPr>
              <w:pStyle w:val="Box"/>
            </w:pPr>
            <w:r w:rsidRPr="009E7F51">
              <w:t>NAP national sample assessments are undertaken by students in year 6 and 10, on a triennial, rotating basis. Measures are reported for the proportion of students at or above the proficient standard in NAP assessments and mean scale score for:</w:t>
            </w:r>
          </w:p>
          <w:p w14:paraId="68188B73" w14:textId="77777777" w:rsidR="00F80224" w:rsidRPr="009E7F51" w:rsidRDefault="00F80224" w:rsidP="007B217F">
            <w:pPr>
              <w:pStyle w:val="BoxListBullet"/>
            </w:pPr>
            <w:r w:rsidRPr="009E7F51">
              <w:t xml:space="preserve">NAP civics and citizenship literacy </w:t>
            </w:r>
          </w:p>
          <w:p w14:paraId="10AA9C1D" w14:textId="77777777" w:rsidR="00F80224" w:rsidRPr="009E7F51" w:rsidRDefault="00F80224" w:rsidP="007B217F">
            <w:pPr>
              <w:pStyle w:val="BoxListBullet"/>
            </w:pPr>
            <w:r w:rsidRPr="009E7F51">
              <w:t>NAP Science literacy (testing undertaken by year 6 students only for all jurisdictions)</w:t>
            </w:r>
          </w:p>
          <w:p w14:paraId="7C33B622" w14:textId="77777777" w:rsidR="00F80224" w:rsidRPr="009E7F51" w:rsidRDefault="00F80224" w:rsidP="007B217F">
            <w:pPr>
              <w:pStyle w:val="BoxListBullet"/>
            </w:pPr>
            <w:r w:rsidRPr="009E7F51">
              <w:t>NAP information and communication technologies (ICT) literacy.</w:t>
            </w:r>
          </w:p>
          <w:p w14:paraId="66DF3FFE" w14:textId="77777777" w:rsidR="00F80224" w:rsidRPr="009E7F51" w:rsidRDefault="00F80224" w:rsidP="007B217F">
            <w:pPr>
              <w:pStyle w:val="Box"/>
            </w:pPr>
            <w:r w:rsidRPr="009E7F51">
              <w:rPr>
                <w:shd w:val="clear" w:color="auto" w:fill="F2F2F2" w:themeFill="background1" w:themeFillShade="F2"/>
              </w:rPr>
              <w:t>The proficient standards, which vary across the tests, are challenging but reasonable levels of performance, with students needing to demonstrate more than minimal or elementary skills expected at that year level to be regarded as reaching them.</w:t>
            </w:r>
          </w:p>
          <w:p w14:paraId="1DA6E70A" w14:textId="77777777" w:rsidR="00F80224" w:rsidRPr="009E7F51" w:rsidRDefault="00F80224" w:rsidP="007B217F">
            <w:pPr>
              <w:pStyle w:val="Box"/>
            </w:pPr>
            <w:r w:rsidRPr="009E7F51">
              <w:t>A high or increasing mean scale score or proportion of students achieving at or above the proficiency standard is desirable.</w:t>
            </w:r>
          </w:p>
        </w:tc>
      </w:tr>
      <w:tr w:rsidR="00F80224" w:rsidRPr="009E7F51" w14:paraId="1AB94B54" w14:textId="77777777" w:rsidTr="007B217F">
        <w:tc>
          <w:tcPr>
            <w:tcW w:w="5000" w:type="pct"/>
            <w:tcBorders>
              <w:top w:val="nil"/>
              <w:left w:val="nil"/>
              <w:bottom w:val="nil"/>
              <w:right w:val="nil"/>
            </w:tcBorders>
            <w:shd w:val="clear" w:color="auto" w:fill="F2F2F2"/>
          </w:tcPr>
          <w:p w14:paraId="68081FD0" w14:textId="77777777" w:rsidR="00F80224" w:rsidRPr="009E7F51" w:rsidRDefault="00F80224" w:rsidP="007B217F">
            <w:pPr>
              <w:pStyle w:val="Continued"/>
            </w:pPr>
            <w:r w:rsidRPr="009E7F51">
              <w:t>(continued next page)</w:t>
            </w:r>
          </w:p>
        </w:tc>
      </w:tr>
      <w:tr w:rsidR="00F80224" w:rsidRPr="009E7F51" w14:paraId="7055927A" w14:textId="77777777" w:rsidTr="007B217F">
        <w:tc>
          <w:tcPr>
            <w:tcW w:w="5000" w:type="pct"/>
            <w:tcBorders>
              <w:top w:val="nil"/>
              <w:left w:val="nil"/>
              <w:bottom w:val="single" w:sz="6" w:space="0" w:color="78A22F"/>
              <w:right w:val="nil"/>
            </w:tcBorders>
            <w:shd w:val="clear" w:color="auto" w:fill="F2F2F2"/>
          </w:tcPr>
          <w:p w14:paraId="518B840C" w14:textId="77777777" w:rsidR="00F80224" w:rsidRPr="009E7F51" w:rsidRDefault="00F80224" w:rsidP="007B217F">
            <w:pPr>
              <w:pStyle w:val="Box"/>
              <w:spacing w:before="0" w:line="120" w:lineRule="exact"/>
            </w:pPr>
          </w:p>
        </w:tc>
      </w:tr>
      <w:tr w:rsidR="00F80224" w:rsidRPr="009E7F51" w14:paraId="689AAB40" w14:textId="77777777" w:rsidTr="007B217F">
        <w:tc>
          <w:tcPr>
            <w:tcW w:w="5000" w:type="pct"/>
            <w:tcBorders>
              <w:top w:val="single" w:sz="6" w:space="0" w:color="78A22F"/>
              <w:left w:val="nil"/>
              <w:bottom w:val="nil"/>
              <w:right w:val="nil"/>
            </w:tcBorders>
          </w:tcPr>
          <w:p w14:paraId="1DE15586" w14:textId="77777777" w:rsidR="00F80224" w:rsidRPr="009E7F51" w:rsidRDefault="00F80224" w:rsidP="007B217F">
            <w:pPr>
              <w:pStyle w:val="BoxSpaceBelow"/>
            </w:pPr>
          </w:p>
        </w:tc>
      </w:tr>
    </w:tbl>
    <w:p w14:paraId="10A8B196" w14:textId="77777777" w:rsidR="00F80224" w:rsidRPr="009E7F51" w:rsidRDefault="00F80224" w:rsidP="00F8022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80224" w:rsidRPr="009E7F51" w14:paraId="5DAA8F0F" w14:textId="77777777" w:rsidTr="007B217F">
        <w:trPr>
          <w:tblHeader/>
        </w:trPr>
        <w:tc>
          <w:tcPr>
            <w:tcW w:w="5000" w:type="pct"/>
            <w:tcBorders>
              <w:top w:val="single" w:sz="6" w:space="0" w:color="78A22F"/>
              <w:left w:val="nil"/>
              <w:bottom w:val="nil"/>
              <w:right w:val="nil"/>
            </w:tcBorders>
            <w:shd w:val="clear" w:color="auto" w:fill="F2F2F2"/>
          </w:tcPr>
          <w:p w14:paraId="32B17A38" w14:textId="77777777" w:rsidR="00F80224" w:rsidRPr="009E7F51" w:rsidRDefault="00F80224" w:rsidP="007B217F">
            <w:pPr>
              <w:pStyle w:val="BoxTitle"/>
            </w:pPr>
            <w:r w:rsidRPr="009E7F51">
              <w:rPr>
                <w:b w:val="0"/>
              </w:rPr>
              <w:t>Box</w:t>
            </w:r>
            <w:r>
              <w:rPr>
                <w:b w:val="0"/>
              </w:rPr>
              <w:t xml:space="preserve"> 4.8</w:t>
            </w:r>
            <w:r w:rsidRPr="009E7F51">
              <w:tab/>
            </w:r>
            <w:r w:rsidRPr="009E7F51">
              <w:rPr>
                <w:b w:val="0"/>
                <w:sz w:val="18"/>
                <w:szCs w:val="18"/>
              </w:rPr>
              <w:t>(continued)</w:t>
            </w:r>
          </w:p>
        </w:tc>
      </w:tr>
      <w:tr w:rsidR="00F80224" w:rsidRPr="009E7F51" w14:paraId="5A900F46" w14:textId="77777777" w:rsidTr="007B217F">
        <w:tc>
          <w:tcPr>
            <w:tcW w:w="5000" w:type="pct"/>
            <w:tcBorders>
              <w:top w:val="nil"/>
              <w:left w:val="nil"/>
              <w:bottom w:val="nil"/>
              <w:right w:val="nil"/>
            </w:tcBorders>
            <w:shd w:val="clear" w:color="auto" w:fill="F2F2F2"/>
          </w:tcPr>
          <w:p w14:paraId="733F0EAF" w14:textId="77777777" w:rsidR="00F80224" w:rsidRPr="009E7F51" w:rsidRDefault="00F80224" w:rsidP="007B217F">
            <w:pPr>
              <w:pStyle w:val="Box"/>
            </w:pPr>
            <w:r w:rsidRPr="009E7F51">
              <w:t xml:space="preserve">Data reported for these measures are: </w:t>
            </w:r>
          </w:p>
          <w:p w14:paraId="5523406A" w14:textId="77777777" w:rsidR="00F80224" w:rsidRPr="009E7F51" w:rsidRDefault="00F80224" w:rsidP="007B217F">
            <w:pPr>
              <w:pStyle w:val="BoxComparable"/>
            </w:pPr>
            <w:r w:rsidRPr="009E7F51">
              <w:rPr>
                <w:shd w:val="clear" w:color="auto" w:fill="F15A25"/>
              </w:rPr>
              <w:t xml:space="preserve">    </w:t>
            </w:r>
            <w:r w:rsidRPr="009E7F51">
              <w:t xml:space="preserve"> comparable (subject to caveats) across jurisdictions and over time</w:t>
            </w:r>
          </w:p>
          <w:p w14:paraId="446B11A0" w14:textId="382548F0" w:rsidR="00F80224" w:rsidRPr="009E7F51" w:rsidRDefault="00F80224" w:rsidP="007B217F">
            <w:pPr>
              <w:pStyle w:val="BoxComparable"/>
            </w:pPr>
            <w:r w:rsidRPr="005C12E7">
              <w:rPr>
                <w:shd w:val="clear" w:color="auto" w:fill="F15A25"/>
              </w:rPr>
              <w:t xml:space="preserve">    </w:t>
            </w:r>
            <w:r w:rsidRPr="009E7F51">
              <w:t xml:space="preserve"> complete for the current reporting period (subject to caveats). All required data are available for </w:t>
            </w:r>
            <w:r w:rsidRPr="00C74F99">
              <w:t>201</w:t>
            </w:r>
            <w:r w:rsidR="005C12E7" w:rsidRPr="00C74F99">
              <w:t>9</w:t>
            </w:r>
            <w:r w:rsidRPr="00C74F99">
              <w:t xml:space="preserve"> </w:t>
            </w:r>
            <w:r w:rsidRPr="009E7F51">
              <w:t>(</w:t>
            </w:r>
            <w:r w:rsidR="005C12E7" w:rsidRPr="009E7F51">
              <w:t>for civics and citizenship literacy</w:t>
            </w:r>
            <w:r w:rsidRPr="009E7F51">
              <w:t>), 201</w:t>
            </w:r>
            <w:r w:rsidR="005C12E7">
              <w:t>8</w:t>
            </w:r>
            <w:r w:rsidRPr="009E7F51">
              <w:t xml:space="preserve"> (</w:t>
            </w:r>
            <w:r w:rsidR="005C12E7" w:rsidRPr="009E7F51">
              <w:t>for science literacy</w:t>
            </w:r>
            <w:r w:rsidRPr="009E7F51">
              <w:t>) and 201</w:t>
            </w:r>
            <w:r w:rsidR="005C12E7">
              <w:t>7</w:t>
            </w:r>
            <w:r w:rsidRPr="009E7F51">
              <w:t xml:space="preserve"> (</w:t>
            </w:r>
            <w:r w:rsidR="005C12E7" w:rsidRPr="009E7F51">
              <w:t>for ICT literacy</w:t>
            </w:r>
            <w:r w:rsidRPr="009E7F51">
              <w:t>).</w:t>
            </w:r>
          </w:p>
        </w:tc>
      </w:tr>
      <w:tr w:rsidR="00F80224" w:rsidRPr="009E7F51" w14:paraId="136DAAED" w14:textId="77777777" w:rsidTr="007B217F">
        <w:tc>
          <w:tcPr>
            <w:tcW w:w="5000" w:type="pct"/>
            <w:tcBorders>
              <w:top w:val="nil"/>
              <w:left w:val="nil"/>
              <w:bottom w:val="single" w:sz="6" w:space="0" w:color="78A22F"/>
              <w:right w:val="nil"/>
            </w:tcBorders>
            <w:shd w:val="clear" w:color="auto" w:fill="F2F2F2"/>
          </w:tcPr>
          <w:p w14:paraId="63A6DCB3" w14:textId="77777777" w:rsidR="00F80224" w:rsidRPr="009E7F51" w:rsidRDefault="00F80224" w:rsidP="007B217F">
            <w:pPr>
              <w:pStyle w:val="Box"/>
              <w:keepNext w:val="0"/>
              <w:spacing w:before="0" w:line="120" w:lineRule="exact"/>
            </w:pPr>
          </w:p>
        </w:tc>
      </w:tr>
      <w:tr w:rsidR="00F80224" w:rsidRPr="009A1395" w14:paraId="34A928D4" w14:textId="77777777" w:rsidTr="007B217F">
        <w:tc>
          <w:tcPr>
            <w:tcW w:w="5000" w:type="pct"/>
            <w:tcBorders>
              <w:top w:val="single" w:sz="6" w:space="0" w:color="78A22F"/>
              <w:left w:val="nil"/>
              <w:bottom w:val="nil"/>
              <w:right w:val="nil"/>
            </w:tcBorders>
          </w:tcPr>
          <w:p w14:paraId="71430F26" w14:textId="77777777" w:rsidR="00F80224" w:rsidRPr="009E7F51" w:rsidRDefault="00F80224" w:rsidP="007B217F">
            <w:pPr>
              <w:pStyle w:val="BoxSpaceBelow"/>
            </w:pPr>
          </w:p>
        </w:tc>
      </w:tr>
    </w:tbl>
    <w:p w14:paraId="5168567E" w14:textId="77777777" w:rsidR="003F7A72" w:rsidRPr="003747F5" w:rsidRDefault="003F7A72" w:rsidP="003F7A72">
      <w:pPr>
        <w:pStyle w:val="BoxSpaceAbove"/>
      </w:pPr>
      <w:bookmarkStart w:id="29" w:name="_Toc46822955"/>
      <w:bookmarkStart w:id="30" w:name="_Toc49241268"/>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3F7A72" w:rsidRPr="007C3136" w14:paraId="4971DB37" w14:textId="77777777" w:rsidTr="000B48BF">
        <w:tc>
          <w:tcPr>
            <w:tcW w:w="5000" w:type="pct"/>
            <w:tcBorders>
              <w:top w:val="single" w:sz="6" w:space="0" w:color="78A22F"/>
              <w:left w:val="nil"/>
              <w:bottom w:val="nil"/>
              <w:right w:val="nil"/>
            </w:tcBorders>
            <w:shd w:val="clear" w:color="auto" w:fill="auto"/>
          </w:tcPr>
          <w:p w14:paraId="2ACB0454" w14:textId="31DCE625" w:rsidR="003F7A72" w:rsidRPr="0036205B" w:rsidRDefault="003F7A72" w:rsidP="000B48BF">
            <w:pPr>
              <w:pStyle w:val="TableTitle"/>
              <w:rPr>
                <w:rStyle w:val="DraftingNote"/>
                <w:b/>
                <w:color w:val="auto"/>
                <w:position w:val="6"/>
                <w:sz w:val="18"/>
                <w:u w:val="none"/>
              </w:rPr>
            </w:pPr>
            <w:r w:rsidRPr="0036205B">
              <w:rPr>
                <w:b w:val="0"/>
              </w:rPr>
              <w:t>Table 4.</w:t>
            </w:r>
            <w:r w:rsidR="001A080D">
              <w:rPr>
                <w:b w:val="0"/>
                <w:noProof/>
              </w:rPr>
              <w:t>2</w:t>
            </w:r>
            <w:r w:rsidRPr="0036205B">
              <w:tab/>
            </w:r>
            <w:r>
              <w:t>2019 NAPLAN a</w:t>
            </w:r>
            <w:r w:rsidRPr="0036205B">
              <w:t>verage age and years of sch</w:t>
            </w:r>
            <w:r>
              <w:t>o</w:t>
            </w:r>
            <w:r w:rsidRPr="0036205B">
              <w:t xml:space="preserve">oling </w:t>
            </w:r>
          </w:p>
        </w:tc>
      </w:tr>
      <w:tr w:rsidR="003F7A72" w:rsidRPr="007C3136" w14:paraId="28AC7A46" w14:textId="77777777" w:rsidTr="000B48BF">
        <w:trPr>
          <w:cantSplit/>
          <w:trHeight w:val="6507"/>
        </w:trPr>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471"/>
              <w:gridCol w:w="1793"/>
              <w:gridCol w:w="1123"/>
              <w:gridCol w:w="187"/>
              <w:gridCol w:w="1186"/>
              <w:gridCol w:w="124"/>
              <w:gridCol w:w="1249"/>
              <w:gridCol w:w="61"/>
              <w:gridCol w:w="1311"/>
            </w:tblGrid>
            <w:tr w:rsidR="003F7A72" w:rsidRPr="0036205B" w14:paraId="06CDF45A" w14:textId="77777777" w:rsidTr="000B48BF">
              <w:trPr>
                <w:trHeight w:val="704"/>
              </w:trPr>
              <w:tc>
                <w:tcPr>
                  <w:tcW w:w="865" w:type="pct"/>
                  <w:tcBorders>
                    <w:top w:val="single" w:sz="6" w:space="0" w:color="BFBFBF"/>
                  </w:tcBorders>
                  <w:shd w:val="clear" w:color="auto" w:fill="auto"/>
                  <w:tcMar>
                    <w:top w:w="28" w:type="dxa"/>
                  </w:tcMar>
                </w:tcPr>
                <w:p w14:paraId="4F9D4EAA" w14:textId="77C1F6F9" w:rsidR="003F7A72" w:rsidRPr="0036205B" w:rsidRDefault="00BC06ED" w:rsidP="000B48BF">
                  <w:pPr>
                    <w:pStyle w:val="TableColumnHeading"/>
                    <w:jc w:val="left"/>
                  </w:pPr>
                  <w:r w:rsidRPr="0036205B">
                    <w:t>State/Territory</w:t>
                  </w:r>
                </w:p>
              </w:tc>
              <w:tc>
                <w:tcPr>
                  <w:tcW w:w="1054" w:type="pct"/>
                  <w:tcBorders>
                    <w:top w:val="single" w:sz="6" w:space="0" w:color="BFBFBF"/>
                  </w:tcBorders>
                </w:tcPr>
                <w:p w14:paraId="60DFB24A" w14:textId="77777777" w:rsidR="003F7A72" w:rsidRPr="0036205B" w:rsidRDefault="003F7A72" w:rsidP="000B48BF">
                  <w:pPr>
                    <w:pStyle w:val="TableColumnHeading"/>
                    <w:jc w:val="left"/>
                  </w:pPr>
                  <w:r w:rsidRPr="0036205B">
                    <w:t>Average age and</w:t>
                  </w:r>
                </w:p>
                <w:p w14:paraId="00C7A0B8" w14:textId="77777777" w:rsidR="003F7A72" w:rsidRPr="0036205B" w:rsidRDefault="003F7A72" w:rsidP="000B48BF">
                  <w:pPr>
                    <w:pStyle w:val="TableColumnHeading"/>
                    <w:jc w:val="left"/>
                  </w:pPr>
                  <w:r w:rsidRPr="0036205B">
                    <w:t>Years of schooling</w:t>
                  </w:r>
                </w:p>
              </w:tc>
              <w:tc>
                <w:tcPr>
                  <w:tcW w:w="770" w:type="pct"/>
                  <w:gridSpan w:val="2"/>
                  <w:tcBorders>
                    <w:top w:val="single" w:sz="6" w:space="0" w:color="BFBFBF"/>
                  </w:tcBorders>
                </w:tcPr>
                <w:p w14:paraId="056D7289" w14:textId="77777777" w:rsidR="003F7A72" w:rsidRPr="0036205B" w:rsidRDefault="003F7A72" w:rsidP="000B48BF">
                  <w:pPr>
                    <w:pStyle w:val="TableColumnHeading"/>
                    <w:jc w:val="left"/>
                  </w:pPr>
                  <w:r w:rsidRPr="0036205B">
                    <w:t>Year 3</w:t>
                  </w:r>
                </w:p>
              </w:tc>
              <w:tc>
                <w:tcPr>
                  <w:tcW w:w="770" w:type="pct"/>
                  <w:gridSpan w:val="2"/>
                  <w:tcBorders>
                    <w:top w:val="single" w:sz="6" w:space="0" w:color="BFBFBF"/>
                  </w:tcBorders>
                  <w:shd w:val="clear" w:color="auto" w:fill="auto"/>
                  <w:tcMar>
                    <w:top w:w="28" w:type="dxa"/>
                  </w:tcMar>
                </w:tcPr>
                <w:p w14:paraId="52CFB462" w14:textId="77777777" w:rsidR="003F7A72" w:rsidRPr="0036205B" w:rsidRDefault="003F7A72" w:rsidP="000B48BF">
                  <w:pPr>
                    <w:pStyle w:val="TableColumnHeading"/>
                    <w:jc w:val="left"/>
                  </w:pPr>
                  <w:r w:rsidRPr="0036205B">
                    <w:t>Year 5</w:t>
                  </w:r>
                </w:p>
              </w:tc>
              <w:tc>
                <w:tcPr>
                  <w:tcW w:w="770" w:type="pct"/>
                  <w:gridSpan w:val="2"/>
                  <w:tcBorders>
                    <w:top w:val="single" w:sz="6" w:space="0" w:color="BFBFBF"/>
                  </w:tcBorders>
                </w:tcPr>
                <w:p w14:paraId="0547E4EF" w14:textId="77777777" w:rsidR="003F7A72" w:rsidRPr="0036205B" w:rsidRDefault="003F7A72" w:rsidP="000B48BF">
                  <w:pPr>
                    <w:pStyle w:val="TableColumnHeading"/>
                    <w:jc w:val="left"/>
                  </w:pPr>
                  <w:r w:rsidRPr="0036205B">
                    <w:t>Year 7</w:t>
                  </w:r>
                </w:p>
              </w:tc>
              <w:tc>
                <w:tcPr>
                  <w:tcW w:w="771" w:type="pct"/>
                  <w:tcBorders>
                    <w:top w:val="single" w:sz="6" w:space="0" w:color="BFBFBF"/>
                  </w:tcBorders>
                </w:tcPr>
                <w:p w14:paraId="32266A6F" w14:textId="77777777" w:rsidR="003F7A72" w:rsidRPr="0036205B" w:rsidRDefault="003F7A72" w:rsidP="000B48BF">
                  <w:pPr>
                    <w:pStyle w:val="TableColumnHeading"/>
                    <w:jc w:val="left"/>
                  </w:pPr>
                  <w:r w:rsidRPr="0036205B">
                    <w:t>Year 9</w:t>
                  </w:r>
                </w:p>
              </w:tc>
            </w:tr>
            <w:tr w:rsidR="003F7A72" w:rsidRPr="0036205B" w14:paraId="60425FCB" w14:textId="77777777" w:rsidTr="000B48BF">
              <w:trPr>
                <w:trHeight w:val="120"/>
              </w:trPr>
              <w:tc>
                <w:tcPr>
                  <w:tcW w:w="865" w:type="pct"/>
                  <w:vMerge w:val="restart"/>
                  <w:tcBorders>
                    <w:top w:val="single" w:sz="6" w:space="0" w:color="BFBFBF"/>
                  </w:tcBorders>
                </w:tcPr>
                <w:p w14:paraId="2623D3E0" w14:textId="77777777" w:rsidR="003F7A72" w:rsidRPr="0036205B" w:rsidRDefault="003F7A72" w:rsidP="000B48BF">
                  <w:pPr>
                    <w:pStyle w:val="TableBodyText"/>
                    <w:jc w:val="left"/>
                  </w:pPr>
                  <w:r w:rsidRPr="0036205B">
                    <w:t>NSW</w:t>
                  </w:r>
                </w:p>
              </w:tc>
              <w:tc>
                <w:tcPr>
                  <w:tcW w:w="1054" w:type="pct"/>
                  <w:tcBorders>
                    <w:top w:val="single" w:sz="6" w:space="0" w:color="BFBFBF"/>
                  </w:tcBorders>
                </w:tcPr>
                <w:p w14:paraId="4783EE2C" w14:textId="77777777" w:rsidR="003F7A72" w:rsidRPr="0036205B" w:rsidRDefault="003F7A72" w:rsidP="000B48BF">
                  <w:pPr>
                    <w:pStyle w:val="TableBodyText"/>
                    <w:jc w:val="left"/>
                    <w:rPr>
                      <w:i/>
                    </w:rPr>
                  </w:pPr>
                  <w:r w:rsidRPr="0036205B">
                    <w:rPr>
                      <w:i/>
                    </w:rPr>
                    <w:t>Average age</w:t>
                  </w:r>
                </w:p>
              </w:tc>
              <w:tc>
                <w:tcPr>
                  <w:tcW w:w="770" w:type="pct"/>
                  <w:gridSpan w:val="2"/>
                  <w:tcBorders>
                    <w:top w:val="single" w:sz="6" w:space="0" w:color="BFBFBF"/>
                  </w:tcBorders>
                </w:tcPr>
                <w:p w14:paraId="2B54F7DC" w14:textId="77777777" w:rsidR="003F7A72" w:rsidRPr="0036205B" w:rsidRDefault="003F7A72" w:rsidP="000B48BF">
                  <w:pPr>
                    <w:pStyle w:val="TableBodyText"/>
                    <w:jc w:val="left"/>
                  </w:pPr>
                  <w:r w:rsidRPr="0036205B">
                    <w:t>8 y 7 m</w:t>
                  </w:r>
                </w:p>
              </w:tc>
              <w:tc>
                <w:tcPr>
                  <w:tcW w:w="770" w:type="pct"/>
                  <w:gridSpan w:val="2"/>
                  <w:tcBorders>
                    <w:top w:val="single" w:sz="6" w:space="0" w:color="BFBFBF"/>
                  </w:tcBorders>
                </w:tcPr>
                <w:p w14:paraId="75B57FA5" w14:textId="77777777" w:rsidR="003F7A72" w:rsidRPr="0036205B" w:rsidRDefault="003F7A72" w:rsidP="000B48BF">
                  <w:pPr>
                    <w:pStyle w:val="TableBodyText"/>
                    <w:jc w:val="left"/>
                    <w:rPr>
                      <w:szCs w:val="26"/>
                      <w:lang w:eastAsia="en-US"/>
                    </w:rPr>
                  </w:pPr>
                  <w:r w:rsidRPr="0036205B">
                    <w:t>10 y 7 m</w:t>
                  </w:r>
                </w:p>
              </w:tc>
              <w:tc>
                <w:tcPr>
                  <w:tcW w:w="770" w:type="pct"/>
                  <w:gridSpan w:val="2"/>
                  <w:tcBorders>
                    <w:top w:val="single" w:sz="6" w:space="0" w:color="BFBFBF"/>
                  </w:tcBorders>
                </w:tcPr>
                <w:p w14:paraId="4EEEDD25" w14:textId="77777777" w:rsidR="003F7A72" w:rsidRPr="0036205B" w:rsidRDefault="003F7A72" w:rsidP="000B48BF">
                  <w:pPr>
                    <w:pStyle w:val="TableBodyText"/>
                    <w:jc w:val="left"/>
                  </w:pPr>
                  <w:r w:rsidRPr="0036205B">
                    <w:t>12 y 7 m</w:t>
                  </w:r>
                </w:p>
              </w:tc>
              <w:tc>
                <w:tcPr>
                  <w:tcW w:w="771" w:type="pct"/>
                  <w:tcBorders>
                    <w:top w:val="single" w:sz="6" w:space="0" w:color="BFBFBF"/>
                  </w:tcBorders>
                </w:tcPr>
                <w:p w14:paraId="3CA6A630" w14:textId="77777777" w:rsidR="003F7A72" w:rsidRPr="0036205B" w:rsidRDefault="003F7A72" w:rsidP="000B48BF">
                  <w:pPr>
                    <w:pStyle w:val="TableBodyText"/>
                    <w:jc w:val="left"/>
                    <w:rPr>
                      <w:szCs w:val="26"/>
                      <w:lang w:eastAsia="en-US"/>
                    </w:rPr>
                  </w:pPr>
                  <w:r w:rsidRPr="0036205B">
                    <w:t>14 y 7 m</w:t>
                  </w:r>
                </w:p>
              </w:tc>
            </w:tr>
            <w:tr w:rsidR="003F7A72" w:rsidRPr="0036205B" w14:paraId="3DC22D8A" w14:textId="77777777" w:rsidTr="000B48BF">
              <w:trPr>
                <w:trHeight w:val="120"/>
              </w:trPr>
              <w:tc>
                <w:tcPr>
                  <w:tcW w:w="865" w:type="pct"/>
                  <w:vMerge/>
                </w:tcPr>
                <w:p w14:paraId="6D61DF36" w14:textId="77777777" w:rsidR="003F7A72" w:rsidRPr="0036205B" w:rsidRDefault="003F7A72" w:rsidP="000B48BF">
                  <w:pPr>
                    <w:pStyle w:val="TableBodyText"/>
                    <w:jc w:val="left"/>
                  </w:pPr>
                </w:p>
              </w:tc>
              <w:tc>
                <w:tcPr>
                  <w:tcW w:w="1054" w:type="pct"/>
                  <w:tcBorders>
                    <w:top w:val="single" w:sz="6" w:space="0" w:color="BFBFBF"/>
                  </w:tcBorders>
                </w:tcPr>
                <w:p w14:paraId="5EBD0D1B" w14:textId="77777777" w:rsidR="003F7A72" w:rsidRPr="0036205B" w:rsidRDefault="003F7A72" w:rsidP="000B48BF">
                  <w:pPr>
                    <w:pStyle w:val="TableBodyText"/>
                    <w:jc w:val="left"/>
                    <w:rPr>
                      <w:i/>
                    </w:rPr>
                  </w:pPr>
                  <w:r w:rsidRPr="0036205B">
                    <w:rPr>
                      <w:i/>
                    </w:rPr>
                    <w:t>Years of scho</w:t>
                  </w:r>
                  <w:r>
                    <w:rPr>
                      <w:i/>
                    </w:rPr>
                    <w:t>o</w:t>
                  </w:r>
                  <w:r w:rsidRPr="0036205B">
                    <w:rPr>
                      <w:i/>
                    </w:rPr>
                    <w:t>ling</w:t>
                  </w:r>
                </w:p>
              </w:tc>
              <w:tc>
                <w:tcPr>
                  <w:tcW w:w="770" w:type="pct"/>
                  <w:gridSpan w:val="2"/>
                </w:tcPr>
                <w:p w14:paraId="15ACB3A1" w14:textId="77777777" w:rsidR="003F7A72" w:rsidRPr="0036205B" w:rsidRDefault="003F7A72" w:rsidP="000B48BF">
                  <w:pPr>
                    <w:pStyle w:val="TableBodyText"/>
                    <w:jc w:val="left"/>
                  </w:pPr>
                  <w:r w:rsidRPr="0036205B">
                    <w:t>3 y 4 m</w:t>
                  </w:r>
                </w:p>
              </w:tc>
              <w:tc>
                <w:tcPr>
                  <w:tcW w:w="770" w:type="pct"/>
                  <w:gridSpan w:val="2"/>
                </w:tcPr>
                <w:p w14:paraId="1D73F3C5" w14:textId="77777777" w:rsidR="003F7A72" w:rsidRPr="0036205B" w:rsidRDefault="003F7A72" w:rsidP="000B48BF">
                  <w:pPr>
                    <w:pStyle w:val="TableBodyText"/>
                    <w:jc w:val="left"/>
                  </w:pPr>
                  <w:r w:rsidRPr="0036205B">
                    <w:t>5 y 4 m</w:t>
                  </w:r>
                </w:p>
              </w:tc>
              <w:tc>
                <w:tcPr>
                  <w:tcW w:w="770" w:type="pct"/>
                  <w:gridSpan w:val="2"/>
                </w:tcPr>
                <w:p w14:paraId="045B7C99" w14:textId="77777777" w:rsidR="003F7A72" w:rsidRPr="0036205B" w:rsidRDefault="003F7A72" w:rsidP="000B48BF">
                  <w:pPr>
                    <w:pStyle w:val="TableBodyText"/>
                    <w:jc w:val="left"/>
                  </w:pPr>
                  <w:r w:rsidRPr="0036205B">
                    <w:t>7 y 4 m</w:t>
                  </w:r>
                </w:p>
              </w:tc>
              <w:tc>
                <w:tcPr>
                  <w:tcW w:w="771" w:type="pct"/>
                </w:tcPr>
                <w:p w14:paraId="44C7BD9E" w14:textId="77777777" w:rsidR="003F7A72" w:rsidRPr="0036205B" w:rsidRDefault="003F7A72" w:rsidP="000B48BF">
                  <w:pPr>
                    <w:pStyle w:val="TableBodyText"/>
                    <w:jc w:val="left"/>
                  </w:pPr>
                  <w:r w:rsidRPr="0036205B">
                    <w:t>9 y 4 m</w:t>
                  </w:r>
                </w:p>
              </w:tc>
            </w:tr>
            <w:tr w:rsidR="003F7A72" w:rsidRPr="0036205B" w14:paraId="2D0CA42E" w14:textId="77777777" w:rsidTr="000B48BF">
              <w:trPr>
                <w:trHeight w:val="120"/>
              </w:trPr>
              <w:tc>
                <w:tcPr>
                  <w:tcW w:w="865" w:type="pct"/>
                  <w:vMerge w:val="restart"/>
                  <w:tcBorders>
                    <w:top w:val="single" w:sz="6" w:space="0" w:color="BFBFBF"/>
                  </w:tcBorders>
                </w:tcPr>
                <w:p w14:paraId="5D59EA7C" w14:textId="77777777" w:rsidR="003F7A72" w:rsidRPr="0036205B" w:rsidRDefault="003F7A72" w:rsidP="000B48BF">
                  <w:pPr>
                    <w:pStyle w:val="TableBodyText"/>
                    <w:jc w:val="left"/>
                  </w:pPr>
                  <w:r w:rsidRPr="0036205B">
                    <w:t>Vic</w:t>
                  </w:r>
                </w:p>
              </w:tc>
              <w:tc>
                <w:tcPr>
                  <w:tcW w:w="1054" w:type="pct"/>
                  <w:tcBorders>
                    <w:top w:val="single" w:sz="6" w:space="0" w:color="BFBFBF"/>
                  </w:tcBorders>
                </w:tcPr>
                <w:p w14:paraId="5D8591B4" w14:textId="77777777" w:rsidR="003F7A72" w:rsidRPr="0036205B" w:rsidRDefault="003F7A72" w:rsidP="000B48BF">
                  <w:pPr>
                    <w:pStyle w:val="TableBodyText"/>
                    <w:jc w:val="left"/>
                    <w:rPr>
                      <w:i/>
                    </w:rPr>
                  </w:pPr>
                  <w:r w:rsidRPr="0036205B">
                    <w:rPr>
                      <w:i/>
                    </w:rPr>
                    <w:t>Average age</w:t>
                  </w:r>
                </w:p>
              </w:tc>
              <w:tc>
                <w:tcPr>
                  <w:tcW w:w="770" w:type="pct"/>
                  <w:gridSpan w:val="2"/>
                  <w:tcBorders>
                    <w:top w:val="single" w:sz="6" w:space="0" w:color="BFBFBF"/>
                  </w:tcBorders>
                </w:tcPr>
                <w:p w14:paraId="68338D7D" w14:textId="77777777" w:rsidR="003F7A72" w:rsidRPr="0036205B" w:rsidRDefault="003F7A72" w:rsidP="000B48BF">
                  <w:pPr>
                    <w:pStyle w:val="TableBodyText"/>
                    <w:jc w:val="left"/>
                  </w:pPr>
                  <w:r w:rsidRPr="0036205B">
                    <w:t>8 y 9 m</w:t>
                  </w:r>
                </w:p>
              </w:tc>
              <w:tc>
                <w:tcPr>
                  <w:tcW w:w="770" w:type="pct"/>
                  <w:gridSpan w:val="2"/>
                  <w:tcBorders>
                    <w:top w:val="single" w:sz="6" w:space="0" w:color="BFBFBF"/>
                  </w:tcBorders>
                </w:tcPr>
                <w:p w14:paraId="1CC7F238" w14:textId="77777777" w:rsidR="003F7A72" w:rsidRPr="0036205B" w:rsidRDefault="003F7A72" w:rsidP="000B48BF">
                  <w:pPr>
                    <w:pStyle w:val="TableBodyText"/>
                    <w:jc w:val="left"/>
                    <w:rPr>
                      <w:szCs w:val="26"/>
                      <w:lang w:eastAsia="en-US"/>
                    </w:rPr>
                  </w:pPr>
                  <w:r w:rsidRPr="0036205B">
                    <w:t>10 y 9 m</w:t>
                  </w:r>
                </w:p>
              </w:tc>
              <w:tc>
                <w:tcPr>
                  <w:tcW w:w="770" w:type="pct"/>
                  <w:gridSpan w:val="2"/>
                  <w:tcBorders>
                    <w:top w:val="single" w:sz="6" w:space="0" w:color="BFBFBF"/>
                  </w:tcBorders>
                </w:tcPr>
                <w:p w14:paraId="3DA400D9" w14:textId="77777777" w:rsidR="003F7A72" w:rsidRPr="0036205B" w:rsidRDefault="003F7A72" w:rsidP="000B48BF">
                  <w:pPr>
                    <w:pStyle w:val="TableBodyText"/>
                    <w:jc w:val="left"/>
                  </w:pPr>
                  <w:r w:rsidRPr="0036205B">
                    <w:t>12 y 9 m</w:t>
                  </w:r>
                </w:p>
              </w:tc>
              <w:tc>
                <w:tcPr>
                  <w:tcW w:w="771" w:type="pct"/>
                  <w:tcBorders>
                    <w:top w:val="single" w:sz="6" w:space="0" w:color="BFBFBF"/>
                  </w:tcBorders>
                </w:tcPr>
                <w:p w14:paraId="57C148A4" w14:textId="77777777" w:rsidR="003F7A72" w:rsidRPr="0036205B" w:rsidRDefault="003F7A72" w:rsidP="000B48BF">
                  <w:pPr>
                    <w:pStyle w:val="TableBodyText"/>
                    <w:jc w:val="left"/>
                    <w:rPr>
                      <w:szCs w:val="26"/>
                      <w:lang w:eastAsia="en-US"/>
                    </w:rPr>
                  </w:pPr>
                  <w:r w:rsidRPr="0036205B">
                    <w:t>14 y 9 m</w:t>
                  </w:r>
                </w:p>
              </w:tc>
            </w:tr>
            <w:tr w:rsidR="003F7A72" w:rsidRPr="0036205B" w14:paraId="0CF0D63E" w14:textId="77777777" w:rsidTr="000B48BF">
              <w:trPr>
                <w:trHeight w:val="120"/>
              </w:trPr>
              <w:tc>
                <w:tcPr>
                  <w:tcW w:w="865" w:type="pct"/>
                  <w:vMerge/>
                </w:tcPr>
                <w:p w14:paraId="59034211" w14:textId="77777777" w:rsidR="003F7A72" w:rsidRPr="0036205B" w:rsidRDefault="003F7A72" w:rsidP="000B48BF">
                  <w:pPr>
                    <w:pStyle w:val="TableBodyText"/>
                    <w:jc w:val="left"/>
                  </w:pPr>
                </w:p>
              </w:tc>
              <w:tc>
                <w:tcPr>
                  <w:tcW w:w="1054" w:type="pct"/>
                  <w:tcBorders>
                    <w:top w:val="single" w:sz="6" w:space="0" w:color="BFBFBF"/>
                  </w:tcBorders>
                </w:tcPr>
                <w:p w14:paraId="6D0A5958" w14:textId="77777777" w:rsidR="003F7A72" w:rsidRPr="0036205B" w:rsidRDefault="003F7A72" w:rsidP="000B48BF">
                  <w:pPr>
                    <w:pStyle w:val="TableBodyText"/>
                    <w:jc w:val="left"/>
                    <w:rPr>
                      <w:i/>
                    </w:rPr>
                  </w:pPr>
                  <w:r w:rsidRPr="0036205B">
                    <w:rPr>
                      <w:i/>
                    </w:rPr>
                    <w:t>Years of scho</w:t>
                  </w:r>
                  <w:r>
                    <w:rPr>
                      <w:i/>
                    </w:rPr>
                    <w:t>o</w:t>
                  </w:r>
                  <w:r w:rsidRPr="0036205B">
                    <w:rPr>
                      <w:i/>
                    </w:rPr>
                    <w:t>ling</w:t>
                  </w:r>
                </w:p>
              </w:tc>
              <w:tc>
                <w:tcPr>
                  <w:tcW w:w="770" w:type="pct"/>
                  <w:gridSpan w:val="2"/>
                </w:tcPr>
                <w:p w14:paraId="411276A3" w14:textId="77777777" w:rsidR="003F7A72" w:rsidRPr="0036205B" w:rsidRDefault="003F7A72" w:rsidP="000B48BF">
                  <w:pPr>
                    <w:pStyle w:val="TableBodyText"/>
                    <w:jc w:val="left"/>
                  </w:pPr>
                  <w:r w:rsidRPr="0036205B">
                    <w:t>3 y 4 m</w:t>
                  </w:r>
                </w:p>
              </w:tc>
              <w:tc>
                <w:tcPr>
                  <w:tcW w:w="770" w:type="pct"/>
                  <w:gridSpan w:val="2"/>
                </w:tcPr>
                <w:p w14:paraId="7C5E13D1" w14:textId="77777777" w:rsidR="003F7A72" w:rsidRPr="0036205B" w:rsidRDefault="003F7A72" w:rsidP="000B48BF">
                  <w:pPr>
                    <w:pStyle w:val="TableBodyText"/>
                    <w:jc w:val="left"/>
                  </w:pPr>
                  <w:r w:rsidRPr="0036205B">
                    <w:t>5 y 4 m</w:t>
                  </w:r>
                </w:p>
              </w:tc>
              <w:tc>
                <w:tcPr>
                  <w:tcW w:w="770" w:type="pct"/>
                  <w:gridSpan w:val="2"/>
                </w:tcPr>
                <w:p w14:paraId="402B3981" w14:textId="77777777" w:rsidR="003F7A72" w:rsidRPr="0036205B" w:rsidRDefault="003F7A72" w:rsidP="000B48BF">
                  <w:pPr>
                    <w:pStyle w:val="TableBodyText"/>
                    <w:jc w:val="left"/>
                  </w:pPr>
                  <w:r w:rsidRPr="0036205B">
                    <w:t>7 y 4 m</w:t>
                  </w:r>
                </w:p>
              </w:tc>
              <w:tc>
                <w:tcPr>
                  <w:tcW w:w="771" w:type="pct"/>
                </w:tcPr>
                <w:p w14:paraId="5549D803" w14:textId="77777777" w:rsidR="003F7A72" w:rsidRPr="0036205B" w:rsidRDefault="003F7A72" w:rsidP="000B48BF">
                  <w:pPr>
                    <w:pStyle w:val="TableBodyText"/>
                    <w:jc w:val="left"/>
                  </w:pPr>
                  <w:r w:rsidRPr="0036205B">
                    <w:t>9 y 4 m</w:t>
                  </w:r>
                </w:p>
              </w:tc>
            </w:tr>
            <w:tr w:rsidR="003F7A72" w:rsidRPr="0036205B" w14:paraId="069DB00A" w14:textId="77777777" w:rsidTr="000B48BF">
              <w:trPr>
                <w:trHeight w:val="120"/>
              </w:trPr>
              <w:tc>
                <w:tcPr>
                  <w:tcW w:w="865" w:type="pct"/>
                  <w:vMerge w:val="restart"/>
                  <w:tcBorders>
                    <w:top w:val="single" w:sz="6" w:space="0" w:color="BFBFBF"/>
                  </w:tcBorders>
                </w:tcPr>
                <w:p w14:paraId="0E57B243" w14:textId="77777777" w:rsidR="003F7A72" w:rsidRPr="0036205B" w:rsidRDefault="003F7A72" w:rsidP="000B48BF">
                  <w:pPr>
                    <w:pStyle w:val="TableBodyText"/>
                    <w:jc w:val="left"/>
                  </w:pPr>
                  <w:r w:rsidRPr="0036205B">
                    <w:t>Qld</w:t>
                  </w:r>
                </w:p>
              </w:tc>
              <w:tc>
                <w:tcPr>
                  <w:tcW w:w="1054" w:type="pct"/>
                  <w:tcBorders>
                    <w:top w:val="single" w:sz="6" w:space="0" w:color="BFBFBF"/>
                  </w:tcBorders>
                </w:tcPr>
                <w:p w14:paraId="555E6E7C" w14:textId="77777777" w:rsidR="003F7A72" w:rsidRPr="0036205B" w:rsidRDefault="003F7A72" w:rsidP="000B48BF">
                  <w:pPr>
                    <w:pStyle w:val="TableBodyText"/>
                    <w:jc w:val="left"/>
                    <w:rPr>
                      <w:i/>
                    </w:rPr>
                  </w:pPr>
                  <w:r w:rsidRPr="0036205B">
                    <w:rPr>
                      <w:i/>
                    </w:rPr>
                    <w:t>Average age</w:t>
                  </w:r>
                </w:p>
              </w:tc>
              <w:tc>
                <w:tcPr>
                  <w:tcW w:w="770" w:type="pct"/>
                  <w:gridSpan w:val="2"/>
                  <w:tcBorders>
                    <w:top w:val="single" w:sz="6" w:space="0" w:color="BFBFBF"/>
                  </w:tcBorders>
                </w:tcPr>
                <w:p w14:paraId="22C16317" w14:textId="77777777" w:rsidR="003F7A72" w:rsidRPr="0036205B" w:rsidRDefault="003F7A72" w:rsidP="000B48BF">
                  <w:pPr>
                    <w:pStyle w:val="TableBodyText"/>
                    <w:jc w:val="left"/>
                  </w:pPr>
                  <w:r w:rsidRPr="0036205B">
                    <w:t>8 y 5 m</w:t>
                  </w:r>
                </w:p>
              </w:tc>
              <w:tc>
                <w:tcPr>
                  <w:tcW w:w="770" w:type="pct"/>
                  <w:gridSpan w:val="2"/>
                  <w:tcBorders>
                    <w:top w:val="single" w:sz="6" w:space="0" w:color="BFBFBF"/>
                  </w:tcBorders>
                </w:tcPr>
                <w:p w14:paraId="70032D3D" w14:textId="77777777" w:rsidR="003F7A72" w:rsidRPr="0036205B" w:rsidRDefault="003F7A72" w:rsidP="000B48BF">
                  <w:pPr>
                    <w:pStyle w:val="TableBodyText"/>
                    <w:jc w:val="left"/>
                    <w:rPr>
                      <w:szCs w:val="26"/>
                      <w:lang w:eastAsia="en-US"/>
                    </w:rPr>
                  </w:pPr>
                  <w:r w:rsidRPr="0036205B">
                    <w:t>10 y 5 m</w:t>
                  </w:r>
                </w:p>
              </w:tc>
              <w:tc>
                <w:tcPr>
                  <w:tcW w:w="770" w:type="pct"/>
                  <w:gridSpan w:val="2"/>
                  <w:tcBorders>
                    <w:top w:val="single" w:sz="6" w:space="0" w:color="BFBFBF"/>
                  </w:tcBorders>
                </w:tcPr>
                <w:p w14:paraId="44EB6CBA" w14:textId="77777777" w:rsidR="003F7A72" w:rsidRPr="0036205B" w:rsidRDefault="003F7A72" w:rsidP="000B48BF">
                  <w:pPr>
                    <w:pStyle w:val="TableBodyText"/>
                    <w:jc w:val="left"/>
                  </w:pPr>
                  <w:r w:rsidRPr="0036205B">
                    <w:t>12 y 5 m</w:t>
                  </w:r>
                </w:p>
              </w:tc>
              <w:tc>
                <w:tcPr>
                  <w:tcW w:w="771" w:type="pct"/>
                  <w:tcBorders>
                    <w:top w:val="single" w:sz="6" w:space="0" w:color="BFBFBF"/>
                  </w:tcBorders>
                </w:tcPr>
                <w:p w14:paraId="16B7073F" w14:textId="77777777" w:rsidR="003F7A72" w:rsidRPr="0036205B" w:rsidRDefault="003F7A72" w:rsidP="000B48BF">
                  <w:pPr>
                    <w:pStyle w:val="TableBodyText"/>
                    <w:jc w:val="left"/>
                    <w:rPr>
                      <w:szCs w:val="26"/>
                      <w:lang w:eastAsia="en-US"/>
                    </w:rPr>
                  </w:pPr>
                  <w:r w:rsidRPr="0036205B">
                    <w:t>14 y 5 m</w:t>
                  </w:r>
                </w:p>
              </w:tc>
            </w:tr>
            <w:tr w:rsidR="003F7A72" w:rsidRPr="0036205B" w14:paraId="4856A78C" w14:textId="77777777" w:rsidTr="000B48BF">
              <w:trPr>
                <w:trHeight w:val="120"/>
              </w:trPr>
              <w:tc>
                <w:tcPr>
                  <w:tcW w:w="865" w:type="pct"/>
                  <w:vMerge/>
                </w:tcPr>
                <w:p w14:paraId="6A77334A" w14:textId="77777777" w:rsidR="003F7A72" w:rsidRPr="0036205B" w:rsidRDefault="003F7A72" w:rsidP="000B48BF">
                  <w:pPr>
                    <w:pStyle w:val="TableBodyText"/>
                    <w:jc w:val="left"/>
                  </w:pPr>
                </w:p>
              </w:tc>
              <w:tc>
                <w:tcPr>
                  <w:tcW w:w="1054" w:type="pct"/>
                  <w:tcBorders>
                    <w:top w:val="single" w:sz="6" w:space="0" w:color="BFBFBF"/>
                  </w:tcBorders>
                </w:tcPr>
                <w:p w14:paraId="79F79EE8" w14:textId="77777777" w:rsidR="003F7A72" w:rsidRPr="0036205B" w:rsidRDefault="003F7A72" w:rsidP="000B48BF">
                  <w:pPr>
                    <w:pStyle w:val="TableBodyText"/>
                    <w:jc w:val="left"/>
                    <w:rPr>
                      <w:i/>
                    </w:rPr>
                  </w:pPr>
                  <w:r w:rsidRPr="0036205B">
                    <w:rPr>
                      <w:i/>
                    </w:rPr>
                    <w:t>Years of scho</w:t>
                  </w:r>
                  <w:r>
                    <w:rPr>
                      <w:i/>
                    </w:rPr>
                    <w:t>o</w:t>
                  </w:r>
                  <w:r w:rsidRPr="0036205B">
                    <w:rPr>
                      <w:i/>
                    </w:rPr>
                    <w:t>ling</w:t>
                  </w:r>
                </w:p>
              </w:tc>
              <w:tc>
                <w:tcPr>
                  <w:tcW w:w="770" w:type="pct"/>
                  <w:gridSpan w:val="2"/>
                </w:tcPr>
                <w:p w14:paraId="2B98223E" w14:textId="77777777" w:rsidR="003F7A72" w:rsidRPr="0036205B" w:rsidRDefault="003F7A72" w:rsidP="000B48BF">
                  <w:pPr>
                    <w:pStyle w:val="TableBodyText"/>
                    <w:jc w:val="left"/>
                  </w:pPr>
                  <w:r w:rsidRPr="0036205B">
                    <w:t>3 y 4 m</w:t>
                  </w:r>
                </w:p>
              </w:tc>
              <w:tc>
                <w:tcPr>
                  <w:tcW w:w="770" w:type="pct"/>
                  <w:gridSpan w:val="2"/>
                </w:tcPr>
                <w:p w14:paraId="06667706" w14:textId="77777777" w:rsidR="003F7A72" w:rsidRPr="0036205B" w:rsidRDefault="003F7A72" w:rsidP="000B48BF">
                  <w:pPr>
                    <w:pStyle w:val="TableBodyText"/>
                    <w:jc w:val="left"/>
                  </w:pPr>
                  <w:r w:rsidRPr="0036205B">
                    <w:t>5 y 4 m</w:t>
                  </w:r>
                </w:p>
              </w:tc>
              <w:tc>
                <w:tcPr>
                  <w:tcW w:w="770" w:type="pct"/>
                  <w:gridSpan w:val="2"/>
                </w:tcPr>
                <w:p w14:paraId="23F0D422" w14:textId="77777777" w:rsidR="003F7A72" w:rsidRPr="0036205B" w:rsidRDefault="003F7A72" w:rsidP="000B48BF">
                  <w:pPr>
                    <w:pStyle w:val="TableBodyText"/>
                    <w:jc w:val="left"/>
                  </w:pPr>
                  <w:r w:rsidRPr="0036205B">
                    <w:t>7 y 4 m</w:t>
                  </w:r>
                </w:p>
              </w:tc>
              <w:tc>
                <w:tcPr>
                  <w:tcW w:w="771" w:type="pct"/>
                </w:tcPr>
                <w:p w14:paraId="6906E39B" w14:textId="77777777" w:rsidR="003F7A72" w:rsidRPr="0036205B" w:rsidRDefault="003F7A72" w:rsidP="000B48BF">
                  <w:pPr>
                    <w:pStyle w:val="TableBodyText"/>
                    <w:jc w:val="left"/>
                  </w:pPr>
                  <w:r w:rsidRPr="0036205B">
                    <w:t>9 y 4 m</w:t>
                  </w:r>
                </w:p>
              </w:tc>
            </w:tr>
            <w:tr w:rsidR="003F7A72" w:rsidRPr="0036205B" w14:paraId="472F5361" w14:textId="77777777" w:rsidTr="000B48BF">
              <w:trPr>
                <w:trHeight w:val="120"/>
              </w:trPr>
              <w:tc>
                <w:tcPr>
                  <w:tcW w:w="865" w:type="pct"/>
                  <w:vMerge w:val="restart"/>
                  <w:tcBorders>
                    <w:top w:val="single" w:sz="6" w:space="0" w:color="BFBFBF"/>
                  </w:tcBorders>
                </w:tcPr>
                <w:p w14:paraId="3F667176" w14:textId="77777777" w:rsidR="003F7A72" w:rsidRPr="0036205B" w:rsidRDefault="003F7A72" w:rsidP="000B48BF">
                  <w:pPr>
                    <w:pStyle w:val="TableBodyText"/>
                    <w:jc w:val="left"/>
                  </w:pPr>
                  <w:r w:rsidRPr="0036205B">
                    <w:t>WA</w:t>
                  </w:r>
                </w:p>
              </w:tc>
              <w:tc>
                <w:tcPr>
                  <w:tcW w:w="1054" w:type="pct"/>
                  <w:tcBorders>
                    <w:top w:val="single" w:sz="6" w:space="0" w:color="BFBFBF"/>
                  </w:tcBorders>
                </w:tcPr>
                <w:p w14:paraId="581BA045" w14:textId="77777777" w:rsidR="003F7A72" w:rsidRPr="0036205B" w:rsidRDefault="003F7A72" w:rsidP="000B48BF">
                  <w:pPr>
                    <w:pStyle w:val="TableBodyText"/>
                    <w:jc w:val="left"/>
                    <w:rPr>
                      <w:i/>
                    </w:rPr>
                  </w:pPr>
                  <w:r w:rsidRPr="0036205B">
                    <w:rPr>
                      <w:i/>
                    </w:rPr>
                    <w:t>Average age</w:t>
                  </w:r>
                </w:p>
              </w:tc>
              <w:tc>
                <w:tcPr>
                  <w:tcW w:w="770" w:type="pct"/>
                  <w:gridSpan w:val="2"/>
                  <w:tcBorders>
                    <w:top w:val="single" w:sz="6" w:space="0" w:color="BFBFBF"/>
                  </w:tcBorders>
                </w:tcPr>
                <w:p w14:paraId="36E06031" w14:textId="77777777" w:rsidR="003F7A72" w:rsidRPr="0036205B" w:rsidRDefault="003F7A72" w:rsidP="000B48BF">
                  <w:pPr>
                    <w:pStyle w:val="TableBodyText"/>
                    <w:jc w:val="left"/>
                  </w:pPr>
                  <w:r w:rsidRPr="0036205B">
                    <w:t>8 y 5 m</w:t>
                  </w:r>
                </w:p>
              </w:tc>
              <w:tc>
                <w:tcPr>
                  <w:tcW w:w="770" w:type="pct"/>
                  <w:gridSpan w:val="2"/>
                  <w:tcBorders>
                    <w:top w:val="single" w:sz="6" w:space="0" w:color="BFBFBF"/>
                  </w:tcBorders>
                </w:tcPr>
                <w:p w14:paraId="58D70B92" w14:textId="77777777" w:rsidR="003F7A72" w:rsidRPr="0036205B" w:rsidRDefault="003F7A72" w:rsidP="000B48BF">
                  <w:pPr>
                    <w:pStyle w:val="TableBodyText"/>
                    <w:jc w:val="left"/>
                    <w:rPr>
                      <w:szCs w:val="26"/>
                      <w:lang w:eastAsia="en-US"/>
                    </w:rPr>
                  </w:pPr>
                  <w:r w:rsidRPr="0036205B">
                    <w:t>10 y 5 m</w:t>
                  </w:r>
                </w:p>
              </w:tc>
              <w:tc>
                <w:tcPr>
                  <w:tcW w:w="770" w:type="pct"/>
                  <w:gridSpan w:val="2"/>
                  <w:tcBorders>
                    <w:top w:val="single" w:sz="6" w:space="0" w:color="BFBFBF"/>
                  </w:tcBorders>
                </w:tcPr>
                <w:p w14:paraId="4CE3BCBA" w14:textId="77777777" w:rsidR="003F7A72" w:rsidRPr="0036205B" w:rsidRDefault="003F7A72" w:rsidP="000B48BF">
                  <w:pPr>
                    <w:pStyle w:val="TableBodyText"/>
                    <w:jc w:val="left"/>
                  </w:pPr>
                  <w:r w:rsidRPr="0036205B">
                    <w:t>12 y 5 m</w:t>
                  </w:r>
                </w:p>
              </w:tc>
              <w:tc>
                <w:tcPr>
                  <w:tcW w:w="771" w:type="pct"/>
                  <w:tcBorders>
                    <w:top w:val="single" w:sz="6" w:space="0" w:color="BFBFBF"/>
                  </w:tcBorders>
                </w:tcPr>
                <w:p w14:paraId="57CBF97F" w14:textId="77777777" w:rsidR="003F7A72" w:rsidRPr="0036205B" w:rsidRDefault="003F7A72" w:rsidP="000B48BF">
                  <w:pPr>
                    <w:pStyle w:val="TableBodyText"/>
                    <w:jc w:val="left"/>
                    <w:rPr>
                      <w:szCs w:val="26"/>
                      <w:lang w:eastAsia="en-US"/>
                    </w:rPr>
                  </w:pPr>
                  <w:r w:rsidRPr="0036205B">
                    <w:t>14 y 5 m</w:t>
                  </w:r>
                </w:p>
              </w:tc>
            </w:tr>
            <w:tr w:rsidR="003F7A72" w:rsidRPr="0036205B" w14:paraId="4759E120" w14:textId="77777777" w:rsidTr="000B48BF">
              <w:trPr>
                <w:trHeight w:val="120"/>
              </w:trPr>
              <w:tc>
                <w:tcPr>
                  <w:tcW w:w="865" w:type="pct"/>
                  <w:vMerge/>
                </w:tcPr>
                <w:p w14:paraId="7D9E8CB2" w14:textId="77777777" w:rsidR="003F7A72" w:rsidRPr="0036205B" w:rsidRDefault="003F7A72" w:rsidP="000B48BF">
                  <w:pPr>
                    <w:pStyle w:val="TableBodyText"/>
                    <w:jc w:val="left"/>
                  </w:pPr>
                </w:p>
              </w:tc>
              <w:tc>
                <w:tcPr>
                  <w:tcW w:w="1054" w:type="pct"/>
                  <w:tcBorders>
                    <w:top w:val="single" w:sz="6" w:space="0" w:color="BFBFBF"/>
                  </w:tcBorders>
                </w:tcPr>
                <w:p w14:paraId="46888E69" w14:textId="77777777" w:rsidR="003F7A72" w:rsidRPr="0036205B" w:rsidRDefault="003F7A72" w:rsidP="000B48BF">
                  <w:pPr>
                    <w:pStyle w:val="TableBodyText"/>
                    <w:jc w:val="left"/>
                    <w:rPr>
                      <w:i/>
                    </w:rPr>
                  </w:pPr>
                  <w:r w:rsidRPr="0036205B">
                    <w:rPr>
                      <w:i/>
                    </w:rPr>
                    <w:t>Years of scho</w:t>
                  </w:r>
                  <w:r>
                    <w:rPr>
                      <w:i/>
                    </w:rPr>
                    <w:t>o</w:t>
                  </w:r>
                  <w:r w:rsidRPr="0036205B">
                    <w:rPr>
                      <w:i/>
                    </w:rPr>
                    <w:t>ling</w:t>
                  </w:r>
                </w:p>
              </w:tc>
              <w:tc>
                <w:tcPr>
                  <w:tcW w:w="770" w:type="pct"/>
                  <w:gridSpan w:val="2"/>
                </w:tcPr>
                <w:p w14:paraId="7FCC34D2" w14:textId="77777777" w:rsidR="003F7A72" w:rsidRPr="0036205B" w:rsidRDefault="003F7A72" w:rsidP="000B48BF">
                  <w:pPr>
                    <w:pStyle w:val="TableBodyText"/>
                    <w:jc w:val="left"/>
                  </w:pPr>
                  <w:r w:rsidRPr="0036205B">
                    <w:t>3 y 4 m</w:t>
                  </w:r>
                </w:p>
              </w:tc>
              <w:tc>
                <w:tcPr>
                  <w:tcW w:w="770" w:type="pct"/>
                  <w:gridSpan w:val="2"/>
                </w:tcPr>
                <w:p w14:paraId="581364F5" w14:textId="77777777" w:rsidR="003F7A72" w:rsidRPr="0036205B" w:rsidRDefault="003F7A72" w:rsidP="000B48BF">
                  <w:pPr>
                    <w:pStyle w:val="TableBodyText"/>
                    <w:jc w:val="left"/>
                  </w:pPr>
                  <w:r w:rsidRPr="0036205B">
                    <w:t>5 y 4 m</w:t>
                  </w:r>
                </w:p>
              </w:tc>
              <w:tc>
                <w:tcPr>
                  <w:tcW w:w="770" w:type="pct"/>
                  <w:gridSpan w:val="2"/>
                </w:tcPr>
                <w:p w14:paraId="7B14F0D4" w14:textId="77777777" w:rsidR="003F7A72" w:rsidRPr="0036205B" w:rsidRDefault="003F7A72" w:rsidP="000B48BF">
                  <w:pPr>
                    <w:pStyle w:val="TableBodyText"/>
                    <w:jc w:val="left"/>
                  </w:pPr>
                  <w:r w:rsidRPr="0036205B">
                    <w:t>7 y 4 m</w:t>
                  </w:r>
                </w:p>
              </w:tc>
              <w:tc>
                <w:tcPr>
                  <w:tcW w:w="771" w:type="pct"/>
                </w:tcPr>
                <w:p w14:paraId="6D67EF72" w14:textId="77777777" w:rsidR="003F7A72" w:rsidRPr="0036205B" w:rsidRDefault="003F7A72" w:rsidP="000B48BF">
                  <w:pPr>
                    <w:pStyle w:val="TableBodyText"/>
                    <w:jc w:val="left"/>
                  </w:pPr>
                  <w:r w:rsidRPr="0036205B">
                    <w:t>9 y 4 m</w:t>
                  </w:r>
                </w:p>
              </w:tc>
            </w:tr>
            <w:tr w:rsidR="003F7A72" w:rsidRPr="0036205B" w14:paraId="390E3836" w14:textId="77777777" w:rsidTr="000B48BF">
              <w:trPr>
                <w:trHeight w:val="120"/>
              </w:trPr>
              <w:tc>
                <w:tcPr>
                  <w:tcW w:w="865" w:type="pct"/>
                  <w:vMerge w:val="restart"/>
                  <w:tcBorders>
                    <w:top w:val="single" w:sz="6" w:space="0" w:color="BFBFBF"/>
                  </w:tcBorders>
                </w:tcPr>
                <w:p w14:paraId="5E1E5414" w14:textId="77777777" w:rsidR="003F7A72" w:rsidRPr="0036205B" w:rsidRDefault="003F7A72" w:rsidP="000B48BF">
                  <w:pPr>
                    <w:pStyle w:val="TableBodyText"/>
                    <w:jc w:val="left"/>
                  </w:pPr>
                  <w:r w:rsidRPr="0036205B">
                    <w:t>SA</w:t>
                  </w:r>
                </w:p>
              </w:tc>
              <w:tc>
                <w:tcPr>
                  <w:tcW w:w="1054" w:type="pct"/>
                  <w:tcBorders>
                    <w:top w:val="single" w:sz="6" w:space="0" w:color="BFBFBF"/>
                  </w:tcBorders>
                </w:tcPr>
                <w:p w14:paraId="4C8C59BC" w14:textId="77777777" w:rsidR="003F7A72" w:rsidRPr="0036205B" w:rsidRDefault="003F7A72" w:rsidP="000B48BF">
                  <w:pPr>
                    <w:pStyle w:val="TableBodyText"/>
                    <w:jc w:val="left"/>
                    <w:rPr>
                      <w:i/>
                    </w:rPr>
                  </w:pPr>
                  <w:r w:rsidRPr="0036205B">
                    <w:rPr>
                      <w:i/>
                    </w:rPr>
                    <w:t>Average age</w:t>
                  </w:r>
                </w:p>
              </w:tc>
              <w:tc>
                <w:tcPr>
                  <w:tcW w:w="770" w:type="pct"/>
                  <w:gridSpan w:val="2"/>
                  <w:tcBorders>
                    <w:top w:val="single" w:sz="6" w:space="0" w:color="BFBFBF"/>
                  </w:tcBorders>
                </w:tcPr>
                <w:p w14:paraId="3F5B4C4D" w14:textId="77777777" w:rsidR="003F7A72" w:rsidRPr="0036205B" w:rsidRDefault="003F7A72" w:rsidP="000B48BF">
                  <w:pPr>
                    <w:pStyle w:val="TableBodyText"/>
                    <w:jc w:val="left"/>
                  </w:pPr>
                  <w:r w:rsidRPr="0036205B">
                    <w:t>8 y 7 m</w:t>
                  </w:r>
                </w:p>
              </w:tc>
              <w:tc>
                <w:tcPr>
                  <w:tcW w:w="770" w:type="pct"/>
                  <w:gridSpan w:val="2"/>
                  <w:tcBorders>
                    <w:top w:val="single" w:sz="6" w:space="0" w:color="BFBFBF"/>
                  </w:tcBorders>
                </w:tcPr>
                <w:p w14:paraId="2C8AF8FF" w14:textId="77777777" w:rsidR="003F7A72" w:rsidRPr="0036205B" w:rsidRDefault="003F7A72" w:rsidP="000B48BF">
                  <w:pPr>
                    <w:pStyle w:val="TableBodyText"/>
                    <w:jc w:val="left"/>
                    <w:rPr>
                      <w:szCs w:val="26"/>
                      <w:lang w:eastAsia="en-US"/>
                    </w:rPr>
                  </w:pPr>
                  <w:r w:rsidRPr="0036205B">
                    <w:t>10 y 7 m</w:t>
                  </w:r>
                </w:p>
              </w:tc>
              <w:tc>
                <w:tcPr>
                  <w:tcW w:w="770" w:type="pct"/>
                  <w:gridSpan w:val="2"/>
                  <w:tcBorders>
                    <w:top w:val="single" w:sz="6" w:space="0" w:color="BFBFBF"/>
                  </w:tcBorders>
                </w:tcPr>
                <w:p w14:paraId="6A7F0C00" w14:textId="77777777" w:rsidR="003F7A72" w:rsidRPr="0036205B" w:rsidRDefault="003F7A72" w:rsidP="000B48BF">
                  <w:pPr>
                    <w:pStyle w:val="TableBodyText"/>
                    <w:jc w:val="left"/>
                  </w:pPr>
                  <w:r w:rsidRPr="0036205B">
                    <w:t>12 y 7 m</w:t>
                  </w:r>
                </w:p>
              </w:tc>
              <w:tc>
                <w:tcPr>
                  <w:tcW w:w="771" w:type="pct"/>
                  <w:tcBorders>
                    <w:top w:val="single" w:sz="6" w:space="0" w:color="BFBFBF"/>
                  </w:tcBorders>
                </w:tcPr>
                <w:p w14:paraId="26FC5323" w14:textId="77777777" w:rsidR="003F7A72" w:rsidRPr="0036205B" w:rsidRDefault="003F7A72" w:rsidP="000B48BF">
                  <w:pPr>
                    <w:pStyle w:val="TableBodyText"/>
                    <w:jc w:val="left"/>
                    <w:rPr>
                      <w:szCs w:val="26"/>
                      <w:lang w:eastAsia="en-US"/>
                    </w:rPr>
                  </w:pPr>
                  <w:r w:rsidRPr="0036205B">
                    <w:t>14 y 7 m</w:t>
                  </w:r>
                </w:p>
              </w:tc>
            </w:tr>
            <w:tr w:rsidR="003F7A72" w:rsidRPr="0036205B" w14:paraId="3D5BBAD5" w14:textId="77777777" w:rsidTr="000B48BF">
              <w:trPr>
                <w:trHeight w:val="120"/>
              </w:trPr>
              <w:tc>
                <w:tcPr>
                  <w:tcW w:w="865" w:type="pct"/>
                  <w:vMerge/>
                </w:tcPr>
                <w:p w14:paraId="718F48EE" w14:textId="77777777" w:rsidR="003F7A72" w:rsidRPr="0036205B" w:rsidRDefault="003F7A72" w:rsidP="000B48BF">
                  <w:pPr>
                    <w:pStyle w:val="TableBodyText"/>
                    <w:jc w:val="left"/>
                  </w:pPr>
                </w:p>
              </w:tc>
              <w:tc>
                <w:tcPr>
                  <w:tcW w:w="1054" w:type="pct"/>
                  <w:tcBorders>
                    <w:top w:val="single" w:sz="6" w:space="0" w:color="BFBFBF"/>
                  </w:tcBorders>
                </w:tcPr>
                <w:p w14:paraId="20EDC015" w14:textId="77777777" w:rsidR="003F7A72" w:rsidRPr="0036205B" w:rsidRDefault="003F7A72" w:rsidP="000B48BF">
                  <w:pPr>
                    <w:pStyle w:val="TableBodyText"/>
                    <w:jc w:val="left"/>
                    <w:rPr>
                      <w:i/>
                    </w:rPr>
                  </w:pPr>
                  <w:r w:rsidRPr="0036205B">
                    <w:rPr>
                      <w:i/>
                    </w:rPr>
                    <w:t>Years of scho</w:t>
                  </w:r>
                  <w:r>
                    <w:rPr>
                      <w:i/>
                    </w:rPr>
                    <w:t>o</w:t>
                  </w:r>
                  <w:r w:rsidRPr="0036205B">
                    <w:rPr>
                      <w:i/>
                    </w:rPr>
                    <w:t>ling</w:t>
                  </w:r>
                </w:p>
              </w:tc>
              <w:tc>
                <w:tcPr>
                  <w:tcW w:w="770" w:type="pct"/>
                  <w:gridSpan w:val="2"/>
                </w:tcPr>
                <w:p w14:paraId="5BEEB593" w14:textId="77777777" w:rsidR="003F7A72" w:rsidRPr="0036205B" w:rsidRDefault="003F7A72" w:rsidP="000B48BF">
                  <w:pPr>
                    <w:pStyle w:val="TableBodyText"/>
                    <w:jc w:val="left"/>
                  </w:pPr>
                  <w:r w:rsidRPr="0036205B">
                    <w:t>3 y 4 m</w:t>
                  </w:r>
                </w:p>
              </w:tc>
              <w:tc>
                <w:tcPr>
                  <w:tcW w:w="770" w:type="pct"/>
                  <w:gridSpan w:val="2"/>
                </w:tcPr>
                <w:p w14:paraId="6FB8C156" w14:textId="77777777" w:rsidR="003F7A72" w:rsidRPr="0036205B" w:rsidRDefault="003F7A72" w:rsidP="000B48BF">
                  <w:pPr>
                    <w:pStyle w:val="TableBodyText"/>
                    <w:jc w:val="left"/>
                  </w:pPr>
                  <w:r w:rsidRPr="0036205B">
                    <w:t>5 y 4 m</w:t>
                  </w:r>
                </w:p>
              </w:tc>
              <w:tc>
                <w:tcPr>
                  <w:tcW w:w="770" w:type="pct"/>
                  <w:gridSpan w:val="2"/>
                </w:tcPr>
                <w:p w14:paraId="1DDDE087" w14:textId="77777777" w:rsidR="003F7A72" w:rsidRPr="0036205B" w:rsidRDefault="003F7A72" w:rsidP="000B48BF">
                  <w:pPr>
                    <w:pStyle w:val="TableBodyText"/>
                    <w:jc w:val="left"/>
                  </w:pPr>
                  <w:r w:rsidRPr="0036205B">
                    <w:t>7 y 4 m</w:t>
                  </w:r>
                </w:p>
              </w:tc>
              <w:tc>
                <w:tcPr>
                  <w:tcW w:w="771" w:type="pct"/>
                </w:tcPr>
                <w:p w14:paraId="63FB5E40" w14:textId="77777777" w:rsidR="003F7A72" w:rsidRPr="0036205B" w:rsidRDefault="003F7A72" w:rsidP="000B48BF">
                  <w:pPr>
                    <w:pStyle w:val="TableBodyText"/>
                    <w:jc w:val="left"/>
                  </w:pPr>
                  <w:r w:rsidRPr="0036205B">
                    <w:t>9 y 4 m</w:t>
                  </w:r>
                </w:p>
              </w:tc>
            </w:tr>
            <w:tr w:rsidR="003F7A72" w:rsidRPr="0036205B" w14:paraId="314D24DE" w14:textId="77777777" w:rsidTr="000B48BF">
              <w:trPr>
                <w:trHeight w:val="120"/>
              </w:trPr>
              <w:tc>
                <w:tcPr>
                  <w:tcW w:w="865" w:type="pct"/>
                  <w:vMerge w:val="restart"/>
                  <w:tcBorders>
                    <w:top w:val="single" w:sz="6" w:space="0" w:color="BFBFBF"/>
                  </w:tcBorders>
                </w:tcPr>
                <w:p w14:paraId="031B4158" w14:textId="77777777" w:rsidR="003F7A72" w:rsidRPr="0036205B" w:rsidRDefault="003F7A72" w:rsidP="000B48BF">
                  <w:pPr>
                    <w:pStyle w:val="TableBodyText"/>
                    <w:jc w:val="left"/>
                  </w:pPr>
                  <w:r w:rsidRPr="0036205B">
                    <w:t>Tas</w:t>
                  </w:r>
                </w:p>
              </w:tc>
              <w:tc>
                <w:tcPr>
                  <w:tcW w:w="1054" w:type="pct"/>
                  <w:tcBorders>
                    <w:top w:val="single" w:sz="6" w:space="0" w:color="BFBFBF"/>
                  </w:tcBorders>
                </w:tcPr>
                <w:p w14:paraId="47A676C7" w14:textId="77777777" w:rsidR="003F7A72" w:rsidRPr="0036205B" w:rsidRDefault="003F7A72" w:rsidP="000B48BF">
                  <w:pPr>
                    <w:pStyle w:val="TableBodyText"/>
                    <w:jc w:val="left"/>
                    <w:rPr>
                      <w:i/>
                    </w:rPr>
                  </w:pPr>
                  <w:r w:rsidRPr="0036205B">
                    <w:rPr>
                      <w:i/>
                    </w:rPr>
                    <w:t>Average age</w:t>
                  </w:r>
                </w:p>
              </w:tc>
              <w:tc>
                <w:tcPr>
                  <w:tcW w:w="770" w:type="pct"/>
                  <w:gridSpan w:val="2"/>
                  <w:tcBorders>
                    <w:top w:val="single" w:sz="6" w:space="0" w:color="BFBFBF"/>
                  </w:tcBorders>
                </w:tcPr>
                <w:p w14:paraId="582797C5" w14:textId="77777777" w:rsidR="003F7A72" w:rsidRPr="0036205B" w:rsidRDefault="003F7A72" w:rsidP="000B48BF">
                  <w:pPr>
                    <w:pStyle w:val="TableBodyText"/>
                    <w:jc w:val="left"/>
                  </w:pPr>
                  <w:r w:rsidRPr="0036205B">
                    <w:t>8 y 11 m</w:t>
                  </w:r>
                </w:p>
              </w:tc>
              <w:tc>
                <w:tcPr>
                  <w:tcW w:w="770" w:type="pct"/>
                  <w:gridSpan w:val="2"/>
                  <w:tcBorders>
                    <w:top w:val="single" w:sz="6" w:space="0" w:color="BFBFBF"/>
                  </w:tcBorders>
                </w:tcPr>
                <w:p w14:paraId="01F64B7E" w14:textId="77777777" w:rsidR="003F7A72" w:rsidRPr="0036205B" w:rsidRDefault="003F7A72" w:rsidP="000B48BF">
                  <w:pPr>
                    <w:pStyle w:val="TableBodyText"/>
                    <w:jc w:val="left"/>
                    <w:rPr>
                      <w:szCs w:val="26"/>
                      <w:lang w:eastAsia="en-US"/>
                    </w:rPr>
                  </w:pPr>
                  <w:r w:rsidRPr="0036205B">
                    <w:t>10 y 11 m</w:t>
                  </w:r>
                </w:p>
              </w:tc>
              <w:tc>
                <w:tcPr>
                  <w:tcW w:w="770" w:type="pct"/>
                  <w:gridSpan w:val="2"/>
                  <w:tcBorders>
                    <w:top w:val="single" w:sz="6" w:space="0" w:color="BFBFBF"/>
                  </w:tcBorders>
                </w:tcPr>
                <w:p w14:paraId="60BADBF7" w14:textId="77777777" w:rsidR="003F7A72" w:rsidRPr="0036205B" w:rsidRDefault="003F7A72" w:rsidP="000B48BF">
                  <w:pPr>
                    <w:pStyle w:val="TableBodyText"/>
                    <w:jc w:val="left"/>
                  </w:pPr>
                  <w:r w:rsidRPr="0036205B">
                    <w:t>12 y 11 m</w:t>
                  </w:r>
                </w:p>
              </w:tc>
              <w:tc>
                <w:tcPr>
                  <w:tcW w:w="771" w:type="pct"/>
                  <w:tcBorders>
                    <w:top w:val="single" w:sz="6" w:space="0" w:color="BFBFBF"/>
                  </w:tcBorders>
                </w:tcPr>
                <w:p w14:paraId="7B957F9A" w14:textId="77777777" w:rsidR="003F7A72" w:rsidRPr="0036205B" w:rsidRDefault="003F7A72" w:rsidP="000B48BF">
                  <w:pPr>
                    <w:pStyle w:val="TableBodyText"/>
                    <w:jc w:val="left"/>
                    <w:rPr>
                      <w:szCs w:val="26"/>
                      <w:lang w:eastAsia="en-US"/>
                    </w:rPr>
                  </w:pPr>
                  <w:r w:rsidRPr="0036205B">
                    <w:t>14 y 11 m</w:t>
                  </w:r>
                </w:p>
              </w:tc>
            </w:tr>
            <w:tr w:rsidR="003F7A72" w:rsidRPr="0036205B" w14:paraId="5FB00B2D" w14:textId="77777777" w:rsidTr="000B48BF">
              <w:trPr>
                <w:trHeight w:val="120"/>
              </w:trPr>
              <w:tc>
                <w:tcPr>
                  <w:tcW w:w="865" w:type="pct"/>
                  <w:vMerge/>
                </w:tcPr>
                <w:p w14:paraId="778C1E1B" w14:textId="77777777" w:rsidR="003F7A72" w:rsidRPr="0036205B" w:rsidRDefault="003F7A72" w:rsidP="000B48BF">
                  <w:pPr>
                    <w:pStyle w:val="TableBodyText"/>
                    <w:jc w:val="left"/>
                  </w:pPr>
                </w:p>
              </w:tc>
              <w:tc>
                <w:tcPr>
                  <w:tcW w:w="1054" w:type="pct"/>
                  <w:tcBorders>
                    <w:top w:val="single" w:sz="6" w:space="0" w:color="BFBFBF"/>
                  </w:tcBorders>
                </w:tcPr>
                <w:p w14:paraId="556BDA42" w14:textId="77777777" w:rsidR="003F7A72" w:rsidRPr="0036205B" w:rsidRDefault="003F7A72" w:rsidP="000B48BF">
                  <w:pPr>
                    <w:pStyle w:val="TableBodyText"/>
                    <w:jc w:val="left"/>
                    <w:rPr>
                      <w:i/>
                    </w:rPr>
                  </w:pPr>
                  <w:r w:rsidRPr="0036205B">
                    <w:rPr>
                      <w:i/>
                    </w:rPr>
                    <w:t>Years of scho</w:t>
                  </w:r>
                  <w:r>
                    <w:rPr>
                      <w:i/>
                    </w:rPr>
                    <w:t>o</w:t>
                  </w:r>
                  <w:r w:rsidRPr="0036205B">
                    <w:rPr>
                      <w:i/>
                    </w:rPr>
                    <w:t>ling</w:t>
                  </w:r>
                </w:p>
              </w:tc>
              <w:tc>
                <w:tcPr>
                  <w:tcW w:w="770" w:type="pct"/>
                  <w:gridSpan w:val="2"/>
                </w:tcPr>
                <w:p w14:paraId="25A0F7E9" w14:textId="77777777" w:rsidR="003F7A72" w:rsidRPr="0036205B" w:rsidRDefault="003F7A72" w:rsidP="000B48BF">
                  <w:pPr>
                    <w:pStyle w:val="TableBodyText"/>
                    <w:jc w:val="left"/>
                  </w:pPr>
                  <w:r w:rsidRPr="0036205B">
                    <w:t>3 y 4 m</w:t>
                  </w:r>
                </w:p>
              </w:tc>
              <w:tc>
                <w:tcPr>
                  <w:tcW w:w="770" w:type="pct"/>
                  <w:gridSpan w:val="2"/>
                </w:tcPr>
                <w:p w14:paraId="2B5368A2" w14:textId="77777777" w:rsidR="003F7A72" w:rsidRPr="0036205B" w:rsidRDefault="003F7A72" w:rsidP="000B48BF">
                  <w:pPr>
                    <w:pStyle w:val="TableBodyText"/>
                    <w:jc w:val="left"/>
                  </w:pPr>
                  <w:r w:rsidRPr="0036205B">
                    <w:t>5 y 4 m</w:t>
                  </w:r>
                </w:p>
              </w:tc>
              <w:tc>
                <w:tcPr>
                  <w:tcW w:w="770" w:type="pct"/>
                  <w:gridSpan w:val="2"/>
                </w:tcPr>
                <w:p w14:paraId="39E1D12A" w14:textId="77777777" w:rsidR="003F7A72" w:rsidRPr="0036205B" w:rsidRDefault="003F7A72" w:rsidP="000B48BF">
                  <w:pPr>
                    <w:pStyle w:val="TableBodyText"/>
                    <w:jc w:val="left"/>
                  </w:pPr>
                  <w:r w:rsidRPr="0036205B">
                    <w:t>7 y 4 m</w:t>
                  </w:r>
                </w:p>
              </w:tc>
              <w:tc>
                <w:tcPr>
                  <w:tcW w:w="771" w:type="pct"/>
                </w:tcPr>
                <w:p w14:paraId="27220895" w14:textId="77777777" w:rsidR="003F7A72" w:rsidRPr="0036205B" w:rsidRDefault="003F7A72" w:rsidP="000B48BF">
                  <w:pPr>
                    <w:pStyle w:val="TableBodyText"/>
                    <w:jc w:val="left"/>
                  </w:pPr>
                  <w:r w:rsidRPr="0036205B">
                    <w:t>9 y 4 m</w:t>
                  </w:r>
                </w:p>
              </w:tc>
            </w:tr>
            <w:tr w:rsidR="003F7A72" w:rsidRPr="0036205B" w14:paraId="0BF91532" w14:textId="77777777" w:rsidTr="000B48BF">
              <w:trPr>
                <w:trHeight w:val="120"/>
              </w:trPr>
              <w:tc>
                <w:tcPr>
                  <w:tcW w:w="865" w:type="pct"/>
                  <w:vMerge w:val="restart"/>
                  <w:tcBorders>
                    <w:top w:val="single" w:sz="6" w:space="0" w:color="BFBFBF"/>
                  </w:tcBorders>
                </w:tcPr>
                <w:p w14:paraId="7FA9AF63" w14:textId="77777777" w:rsidR="003F7A72" w:rsidRPr="0036205B" w:rsidRDefault="003F7A72" w:rsidP="000B48BF">
                  <w:pPr>
                    <w:pStyle w:val="TableBodyText"/>
                    <w:jc w:val="left"/>
                  </w:pPr>
                  <w:r w:rsidRPr="0036205B">
                    <w:t>ACT</w:t>
                  </w:r>
                </w:p>
              </w:tc>
              <w:tc>
                <w:tcPr>
                  <w:tcW w:w="1054" w:type="pct"/>
                  <w:tcBorders>
                    <w:top w:val="single" w:sz="6" w:space="0" w:color="BFBFBF"/>
                  </w:tcBorders>
                </w:tcPr>
                <w:p w14:paraId="2BBA5457" w14:textId="77777777" w:rsidR="003F7A72" w:rsidRPr="0036205B" w:rsidRDefault="003F7A72" w:rsidP="000B48BF">
                  <w:pPr>
                    <w:pStyle w:val="TableBodyText"/>
                    <w:jc w:val="left"/>
                    <w:rPr>
                      <w:i/>
                    </w:rPr>
                  </w:pPr>
                  <w:r w:rsidRPr="0036205B">
                    <w:rPr>
                      <w:i/>
                    </w:rPr>
                    <w:t>Average age</w:t>
                  </w:r>
                </w:p>
              </w:tc>
              <w:tc>
                <w:tcPr>
                  <w:tcW w:w="770" w:type="pct"/>
                  <w:gridSpan w:val="2"/>
                  <w:tcBorders>
                    <w:top w:val="single" w:sz="6" w:space="0" w:color="BFBFBF"/>
                  </w:tcBorders>
                </w:tcPr>
                <w:p w14:paraId="26424C53" w14:textId="77777777" w:rsidR="003F7A72" w:rsidRPr="0036205B" w:rsidRDefault="003F7A72" w:rsidP="000B48BF">
                  <w:pPr>
                    <w:pStyle w:val="TableBodyText"/>
                    <w:jc w:val="left"/>
                  </w:pPr>
                  <w:r w:rsidRPr="0036205B">
                    <w:t>8 y 7 m</w:t>
                  </w:r>
                </w:p>
              </w:tc>
              <w:tc>
                <w:tcPr>
                  <w:tcW w:w="770" w:type="pct"/>
                  <w:gridSpan w:val="2"/>
                  <w:tcBorders>
                    <w:top w:val="single" w:sz="6" w:space="0" w:color="BFBFBF"/>
                  </w:tcBorders>
                </w:tcPr>
                <w:p w14:paraId="5876C0E7" w14:textId="77777777" w:rsidR="003F7A72" w:rsidRPr="0036205B" w:rsidRDefault="003F7A72" w:rsidP="000B48BF">
                  <w:pPr>
                    <w:pStyle w:val="TableBodyText"/>
                    <w:jc w:val="left"/>
                    <w:rPr>
                      <w:szCs w:val="26"/>
                      <w:lang w:eastAsia="en-US"/>
                    </w:rPr>
                  </w:pPr>
                  <w:r w:rsidRPr="0036205B">
                    <w:t>10 y 7 m</w:t>
                  </w:r>
                </w:p>
              </w:tc>
              <w:tc>
                <w:tcPr>
                  <w:tcW w:w="770" w:type="pct"/>
                  <w:gridSpan w:val="2"/>
                  <w:tcBorders>
                    <w:top w:val="single" w:sz="6" w:space="0" w:color="BFBFBF"/>
                  </w:tcBorders>
                </w:tcPr>
                <w:p w14:paraId="5ED332F6" w14:textId="77777777" w:rsidR="003F7A72" w:rsidRPr="0036205B" w:rsidRDefault="003F7A72" w:rsidP="000B48BF">
                  <w:pPr>
                    <w:pStyle w:val="TableBodyText"/>
                    <w:jc w:val="left"/>
                  </w:pPr>
                  <w:r w:rsidRPr="0036205B">
                    <w:t>12 y 7 m</w:t>
                  </w:r>
                </w:p>
              </w:tc>
              <w:tc>
                <w:tcPr>
                  <w:tcW w:w="771" w:type="pct"/>
                  <w:tcBorders>
                    <w:top w:val="single" w:sz="6" w:space="0" w:color="BFBFBF"/>
                  </w:tcBorders>
                </w:tcPr>
                <w:p w14:paraId="6756E76C" w14:textId="77777777" w:rsidR="003F7A72" w:rsidRPr="0036205B" w:rsidRDefault="003F7A72" w:rsidP="000B48BF">
                  <w:pPr>
                    <w:pStyle w:val="TableBodyText"/>
                    <w:jc w:val="left"/>
                    <w:rPr>
                      <w:szCs w:val="26"/>
                      <w:lang w:eastAsia="en-US"/>
                    </w:rPr>
                  </w:pPr>
                  <w:r w:rsidRPr="0036205B">
                    <w:t>14 y 8 m</w:t>
                  </w:r>
                </w:p>
              </w:tc>
            </w:tr>
            <w:tr w:rsidR="003F7A72" w:rsidRPr="0036205B" w14:paraId="5CDF7758" w14:textId="77777777" w:rsidTr="000B48BF">
              <w:trPr>
                <w:trHeight w:val="120"/>
              </w:trPr>
              <w:tc>
                <w:tcPr>
                  <w:tcW w:w="865" w:type="pct"/>
                  <w:vMerge/>
                </w:tcPr>
                <w:p w14:paraId="6DAED569" w14:textId="77777777" w:rsidR="003F7A72" w:rsidRPr="0036205B" w:rsidRDefault="003F7A72" w:rsidP="000B48BF">
                  <w:pPr>
                    <w:pStyle w:val="TableBodyText"/>
                    <w:jc w:val="left"/>
                  </w:pPr>
                </w:p>
              </w:tc>
              <w:tc>
                <w:tcPr>
                  <w:tcW w:w="1054" w:type="pct"/>
                  <w:tcBorders>
                    <w:top w:val="single" w:sz="6" w:space="0" w:color="BFBFBF"/>
                  </w:tcBorders>
                </w:tcPr>
                <w:p w14:paraId="673E0A76" w14:textId="77777777" w:rsidR="003F7A72" w:rsidRPr="0036205B" w:rsidRDefault="003F7A72" w:rsidP="000B48BF">
                  <w:pPr>
                    <w:pStyle w:val="TableBodyText"/>
                    <w:jc w:val="left"/>
                    <w:rPr>
                      <w:i/>
                    </w:rPr>
                  </w:pPr>
                  <w:r w:rsidRPr="0036205B">
                    <w:rPr>
                      <w:i/>
                    </w:rPr>
                    <w:t>Years of scho</w:t>
                  </w:r>
                  <w:r>
                    <w:rPr>
                      <w:i/>
                    </w:rPr>
                    <w:t>o</w:t>
                  </w:r>
                  <w:r w:rsidRPr="0036205B">
                    <w:rPr>
                      <w:i/>
                    </w:rPr>
                    <w:t>ling</w:t>
                  </w:r>
                </w:p>
              </w:tc>
              <w:tc>
                <w:tcPr>
                  <w:tcW w:w="770" w:type="pct"/>
                  <w:gridSpan w:val="2"/>
                </w:tcPr>
                <w:p w14:paraId="522451AB" w14:textId="77777777" w:rsidR="003F7A72" w:rsidRPr="0036205B" w:rsidRDefault="003F7A72" w:rsidP="000B48BF">
                  <w:pPr>
                    <w:pStyle w:val="TableBodyText"/>
                    <w:jc w:val="left"/>
                  </w:pPr>
                  <w:r w:rsidRPr="0036205B">
                    <w:t>3 y 4 m</w:t>
                  </w:r>
                </w:p>
              </w:tc>
              <w:tc>
                <w:tcPr>
                  <w:tcW w:w="770" w:type="pct"/>
                  <w:gridSpan w:val="2"/>
                </w:tcPr>
                <w:p w14:paraId="565DF02D" w14:textId="77777777" w:rsidR="003F7A72" w:rsidRPr="0036205B" w:rsidRDefault="003F7A72" w:rsidP="000B48BF">
                  <w:pPr>
                    <w:pStyle w:val="TableBodyText"/>
                    <w:jc w:val="left"/>
                  </w:pPr>
                  <w:r w:rsidRPr="0036205B">
                    <w:t>5 y 4 m</w:t>
                  </w:r>
                </w:p>
              </w:tc>
              <w:tc>
                <w:tcPr>
                  <w:tcW w:w="770" w:type="pct"/>
                  <w:gridSpan w:val="2"/>
                </w:tcPr>
                <w:p w14:paraId="6CD3CD21" w14:textId="77777777" w:rsidR="003F7A72" w:rsidRPr="0036205B" w:rsidRDefault="003F7A72" w:rsidP="000B48BF">
                  <w:pPr>
                    <w:pStyle w:val="TableBodyText"/>
                    <w:jc w:val="left"/>
                  </w:pPr>
                  <w:r w:rsidRPr="0036205B">
                    <w:t>7 y 4 m</w:t>
                  </w:r>
                </w:p>
              </w:tc>
              <w:tc>
                <w:tcPr>
                  <w:tcW w:w="771" w:type="pct"/>
                </w:tcPr>
                <w:p w14:paraId="14716294" w14:textId="77777777" w:rsidR="003F7A72" w:rsidRPr="0036205B" w:rsidRDefault="003F7A72" w:rsidP="000B48BF">
                  <w:pPr>
                    <w:pStyle w:val="TableBodyText"/>
                    <w:jc w:val="left"/>
                  </w:pPr>
                  <w:r w:rsidRPr="0036205B">
                    <w:t>9 y 4 m</w:t>
                  </w:r>
                </w:p>
              </w:tc>
            </w:tr>
            <w:tr w:rsidR="003F7A72" w:rsidRPr="0036205B" w14:paraId="7B8F47EC" w14:textId="77777777" w:rsidTr="000B48BF">
              <w:trPr>
                <w:trHeight w:val="120"/>
              </w:trPr>
              <w:tc>
                <w:tcPr>
                  <w:tcW w:w="865" w:type="pct"/>
                  <w:vMerge w:val="restart"/>
                  <w:tcBorders>
                    <w:top w:val="single" w:sz="6" w:space="0" w:color="BFBFBF"/>
                  </w:tcBorders>
                </w:tcPr>
                <w:p w14:paraId="03F251ED" w14:textId="77777777" w:rsidR="003F7A72" w:rsidRPr="0036205B" w:rsidRDefault="003F7A72" w:rsidP="000B48BF">
                  <w:pPr>
                    <w:pStyle w:val="TableBodyText"/>
                    <w:jc w:val="left"/>
                  </w:pPr>
                  <w:r w:rsidRPr="0036205B">
                    <w:t>NT</w:t>
                  </w:r>
                </w:p>
              </w:tc>
              <w:tc>
                <w:tcPr>
                  <w:tcW w:w="1054" w:type="pct"/>
                  <w:tcBorders>
                    <w:top w:val="single" w:sz="6" w:space="0" w:color="BFBFBF"/>
                  </w:tcBorders>
                </w:tcPr>
                <w:p w14:paraId="023D943E" w14:textId="77777777" w:rsidR="003F7A72" w:rsidRPr="0036205B" w:rsidRDefault="003F7A72" w:rsidP="000B48BF">
                  <w:pPr>
                    <w:pStyle w:val="TableBodyText"/>
                    <w:jc w:val="left"/>
                    <w:rPr>
                      <w:i/>
                    </w:rPr>
                  </w:pPr>
                  <w:r w:rsidRPr="0036205B">
                    <w:rPr>
                      <w:i/>
                    </w:rPr>
                    <w:t>Average age</w:t>
                  </w:r>
                </w:p>
              </w:tc>
              <w:tc>
                <w:tcPr>
                  <w:tcW w:w="770" w:type="pct"/>
                  <w:gridSpan w:val="2"/>
                  <w:tcBorders>
                    <w:top w:val="single" w:sz="6" w:space="0" w:color="BFBFBF"/>
                  </w:tcBorders>
                </w:tcPr>
                <w:p w14:paraId="0F6CC945" w14:textId="77777777" w:rsidR="003F7A72" w:rsidRPr="0036205B" w:rsidRDefault="003F7A72" w:rsidP="000B48BF">
                  <w:pPr>
                    <w:pStyle w:val="TableBodyText"/>
                    <w:jc w:val="left"/>
                  </w:pPr>
                  <w:r w:rsidRPr="0036205B">
                    <w:t>8 y 6 m</w:t>
                  </w:r>
                </w:p>
              </w:tc>
              <w:tc>
                <w:tcPr>
                  <w:tcW w:w="770" w:type="pct"/>
                  <w:gridSpan w:val="2"/>
                  <w:tcBorders>
                    <w:top w:val="single" w:sz="6" w:space="0" w:color="BFBFBF"/>
                  </w:tcBorders>
                </w:tcPr>
                <w:p w14:paraId="5B721F21" w14:textId="77777777" w:rsidR="003F7A72" w:rsidRPr="0036205B" w:rsidRDefault="003F7A72" w:rsidP="000B48BF">
                  <w:pPr>
                    <w:pStyle w:val="TableBodyText"/>
                    <w:jc w:val="left"/>
                    <w:rPr>
                      <w:szCs w:val="26"/>
                      <w:lang w:eastAsia="en-US"/>
                    </w:rPr>
                  </w:pPr>
                  <w:r w:rsidRPr="0036205B">
                    <w:t>10 y 6 m</w:t>
                  </w:r>
                </w:p>
              </w:tc>
              <w:tc>
                <w:tcPr>
                  <w:tcW w:w="770" w:type="pct"/>
                  <w:gridSpan w:val="2"/>
                  <w:tcBorders>
                    <w:top w:val="single" w:sz="6" w:space="0" w:color="BFBFBF"/>
                  </w:tcBorders>
                </w:tcPr>
                <w:p w14:paraId="44211545" w14:textId="77777777" w:rsidR="003F7A72" w:rsidRPr="0036205B" w:rsidRDefault="003F7A72" w:rsidP="000B48BF">
                  <w:pPr>
                    <w:pStyle w:val="TableBodyText"/>
                    <w:jc w:val="left"/>
                  </w:pPr>
                  <w:r w:rsidRPr="0036205B">
                    <w:t>12 y 6 m</w:t>
                  </w:r>
                </w:p>
              </w:tc>
              <w:tc>
                <w:tcPr>
                  <w:tcW w:w="771" w:type="pct"/>
                  <w:tcBorders>
                    <w:top w:val="single" w:sz="6" w:space="0" w:color="BFBFBF"/>
                  </w:tcBorders>
                </w:tcPr>
                <w:p w14:paraId="4439E191" w14:textId="77777777" w:rsidR="003F7A72" w:rsidRPr="0036205B" w:rsidRDefault="003F7A72" w:rsidP="000B48BF">
                  <w:pPr>
                    <w:pStyle w:val="TableBodyText"/>
                    <w:jc w:val="left"/>
                    <w:rPr>
                      <w:szCs w:val="26"/>
                      <w:lang w:eastAsia="en-US"/>
                    </w:rPr>
                  </w:pPr>
                  <w:r w:rsidRPr="0036205B">
                    <w:t>14 y 6 m</w:t>
                  </w:r>
                </w:p>
              </w:tc>
            </w:tr>
            <w:tr w:rsidR="003F7A72" w:rsidRPr="0036205B" w14:paraId="1AAEB330" w14:textId="77777777" w:rsidTr="000B48BF">
              <w:trPr>
                <w:trHeight w:val="120"/>
              </w:trPr>
              <w:tc>
                <w:tcPr>
                  <w:tcW w:w="865" w:type="pct"/>
                  <w:vMerge/>
                </w:tcPr>
                <w:p w14:paraId="42C7172E" w14:textId="77777777" w:rsidR="003F7A72" w:rsidRPr="0036205B" w:rsidRDefault="003F7A72" w:rsidP="000B48BF">
                  <w:pPr>
                    <w:pStyle w:val="TableBodyText"/>
                    <w:jc w:val="left"/>
                  </w:pPr>
                </w:p>
              </w:tc>
              <w:tc>
                <w:tcPr>
                  <w:tcW w:w="1054" w:type="pct"/>
                  <w:tcBorders>
                    <w:top w:val="single" w:sz="6" w:space="0" w:color="BFBFBF"/>
                  </w:tcBorders>
                </w:tcPr>
                <w:p w14:paraId="6AD10FA8" w14:textId="77777777" w:rsidR="003F7A72" w:rsidRPr="0036205B" w:rsidRDefault="003F7A72" w:rsidP="000B48BF">
                  <w:pPr>
                    <w:pStyle w:val="TableBodyText"/>
                    <w:jc w:val="left"/>
                    <w:rPr>
                      <w:i/>
                    </w:rPr>
                  </w:pPr>
                  <w:r w:rsidRPr="0036205B">
                    <w:rPr>
                      <w:i/>
                    </w:rPr>
                    <w:t>Years of scho</w:t>
                  </w:r>
                  <w:r>
                    <w:rPr>
                      <w:i/>
                    </w:rPr>
                    <w:t>o</w:t>
                  </w:r>
                  <w:r w:rsidRPr="0036205B">
                    <w:rPr>
                      <w:i/>
                    </w:rPr>
                    <w:t>ling</w:t>
                  </w:r>
                </w:p>
              </w:tc>
              <w:tc>
                <w:tcPr>
                  <w:tcW w:w="770" w:type="pct"/>
                  <w:gridSpan w:val="2"/>
                </w:tcPr>
                <w:p w14:paraId="715298F6" w14:textId="77777777" w:rsidR="003F7A72" w:rsidRPr="0036205B" w:rsidRDefault="003F7A72" w:rsidP="000B48BF">
                  <w:pPr>
                    <w:pStyle w:val="TableBodyText"/>
                    <w:jc w:val="left"/>
                  </w:pPr>
                  <w:r w:rsidRPr="0036205B">
                    <w:t>3 y 4 m</w:t>
                  </w:r>
                </w:p>
              </w:tc>
              <w:tc>
                <w:tcPr>
                  <w:tcW w:w="770" w:type="pct"/>
                  <w:gridSpan w:val="2"/>
                </w:tcPr>
                <w:p w14:paraId="08C31C2B" w14:textId="77777777" w:rsidR="003F7A72" w:rsidRPr="0036205B" w:rsidRDefault="003F7A72" w:rsidP="000B48BF">
                  <w:pPr>
                    <w:pStyle w:val="TableBodyText"/>
                    <w:jc w:val="left"/>
                  </w:pPr>
                  <w:r w:rsidRPr="0036205B">
                    <w:t>5 y 4 m</w:t>
                  </w:r>
                </w:p>
              </w:tc>
              <w:tc>
                <w:tcPr>
                  <w:tcW w:w="770" w:type="pct"/>
                  <w:gridSpan w:val="2"/>
                </w:tcPr>
                <w:p w14:paraId="401C4868" w14:textId="77777777" w:rsidR="003F7A72" w:rsidRPr="0036205B" w:rsidRDefault="003F7A72" w:rsidP="000B48BF">
                  <w:pPr>
                    <w:pStyle w:val="TableBodyText"/>
                    <w:jc w:val="left"/>
                  </w:pPr>
                  <w:r w:rsidRPr="0036205B">
                    <w:t>7 y 4 m</w:t>
                  </w:r>
                </w:p>
              </w:tc>
              <w:tc>
                <w:tcPr>
                  <w:tcW w:w="771" w:type="pct"/>
                </w:tcPr>
                <w:p w14:paraId="18128CC2" w14:textId="77777777" w:rsidR="003F7A72" w:rsidRPr="0036205B" w:rsidRDefault="003F7A72" w:rsidP="000B48BF">
                  <w:pPr>
                    <w:pStyle w:val="TableBodyText"/>
                    <w:jc w:val="left"/>
                  </w:pPr>
                  <w:r w:rsidRPr="0036205B">
                    <w:t>9 y 4 m</w:t>
                  </w:r>
                </w:p>
              </w:tc>
            </w:tr>
            <w:tr w:rsidR="003F7A72" w:rsidRPr="0036205B" w14:paraId="6C531EBC" w14:textId="77777777" w:rsidTr="000B48BF">
              <w:trPr>
                <w:trHeight w:val="120"/>
              </w:trPr>
              <w:tc>
                <w:tcPr>
                  <w:tcW w:w="865" w:type="pct"/>
                  <w:vMerge w:val="restart"/>
                  <w:tcBorders>
                    <w:top w:val="single" w:sz="6" w:space="0" w:color="BFBFBF"/>
                  </w:tcBorders>
                </w:tcPr>
                <w:p w14:paraId="3B1D0191" w14:textId="77777777" w:rsidR="003F7A72" w:rsidRPr="0036205B" w:rsidRDefault="003F7A72" w:rsidP="000B48BF">
                  <w:pPr>
                    <w:pStyle w:val="TableBodyText"/>
                    <w:jc w:val="left"/>
                  </w:pPr>
                  <w:r w:rsidRPr="0036205B">
                    <w:t>Aust</w:t>
                  </w:r>
                </w:p>
              </w:tc>
              <w:tc>
                <w:tcPr>
                  <w:tcW w:w="1054" w:type="pct"/>
                  <w:tcBorders>
                    <w:top w:val="single" w:sz="6" w:space="0" w:color="BFBFBF"/>
                  </w:tcBorders>
                </w:tcPr>
                <w:p w14:paraId="62D1FC4D" w14:textId="77777777" w:rsidR="003F7A72" w:rsidRPr="0036205B" w:rsidRDefault="003F7A72" w:rsidP="000B48BF">
                  <w:pPr>
                    <w:pStyle w:val="TableBodyText"/>
                    <w:jc w:val="left"/>
                    <w:rPr>
                      <w:i/>
                    </w:rPr>
                  </w:pPr>
                  <w:r w:rsidRPr="0036205B">
                    <w:rPr>
                      <w:i/>
                    </w:rPr>
                    <w:t>Average age</w:t>
                  </w:r>
                </w:p>
              </w:tc>
              <w:tc>
                <w:tcPr>
                  <w:tcW w:w="770" w:type="pct"/>
                  <w:gridSpan w:val="2"/>
                  <w:tcBorders>
                    <w:top w:val="single" w:sz="6" w:space="0" w:color="BFBFBF"/>
                  </w:tcBorders>
                </w:tcPr>
                <w:p w14:paraId="2CC91401" w14:textId="77777777" w:rsidR="003F7A72" w:rsidRPr="0036205B" w:rsidRDefault="003F7A72" w:rsidP="000B48BF">
                  <w:pPr>
                    <w:pStyle w:val="TableBodyText"/>
                    <w:jc w:val="left"/>
                  </w:pPr>
                  <w:r w:rsidRPr="0036205B">
                    <w:t>8 y 7 m</w:t>
                  </w:r>
                </w:p>
              </w:tc>
              <w:tc>
                <w:tcPr>
                  <w:tcW w:w="770" w:type="pct"/>
                  <w:gridSpan w:val="2"/>
                  <w:tcBorders>
                    <w:top w:val="single" w:sz="6" w:space="0" w:color="BFBFBF"/>
                  </w:tcBorders>
                </w:tcPr>
                <w:p w14:paraId="391131C5" w14:textId="77777777" w:rsidR="003F7A72" w:rsidRPr="0036205B" w:rsidRDefault="003F7A72" w:rsidP="000B48BF">
                  <w:pPr>
                    <w:pStyle w:val="TableBodyText"/>
                    <w:jc w:val="left"/>
                    <w:rPr>
                      <w:szCs w:val="26"/>
                      <w:lang w:eastAsia="en-US"/>
                    </w:rPr>
                  </w:pPr>
                  <w:r w:rsidRPr="0036205B">
                    <w:t>10 y 7 m</w:t>
                  </w:r>
                </w:p>
              </w:tc>
              <w:tc>
                <w:tcPr>
                  <w:tcW w:w="770" w:type="pct"/>
                  <w:gridSpan w:val="2"/>
                  <w:tcBorders>
                    <w:top w:val="single" w:sz="6" w:space="0" w:color="BFBFBF"/>
                  </w:tcBorders>
                </w:tcPr>
                <w:p w14:paraId="63AF3060" w14:textId="77777777" w:rsidR="003F7A72" w:rsidRPr="0036205B" w:rsidRDefault="003F7A72" w:rsidP="000B48BF">
                  <w:pPr>
                    <w:pStyle w:val="TableBodyText"/>
                    <w:jc w:val="left"/>
                  </w:pPr>
                  <w:r w:rsidRPr="0036205B">
                    <w:t>12 y 7 m</w:t>
                  </w:r>
                </w:p>
              </w:tc>
              <w:tc>
                <w:tcPr>
                  <w:tcW w:w="771" w:type="pct"/>
                  <w:tcBorders>
                    <w:top w:val="single" w:sz="6" w:space="0" w:color="BFBFBF"/>
                  </w:tcBorders>
                </w:tcPr>
                <w:p w14:paraId="52DFBC99" w14:textId="77777777" w:rsidR="003F7A72" w:rsidRPr="0036205B" w:rsidRDefault="003F7A72" w:rsidP="000B48BF">
                  <w:pPr>
                    <w:pStyle w:val="TableBodyText"/>
                    <w:jc w:val="left"/>
                    <w:rPr>
                      <w:szCs w:val="26"/>
                      <w:lang w:eastAsia="en-US"/>
                    </w:rPr>
                  </w:pPr>
                  <w:r w:rsidRPr="0036205B">
                    <w:t>14 y 7 m</w:t>
                  </w:r>
                </w:p>
              </w:tc>
            </w:tr>
            <w:tr w:rsidR="003F7A72" w:rsidRPr="0036205B" w14:paraId="70645BA2" w14:textId="77777777" w:rsidTr="000B48BF">
              <w:trPr>
                <w:trHeight w:val="120"/>
              </w:trPr>
              <w:tc>
                <w:tcPr>
                  <w:tcW w:w="865" w:type="pct"/>
                  <w:vMerge/>
                </w:tcPr>
                <w:p w14:paraId="4BCEF461" w14:textId="77777777" w:rsidR="003F7A72" w:rsidRPr="0036205B" w:rsidRDefault="003F7A72" w:rsidP="000B48BF">
                  <w:pPr>
                    <w:pStyle w:val="TableBodyText"/>
                    <w:jc w:val="left"/>
                  </w:pPr>
                </w:p>
              </w:tc>
              <w:tc>
                <w:tcPr>
                  <w:tcW w:w="1054" w:type="pct"/>
                  <w:tcBorders>
                    <w:top w:val="single" w:sz="6" w:space="0" w:color="BFBFBF"/>
                  </w:tcBorders>
                </w:tcPr>
                <w:p w14:paraId="5D81FE3C" w14:textId="77777777" w:rsidR="003F7A72" w:rsidRPr="0036205B" w:rsidRDefault="003F7A72" w:rsidP="000B48BF">
                  <w:pPr>
                    <w:pStyle w:val="TableBodyText"/>
                    <w:jc w:val="left"/>
                    <w:rPr>
                      <w:i/>
                    </w:rPr>
                  </w:pPr>
                  <w:r w:rsidRPr="0036205B">
                    <w:rPr>
                      <w:i/>
                    </w:rPr>
                    <w:t>Years of scho</w:t>
                  </w:r>
                  <w:r>
                    <w:rPr>
                      <w:i/>
                    </w:rPr>
                    <w:t>o</w:t>
                  </w:r>
                  <w:r w:rsidRPr="0036205B">
                    <w:rPr>
                      <w:i/>
                    </w:rPr>
                    <w:t>ling</w:t>
                  </w:r>
                </w:p>
              </w:tc>
              <w:tc>
                <w:tcPr>
                  <w:tcW w:w="770" w:type="pct"/>
                  <w:gridSpan w:val="2"/>
                </w:tcPr>
                <w:p w14:paraId="5F032B32" w14:textId="77777777" w:rsidR="003F7A72" w:rsidRPr="0036205B" w:rsidRDefault="003F7A72" w:rsidP="000B48BF">
                  <w:pPr>
                    <w:pStyle w:val="TableBodyText"/>
                    <w:jc w:val="left"/>
                  </w:pPr>
                  <w:r w:rsidRPr="0036205B">
                    <w:t>3 y 4 m</w:t>
                  </w:r>
                </w:p>
              </w:tc>
              <w:tc>
                <w:tcPr>
                  <w:tcW w:w="770" w:type="pct"/>
                  <w:gridSpan w:val="2"/>
                </w:tcPr>
                <w:p w14:paraId="179D107B" w14:textId="77777777" w:rsidR="003F7A72" w:rsidRPr="0036205B" w:rsidRDefault="003F7A72" w:rsidP="000B48BF">
                  <w:pPr>
                    <w:pStyle w:val="TableBodyText"/>
                    <w:jc w:val="left"/>
                  </w:pPr>
                  <w:r w:rsidRPr="0036205B">
                    <w:t>5 y 4 m</w:t>
                  </w:r>
                </w:p>
              </w:tc>
              <w:tc>
                <w:tcPr>
                  <w:tcW w:w="770" w:type="pct"/>
                  <w:gridSpan w:val="2"/>
                </w:tcPr>
                <w:p w14:paraId="7F8E0710" w14:textId="77777777" w:rsidR="003F7A72" w:rsidRPr="0036205B" w:rsidRDefault="003F7A72" w:rsidP="000B48BF">
                  <w:pPr>
                    <w:pStyle w:val="TableBodyText"/>
                    <w:jc w:val="left"/>
                  </w:pPr>
                  <w:r w:rsidRPr="0036205B">
                    <w:t>7 y 4 m</w:t>
                  </w:r>
                </w:p>
              </w:tc>
              <w:tc>
                <w:tcPr>
                  <w:tcW w:w="771" w:type="pct"/>
                </w:tcPr>
                <w:p w14:paraId="06B1DC7D" w14:textId="77777777" w:rsidR="003F7A72" w:rsidRPr="0036205B" w:rsidRDefault="003F7A72" w:rsidP="000B48BF">
                  <w:pPr>
                    <w:pStyle w:val="TableBodyText"/>
                    <w:jc w:val="left"/>
                  </w:pPr>
                  <w:r w:rsidRPr="0036205B">
                    <w:t>9 y 4 m</w:t>
                  </w:r>
                </w:p>
              </w:tc>
            </w:tr>
            <w:tr w:rsidR="003F7A72" w:rsidRPr="0036205B" w14:paraId="45547042" w14:textId="77777777" w:rsidTr="000B48BF">
              <w:trPr>
                <w:trHeight w:val="120"/>
              </w:trPr>
              <w:tc>
                <w:tcPr>
                  <w:tcW w:w="865" w:type="pct"/>
                  <w:vMerge/>
                  <w:tcBorders>
                    <w:bottom w:val="single" w:sz="6" w:space="0" w:color="BFBFBF"/>
                  </w:tcBorders>
                  <w:shd w:val="clear" w:color="auto" w:fill="auto"/>
                </w:tcPr>
                <w:p w14:paraId="551C46D8" w14:textId="77777777" w:rsidR="003F7A72" w:rsidRPr="0036205B" w:rsidRDefault="003F7A72" w:rsidP="000B48BF">
                  <w:pPr>
                    <w:pStyle w:val="TableBodyText"/>
                    <w:jc w:val="left"/>
                  </w:pPr>
                </w:p>
              </w:tc>
              <w:tc>
                <w:tcPr>
                  <w:tcW w:w="1054" w:type="pct"/>
                  <w:tcBorders>
                    <w:bottom w:val="single" w:sz="6" w:space="0" w:color="BFBFBF"/>
                  </w:tcBorders>
                </w:tcPr>
                <w:p w14:paraId="38D6A303" w14:textId="77777777" w:rsidR="003F7A72" w:rsidRPr="0036205B" w:rsidRDefault="003F7A72" w:rsidP="000B48BF">
                  <w:pPr>
                    <w:pStyle w:val="TableBodyText"/>
                    <w:ind w:right="28"/>
                    <w:jc w:val="left"/>
                  </w:pPr>
                </w:p>
              </w:tc>
              <w:tc>
                <w:tcPr>
                  <w:tcW w:w="660" w:type="pct"/>
                  <w:tcBorders>
                    <w:bottom w:val="single" w:sz="6" w:space="0" w:color="BFBFBF"/>
                  </w:tcBorders>
                </w:tcPr>
                <w:p w14:paraId="1D387C10" w14:textId="77777777" w:rsidR="003F7A72" w:rsidRPr="0036205B" w:rsidRDefault="003F7A72" w:rsidP="000B48BF">
                  <w:pPr>
                    <w:pStyle w:val="TableBodyText"/>
                    <w:ind w:left="0" w:right="28"/>
                    <w:jc w:val="left"/>
                  </w:pPr>
                </w:p>
              </w:tc>
              <w:tc>
                <w:tcPr>
                  <w:tcW w:w="807" w:type="pct"/>
                  <w:gridSpan w:val="2"/>
                  <w:tcBorders>
                    <w:bottom w:val="single" w:sz="6" w:space="0" w:color="BFBFBF"/>
                  </w:tcBorders>
                  <w:shd w:val="clear" w:color="auto" w:fill="auto"/>
                </w:tcPr>
                <w:p w14:paraId="1AFC40B7" w14:textId="77777777" w:rsidR="003F7A72" w:rsidRPr="0036205B" w:rsidRDefault="003F7A72" w:rsidP="000B48BF">
                  <w:pPr>
                    <w:pStyle w:val="TableBodyText"/>
                    <w:ind w:right="28"/>
                    <w:jc w:val="left"/>
                  </w:pPr>
                </w:p>
              </w:tc>
              <w:tc>
                <w:tcPr>
                  <w:tcW w:w="807" w:type="pct"/>
                  <w:gridSpan w:val="2"/>
                  <w:tcBorders>
                    <w:bottom w:val="single" w:sz="6" w:space="0" w:color="BFBFBF"/>
                  </w:tcBorders>
                </w:tcPr>
                <w:p w14:paraId="5A4B6A38" w14:textId="77777777" w:rsidR="003F7A72" w:rsidRPr="0036205B" w:rsidRDefault="003F7A72" w:rsidP="000B48BF">
                  <w:pPr>
                    <w:pStyle w:val="TableBodyText"/>
                    <w:ind w:right="28"/>
                    <w:jc w:val="left"/>
                  </w:pPr>
                </w:p>
              </w:tc>
              <w:tc>
                <w:tcPr>
                  <w:tcW w:w="807" w:type="pct"/>
                  <w:gridSpan w:val="2"/>
                  <w:tcBorders>
                    <w:bottom w:val="single" w:sz="6" w:space="0" w:color="BFBFBF"/>
                  </w:tcBorders>
                  <w:shd w:val="clear" w:color="auto" w:fill="auto"/>
                </w:tcPr>
                <w:p w14:paraId="1A36D9F6" w14:textId="77777777" w:rsidR="003F7A72" w:rsidRPr="0036205B" w:rsidRDefault="003F7A72" w:rsidP="000B48BF">
                  <w:pPr>
                    <w:pStyle w:val="TableBodyText"/>
                    <w:ind w:right="28"/>
                    <w:jc w:val="left"/>
                  </w:pPr>
                </w:p>
              </w:tc>
            </w:tr>
          </w:tbl>
          <w:p w14:paraId="53636F2A" w14:textId="77777777" w:rsidR="003F7A72" w:rsidRPr="0036205B" w:rsidRDefault="003F7A72" w:rsidP="000B48BF">
            <w:pPr>
              <w:pStyle w:val="Box"/>
            </w:pPr>
          </w:p>
        </w:tc>
      </w:tr>
      <w:tr w:rsidR="003F7A72" w:rsidRPr="00541EE2" w14:paraId="2F8A4C55" w14:textId="77777777" w:rsidTr="000B48BF">
        <w:trPr>
          <w:cantSplit/>
        </w:trPr>
        <w:tc>
          <w:tcPr>
            <w:tcW w:w="5000" w:type="pct"/>
            <w:tcBorders>
              <w:top w:val="nil"/>
              <w:left w:val="nil"/>
              <w:bottom w:val="nil"/>
              <w:right w:val="nil"/>
            </w:tcBorders>
            <w:shd w:val="clear" w:color="auto" w:fill="auto"/>
          </w:tcPr>
          <w:p w14:paraId="7BDB8500" w14:textId="33A440E2" w:rsidR="003F7A72" w:rsidRPr="0036205B" w:rsidRDefault="003F7A72" w:rsidP="000B48BF">
            <w:pPr>
              <w:pStyle w:val="Source"/>
            </w:pPr>
            <w:r w:rsidRPr="0036205B">
              <w:rPr>
                <w:i/>
              </w:rPr>
              <w:t>Source</w:t>
            </w:r>
            <w:r w:rsidRPr="0036205B">
              <w:t>: ACARA (20</w:t>
            </w:r>
            <w:r w:rsidR="006B303C">
              <w:t>20</w:t>
            </w:r>
            <w:r w:rsidRPr="0036205B">
              <w:t xml:space="preserve">) </w:t>
            </w:r>
            <w:r w:rsidRPr="0036205B">
              <w:rPr>
                <w:i/>
              </w:rPr>
              <w:t>National Assessment Program — Literacy and Numeracy Achievement in Reading, Writing, Language Conventions and Numeracy: National Report for 2019</w:t>
            </w:r>
            <w:r w:rsidRPr="0036205B">
              <w:t>, ACARA, Sydney.</w:t>
            </w:r>
          </w:p>
        </w:tc>
      </w:tr>
      <w:tr w:rsidR="003F7A72" w:rsidRPr="00541EE2" w14:paraId="61528F8C" w14:textId="77777777" w:rsidTr="000B48BF">
        <w:trPr>
          <w:cantSplit/>
        </w:trPr>
        <w:tc>
          <w:tcPr>
            <w:tcW w:w="5000" w:type="pct"/>
            <w:tcBorders>
              <w:top w:val="nil"/>
              <w:left w:val="nil"/>
              <w:bottom w:val="single" w:sz="6" w:space="0" w:color="78A22F"/>
              <w:right w:val="nil"/>
            </w:tcBorders>
            <w:shd w:val="clear" w:color="auto" w:fill="auto"/>
          </w:tcPr>
          <w:p w14:paraId="679F321E" w14:textId="77777777" w:rsidR="003F7A72" w:rsidRPr="0036205B" w:rsidRDefault="003F7A72" w:rsidP="000B48BF">
            <w:pPr>
              <w:pStyle w:val="Box"/>
              <w:spacing w:before="0" w:line="120" w:lineRule="exact"/>
            </w:pPr>
          </w:p>
        </w:tc>
      </w:tr>
      <w:tr w:rsidR="003F7A72" w:rsidRPr="00541EE2" w14:paraId="0F2E7793" w14:textId="77777777" w:rsidTr="000B48BF">
        <w:tc>
          <w:tcPr>
            <w:tcW w:w="5000" w:type="pct"/>
            <w:tcBorders>
              <w:top w:val="single" w:sz="6" w:space="0" w:color="78A22F"/>
              <w:left w:val="nil"/>
              <w:bottom w:val="nil"/>
              <w:right w:val="nil"/>
            </w:tcBorders>
          </w:tcPr>
          <w:p w14:paraId="3759E838" w14:textId="77777777" w:rsidR="003F7A72" w:rsidRPr="0036205B" w:rsidRDefault="003F7A72" w:rsidP="000B48BF">
            <w:pPr>
              <w:pStyle w:val="BoxSpaceBelow"/>
            </w:pPr>
          </w:p>
        </w:tc>
      </w:tr>
    </w:tbl>
    <w:p w14:paraId="589028F4" w14:textId="56A69F50" w:rsidR="00F80224" w:rsidRPr="00796966" w:rsidRDefault="00F80224" w:rsidP="00F80224">
      <w:pPr>
        <w:pStyle w:val="Heading4"/>
      </w:pPr>
      <w:r w:rsidRPr="00796966">
        <w:t>Attainment</w:t>
      </w:r>
      <w:bookmarkEnd w:id="29"/>
      <w:bookmarkEnd w:id="30"/>
    </w:p>
    <w:p w14:paraId="2D7FED9C" w14:textId="39F4AC4D" w:rsidR="00F80224" w:rsidRPr="00796966" w:rsidRDefault="00F80224" w:rsidP="00F80224">
      <w:pPr>
        <w:pStyle w:val="BodyText"/>
      </w:pPr>
      <w:r w:rsidRPr="00796966">
        <w:t xml:space="preserve">‘Attainment’ is an indicator of governments’ objective that Australian schooling aims for all young Australians to become successful </w:t>
      </w:r>
      <w:r w:rsidR="00C75BC0">
        <w:t xml:space="preserve">lifelong </w:t>
      </w:r>
      <w:r w:rsidRPr="00796966">
        <w:t xml:space="preserve">learners, confident and creative individuals, and active and informed </w:t>
      </w:r>
      <w:r w:rsidR="00C75BC0">
        <w:t>members of the community</w:t>
      </w:r>
      <w:r w:rsidR="00C75BC0" w:rsidRPr="00796966">
        <w:t xml:space="preserve"> </w:t>
      </w:r>
      <w:r w:rsidRPr="00796966">
        <w:t>(box</w:t>
      </w:r>
      <w:r>
        <w:t xml:space="preserve"> 4.9</w:t>
      </w:r>
      <w:r w:rsidRPr="00796966">
        <w:t>).</w:t>
      </w:r>
    </w:p>
    <w:p w14:paraId="1FCB52C4" w14:textId="77777777" w:rsidR="00F80224" w:rsidRPr="00796966" w:rsidRDefault="00F80224" w:rsidP="00F80224">
      <w:pPr>
        <w:pStyle w:val="BoxSpaceAbove"/>
        <w:spacing w:before="30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80224" w:rsidRPr="00796966" w14:paraId="781DB2D2" w14:textId="77777777" w:rsidTr="007B217F">
        <w:trPr>
          <w:tblHeader/>
        </w:trPr>
        <w:tc>
          <w:tcPr>
            <w:tcW w:w="5000" w:type="pct"/>
            <w:tcBorders>
              <w:top w:val="single" w:sz="6" w:space="0" w:color="78A22F"/>
              <w:left w:val="nil"/>
              <w:bottom w:val="nil"/>
              <w:right w:val="nil"/>
            </w:tcBorders>
            <w:shd w:val="clear" w:color="auto" w:fill="F2F2F2"/>
          </w:tcPr>
          <w:p w14:paraId="5632DB8E" w14:textId="77777777" w:rsidR="00F80224" w:rsidRPr="00796966" w:rsidRDefault="00F80224" w:rsidP="007B217F">
            <w:pPr>
              <w:pStyle w:val="BoxTitle"/>
            </w:pPr>
            <w:r w:rsidRPr="00796966">
              <w:rPr>
                <w:b w:val="0"/>
              </w:rPr>
              <w:t>Box</w:t>
            </w:r>
            <w:r>
              <w:rPr>
                <w:b w:val="0"/>
              </w:rPr>
              <w:t xml:space="preserve"> 4.9</w:t>
            </w:r>
            <w:r w:rsidRPr="00796966">
              <w:tab/>
              <w:t>Attainment</w:t>
            </w:r>
          </w:p>
        </w:tc>
      </w:tr>
      <w:tr w:rsidR="00F80224" w:rsidRPr="00796966" w14:paraId="6EB4BDFC" w14:textId="77777777" w:rsidTr="007B217F">
        <w:tc>
          <w:tcPr>
            <w:tcW w:w="5000" w:type="pct"/>
            <w:tcBorders>
              <w:top w:val="nil"/>
              <w:left w:val="nil"/>
              <w:bottom w:val="nil"/>
              <w:right w:val="nil"/>
            </w:tcBorders>
            <w:shd w:val="clear" w:color="auto" w:fill="F2F2F2"/>
          </w:tcPr>
          <w:p w14:paraId="26621322" w14:textId="77777777" w:rsidR="00F80224" w:rsidRPr="00796966" w:rsidRDefault="00F80224" w:rsidP="007B217F">
            <w:pPr>
              <w:pStyle w:val="Box"/>
            </w:pPr>
            <w:r w:rsidRPr="00796966">
              <w:t xml:space="preserve">‘Attainment’ (attainment rate) is defined as the number of students who meet the requirements of a year 12 certificate or equivalent expressed as a percentage of the estimated potential year 12 population. The estimated potential year 12 population is an estimate of a single year age group that could have attended year 12 that year, calculated as the estimated resident population aged 15–19 divided by five. </w:t>
            </w:r>
          </w:p>
          <w:p w14:paraId="1B84C81C" w14:textId="77777777" w:rsidR="00F80224" w:rsidRPr="00796966" w:rsidRDefault="00F80224" w:rsidP="007B217F">
            <w:pPr>
              <w:pStyle w:val="Box"/>
            </w:pPr>
            <w:r w:rsidRPr="00796966">
              <w:t>This indicator should be interpreted with caution as:</w:t>
            </w:r>
          </w:p>
          <w:p w14:paraId="4FFD9BF5" w14:textId="77777777" w:rsidR="00F80224" w:rsidRPr="00796966" w:rsidRDefault="00F80224" w:rsidP="007B217F">
            <w:pPr>
              <w:pStyle w:val="BoxListBullet"/>
            </w:pPr>
            <w:r w:rsidRPr="00796966">
              <w:t>assessment, reporting and criteria for obtaining a year 12 or equivalent certificate varies across jurisdictions</w:t>
            </w:r>
          </w:p>
          <w:p w14:paraId="4F54F246" w14:textId="77777777" w:rsidR="00F80224" w:rsidRPr="00796966" w:rsidRDefault="00F80224" w:rsidP="007B217F">
            <w:pPr>
              <w:pStyle w:val="BoxListBullet"/>
            </w:pPr>
            <w:r w:rsidRPr="00796966">
              <w:t>students completing their secondary education in technical and further education institutes are included in reporting for some jurisdictions and not in others</w:t>
            </w:r>
          </w:p>
          <w:p w14:paraId="08DF5355" w14:textId="77777777" w:rsidR="00F80224" w:rsidRPr="00796966" w:rsidRDefault="00F80224" w:rsidP="007B217F">
            <w:pPr>
              <w:pStyle w:val="BoxListBullet"/>
            </w:pPr>
            <w:r w:rsidRPr="00796966">
              <w:t>the aggregation of all postcode locations into three socioeconomic status categories (as a disaggregation for socioeconomic status) — high, medium and low — means there may be significant variation within the categories. The low category, for example, will include locations ranging from those of extreme disadvantage to those of moderate disadvantage.</w:t>
            </w:r>
          </w:p>
          <w:p w14:paraId="7A8C8691" w14:textId="77777777" w:rsidR="00F80224" w:rsidRPr="00796966" w:rsidRDefault="00F80224" w:rsidP="007B217F">
            <w:pPr>
              <w:pStyle w:val="Box"/>
            </w:pPr>
            <w:r w:rsidRPr="00796966">
              <w:t>A high or increasing completion rate is desirable.</w:t>
            </w:r>
          </w:p>
          <w:p w14:paraId="7C136CB2" w14:textId="77777777" w:rsidR="00F80224" w:rsidRPr="00796966" w:rsidRDefault="00F80224" w:rsidP="007B217F">
            <w:pPr>
              <w:pStyle w:val="Box"/>
            </w:pPr>
            <w:r w:rsidRPr="00796966">
              <w:t>Data reported for this measure are:</w:t>
            </w:r>
          </w:p>
          <w:p w14:paraId="103DEAF8" w14:textId="77777777" w:rsidR="00F80224" w:rsidRPr="00796966" w:rsidRDefault="00F80224" w:rsidP="007B217F">
            <w:pPr>
              <w:pStyle w:val="BoxComparable"/>
            </w:pPr>
            <w:r w:rsidRPr="00796966">
              <w:rPr>
                <w:shd w:val="clear" w:color="auto" w:fill="FCDED3"/>
              </w:rPr>
              <w:t xml:space="preserve">    </w:t>
            </w:r>
            <w:r w:rsidRPr="00796966">
              <w:t xml:space="preserve"> not comparable across jurisdictions, but are comparable (subject to caveats) within some jurisdictions over time</w:t>
            </w:r>
          </w:p>
          <w:p w14:paraId="326BDAC6" w14:textId="0A2F5A41" w:rsidR="00F80224" w:rsidRPr="00796966" w:rsidRDefault="00F80224" w:rsidP="007B217F">
            <w:pPr>
              <w:pStyle w:val="BoxComparable"/>
            </w:pPr>
            <w:r w:rsidRPr="00796966">
              <w:rPr>
                <w:shd w:val="clear" w:color="auto" w:fill="F15A25"/>
              </w:rPr>
              <w:t xml:space="preserve">    </w:t>
            </w:r>
            <w:r w:rsidRPr="00796966">
              <w:t xml:space="preserve"> complete for the current reporting period (subject to caveats). All required 201</w:t>
            </w:r>
            <w:r w:rsidR="00BF4A58">
              <w:t>9</w:t>
            </w:r>
            <w:r w:rsidRPr="00796966">
              <w:t xml:space="preserve"> data are available for all jurisdictions.</w:t>
            </w:r>
          </w:p>
        </w:tc>
      </w:tr>
      <w:tr w:rsidR="00F80224" w:rsidRPr="00796966" w14:paraId="63349C8C" w14:textId="77777777" w:rsidTr="007B217F">
        <w:tc>
          <w:tcPr>
            <w:tcW w:w="5000" w:type="pct"/>
            <w:tcBorders>
              <w:top w:val="nil"/>
              <w:left w:val="nil"/>
              <w:bottom w:val="single" w:sz="6" w:space="0" w:color="78A22F"/>
              <w:right w:val="nil"/>
            </w:tcBorders>
            <w:shd w:val="clear" w:color="auto" w:fill="F2F2F2"/>
          </w:tcPr>
          <w:p w14:paraId="26E96782" w14:textId="77777777" w:rsidR="00F80224" w:rsidRPr="00796966" w:rsidRDefault="00F80224" w:rsidP="007B217F">
            <w:pPr>
              <w:pStyle w:val="Box"/>
              <w:keepNext w:val="0"/>
              <w:spacing w:before="0" w:line="120" w:lineRule="exact"/>
            </w:pPr>
          </w:p>
        </w:tc>
      </w:tr>
      <w:tr w:rsidR="00F80224" w:rsidRPr="00796966" w14:paraId="1F5AD70D" w14:textId="77777777" w:rsidTr="007B217F">
        <w:tc>
          <w:tcPr>
            <w:tcW w:w="5000" w:type="pct"/>
            <w:tcBorders>
              <w:top w:val="single" w:sz="6" w:space="0" w:color="78A22F"/>
              <w:left w:val="nil"/>
              <w:bottom w:val="nil"/>
              <w:right w:val="nil"/>
            </w:tcBorders>
          </w:tcPr>
          <w:p w14:paraId="74669B25" w14:textId="77777777" w:rsidR="00F80224" w:rsidRPr="00796966" w:rsidRDefault="00F80224" w:rsidP="007B217F">
            <w:pPr>
              <w:pStyle w:val="BoxSpaceBelow"/>
            </w:pPr>
          </w:p>
        </w:tc>
      </w:tr>
    </w:tbl>
    <w:p w14:paraId="7AF8C3E4" w14:textId="4F684B8D" w:rsidR="00F80224" w:rsidRPr="00796966" w:rsidRDefault="00F80224" w:rsidP="00F80224">
      <w:pPr>
        <w:pStyle w:val="Heading4"/>
        <w:spacing w:before="360"/>
      </w:pPr>
      <w:bookmarkStart w:id="31" w:name="_Toc46822956"/>
      <w:bookmarkStart w:id="32" w:name="_Toc49241269"/>
      <w:r w:rsidRPr="00796966">
        <w:t>Equity of outcomes</w:t>
      </w:r>
      <w:bookmarkEnd w:id="31"/>
      <w:bookmarkEnd w:id="32"/>
    </w:p>
    <w:p w14:paraId="34800E8B" w14:textId="0B1E713C" w:rsidR="00F80224" w:rsidRPr="00796966" w:rsidRDefault="00F80224" w:rsidP="00F80224">
      <w:pPr>
        <w:pStyle w:val="BodyText"/>
      </w:pPr>
      <w:r w:rsidRPr="00796966">
        <w:t xml:space="preserve">‘Equity of outcomes’ is an indicator of governments’ objective that </w:t>
      </w:r>
      <w:r w:rsidR="00940048">
        <w:t xml:space="preserve">the outcomes of </w:t>
      </w:r>
      <w:r w:rsidRPr="00796966">
        <w:t xml:space="preserve">Australian schooling </w:t>
      </w:r>
      <w:r w:rsidR="00940048">
        <w:t>are equitable</w:t>
      </w:r>
      <w:r w:rsidRPr="00796966">
        <w:t xml:space="preserve"> (box 4.1</w:t>
      </w:r>
      <w:r>
        <w:t>0</w:t>
      </w:r>
      <w:r w:rsidRPr="00796966">
        <w:t>).</w:t>
      </w:r>
    </w:p>
    <w:p w14:paraId="2FBAC922" w14:textId="77777777" w:rsidR="00F80224" w:rsidRPr="00796966" w:rsidRDefault="00F80224" w:rsidP="00F80224">
      <w:pPr>
        <w:pStyle w:val="BoxSpaceAbove"/>
        <w:spacing w:before="12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80224" w:rsidRPr="00796966" w14:paraId="6E30AB66" w14:textId="77777777" w:rsidTr="007B217F">
        <w:trPr>
          <w:tblHeader/>
        </w:trPr>
        <w:tc>
          <w:tcPr>
            <w:tcW w:w="5000" w:type="pct"/>
            <w:tcBorders>
              <w:top w:val="single" w:sz="6" w:space="0" w:color="78A22F"/>
              <w:left w:val="nil"/>
              <w:bottom w:val="nil"/>
              <w:right w:val="nil"/>
            </w:tcBorders>
            <w:shd w:val="clear" w:color="auto" w:fill="F2F2F2"/>
          </w:tcPr>
          <w:p w14:paraId="2BC2E0A4" w14:textId="77777777" w:rsidR="00F80224" w:rsidRPr="00796966" w:rsidRDefault="00F80224" w:rsidP="007B217F">
            <w:pPr>
              <w:pStyle w:val="BoxTitle"/>
            </w:pPr>
            <w:r w:rsidRPr="00796966">
              <w:rPr>
                <w:b w:val="0"/>
              </w:rPr>
              <w:t>Box</w:t>
            </w:r>
            <w:r>
              <w:rPr>
                <w:b w:val="0"/>
              </w:rPr>
              <w:t xml:space="preserve"> 4.10</w:t>
            </w:r>
            <w:r w:rsidRPr="00796966">
              <w:tab/>
              <w:t>Equity of outcomes</w:t>
            </w:r>
          </w:p>
        </w:tc>
      </w:tr>
      <w:tr w:rsidR="00F80224" w:rsidRPr="00AE64A0" w14:paraId="17779AA3" w14:textId="77777777" w:rsidTr="007B217F">
        <w:tc>
          <w:tcPr>
            <w:tcW w:w="5000" w:type="pct"/>
            <w:tcBorders>
              <w:top w:val="nil"/>
              <w:left w:val="nil"/>
              <w:bottom w:val="nil"/>
              <w:right w:val="nil"/>
            </w:tcBorders>
            <w:shd w:val="clear" w:color="auto" w:fill="F2F2F2"/>
          </w:tcPr>
          <w:p w14:paraId="5C2C4E41" w14:textId="77777777" w:rsidR="00F80224" w:rsidRPr="00AE64A0" w:rsidRDefault="00F80224" w:rsidP="007B217F">
            <w:pPr>
              <w:pStyle w:val="Box"/>
              <w:rPr>
                <w:bCs/>
              </w:rPr>
            </w:pPr>
            <w:r w:rsidRPr="00AE64A0">
              <w:rPr>
                <w:bCs/>
              </w:rPr>
              <w:t>‘</w:t>
            </w:r>
            <w:r w:rsidRPr="00AE64A0">
              <w:t>Equity of outcomes</w:t>
            </w:r>
            <w:r w:rsidRPr="00AE64A0">
              <w:rPr>
                <w:bCs/>
              </w:rPr>
              <w:t>’ is defined as the difference in the scores for students at the median and the lower end of national testing for literacy and numeracy.</w:t>
            </w:r>
          </w:p>
          <w:p w14:paraId="2AC30A87" w14:textId="77777777" w:rsidR="00F80224" w:rsidRPr="00AE64A0" w:rsidRDefault="00F80224" w:rsidP="007B217F">
            <w:pPr>
              <w:pStyle w:val="Box"/>
            </w:pPr>
            <w:r w:rsidRPr="00AE64A0">
              <w:rPr>
                <w:bCs/>
              </w:rPr>
              <w:t xml:space="preserve">The test score difference between students undertaking standardised tests (such as NAPLAN or </w:t>
            </w:r>
            <w:r w:rsidRPr="00AE64A0">
              <w:t>Programme for International Student Assessment [PISA]</w:t>
            </w:r>
            <w:r w:rsidRPr="00AE64A0">
              <w:rPr>
                <w:bCs/>
              </w:rPr>
              <w:t xml:space="preserve">) can be used to measure the relative performance gap between students at the median and the lower end of achievement. (For example, see </w:t>
            </w:r>
            <w:proofErr w:type="spellStart"/>
            <w:r w:rsidRPr="00AE64A0">
              <w:t>Bruckauf</w:t>
            </w:r>
            <w:proofErr w:type="spellEnd"/>
            <w:r w:rsidRPr="00AE64A0">
              <w:t xml:space="preserve"> and </w:t>
            </w:r>
            <w:proofErr w:type="spellStart"/>
            <w:r w:rsidRPr="00AE64A0">
              <w:t>Chzhen</w:t>
            </w:r>
            <w:proofErr w:type="spellEnd"/>
            <w:r w:rsidRPr="00AE64A0">
              <w:t xml:space="preserve"> (2016).)</w:t>
            </w:r>
          </w:p>
        </w:tc>
      </w:tr>
      <w:tr w:rsidR="00F80224" w:rsidRPr="00AE64A0" w14:paraId="2E086118" w14:textId="77777777" w:rsidTr="007B217F">
        <w:trPr>
          <w:cantSplit/>
        </w:trPr>
        <w:tc>
          <w:tcPr>
            <w:tcW w:w="5000" w:type="pct"/>
            <w:tcBorders>
              <w:top w:val="nil"/>
              <w:left w:val="nil"/>
              <w:bottom w:val="nil"/>
              <w:right w:val="nil"/>
            </w:tcBorders>
            <w:shd w:val="clear" w:color="auto" w:fill="F2F2F2"/>
          </w:tcPr>
          <w:p w14:paraId="62741E87" w14:textId="77777777" w:rsidR="00F80224" w:rsidRPr="00AE64A0" w:rsidRDefault="00F80224" w:rsidP="007B217F">
            <w:pPr>
              <w:pStyle w:val="Box"/>
              <w:rPr>
                <w:bCs/>
              </w:rPr>
            </w:pPr>
            <w:r w:rsidRPr="00AE64A0">
              <w:rPr>
                <w:bCs/>
              </w:rPr>
              <w:t>A low or decreasing gap between poor performing students and the median performers (and median score not reducing over time) is desirable.</w:t>
            </w:r>
          </w:p>
          <w:p w14:paraId="1BC40D8B" w14:textId="77777777" w:rsidR="00F80224" w:rsidRPr="00AE64A0" w:rsidRDefault="00F80224" w:rsidP="007B217F">
            <w:pPr>
              <w:pStyle w:val="Box"/>
            </w:pPr>
            <w:r w:rsidRPr="00AE64A0">
              <w:t xml:space="preserve">Data are not yet available for reporting against this indicator. </w:t>
            </w:r>
          </w:p>
          <w:p w14:paraId="4B484192" w14:textId="77777777" w:rsidR="00F80224" w:rsidRPr="00AE64A0" w:rsidRDefault="00F80224" w:rsidP="007B217F">
            <w:pPr>
              <w:pStyle w:val="Box"/>
            </w:pPr>
            <w:r w:rsidRPr="00AE64A0">
              <w:t xml:space="preserve">The Student outcomes (national testing) indicator (box 4.8) provides NAPLAN data on the proportion of students at or above the national minimum standard and mean scale score, by special needs group (including Indigenous status and, geographic location). </w:t>
            </w:r>
          </w:p>
        </w:tc>
      </w:tr>
      <w:tr w:rsidR="00F80224" w:rsidRPr="00AE64A0" w14:paraId="14F68A17" w14:textId="77777777" w:rsidTr="007B217F">
        <w:tc>
          <w:tcPr>
            <w:tcW w:w="5000" w:type="pct"/>
            <w:tcBorders>
              <w:top w:val="nil"/>
              <w:left w:val="nil"/>
              <w:bottom w:val="single" w:sz="6" w:space="0" w:color="78A22F"/>
              <w:right w:val="nil"/>
            </w:tcBorders>
            <w:shd w:val="clear" w:color="auto" w:fill="F2F2F2"/>
          </w:tcPr>
          <w:p w14:paraId="1281B482" w14:textId="77777777" w:rsidR="00F80224" w:rsidRPr="00AE64A0" w:rsidRDefault="00F80224" w:rsidP="007B217F">
            <w:pPr>
              <w:pStyle w:val="Box"/>
              <w:spacing w:before="0" w:line="120" w:lineRule="exact"/>
            </w:pPr>
          </w:p>
        </w:tc>
      </w:tr>
      <w:tr w:rsidR="00F80224" w:rsidRPr="00AE64A0" w14:paraId="44670EC7" w14:textId="77777777" w:rsidTr="007B217F">
        <w:tc>
          <w:tcPr>
            <w:tcW w:w="5000" w:type="pct"/>
            <w:tcBorders>
              <w:top w:val="single" w:sz="6" w:space="0" w:color="78A22F"/>
              <w:left w:val="nil"/>
              <w:bottom w:val="nil"/>
              <w:right w:val="nil"/>
            </w:tcBorders>
          </w:tcPr>
          <w:p w14:paraId="511C43EF" w14:textId="77777777" w:rsidR="00F80224" w:rsidRPr="00AE64A0" w:rsidRDefault="00F80224" w:rsidP="007B217F">
            <w:pPr>
              <w:pStyle w:val="BoxSpaceBelow"/>
            </w:pPr>
          </w:p>
        </w:tc>
      </w:tr>
    </w:tbl>
    <w:p w14:paraId="40AEB1CC" w14:textId="3C8D1694" w:rsidR="00F80224" w:rsidRPr="00AE64A0" w:rsidRDefault="00F80224" w:rsidP="00F80224">
      <w:pPr>
        <w:pStyle w:val="Heading4"/>
      </w:pPr>
      <w:bookmarkStart w:id="33" w:name="_Toc46822957"/>
      <w:bookmarkStart w:id="34" w:name="_Toc49241270"/>
      <w:r w:rsidRPr="00AE64A0">
        <w:lastRenderedPageBreak/>
        <w:t>Student outcomes (international testing)</w:t>
      </w:r>
      <w:bookmarkEnd w:id="33"/>
      <w:bookmarkEnd w:id="34"/>
    </w:p>
    <w:p w14:paraId="08E7C038" w14:textId="77777777" w:rsidR="00F80224" w:rsidRPr="00AE64A0" w:rsidRDefault="00F80224" w:rsidP="00F80224">
      <w:pPr>
        <w:pStyle w:val="BodyText"/>
      </w:pPr>
      <w:r w:rsidRPr="00AE64A0">
        <w:t xml:space="preserve">‘Student outcomes (international testing)’ is an indicator of governments’ objective that Australian schooling aims for students to excel by international standards (box 4.11). </w:t>
      </w:r>
    </w:p>
    <w:p w14:paraId="3DC5E768" w14:textId="77777777" w:rsidR="00F80224" w:rsidRPr="00AE64A0" w:rsidRDefault="00F80224" w:rsidP="00F8022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80224" w:rsidRPr="00AE64A0" w14:paraId="1F651404" w14:textId="77777777" w:rsidTr="007B217F">
        <w:trPr>
          <w:tblHeader/>
        </w:trPr>
        <w:tc>
          <w:tcPr>
            <w:tcW w:w="5000" w:type="pct"/>
            <w:tcBorders>
              <w:top w:val="single" w:sz="6" w:space="0" w:color="78A22F"/>
              <w:left w:val="nil"/>
              <w:bottom w:val="nil"/>
              <w:right w:val="nil"/>
            </w:tcBorders>
            <w:shd w:val="clear" w:color="auto" w:fill="F2F2F2"/>
          </w:tcPr>
          <w:p w14:paraId="6C4B4A0F" w14:textId="77777777" w:rsidR="00F80224" w:rsidRPr="00AE64A0" w:rsidRDefault="00F80224" w:rsidP="007B217F">
            <w:pPr>
              <w:pStyle w:val="BoxTitle"/>
            </w:pPr>
            <w:r w:rsidRPr="00AE64A0">
              <w:rPr>
                <w:b w:val="0"/>
              </w:rPr>
              <w:t>Box</w:t>
            </w:r>
            <w:bookmarkStart w:id="35" w:name="OLE_LINK35"/>
            <w:r w:rsidRPr="00AE64A0">
              <w:rPr>
                <w:b w:val="0"/>
              </w:rPr>
              <w:t xml:space="preserve"> 4.11</w:t>
            </w:r>
            <w:bookmarkEnd w:id="35"/>
            <w:r w:rsidRPr="00AE64A0">
              <w:tab/>
              <w:t>Student outcomes (international testing)</w:t>
            </w:r>
          </w:p>
        </w:tc>
      </w:tr>
      <w:tr w:rsidR="00F80224" w:rsidRPr="00AE64A0" w14:paraId="0A4DC2B3" w14:textId="77777777" w:rsidTr="007B217F">
        <w:tc>
          <w:tcPr>
            <w:tcW w:w="5000" w:type="pct"/>
            <w:tcBorders>
              <w:top w:val="nil"/>
              <w:left w:val="nil"/>
              <w:bottom w:val="nil"/>
              <w:right w:val="nil"/>
            </w:tcBorders>
            <w:shd w:val="clear" w:color="auto" w:fill="F2F2F2"/>
          </w:tcPr>
          <w:p w14:paraId="03BDACF5" w14:textId="77777777" w:rsidR="00F80224" w:rsidRPr="00AE64A0" w:rsidRDefault="00F80224" w:rsidP="007B217F">
            <w:pPr>
              <w:pStyle w:val="Box"/>
            </w:pPr>
            <w:r w:rsidRPr="00AE64A0">
              <w:t>‘Student outcomes (international testing)’ is defined by Australia’s participation in three international tests:</w:t>
            </w:r>
          </w:p>
          <w:p w14:paraId="3784DAE1" w14:textId="384FB53A" w:rsidR="008D7218" w:rsidRDefault="008D7218">
            <w:pPr>
              <w:pStyle w:val="BoxListBullet"/>
            </w:pPr>
            <w:r w:rsidRPr="00AE64A0">
              <w:t>Trends in International Mathematics and Science Study (TIMSS) — conducted by the IEA as a quadrennial international assessment — measures the proportion of sampled year 4 and year 8 students achieving at or above the IEA intermediate international benchmark, the national proficient standard in Australia for mathematics and s</w:t>
            </w:r>
            <w:r>
              <w:t>cience in the TIMSS assessment.</w:t>
            </w:r>
          </w:p>
          <w:p w14:paraId="1EA0DBC4" w14:textId="77777777" w:rsidR="00F80224" w:rsidRPr="00AE64A0" w:rsidRDefault="00F80224" w:rsidP="007B217F">
            <w:pPr>
              <w:pStyle w:val="BoxListBullet"/>
            </w:pPr>
            <w:r w:rsidRPr="00AE64A0">
              <w:t>Programme for International Student Assessment (PISA) — conducted by the OECD as a triennial international assessment — measures the proportion of sampled 15 year old students achieving at or above the national proficient standard (set to level 3) on the OECD PISA combined scales for reading, mathematical and scientific literacy.</w:t>
            </w:r>
          </w:p>
          <w:p w14:paraId="1C1BC0DA" w14:textId="1E6A67DF" w:rsidR="00F80224" w:rsidRPr="00AE64A0" w:rsidRDefault="00F80224" w:rsidP="007B217F">
            <w:pPr>
              <w:pStyle w:val="BoxListBullet"/>
            </w:pPr>
            <w:r w:rsidRPr="00AE64A0">
              <w:t xml:space="preserve">Progress in International Reading Literacy Study (PIRLS) — conducted by the International Association for the Evaluation of Educational Achievement (IEA) as a quinquennial international assessment — measures the proportion of sampled year 4 students achieving at or above the IEA intermediate international benchmark, the national proficient standard in Australia for </w:t>
            </w:r>
            <w:r w:rsidR="00153577" w:rsidRPr="003C5A00">
              <w:t>reading literacy in</w:t>
            </w:r>
            <w:r w:rsidR="00153577">
              <w:t xml:space="preserve"> </w:t>
            </w:r>
            <w:r w:rsidRPr="00AE64A0">
              <w:t xml:space="preserve">the PIRLS assessment. </w:t>
            </w:r>
          </w:p>
          <w:p w14:paraId="07220703" w14:textId="77777777" w:rsidR="00F80224" w:rsidRPr="00AE64A0" w:rsidRDefault="00F80224" w:rsidP="007B217F">
            <w:pPr>
              <w:pStyle w:val="Box"/>
            </w:pPr>
            <w:r w:rsidRPr="00AE64A0">
              <w:t>A high or increasing proportion of students achieving at or above the national proficient standard, or a high or increasing mean scale score is desirable.</w:t>
            </w:r>
          </w:p>
          <w:p w14:paraId="3F73A86D" w14:textId="77777777" w:rsidR="00F80224" w:rsidRPr="00AE64A0" w:rsidRDefault="00F80224" w:rsidP="007B217F">
            <w:pPr>
              <w:pStyle w:val="Box"/>
            </w:pPr>
            <w:r w:rsidRPr="00AE64A0">
              <w:t xml:space="preserve">Data reported for these measures are: </w:t>
            </w:r>
          </w:p>
          <w:p w14:paraId="53112920" w14:textId="77777777" w:rsidR="00F80224" w:rsidRPr="00AE64A0" w:rsidRDefault="00F80224" w:rsidP="007B217F">
            <w:pPr>
              <w:pStyle w:val="BoxComparable"/>
            </w:pPr>
            <w:r w:rsidRPr="00AE64A0">
              <w:rPr>
                <w:shd w:val="clear" w:color="auto" w:fill="F15A25"/>
              </w:rPr>
              <w:t xml:space="preserve">    </w:t>
            </w:r>
            <w:r w:rsidRPr="00AE64A0">
              <w:t xml:space="preserve"> comparable (subject to caveats) across jurisdictions and over time</w:t>
            </w:r>
          </w:p>
          <w:p w14:paraId="54638E0F" w14:textId="48A443D1" w:rsidR="00F80224" w:rsidRPr="00AE64A0" w:rsidRDefault="00F80224" w:rsidP="007B217F">
            <w:pPr>
              <w:pStyle w:val="BoxComparable"/>
            </w:pPr>
            <w:r w:rsidRPr="00AE64A0">
              <w:rPr>
                <w:shd w:val="clear" w:color="auto" w:fill="F15A25"/>
              </w:rPr>
              <w:t xml:space="preserve">    </w:t>
            </w:r>
            <w:r w:rsidRPr="00AE64A0">
              <w:t xml:space="preserve"> complete for the current reporting period (subject to caveats). All required </w:t>
            </w:r>
            <w:r w:rsidR="00BF4A58" w:rsidRPr="003C5A00">
              <w:t>2019</w:t>
            </w:r>
            <w:r w:rsidR="00BF4A58" w:rsidRPr="00AE64A0">
              <w:t xml:space="preserve"> (TIMSS)</w:t>
            </w:r>
            <w:r w:rsidR="00BF4A58">
              <w:t>,</w:t>
            </w:r>
            <w:r w:rsidR="00BF4A58" w:rsidRPr="00AE64A0">
              <w:t xml:space="preserve"> </w:t>
            </w:r>
            <w:r w:rsidRPr="00AE64A0">
              <w:t>2018 (PISA)</w:t>
            </w:r>
            <w:r w:rsidR="00BF4A58">
              <w:t xml:space="preserve"> and</w:t>
            </w:r>
            <w:r w:rsidRPr="00AE64A0">
              <w:t xml:space="preserve"> 2016 (PIRLS) data are available for all jurisdictions. </w:t>
            </w:r>
          </w:p>
        </w:tc>
      </w:tr>
      <w:tr w:rsidR="00F80224" w:rsidRPr="00AE64A0" w14:paraId="12AFF1A9" w14:textId="77777777" w:rsidTr="007B217F">
        <w:tc>
          <w:tcPr>
            <w:tcW w:w="5000" w:type="pct"/>
            <w:tcBorders>
              <w:top w:val="nil"/>
              <w:left w:val="nil"/>
              <w:bottom w:val="single" w:sz="6" w:space="0" w:color="78A22F"/>
              <w:right w:val="nil"/>
            </w:tcBorders>
            <w:shd w:val="clear" w:color="auto" w:fill="F2F2F2"/>
          </w:tcPr>
          <w:p w14:paraId="6432FA0F" w14:textId="77777777" w:rsidR="00F80224" w:rsidRPr="00AE64A0" w:rsidRDefault="00F80224" w:rsidP="007B217F">
            <w:pPr>
              <w:pStyle w:val="Box"/>
              <w:spacing w:before="0" w:line="120" w:lineRule="exact"/>
            </w:pPr>
          </w:p>
        </w:tc>
      </w:tr>
      <w:tr w:rsidR="00F80224" w:rsidRPr="009A1395" w14:paraId="7E4114AE" w14:textId="77777777" w:rsidTr="007B217F">
        <w:tc>
          <w:tcPr>
            <w:tcW w:w="5000" w:type="pct"/>
            <w:tcBorders>
              <w:top w:val="single" w:sz="6" w:space="0" w:color="78A22F"/>
              <w:left w:val="nil"/>
              <w:bottom w:val="nil"/>
              <w:right w:val="nil"/>
            </w:tcBorders>
          </w:tcPr>
          <w:p w14:paraId="02D69C91" w14:textId="77777777" w:rsidR="00F80224" w:rsidRPr="00AE64A0" w:rsidRDefault="00F80224" w:rsidP="007B217F">
            <w:pPr>
              <w:pStyle w:val="BoxSpaceBelow"/>
            </w:pPr>
          </w:p>
        </w:tc>
      </w:tr>
    </w:tbl>
    <w:p w14:paraId="21C34549" w14:textId="19DA300E" w:rsidR="00F80224" w:rsidRPr="00796966" w:rsidRDefault="00F80224" w:rsidP="00F80224">
      <w:pPr>
        <w:pStyle w:val="Heading4"/>
      </w:pPr>
      <w:bookmarkStart w:id="36" w:name="_Toc46822958"/>
      <w:bookmarkStart w:id="37" w:name="_Toc49241271"/>
      <w:r w:rsidRPr="00796966">
        <w:t>Destination</w:t>
      </w:r>
      <w:bookmarkEnd w:id="36"/>
      <w:bookmarkEnd w:id="37"/>
      <w:r w:rsidRPr="00796966">
        <w:t xml:space="preserve"> </w:t>
      </w:r>
    </w:p>
    <w:p w14:paraId="5B45C57A" w14:textId="30A031ED" w:rsidR="00F80224" w:rsidRPr="00796966" w:rsidRDefault="00F80224" w:rsidP="00F80224">
      <w:pPr>
        <w:pStyle w:val="BodyText"/>
        <w:rPr>
          <w:rStyle w:val="BodyTextChar"/>
        </w:rPr>
      </w:pPr>
      <w:r w:rsidRPr="00796966">
        <w:t>‘</w:t>
      </w:r>
      <w:r w:rsidRPr="00796966">
        <w:rPr>
          <w:rStyle w:val="BodyTextChar"/>
        </w:rPr>
        <w:t xml:space="preserve">Destination’ is an indicator of governments’ objective that </w:t>
      </w:r>
      <w:r w:rsidRPr="00796966">
        <w:t xml:space="preserve">Australian schooling aims for all young Australians to become active and informed </w:t>
      </w:r>
      <w:r w:rsidR="00940048">
        <w:t>members of the community</w:t>
      </w:r>
      <w:r w:rsidR="00940048" w:rsidRPr="00796966">
        <w:t xml:space="preserve"> </w:t>
      </w:r>
      <w:r w:rsidRPr="00796966">
        <w:t xml:space="preserve">positioning them to </w:t>
      </w:r>
      <w:r w:rsidR="00940048">
        <w:t>transition to further study and/or work and successful lives</w:t>
      </w:r>
      <w:r w:rsidRPr="00796966">
        <w:t xml:space="preserve"> </w:t>
      </w:r>
      <w:r w:rsidRPr="00796966">
        <w:rPr>
          <w:rStyle w:val="BodyTextChar"/>
        </w:rPr>
        <w:t>(box</w:t>
      </w:r>
      <w:r>
        <w:rPr>
          <w:rStyle w:val="BodyTextChar"/>
        </w:rPr>
        <w:t xml:space="preserve"> 4.12</w:t>
      </w:r>
      <w:r w:rsidRPr="00796966">
        <w:rPr>
          <w:rStyle w:val="BodyTextChar"/>
        </w:rPr>
        <w:t>).</w:t>
      </w:r>
    </w:p>
    <w:p w14:paraId="1EB5CFDC" w14:textId="77777777" w:rsidR="00F80224" w:rsidRPr="00796966" w:rsidRDefault="00F80224" w:rsidP="00F8022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80224" w:rsidRPr="00796966" w14:paraId="0BB2E931" w14:textId="77777777" w:rsidTr="007B217F">
        <w:tc>
          <w:tcPr>
            <w:tcW w:w="5000" w:type="pct"/>
            <w:tcBorders>
              <w:top w:val="single" w:sz="6" w:space="0" w:color="78A22F"/>
              <w:left w:val="nil"/>
              <w:bottom w:val="nil"/>
              <w:right w:val="nil"/>
            </w:tcBorders>
            <w:shd w:val="clear" w:color="auto" w:fill="F2F2F2"/>
          </w:tcPr>
          <w:p w14:paraId="3FF3EC09" w14:textId="77777777" w:rsidR="00F80224" w:rsidRPr="00796966" w:rsidRDefault="00F80224" w:rsidP="007B217F">
            <w:pPr>
              <w:pStyle w:val="BoxTitle"/>
            </w:pPr>
            <w:r w:rsidRPr="00796966">
              <w:rPr>
                <w:b w:val="0"/>
              </w:rPr>
              <w:t>Box</w:t>
            </w:r>
            <w:r>
              <w:rPr>
                <w:b w:val="0"/>
              </w:rPr>
              <w:t xml:space="preserve"> 4.12</w:t>
            </w:r>
            <w:r w:rsidRPr="00796966">
              <w:tab/>
              <w:t>Destination</w:t>
            </w:r>
          </w:p>
        </w:tc>
      </w:tr>
      <w:tr w:rsidR="00F80224" w:rsidRPr="00796966" w14:paraId="4363DB01" w14:textId="77777777" w:rsidTr="007B217F">
        <w:trPr>
          <w:cantSplit/>
        </w:trPr>
        <w:tc>
          <w:tcPr>
            <w:tcW w:w="5000" w:type="pct"/>
            <w:tcBorders>
              <w:top w:val="nil"/>
              <w:left w:val="nil"/>
              <w:bottom w:val="nil"/>
              <w:right w:val="nil"/>
            </w:tcBorders>
            <w:shd w:val="clear" w:color="auto" w:fill="F2F2F2"/>
          </w:tcPr>
          <w:p w14:paraId="69A8C10F" w14:textId="77777777" w:rsidR="00F80224" w:rsidRPr="00796966" w:rsidRDefault="00F80224" w:rsidP="007B217F">
            <w:pPr>
              <w:pStyle w:val="Box"/>
            </w:pPr>
            <w:r w:rsidRPr="00796966">
              <w:t xml:space="preserve">‘Destination’ is defined as the proportion of school leavers aged 15–24 years who left school in the previous year, who are participating in further education, training and/or employment. Data are reported for school leavers whose highest level of school completed was year 12, or year 11 and below. </w:t>
            </w:r>
          </w:p>
          <w:p w14:paraId="0A034880" w14:textId="77777777" w:rsidR="00F80224" w:rsidRPr="00796966" w:rsidRDefault="00F80224" w:rsidP="007B217F">
            <w:pPr>
              <w:pStyle w:val="Box"/>
            </w:pPr>
            <w:r w:rsidRPr="00796966">
              <w:t>A higher or increasing proportion of school leavers participating in further education, training and/or employment is desirable.</w:t>
            </w:r>
          </w:p>
          <w:p w14:paraId="3B010721" w14:textId="77777777" w:rsidR="00F80224" w:rsidRPr="00796966" w:rsidRDefault="00F80224" w:rsidP="007B217F">
            <w:pPr>
              <w:pStyle w:val="Box"/>
            </w:pPr>
            <w:r w:rsidRPr="00796966">
              <w:t xml:space="preserve">Data are sourced from the Survey of Education and Work and for this indicator relate to the jurisdiction in which the young person was resident the year </w:t>
            </w:r>
            <w:r w:rsidRPr="00AE64A0">
              <w:t>of the survey</w:t>
            </w:r>
            <w:r w:rsidRPr="00796966">
              <w:t xml:space="preserve"> and not necessarily the jurisdiction in which they attended school.</w:t>
            </w:r>
          </w:p>
          <w:p w14:paraId="317B5268" w14:textId="77777777" w:rsidR="00F80224" w:rsidRPr="00796966" w:rsidRDefault="00F80224" w:rsidP="007B217F">
            <w:pPr>
              <w:pStyle w:val="Box"/>
            </w:pPr>
            <w:r w:rsidRPr="00796966">
              <w:t>Data reported for this measure are:</w:t>
            </w:r>
          </w:p>
          <w:p w14:paraId="63153C51" w14:textId="77777777" w:rsidR="00F80224" w:rsidRPr="00796966" w:rsidRDefault="00F80224" w:rsidP="007B217F">
            <w:pPr>
              <w:pStyle w:val="BoxComparable"/>
            </w:pPr>
            <w:r w:rsidRPr="00796966">
              <w:rPr>
                <w:shd w:val="clear" w:color="auto" w:fill="F15A25"/>
              </w:rPr>
              <w:t xml:space="preserve">    </w:t>
            </w:r>
            <w:r w:rsidRPr="00796966">
              <w:t xml:space="preserve"> comparable (subject to caveats) across jurisdictions and over time</w:t>
            </w:r>
          </w:p>
          <w:p w14:paraId="40B7D5C7" w14:textId="72523BD5" w:rsidR="00F80224" w:rsidRPr="00796966" w:rsidRDefault="00F80224" w:rsidP="007B217F">
            <w:pPr>
              <w:pStyle w:val="BoxComparable"/>
            </w:pPr>
            <w:r w:rsidRPr="00796966">
              <w:rPr>
                <w:shd w:val="clear" w:color="auto" w:fill="F15A25"/>
              </w:rPr>
              <w:t xml:space="preserve">    </w:t>
            </w:r>
            <w:r w:rsidRPr="00796966">
              <w:t xml:space="preserve"> complete for the current reporting period. All required 20</w:t>
            </w:r>
            <w:r w:rsidR="00BF4A58">
              <w:t>20</w:t>
            </w:r>
            <w:r w:rsidRPr="00796966">
              <w:t xml:space="preserve"> data are available for all jurisdictions.</w:t>
            </w:r>
          </w:p>
          <w:p w14:paraId="679111C7" w14:textId="109D0B99" w:rsidR="00F80224" w:rsidRPr="00796966" w:rsidRDefault="00F80224" w:rsidP="007B217F">
            <w:pPr>
              <w:pStyle w:val="Box"/>
            </w:pPr>
            <w:r w:rsidRPr="00796966">
              <w:rPr>
                <w:bCs/>
              </w:rPr>
              <w:t xml:space="preserve">This Report includes </w:t>
            </w:r>
            <w:r w:rsidRPr="00796966">
              <w:t>information on the student destination surveys conducted by each State and Territory government, as context to this indicator (table 4</w:t>
            </w:r>
            <w:r w:rsidR="00BF4A58">
              <w:t>.3</w:t>
            </w:r>
            <w:r w:rsidRPr="00796966">
              <w:t>). These surveys collect information from a larger number of students within relevant jurisdictions, but the research methods and data collection instruments differ which do not enable comparative reporting.</w:t>
            </w:r>
          </w:p>
        </w:tc>
      </w:tr>
      <w:tr w:rsidR="00F80224" w:rsidRPr="00796966" w14:paraId="65C679D5" w14:textId="77777777" w:rsidTr="007B217F">
        <w:tc>
          <w:tcPr>
            <w:tcW w:w="5000" w:type="pct"/>
            <w:tcBorders>
              <w:top w:val="nil"/>
              <w:left w:val="nil"/>
              <w:bottom w:val="single" w:sz="6" w:space="0" w:color="78A22F"/>
              <w:right w:val="nil"/>
            </w:tcBorders>
            <w:shd w:val="clear" w:color="auto" w:fill="F2F2F2"/>
          </w:tcPr>
          <w:p w14:paraId="68D59BCA" w14:textId="77777777" w:rsidR="00F80224" w:rsidRPr="00796966" w:rsidRDefault="00F80224" w:rsidP="007B217F">
            <w:pPr>
              <w:pStyle w:val="Box"/>
              <w:spacing w:before="0" w:line="120" w:lineRule="exact"/>
            </w:pPr>
          </w:p>
        </w:tc>
      </w:tr>
      <w:tr w:rsidR="00F80224" w:rsidRPr="00796966" w14:paraId="5C2A49AE" w14:textId="77777777" w:rsidTr="007B217F">
        <w:tc>
          <w:tcPr>
            <w:tcW w:w="5000" w:type="pct"/>
            <w:tcBorders>
              <w:top w:val="single" w:sz="6" w:space="0" w:color="78A22F"/>
              <w:left w:val="nil"/>
              <w:bottom w:val="nil"/>
              <w:right w:val="nil"/>
            </w:tcBorders>
          </w:tcPr>
          <w:p w14:paraId="0A3CDE56" w14:textId="77777777" w:rsidR="00F80224" w:rsidRPr="00796966" w:rsidRDefault="00F80224" w:rsidP="007B217F">
            <w:pPr>
              <w:pStyle w:val="BoxSpaceBelow"/>
            </w:pPr>
          </w:p>
        </w:tc>
      </w:tr>
    </w:tbl>
    <w:p w14:paraId="71B0FF40" w14:textId="77777777" w:rsidR="00EA3B9A" w:rsidRDefault="00EA3B9A">
      <w:pPr>
        <w:rPr>
          <w:b/>
        </w:rPr>
      </w:pPr>
    </w:p>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1A080D" w14:paraId="0976D586" w14:textId="77777777" w:rsidTr="00FC200C">
        <w:trPr>
          <w:cantSplit/>
          <w:tblHeader/>
        </w:trPr>
        <w:tc>
          <w:tcPr>
            <w:tcW w:w="5000" w:type="pct"/>
            <w:tcBorders>
              <w:top w:val="nil"/>
              <w:left w:val="nil"/>
              <w:bottom w:val="nil"/>
              <w:right w:val="nil"/>
            </w:tcBorders>
            <w:shd w:val="clear" w:color="auto" w:fill="auto"/>
          </w:tcPr>
          <w:tbl>
            <w:tblPr>
              <w:tblW w:w="8533" w:type="dxa"/>
              <w:tblLayout w:type="fixed"/>
              <w:tblCellMar>
                <w:top w:w="28" w:type="dxa"/>
                <w:left w:w="0" w:type="dxa"/>
                <w:right w:w="0" w:type="dxa"/>
              </w:tblCellMar>
              <w:tblLook w:val="0600" w:firstRow="0" w:lastRow="0" w:firstColumn="0" w:lastColumn="0" w:noHBand="1" w:noVBand="1"/>
            </w:tblPr>
            <w:tblGrid>
              <w:gridCol w:w="8439"/>
              <w:gridCol w:w="20"/>
              <w:gridCol w:w="20"/>
              <w:gridCol w:w="14"/>
              <w:gridCol w:w="20"/>
              <w:gridCol w:w="20"/>
            </w:tblGrid>
            <w:tr w:rsidR="001A080D" w:rsidRPr="00A0137E" w14:paraId="31DEAD1B" w14:textId="77777777" w:rsidTr="00784511">
              <w:trPr>
                <w:trHeight w:val="582"/>
                <w:tblHeader/>
              </w:trPr>
              <w:tc>
                <w:tcPr>
                  <w:tcW w:w="8439" w:type="dxa"/>
                  <w:tcBorders>
                    <w:top w:val="single" w:sz="6" w:space="0" w:color="BFBFBF"/>
                    <w:bottom w:val="single" w:sz="6" w:space="0" w:color="BFBFBF"/>
                  </w:tcBorders>
                  <w:shd w:val="clear" w:color="auto" w:fill="auto"/>
                  <w:tcMar>
                    <w:top w:w="28" w:type="dxa"/>
                  </w:tcMar>
                </w:tcPr>
                <w:tbl>
                  <w:tblPr>
                    <w:tblpPr w:leftFromText="180" w:rightFromText="180" w:vertAnchor="text" w:horzAnchor="margin" w:tblpY="-170"/>
                    <w:tblOverlap w:val="never"/>
                    <w:tblW w:w="8661"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661"/>
                  </w:tblGrid>
                  <w:tr w:rsidR="00FC200C" w:rsidRPr="001D5E38" w14:paraId="73A1CA6C" w14:textId="77777777" w:rsidTr="00FC200C">
                    <w:trPr>
                      <w:cantSplit/>
                      <w:trHeight w:val="258"/>
                    </w:trPr>
                    <w:tc>
                      <w:tcPr>
                        <w:tcW w:w="5000" w:type="pct"/>
                        <w:tcBorders>
                          <w:top w:val="single" w:sz="6" w:space="0" w:color="78A22F"/>
                          <w:left w:val="nil"/>
                          <w:bottom w:val="nil"/>
                          <w:right w:val="nil"/>
                        </w:tcBorders>
                        <w:shd w:val="clear" w:color="auto" w:fill="auto"/>
                      </w:tcPr>
                      <w:p w14:paraId="1085AF46" w14:textId="7A62F064" w:rsidR="00FC200C" w:rsidRPr="001D5E38" w:rsidRDefault="00FC200C" w:rsidP="007B0C06">
                        <w:pPr>
                          <w:pStyle w:val="TableTitle"/>
                          <w:ind w:left="0" w:firstLine="0"/>
                        </w:pPr>
                        <w:r>
                          <w:rPr>
                            <w:b w:val="0"/>
                          </w:rPr>
                          <w:lastRenderedPageBreak/>
                          <w:t>Table 4.3</w:t>
                        </w:r>
                        <w:r w:rsidRPr="001D5E38">
                          <w:tab/>
                          <w:t xml:space="preserve">School </w:t>
                        </w:r>
                        <w:r w:rsidRPr="00C07225">
                          <w:t>l</w:t>
                        </w:r>
                        <w:r>
                          <w:t xml:space="preserve">eaver destination survey </w:t>
                        </w:r>
                        <w:r w:rsidRPr="001D5E38">
                          <w:t>results</w:t>
                        </w:r>
                      </w:p>
                    </w:tc>
                  </w:tr>
                </w:tbl>
                <w:p w14:paraId="13A7CBF5" w14:textId="71B2E4EF" w:rsidR="009879DA" w:rsidRPr="009879DA" w:rsidRDefault="009879DA" w:rsidP="009879DA">
                  <w:pPr>
                    <w:pStyle w:val="TableTitle"/>
                    <w:ind w:left="0" w:firstLine="0"/>
                  </w:pPr>
                </w:p>
              </w:tc>
              <w:tc>
                <w:tcPr>
                  <w:tcW w:w="20" w:type="dxa"/>
                  <w:tcBorders>
                    <w:top w:val="single" w:sz="6" w:space="0" w:color="BFBFBF"/>
                    <w:bottom w:val="single" w:sz="6" w:space="0" w:color="BFBFBF"/>
                  </w:tcBorders>
                </w:tcPr>
                <w:p w14:paraId="2748280F" w14:textId="77777777" w:rsidR="001A080D" w:rsidRPr="00A0137E" w:rsidRDefault="001A080D" w:rsidP="000B48BF">
                  <w:pPr>
                    <w:pStyle w:val="TableColumnHeading"/>
                  </w:pPr>
                </w:p>
              </w:tc>
              <w:tc>
                <w:tcPr>
                  <w:tcW w:w="20" w:type="dxa"/>
                  <w:tcBorders>
                    <w:top w:val="single" w:sz="6" w:space="0" w:color="BFBFBF"/>
                    <w:bottom w:val="single" w:sz="6" w:space="0" w:color="BFBFBF"/>
                  </w:tcBorders>
                  <w:shd w:val="clear" w:color="auto" w:fill="auto"/>
                  <w:tcMar>
                    <w:top w:w="28" w:type="dxa"/>
                  </w:tcMar>
                </w:tcPr>
                <w:p w14:paraId="163587D1" w14:textId="77777777" w:rsidR="001A080D" w:rsidRPr="00A0137E" w:rsidRDefault="001A080D" w:rsidP="000B48BF">
                  <w:pPr>
                    <w:pStyle w:val="TableColumnHeading"/>
                    <w:ind w:right="28"/>
                    <w:jc w:val="left"/>
                  </w:pPr>
                </w:p>
              </w:tc>
              <w:tc>
                <w:tcPr>
                  <w:tcW w:w="34" w:type="dxa"/>
                  <w:gridSpan w:val="2"/>
                </w:tcPr>
                <w:p w14:paraId="1EA81187" w14:textId="77777777" w:rsidR="001A080D" w:rsidRPr="00A0137E" w:rsidRDefault="001A080D" w:rsidP="000B48BF"/>
              </w:tc>
              <w:tc>
                <w:tcPr>
                  <w:tcW w:w="20" w:type="dxa"/>
                </w:tcPr>
                <w:p w14:paraId="30B52F27" w14:textId="77777777" w:rsidR="001A080D" w:rsidRPr="00A0137E" w:rsidRDefault="001A080D" w:rsidP="000B48BF"/>
              </w:tc>
            </w:tr>
            <w:tr w:rsidR="001A080D" w:rsidRPr="00A0137E" w14:paraId="074A94A0" w14:textId="77777777" w:rsidTr="00784511">
              <w:trPr>
                <w:gridAfter w:val="4"/>
                <w:wAfter w:w="74" w:type="dxa"/>
              </w:trPr>
              <w:tc>
                <w:tcPr>
                  <w:tcW w:w="8459" w:type="dxa"/>
                  <w:gridSpan w:val="2"/>
                  <w:tcBorders>
                    <w:bottom w:val="single" w:sz="6" w:space="0" w:color="BFBFBF"/>
                  </w:tcBorders>
                  <w:shd w:val="clear" w:color="auto" w:fill="auto"/>
                </w:tcPr>
                <w:p w14:paraId="35FEB3F5" w14:textId="77777777" w:rsidR="001A080D" w:rsidRPr="00A0137E" w:rsidRDefault="001A080D" w:rsidP="000B48BF">
                  <w:pPr>
                    <w:pStyle w:val="TableBodyText"/>
                    <w:ind w:right="28"/>
                    <w:jc w:val="left"/>
                  </w:pPr>
                  <w:r w:rsidRPr="00A0137E">
                    <w:rPr>
                      <w:b/>
                    </w:rPr>
                    <w:t>New South Wales</w:t>
                  </w:r>
                </w:p>
              </w:tc>
            </w:tr>
            <w:tr w:rsidR="001A080D" w:rsidRPr="00A0137E" w14:paraId="1DD4742C" w14:textId="77777777" w:rsidTr="00FF7B6E">
              <w:trPr>
                <w:gridAfter w:val="4"/>
                <w:wAfter w:w="74" w:type="dxa"/>
              </w:trPr>
              <w:tc>
                <w:tcPr>
                  <w:tcW w:w="8459" w:type="dxa"/>
                  <w:gridSpan w:val="2"/>
                  <w:shd w:val="clear" w:color="auto" w:fill="auto"/>
                </w:tcPr>
                <w:p w14:paraId="7DAE262E" w14:textId="292271F6" w:rsidR="001A080D" w:rsidRPr="00A357CD" w:rsidRDefault="00A357CD" w:rsidP="00784511">
                  <w:pPr>
                    <w:pStyle w:val="TableUnitsRow"/>
                    <w:jc w:val="both"/>
                  </w:pPr>
                  <w:r w:rsidRPr="00A357CD">
                    <w:t xml:space="preserve">The NSW Post School Destinations and Experiences Survey commenced in 2010 and has been conducted annually since 2013, collecting information about students’ main destinations in the year after leaving school, either having completed Year 12 or left early. The survey includes students from government, Catholic and independent schools and can be completed online or via the telephone. In 2020 </w:t>
                  </w:r>
                  <w:r w:rsidR="00F23AA6" w:rsidRPr="000232CE">
                    <w:t xml:space="preserve">the survey was conducted between late August and early November </w:t>
                  </w:r>
                  <w:r w:rsidR="00F23AA6">
                    <w:t xml:space="preserve">and </w:t>
                  </w:r>
                  <w:r w:rsidRPr="00A357CD">
                    <w:t>the sample comprised 18</w:t>
                  </w:r>
                  <w:r w:rsidR="0055177F">
                    <w:t> </w:t>
                  </w:r>
                  <w:r w:rsidRPr="00A357CD">
                    <w:t>865 Year 12 completers and 5978 early school leavers.</w:t>
                  </w:r>
                </w:p>
                <w:p w14:paraId="1544C2FD" w14:textId="2546C704" w:rsidR="00A357CD" w:rsidRPr="00A357CD" w:rsidRDefault="00A357CD" w:rsidP="00A357CD">
                  <w:pPr>
                    <w:pStyle w:val="TableUnitsRow"/>
                    <w:jc w:val="both"/>
                  </w:pPr>
                  <w:r w:rsidRPr="00A357CD">
                    <w:t xml:space="preserve">Of the Year 12 completers 62.1 per cent were undertaking some form of education and training </w:t>
                  </w:r>
                  <w:r w:rsidR="000232CE">
                    <w:t>(</w:t>
                  </w:r>
                  <w:r w:rsidRPr="00A357CD">
                    <w:t>45 per cent a bachelor degree, 8.6 per cent a vocational education and training (VET) course (including Advanced Diplomas, Diplomas and Certificates I-IV), 4.8 per cent an apprenticeship and 3.7 per cent a traineeship</w:t>
                  </w:r>
                  <w:r w:rsidR="000232CE">
                    <w:t>)</w:t>
                  </w:r>
                  <w:r w:rsidRPr="00A357CD">
                    <w:t xml:space="preserve">, 26.9 per cent were employed, 7.7 per cent looking for work and 3.3 per cent were not in the labour force, education or training. </w:t>
                  </w:r>
                </w:p>
                <w:p w14:paraId="533470B3" w14:textId="09F91345" w:rsidR="00A357CD" w:rsidRPr="00A0137E" w:rsidRDefault="00A357CD" w:rsidP="00A357CD">
                  <w:pPr>
                    <w:pStyle w:val="TableUnitsRow"/>
                    <w:jc w:val="both"/>
                    <w:rPr>
                      <w:rFonts w:cs="Arial"/>
                      <w:i/>
                      <w:iCs/>
                      <w:color w:val="000000"/>
                      <w:sz w:val="20"/>
                    </w:rPr>
                  </w:pPr>
                  <w:r w:rsidRPr="00A357CD">
                    <w:t>Of the early school leavers 51.4 per cent were undertaking some form of education or training (27.7 per cent an apprenticeship, 16.1 per cent a VET course, 6.4 per cent a traineeship and 1.1 per cent a bachelor degree), 25.4 per cent were employed, 17.3 per cent looking for work and 5.9 per cent were not in the labour force, education or training.</w:t>
                  </w:r>
                </w:p>
              </w:tc>
            </w:tr>
            <w:tr w:rsidR="001A080D" w:rsidRPr="00A0137E" w14:paraId="214E012D" w14:textId="77777777" w:rsidTr="00FF7B6E">
              <w:trPr>
                <w:gridAfter w:val="4"/>
                <w:wAfter w:w="74" w:type="dxa"/>
              </w:trPr>
              <w:tc>
                <w:tcPr>
                  <w:tcW w:w="8459" w:type="dxa"/>
                  <w:gridSpan w:val="2"/>
                  <w:tcBorders>
                    <w:bottom w:val="single" w:sz="6" w:space="0" w:color="BFBFBF"/>
                  </w:tcBorders>
                  <w:shd w:val="clear" w:color="auto" w:fill="auto"/>
                </w:tcPr>
                <w:p w14:paraId="7A797A19" w14:textId="3D40F3A6" w:rsidR="001A080D" w:rsidRPr="00343CD2" w:rsidRDefault="00A357CD" w:rsidP="00A357CD">
                  <w:pPr>
                    <w:pStyle w:val="TableUnitsRow"/>
                    <w:jc w:val="both"/>
                    <w:rPr>
                      <w:b/>
                    </w:rPr>
                  </w:pPr>
                  <w:r w:rsidRPr="00A357CD">
                    <w:t>Analytical reports and fact sheets providing detailed information on participant subgroups can be accessed from the NSW Department of Education website.</w:t>
                  </w:r>
                </w:p>
              </w:tc>
            </w:tr>
            <w:tr w:rsidR="001A080D" w:rsidRPr="00A0137E" w14:paraId="4E8FE9F6" w14:textId="77777777" w:rsidTr="00784511">
              <w:trPr>
                <w:gridAfter w:val="1"/>
                <w:wAfter w:w="20" w:type="dxa"/>
              </w:trPr>
              <w:tc>
                <w:tcPr>
                  <w:tcW w:w="8459" w:type="dxa"/>
                  <w:gridSpan w:val="2"/>
                  <w:tcBorders>
                    <w:bottom w:val="single" w:sz="6" w:space="0" w:color="BFBFBF"/>
                  </w:tcBorders>
                  <w:shd w:val="clear" w:color="auto" w:fill="auto"/>
                </w:tcPr>
                <w:p w14:paraId="488FEAFF" w14:textId="77777777" w:rsidR="001A080D" w:rsidRPr="00A0137E" w:rsidRDefault="001A080D" w:rsidP="000B48BF">
                  <w:pPr>
                    <w:pStyle w:val="TableBodyText"/>
                    <w:jc w:val="left"/>
                  </w:pPr>
                  <w:r w:rsidRPr="00A0137E">
                    <w:rPr>
                      <w:b/>
                    </w:rPr>
                    <w:t>Victoria</w:t>
                  </w:r>
                </w:p>
              </w:tc>
              <w:tc>
                <w:tcPr>
                  <w:tcW w:w="34" w:type="dxa"/>
                  <w:gridSpan w:val="2"/>
                  <w:tcBorders>
                    <w:bottom w:val="single" w:sz="6" w:space="0" w:color="BFBFBF"/>
                  </w:tcBorders>
                </w:tcPr>
                <w:p w14:paraId="543715B2" w14:textId="77777777" w:rsidR="001A080D" w:rsidRPr="00A0137E" w:rsidRDefault="001A080D" w:rsidP="000B48BF">
                  <w:pPr>
                    <w:pStyle w:val="TableBodyText"/>
                    <w:jc w:val="left"/>
                  </w:pPr>
                </w:p>
              </w:tc>
              <w:tc>
                <w:tcPr>
                  <w:tcW w:w="20" w:type="dxa"/>
                  <w:tcBorders>
                    <w:bottom w:val="single" w:sz="6" w:space="0" w:color="BFBFBF"/>
                  </w:tcBorders>
                  <w:shd w:val="clear" w:color="auto" w:fill="auto"/>
                </w:tcPr>
                <w:p w14:paraId="60483E6E" w14:textId="77777777" w:rsidR="001A080D" w:rsidRPr="00A0137E" w:rsidRDefault="001A080D" w:rsidP="000B48BF">
                  <w:pPr>
                    <w:pStyle w:val="TableBodyText"/>
                    <w:ind w:right="28"/>
                    <w:jc w:val="left"/>
                  </w:pPr>
                </w:p>
              </w:tc>
            </w:tr>
            <w:tr w:rsidR="001A080D" w:rsidRPr="00A0137E" w14:paraId="22FDA72B" w14:textId="77777777" w:rsidTr="007C28ED">
              <w:trPr>
                <w:gridAfter w:val="4"/>
                <w:wAfter w:w="74" w:type="dxa"/>
              </w:trPr>
              <w:tc>
                <w:tcPr>
                  <w:tcW w:w="8459" w:type="dxa"/>
                  <w:gridSpan w:val="2"/>
                  <w:shd w:val="clear" w:color="auto" w:fill="auto"/>
                </w:tcPr>
                <w:p w14:paraId="020F60B5" w14:textId="68F79BD1" w:rsidR="001A080D" w:rsidRPr="00A0137E" w:rsidRDefault="004A32D6" w:rsidP="00784511">
                  <w:pPr>
                    <w:pStyle w:val="TableUnitsRow"/>
                    <w:jc w:val="both"/>
                  </w:pPr>
                  <w:r w:rsidRPr="004A32D6">
                    <w:t xml:space="preserve">In Victoria, a survey of post-school destinations (On Track) has been conducted annually since 2003. Consenting </w:t>
                  </w:r>
                  <w:r w:rsidR="0015493D">
                    <w:t>Y</w:t>
                  </w:r>
                  <w:r w:rsidRPr="004A32D6">
                    <w:t xml:space="preserve">ear 12 or equivalent completers and Year 12 non completers (from </w:t>
                  </w:r>
                  <w:r w:rsidR="0015493D">
                    <w:t>Y</w:t>
                  </w:r>
                  <w:r w:rsidRPr="004A32D6">
                    <w:t>ears 10, 11 and 12) from all Victorian schools participate in a telephone or online survey early in the year after they leave school.</w:t>
                  </w:r>
                </w:p>
              </w:tc>
            </w:tr>
            <w:tr w:rsidR="001A080D" w:rsidRPr="00A0137E" w14:paraId="221553CE" w14:textId="77777777" w:rsidTr="007C28ED">
              <w:trPr>
                <w:gridAfter w:val="4"/>
                <w:wAfter w:w="74" w:type="dxa"/>
              </w:trPr>
              <w:tc>
                <w:tcPr>
                  <w:tcW w:w="8459" w:type="dxa"/>
                  <w:gridSpan w:val="2"/>
                  <w:shd w:val="clear" w:color="auto" w:fill="auto"/>
                </w:tcPr>
                <w:p w14:paraId="15D470E5" w14:textId="77777777" w:rsidR="004A32D6" w:rsidRDefault="004A32D6" w:rsidP="00784511">
                  <w:pPr>
                    <w:pStyle w:val="TableUnitsRow"/>
                    <w:jc w:val="both"/>
                  </w:pPr>
                  <w:r>
                    <w:t xml:space="preserve">The 2019 On Track Survey 26 851 (46 per cent participation rate) of the eligible 2018 Year 12 or equivalent completers cohort and 2130 students who had left school in Years 10, 11 or 12 (13 per cent participation rate of the Year 12 non-completer cohort), from government and non-government schools, as well as TAFE and Adult Community Education providers. </w:t>
                  </w:r>
                </w:p>
                <w:p w14:paraId="11FBB2A6" w14:textId="77777777" w:rsidR="004A32D6" w:rsidRDefault="004A32D6" w:rsidP="00784511">
                  <w:pPr>
                    <w:pStyle w:val="TableUnitsRow"/>
                    <w:jc w:val="both"/>
                  </w:pPr>
                  <w:r>
                    <w:t>Of the 26 851 Year 12 Completers, 75 per cent were in further education and training (54 per cent were enrolled at university, 13 per cent were TAFE enrolled and 8 per cent had taken up apprenticeships or training). Of the 25 per cent not in education and training, 20 per cent were in full or part time employment, 10 per cent had deferred a tertiary place, 4 per cent were looking for work.</w:t>
                  </w:r>
                </w:p>
                <w:p w14:paraId="7802E4ED" w14:textId="3E90C359" w:rsidR="001A080D" w:rsidRPr="00A0137E" w:rsidRDefault="004A32D6" w:rsidP="00784511">
                  <w:pPr>
                    <w:pStyle w:val="TableUnitsRow"/>
                    <w:ind w:left="0"/>
                    <w:jc w:val="both"/>
                  </w:pPr>
                  <w:r>
                    <w:t>Of the 2386 Year 12 non-completers, 54 per cent in education and training (</w:t>
                  </w:r>
                  <w:r w:rsidR="00301F11">
                    <w:t>one</w:t>
                  </w:r>
                  <w:r>
                    <w:t xml:space="preserve"> per cent enrolled at university, 20 per cent were TAFE enrolled and 33 per cent undertaking apprenticeships and training).  Of the 46 per cent not in education and training, 27 per cent were in full or part time employment, 15 per cent were looking for work and 5 per cent were not in the labour force, education and training.</w:t>
                  </w:r>
                </w:p>
              </w:tc>
            </w:tr>
            <w:tr w:rsidR="001A080D" w:rsidRPr="00A0137E" w14:paraId="396EBAD4" w14:textId="77777777" w:rsidTr="007C28ED">
              <w:trPr>
                <w:gridAfter w:val="4"/>
                <w:wAfter w:w="74" w:type="dxa"/>
              </w:trPr>
              <w:tc>
                <w:tcPr>
                  <w:tcW w:w="8459" w:type="dxa"/>
                  <w:gridSpan w:val="2"/>
                  <w:tcBorders>
                    <w:bottom w:val="single" w:sz="6" w:space="0" w:color="BFBFBF"/>
                  </w:tcBorders>
                  <w:shd w:val="clear" w:color="auto" w:fill="auto"/>
                </w:tcPr>
                <w:p w14:paraId="64BCC8C3" w14:textId="00D1597E" w:rsidR="001A080D" w:rsidRPr="00A0137E" w:rsidRDefault="004A32D6" w:rsidP="00826FF2">
                  <w:pPr>
                    <w:keepNext/>
                    <w:keepLines/>
                    <w:spacing w:after="40" w:line="200" w:lineRule="atLeast"/>
                    <w:ind w:left="6" w:right="113"/>
                  </w:pPr>
                  <w:r w:rsidRPr="004A32D6">
                    <w:rPr>
                      <w:rFonts w:ascii="Arial" w:hAnsi="Arial"/>
                      <w:sz w:val="18"/>
                      <w:szCs w:val="20"/>
                    </w:rPr>
                    <w:t xml:space="preserve">On Track survey information and data can be accessed from the </w:t>
                  </w:r>
                  <w:r w:rsidR="0015493D">
                    <w:rPr>
                      <w:rFonts w:ascii="Arial" w:hAnsi="Arial"/>
                      <w:sz w:val="18"/>
                      <w:szCs w:val="20"/>
                    </w:rPr>
                    <w:t xml:space="preserve">Victorian </w:t>
                  </w:r>
                  <w:r w:rsidRPr="004A32D6">
                    <w:rPr>
                      <w:rFonts w:ascii="Arial" w:hAnsi="Arial"/>
                      <w:sz w:val="18"/>
                      <w:szCs w:val="20"/>
                    </w:rPr>
                    <w:t>Department of Education website:</w:t>
                  </w:r>
                  <w:r w:rsidR="00826FF2">
                    <w:rPr>
                      <w:rFonts w:ascii="Arial" w:hAnsi="Arial"/>
                      <w:sz w:val="18"/>
                      <w:szCs w:val="20"/>
                    </w:rPr>
                    <w:t xml:space="preserve"> </w:t>
                  </w:r>
                  <w:r w:rsidRPr="004A32D6">
                    <w:rPr>
                      <w:rFonts w:ascii="Arial" w:hAnsi="Arial"/>
                      <w:color w:val="0000FF"/>
                      <w:sz w:val="18"/>
                      <w:szCs w:val="20"/>
                      <w:u w:val="single"/>
                    </w:rPr>
                    <w:t>https://www.education.vic.gov.au/about/research/pages/ontrack.aspx</w:t>
                  </w:r>
                </w:p>
              </w:tc>
            </w:tr>
            <w:tr w:rsidR="001A080D" w:rsidRPr="00A0137E" w14:paraId="37F66946" w14:textId="77777777" w:rsidTr="00784511">
              <w:trPr>
                <w:gridAfter w:val="4"/>
                <w:wAfter w:w="74" w:type="dxa"/>
              </w:trPr>
              <w:tc>
                <w:tcPr>
                  <w:tcW w:w="8459" w:type="dxa"/>
                  <w:gridSpan w:val="2"/>
                  <w:tcBorders>
                    <w:bottom w:val="single" w:sz="6" w:space="0" w:color="BFBFBF"/>
                  </w:tcBorders>
                  <w:shd w:val="clear" w:color="auto" w:fill="auto"/>
                </w:tcPr>
                <w:p w14:paraId="6802369F" w14:textId="77777777" w:rsidR="001A080D" w:rsidRPr="00A0137E" w:rsidRDefault="001A080D" w:rsidP="000B48BF">
                  <w:pPr>
                    <w:pStyle w:val="TableBodyText"/>
                    <w:ind w:right="28"/>
                    <w:jc w:val="left"/>
                    <w:rPr>
                      <w:b/>
                    </w:rPr>
                  </w:pPr>
                  <w:r w:rsidRPr="00A0137E">
                    <w:rPr>
                      <w:b/>
                    </w:rPr>
                    <w:t>Queensland</w:t>
                  </w:r>
                </w:p>
              </w:tc>
            </w:tr>
            <w:tr w:rsidR="001A080D" w:rsidRPr="00A0137E" w14:paraId="7B0715E7" w14:textId="77777777" w:rsidTr="007C28ED">
              <w:trPr>
                <w:gridAfter w:val="4"/>
                <w:wAfter w:w="74" w:type="dxa"/>
              </w:trPr>
              <w:tc>
                <w:tcPr>
                  <w:tcW w:w="8459" w:type="dxa"/>
                  <w:gridSpan w:val="2"/>
                  <w:shd w:val="clear" w:color="auto" w:fill="auto"/>
                </w:tcPr>
                <w:p w14:paraId="1AD8677E" w14:textId="349F31D7" w:rsidR="001A080D" w:rsidRPr="00A0137E" w:rsidRDefault="00826FF2" w:rsidP="00784511">
                  <w:pPr>
                    <w:pStyle w:val="TableBodyText"/>
                    <w:jc w:val="both"/>
                  </w:pPr>
                  <w:r w:rsidRPr="00826FF2">
                    <w:t>Since 2005, Queensland’s annual Next Step survey has captured information about the journey from school to further study and employment. The survey takes place approximately six months after the end of the school year, timed to occur after tertiary education places have been accepted. All students who completed Year 12 at government and non-government schools in Queensland are included. The 2020 survey collected responses from 28</w:t>
                  </w:r>
                  <w:r w:rsidR="00A25740">
                    <w:t xml:space="preserve"> </w:t>
                  </w:r>
                  <w:r w:rsidRPr="00826FF2">
                    <w:t>451 Year 12 completers, a 75.5 per cent response rate.</w:t>
                  </w:r>
                </w:p>
              </w:tc>
            </w:tr>
            <w:tr w:rsidR="00826FF2" w:rsidRPr="00A0137E" w14:paraId="20935E5C" w14:textId="77777777" w:rsidTr="00784511">
              <w:trPr>
                <w:gridAfter w:val="4"/>
                <w:wAfter w:w="74" w:type="dxa"/>
              </w:trPr>
              <w:tc>
                <w:tcPr>
                  <w:tcW w:w="8459" w:type="dxa"/>
                  <w:gridSpan w:val="2"/>
                  <w:tcBorders>
                    <w:bottom w:val="single" w:sz="6" w:space="0" w:color="BFBFBF"/>
                  </w:tcBorders>
                  <w:shd w:val="clear" w:color="auto" w:fill="auto"/>
                </w:tcPr>
                <w:p w14:paraId="6335C354" w14:textId="6635D9F3" w:rsidR="00826FF2" w:rsidRPr="00A0137E" w:rsidRDefault="00826FF2" w:rsidP="00784511">
                  <w:pPr>
                    <w:pStyle w:val="TableBodyText"/>
                    <w:jc w:val="both"/>
                  </w:pPr>
                  <w:r w:rsidRPr="00826FF2">
                    <w:t xml:space="preserve">In 2020, 80.5 per cent were engaged in education, training or employment in the year after completing Year 12. A further 13.9 per cent </w:t>
                  </w:r>
                  <w:r w:rsidR="0015493D">
                    <w:t>we</w:t>
                  </w:r>
                  <w:r w:rsidRPr="00826FF2">
                    <w:t xml:space="preserve">re seeking work, while 5.6 per cent </w:t>
                  </w:r>
                  <w:r w:rsidR="0015493D">
                    <w:t>we</w:t>
                  </w:r>
                  <w:r w:rsidRPr="00826FF2">
                    <w:t>re not in the labour force, education or training.</w:t>
                  </w:r>
                </w:p>
              </w:tc>
            </w:tr>
            <w:tr w:rsidR="001A080D" w:rsidRPr="00A0137E" w14:paraId="0A3301FA" w14:textId="77777777" w:rsidTr="00784511">
              <w:trPr>
                <w:gridAfter w:val="4"/>
                <w:wAfter w:w="74" w:type="dxa"/>
              </w:trPr>
              <w:tc>
                <w:tcPr>
                  <w:tcW w:w="8459" w:type="dxa"/>
                  <w:gridSpan w:val="2"/>
                  <w:tcBorders>
                    <w:bottom w:val="single" w:sz="6" w:space="0" w:color="BFBFBF"/>
                  </w:tcBorders>
                  <w:shd w:val="clear" w:color="auto" w:fill="auto"/>
                </w:tcPr>
                <w:p w14:paraId="59E03A8C" w14:textId="453968AB" w:rsidR="001A080D" w:rsidRPr="00ED2B7E" w:rsidRDefault="00ED2B7E" w:rsidP="000B48BF">
                  <w:pPr>
                    <w:pStyle w:val="TableBodyText"/>
                    <w:jc w:val="left"/>
                    <w:rPr>
                      <w:rFonts w:cs="Arial"/>
                      <w:szCs w:val="18"/>
                    </w:rPr>
                  </w:pPr>
                  <w:r w:rsidRPr="00ED2B7E">
                    <w:rPr>
                      <w:rFonts w:cs="Arial"/>
                      <w:color w:val="0000FF"/>
                      <w:szCs w:val="18"/>
                      <w:u w:val="single"/>
                    </w:rPr>
                    <w:t>https://qed.qld.gov.au/publications/reports/statistics/schooling/learning-outcomes/next-step/year-12-completers</w:t>
                  </w:r>
                </w:p>
              </w:tc>
            </w:tr>
            <w:tr w:rsidR="001668B4" w:rsidRPr="00A0137E" w14:paraId="69C4F8F1" w14:textId="77777777" w:rsidTr="00784511">
              <w:trPr>
                <w:gridAfter w:val="4"/>
                <w:wAfter w:w="74" w:type="dxa"/>
              </w:trPr>
              <w:tc>
                <w:tcPr>
                  <w:tcW w:w="8459" w:type="dxa"/>
                  <w:gridSpan w:val="2"/>
                  <w:tcBorders>
                    <w:bottom w:val="single" w:sz="6" w:space="0" w:color="BFBFBF"/>
                  </w:tcBorders>
                  <w:shd w:val="clear" w:color="auto" w:fill="auto"/>
                </w:tcPr>
                <w:p w14:paraId="6DD043C6" w14:textId="3B2F5D6C" w:rsidR="001668B4" w:rsidRPr="00A0137E" w:rsidRDefault="001668B4" w:rsidP="000B48BF">
                  <w:pPr>
                    <w:pStyle w:val="TableBodyText"/>
                    <w:jc w:val="left"/>
                  </w:pPr>
                  <w:r>
                    <w:rPr>
                      <w:b/>
                    </w:rPr>
                    <w:t>Western Australia</w:t>
                  </w:r>
                </w:p>
              </w:tc>
            </w:tr>
            <w:tr w:rsidR="001A080D" w:rsidRPr="00A0137E" w14:paraId="47DA5302" w14:textId="77777777" w:rsidTr="007C28ED">
              <w:trPr>
                <w:gridAfter w:val="4"/>
                <w:wAfter w:w="74" w:type="dxa"/>
              </w:trPr>
              <w:tc>
                <w:tcPr>
                  <w:tcW w:w="8459" w:type="dxa"/>
                  <w:gridSpan w:val="2"/>
                  <w:shd w:val="clear" w:color="auto" w:fill="auto"/>
                </w:tcPr>
                <w:p w14:paraId="36326F08" w14:textId="15C1D073" w:rsidR="007B1651" w:rsidRPr="00A0137E" w:rsidRDefault="00784511" w:rsidP="00D55478">
                  <w:pPr>
                    <w:pStyle w:val="TableBodyText"/>
                    <w:jc w:val="both"/>
                  </w:pPr>
                  <w:r w:rsidRPr="00784511">
                    <w:t>A post school destination survey of WA government school Year 12 students from the previous year is conducted in March and April each year. The survey data are combined with university and TAFE data to build a comprehensive understanding of Year 12 students’ destinations.</w:t>
                  </w:r>
                </w:p>
              </w:tc>
            </w:tr>
            <w:tr w:rsidR="00F170D1" w:rsidRPr="00A0137E" w14:paraId="78EA6AE4" w14:textId="77777777" w:rsidTr="00784511">
              <w:trPr>
                <w:gridAfter w:val="4"/>
                <w:wAfter w:w="74" w:type="dxa"/>
              </w:trPr>
              <w:tc>
                <w:tcPr>
                  <w:tcW w:w="8459" w:type="dxa"/>
                  <w:gridSpan w:val="2"/>
                  <w:tcBorders>
                    <w:bottom w:val="single" w:sz="6" w:space="0" w:color="BFBFBF"/>
                  </w:tcBorders>
                  <w:shd w:val="clear" w:color="auto" w:fill="auto"/>
                </w:tcPr>
                <w:p w14:paraId="0FECCFF3" w14:textId="55E9DAA2" w:rsidR="00784511" w:rsidRDefault="00784511" w:rsidP="00784511">
                  <w:pPr>
                    <w:pStyle w:val="TableBodyText"/>
                    <w:jc w:val="both"/>
                  </w:pPr>
                  <w:r w:rsidRPr="003C5A00">
                    <w:t xml:space="preserve">In </w:t>
                  </w:r>
                  <w:r w:rsidR="00D55478" w:rsidRPr="003C5A00">
                    <w:rPr>
                      <w:bCs/>
                    </w:rPr>
                    <w:t>March and April</w:t>
                  </w:r>
                  <w:r w:rsidR="00B111B3" w:rsidRPr="003C5A00">
                    <w:rPr>
                      <w:bCs/>
                    </w:rPr>
                    <w:t xml:space="preserve"> </w:t>
                  </w:r>
                  <w:r w:rsidRPr="003C5A00">
                    <w:rPr>
                      <w:bCs/>
                    </w:rPr>
                    <w:t>2020</w:t>
                  </w:r>
                  <w:r w:rsidRPr="00D55478">
                    <w:rPr>
                      <w:bCs/>
                    </w:rPr>
                    <w:t>,</w:t>
                  </w:r>
                  <w:r>
                    <w:t xml:space="preserve"> post-school destination information was collected for 9480 students (65.8 per cent of the total WA government school Year 12 student population in Semester 2, 2019).</w:t>
                  </w:r>
                </w:p>
                <w:p w14:paraId="134C8080" w14:textId="0E27A13E" w:rsidR="00F170D1" w:rsidRPr="003D1176" w:rsidRDefault="00784511" w:rsidP="00784511">
                  <w:pPr>
                    <w:pStyle w:val="TableBodyText"/>
                    <w:jc w:val="both"/>
                  </w:pPr>
                  <w:r>
                    <w:lastRenderedPageBreak/>
                    <w:t>Of these students, 67.6 per cent were in either education or training, with 41.7 per cent at university, 3.1 per cent studying an apprenticeship or a traineeship, 10.1 per cent studying another type of nationally accredited training qualification, 1.6 per cent repeating year 12 studies or engaged in non-accredited training and 11.1 per cent who had deferred their education or training. In addition, 3.8 per cent were engaged exclusively in full time employment, 13.9 per cent in part time employment, and 14.7 per cent were neither working nor studying. The figures may sum to more than 100 per cent due to rounding.</w:t>
                  </w:r>
                </w:p>
              </w:tc>
            </w:tr>
            <w:tr w:rsidR="001A080D" w:rsidRPr="00A0137E" w14:paraId="68B86B6C" w14:textId="77777777" w:rsidTr="00784511">
              <w:trPr>
                <w:gridAfter w:val="4"/>
                <w:wAfter w:w="74" w:type="dxa"/>
              </w:trPr>
              <w:tc>
                <w:tcPr>
                  <w:tcW w:w="8459" w:type="dxa"/>
                  <w:gridSpan w:val="2"/>
                  <w:tcBorders>
                    <w:bottom w:val="single" w:sz="6" w:space="0" w:color="BFBFBF"/>
                  </w:tcBorders>
                  <w:shd w:val="clear" w:color="auto" w:fill="auto"/>
                </w:tcPr>
                <w:p w14:paraId="1DAF4A0C" w14:textId="77777777" w:rsidR="001A080D" w:rsidRPr="00A0137E" w:rsidRDefault="001A080D" w:rsidP="000B48BF">
                  <w:pPr>
                    <w:pStyle w:val="TableUnitsRow"/>
                    <w:jc w:val="left"/>
                  </w:pPr>
                  <w:r w:rsidRPr="00A0137E">
                    <w:rPr>
                      <w:b/>
                    </w:rPr>
                    <w:lastRenderedPageBreak/>
                    <w:t>South Australia</w:t>
                  </w:r>
                </w:p>
              </w:tc>
            </w:tr>
            <w:tr w:rsidR="001A080D" w:rsidRPr="00A0137E" w14:paraId="3FC06EBC" w14:textId="77777777" w:rsidTr="00784511">
              <w:trPr>
                <w:gridAfter w:val="2"/>
                <w:wAfter w:w="40" w:type="dxa"/>
              </w:trPr>
              <w:tc>
                <w:tcPr>
                  <w:tcW w:w="8459" w:type="dxa"/>
                  <w:gridSpan w:val="2"/>
                  <w:tcBorders>
                    <w:bottom w:val="single" w:sz="6" w:space="0" w:color="BFBFBF"/>
                  </w:tcBorders>
                  <w:shd w:val="clear" w:color="auto" w:fill="auto"/>
                </w:tcPr>
                <w:p w14:paraId="05FE0FDD" w14:textId="4DD94365" w:rsidR="001A080D" w:rsidRPr="00A0137E" w:rsidRDefault="001A080D" w:rsidP="000B48BF">
                  <w:pPr>
                    <w:pStyle w:val="TableBodyText"/>
                    <w:jc w:val="left"/>
                  </w:pPr>
                  <w:r w:rsidRPr="00A0137E">
                    <w:t xml:space="preserve">SA does not </w:t>
                  </w:r>
                  <w:r w:rsidR="0015493D">
                    <w:t>currently conduct</w:t>
                  </w:r>
                  <w:r w:rsidR="0015493D" w:rsidRPr="00A0137E">
                    <w:t xml:space="preserve"> </w:t>
                  </w:r>
                  <w:r w:rsidRPr="00A0137E">
                    <w:t>a post</w:t>
                  </w:r>
                  <w:r w:rsidR="0015493D">
                    <w:t>-</w:t>
                  </w:r>
                  <w:r w:rsidRPr="00A0137E">
                    <w:t>school destination survey.</w:t>
                  </w:r>
                </w:p>
              </w:tc>
              <w:tc>
                <w:tcPr>
                  <w:tcW w:w="34" w:type="dxa"/>
                  <w:gridSpan w:val="2"/>
                  <w:tcBorders>
                    <w:bottom w:val="single" w:sz="6" w:space="0" w:color="BFBFBF"/>
                  </w:tcBorders>
                  <w:shd w:val="clear" w:color="auto" w:fill="auto"/>
                </w:tcPr>
                <w:p w14:paraId="7EB34DE6" w14:textId="77777777" w:rsidR="001A080D" w:rsidRPr="00A0137E" w:rsidRDefault="001A080D" w:rsidP="000B48BF">
                  <w:pPr>
                    <w:pStyle w:val="TableBodyText"/>
                    <w:ind w:right="28"/>
                  </w:pPr>
                </w:p>
              </w:tc>
            </w:tr>
            <w:tr w:rsidR="001A080D" w:rsidRPr="00A0137E" w14:paraId="1BE089EB" w14:textId="77777777" w:rsidTr="00CA45C5">
              <w:trPr>
                <w:gridAfter w:val="2"/>
                <w:wAfter w:w="40" w:type="dxa"/>
              </w:trPr>
              <w:tc>
                <w:tcPr>
                  <w:tcW w:w="8459" w:type="dxa"/>
                  <w:gridSpan w:val="2"/>
                  <w:tcBorders>
                    <w:bottom w:val="single" w:sz="6" w:space="0" w:color="BFBFBF"/>
                  </w:tcBorders>
                  <w:shd w:val="clear" w:color="auto" w:fill="auto"/>
                </w:tcPr>
                <w:p w14:paraId="5464F7A4" w14:textId="77777777" w:rsidR="001A080D" w:rsidRPr="00A0137E" w:rsidRDefault="001A080D" w:rsidP="000B48BF">
                  <w:pPr>
                    <w:pStyle w:val="TableUnitsRow"/>
                    <w:jc w:val="left"/>
                  </w:pPr>
                  <w:r w:rsidRPr="00A0137E">
                    <w:rPr>
                      <w:b/>
                    </w:rPr>
                    <w:t>Tasmania</w:t>
                  </w:r>
                </w:p>
              </w:tc>
              <w:tc>
                <w:tcPr>
                  <w:tcW w:w="34" w:type="dxa"/>
                  <w:gridSpan w:val="2"/>
                  <w:tcBorders>
                    <w:bottom w:val="single" w:sz="6" w:space="0" w:color="BFBFBF"/>
                  </w:tcBorders>
                  <w:shd w:val="clear" w:color="auto" w:fill="auto"/>
                </w:tcPr>
                <w:p w14:paraId="407D2426" w14:textId="77777777" w:rsidR="001A080D" w:rsidRPr="00A0137E" w:rsidRDefault="001A080D" w:rsidP="000B48BF">
                  <w:pPr>
                    <w:pStyle w:val="TableBodyText"/>
                    <w:ind w:right="28"/>
                  </w:pPr>
                </w:p>
              </w:tc>
            </w:tr>
            <w:tr w:rsidR="001A080D" w:rsidRPr="00A0137E" w14:paraId="72D56705" w14:textId="77777777" w:rsidTr="00CA45C5">
              <w:trPr>
                <w:gridAfter w:val="2"/>
                <w:wAfter w:w="40" w:type="dxa"/>
                <w:trHeight w:val="52"/>
              </w:trPr>
              <w:tc>
                <w:tcPr>
                  <w:tcW w:w="8459" w:type="dxa"/>
                  <w:gridSpan w:val="2"/>
                  <w:tcBorders>
                    <w:top w:val="single" w:sz="6" w:space="0" w:color="BFBFBF"/>
                    <w:left w:val="nil"/>
                    <w:bottom w:val="single" w:sz="6" w:space="0" w:color="BFBFBF"/>
                    <w:right w:val="nil"/>
                  </w:tcBorders>
                  <w:shd w:val="clear" w:color="auto" w:fill="auto"/>
                </w:tcPr>
                <w:p w14:paraId="699FE354" w14:textId="544602A1" w:rsidR="00D33A6A" w:rsidRDefault="00D33A6A" w:rsidP="00CA45C5">
                  <w:pPr>
                    <w:pStyle w:val="TableBodyText"/>
                    <w:jc w:val="both"/>
                  </w:pPr>
                  <w:r>
                    <w:t>Tasmania does not currently conduct a systemic post-school destination survey.</w:t>
                  </w:r>
                </w:p>
                <w:p w14:paraId="122F07AE" w14:textId="4016A7BA" w:rsidR="00D33A6A" w:rsidRDefault="00D33A6A" w:rsidP="00CA45C5">
                  <w:pPr>
                    <w:pStyle w:val="TableBodyText"/>
                    <w:jc w:val="both"/>
                  </w:pPr>
                  <w:r>
                    <w:t>Recognising that continuing education equates to improved employment and life outcomes for students, on 10 July 2017, the Education Act 2016 (passed by Parliament in November 2016) commenced. The Act requires that from 2020:</w:t>
                  </w:r>
                </w:p>
                <w:p w14:paraId="314651FD" w14:textId="77777777" w:rsidR="00D33A6A" w:rsidRDefault="00D33A6A" w:rsidP="00CA45C5">
                  <w:pPr>
                    <w:pStyle w:val="TableBullet"/>
                    <w:jc w:val="both"/>
                  </w:pPr>
                  <w:r>
                    <w:t>All children and youths must be enrolled in school for thirteen years, from Prep to Year 12.</w:t>
                  </w:r>
                </w:p>
                <w:p w14:paraId="71C41E17" w14:textId="77777777" w:rsidR="00D33A6A" w:rsidRDefault="00D33A6A" w:rsidP="00CA45C5">
                  <w:pPr>
                    <w:pStyle w:val="TableBullet"/>
                    <w:jc w:val="both"/>
                  </w:pPr>
                  <w:r>
                    <w:t>The education and training leaving requirements will be raised so that students must participate in education and training until they complete Year 12, attain a Certificate III, or they turn 18 years of age (whichever occurs first).</w:t>
                  </w:r>
                </w:p>
                <w:p w14:paraId="0BC347A1" w14:textId="22B22A2B" w:rsidR="00D33A6A" w:rsidRDefault="00D33A6A" w:rsidP="00CA45C5">
                  <w:pPr>
                    <w:pStyle w:val="TableBullet"/>
                    <w:jc w:val="both"/>
                  </w:pPr>
                  <w:r>
                    <w:t>The minimum work hours for exemption from the requirement to participate in education and training due to employment increases from 25 hours a week to 35 hours a week.</w:t>
                  </w:r>
                </w:p>
                <w:p w14:paraId="1017B41F" w14:textId="4E210CBB" w:rsidR="001A080D" w:rsidRPr="00A0137E" w:rsidRDefault="00D33A6A" w:rsidP="00CA45C5">
                  <w:pPr>
                    <w:pStyle w:val="TableBodyText"/>
                    <w:spacing w:before="40" w:line="240" w:lineRule="auto"/>
                    <w:jc w:val="both"/>
                  </w:pPr>
                  <w:r w:rsidRPr="001C0720">
                    <w:t>To support the leaving requirements included in the Education Act 2016 the department’s Youth Participation Database is a system that captures information about Tasmanians in Years 10 to 12 or equivalent. It brings together enrolment data from education and training providers across the state in order to identify young people who require follow-up, essentially those not appearing in any datasets as having cu</w:t>
                  </w:r>
                  <w:r>
                    <w:t>rrent enrolments or exemptions.</w:t>
                  </w:r>
                </w:p>
              </w:tc>
              <w:tc>
                <w:tcPr>
                  <w:tcW w:w="34" w:type="dxa"/>
                  <w:gridSpan w:val="2"/>
                  <w:tcBorders>
                    <w:top w:val="single" w:sz="6" w:space="0" w:color="BFBFBF"/>
                    <w:bottom w:val="single" w:sz="6" w:space="0" w:color="BFBFBF"/>
                  </w:tcBorders>
                  <w:shd w:val="clear" w:color="auto" w:fill="auto"/>
                </w:tcPr>
                <w:p w14:paraId="7865C221" w14:textId="77777777" w:rsidR="001A080D" w:rsidRPr="00A0137E" w:rsidRDefault="001A080D" w:rsidP="000B48BF">
                  <w:pPr>
                    <w:pStyle w:val="TableBodyText"/>
                    <w:ind w:right="28"/>
                  </w:pPr>
                </w:p>
              </w:tc>
            </w:tr>
            <w:tr w:rsidR="001A080D" w:rsidRPr="00A0137E" w14:paraId="674C25D2" w14:textId="77777777" w:rsidTr="00D33A6A">
              <w:trPr>
                <w:gridAfter w:val="4"/>
                <w:wAfter w:w="74" w:type="dxa"/>
              </w:trPr>
              <w:tc>
                <w:tcPr>
                  <w:tcW w:w="8459" w:type="dxa"/>
                  <w:gridSpan w:val="2"/>
                  <w:tcBorders>
                    <w:top w:val="single" w:sz="6" w:space="0" w:color="BFBFBF"/>
                    <w:bottom w:val="single" w:sz="6" w:space="0" w:color="BFBFBF"/>
                  </w:tcBorders>
                  <w:shd w:val="clear" w:color="auto" w:fill="auto"/>
                </w:tcPr>
                <w:p w14:paraId="4F5ABE87" w14:textId="77777777" w:rsidR="001A080D" w:rsidRPr="00A0137E" w:rsidRDefault="001A080D" w:rsidP="000B48BF">
                  <w:pPr>
                    <w:pStyle w:val="TableUnitsRow"/>
                    <w:jc w:val="left"/>
                  </w:pPr>
                  <w:r w:rsidRPr="00A0137E">
                    <w:rPr>
                      <w:b/>
                    </w:rPr>
                    <w:t>Australian Capital Territory</w:t>
                  </w:r>
                </w:p>
              </w:tc>
            </w:tr>
            <w:tr w:rsidR="001A080D" w:rsidRPr="00A0137E" w14:paraId="7D34E65A" w14:textId="77777777" w:rsidTr="007C28ED">
              <w:trPr>
                <w:gridAfter w:val="4"/>
                <w:wAfter w:w="74" w:type="dxa"/>
              </w:trPr>
              <w:tc>
                <w:tcPr>
                  <w:tcW w:w="8459" w:type="dxa"/>
                  <w:gridSpan w:val="2"/>
                  <w:shd w:val="clear" w:color="auto" w:fill="auto"/>
                </w:tcPr>
                <w:p w14:paraId="6F53CEE4" w14:textId="72B48A07" w:rsidR="00B111B3" w:rsidRPr="00A0137E" w:rsidRDefault="005003F0" w:rsidP="008D3ACE">
                  <w:pPr>
                    <w:pStyle w:val="TableUnitsRow"/>
                    <w:jc w:val="both"/>
                  </w:pPr>
                  <w:r w:rsidRPr="005003F0">
                    <w:t xml:space="preserve">Since 2007, the ACT has conducted a telephone-based survey of all government and non-government students who successfully completed an ACT Senior Secondary Certificate in the preceding year, as well as students who left school before completing </w:t>
                  </w:r>
                  <w:r w:rsidR="0015493D">
                    <w:t>Y</w:t>
                  </w:r>
                  <w:r w:rsidRPr="005003F0">
                    <w:t xml:space="preserve">ear 12. The survey seeks information on the destinations of young people six months after completion of </w:t>
                  </w:r>
                  <w:r w:rsidR="0015493D">
                    <w:t>Y</w:t>
                  </w:r>
                  <w:r w:rsidRPr="005003F0">
                    <w:t>ear 12 and on satisfaction with their experience in years 11 and 12. In 2018 this survey became multimodal with online self-completion and telephone interviews being utilised. In 2020</w:t>
                  </w:r>
                  <w:r w:rsidR="0015493D">
                    <w:t>,</w:t>
                  </w:r>
                  <w:r w:rsidRPr="005003F0">
                    <w:t xml:space="preserve"> responses were received from 51 per cent of the 2019 </w:t>
                  </w:r>
                  <w:r w:rsidR="0015493D">
                    <w:t>Y</w:t>
                  </w:r>
                  <w:r w:rsidRPr="005003F0">
                    <w:t>ear 12 graduates who were sent a Primary Approach Letter.</w:t>
                  </w:r>
                </w:p>
              </w:tc>
            </w:tr>
            <w:tr w:rsidR="005003F0" w:rsidRPr="00A0137E" w14:paraId="0076F904" w14:textId="77777777" w:rsidTr="00784511">
              <w:trPr>
                <w:gridAfter w:val="4"/>
                <w:wAfter w:w="74" w:type="dxa"/>
              </w:trPr>
              <w:tc>
                <w:tcPr>
                  <w:tcW w:w="8459" w:type="dxa"/>
                  <w:gridSpan w:val="2"/>
                  <w:tcBorders>
                    <w:bottom w:val="single" w:sz="6" w:space="0" w:color="BFBFBF"/>
                  </w:tcBorders>
                  <w:shd w:val="clear" w:color="auto" w:fill="auto"/>
                </w:tcPr>
                <w:p w14:paraId="61E3EFE4" w14:textId="14BC03A3" w:rsidR="005003F0" w:rsidRPr="00A0137E" w:rsidRDefault="005003F0" w:rsidP="005003F0">
                  <w:pPr>
                    <w:pStyle w:val="TableUnitsRow"/>
                    <w:jc w:val="both"/>
                  </w:pPr>
                  <w:r w:rsidRPr="005003F0">
                    <w:t>The 2020 survey</w:t>
                  </w:r>
                  <w:r w:rsidR="0015493D">
                    <w:t xml:space="preserve"> (conducted </w:t>
                  </w:r>
                  <w:r w:rsidR="0015493D" w:rsidRPr="003C5A00">
                    <w:t xml:space="preserve">in </w:t>
                  </w:r>
                  <w:r w:rsidR="008D3ACE" w:rsidRPr="003C5A00">
                    <w:t>the last three weeks of May and first week of June</w:t>
                  </w:r>
                  <w:r w:rsidR="0015493D">
                    <w:t>)</w:t>
                  </w:r>
                  <w:r w:rsidRPr="005003F0">
                    <w:t xml:space="preserve"> found that 88 per cent of 2019 </w:t>
                  </w:r>
                  <w:r w:rsidR="0015493D">
                    <w:t>Y</w:t>
                  </w:r>
                  <w:r w:rsidRPr="005003F0">
                    <w:t xml:space="preserve">ear 12 graduates were employed and/or studying in 2020 and overall 86 per cent found </w:t>
                  </w:r>
                  <w:r w:rsidR="0015493D">
                    <w:t>Y</w:t>
                  </w:r>
                  <w:r w:rsidRPr="005003F0">
                    <w:t>ears 11 and 12 worthwhile. Of the 59 per cent of 2019 graduates studying in 2020, 71 per cent reported that they were studying at the higher education (advanced diploma or higher) level and 25 per cent at the Vocational Education and Training (Certificate I-IV and Diploma) level. Of the 41 per cent of graduates who were not studying in 2020, 69 per cent intended to start some study in the next two years. Year 12 graduates who speak a language other than English at home were more likely to be studying (71 per cent) than those who did not (56 per cent).</w:t>
                  </w:r>
                </w:p>
              </w:tc>
            </w:tr>
            <w:tr w:rsidR="001A080D" w:rsidRPr="00A0137E" w14:paraId="5944E306" w14:textId="77777777" w:rsidTr="00784511">
              <w:trPr>
                <w:gridAfter w:val="4"/>
                <w:wAfter w:w="74" w:type="dxa"/>
              </w:trPr>
              <w:tc>
                <w:tcPr>
                  <w:tcW w:w="8459" w:type="dxa"/>
                  <w:gridSpan w:val="2"/>
                  <w:tcBorders>
                    <w:bottom w:val="single" w:sz="6" w:space="0" w:color="BFBFBF"/>
                  </w:tcBorders>
                  <w:shd w:val="clear" w:color="auto" w:fill="auto"/>
                </w:tcPr>
                <w:p w14:paraId="71760FB1" w14:textId="77777777" w:rsidR="001A080D" w:rsidRPr="00A0137E" w:rsidRDefault="001A080D" w:rsidP="000B48BF">
                  <w:pPr>
                    <w:pStyle w:val="TableUnitsRow"/>
                    <w:jc w:val="left"/>
                    <w:rPr>
                      <w:b/>
                    </w:rPr>
                  </w:pPr>
                  <w:r w:rsidRPr="00A0137E">
                    <w:rPr>
                      <w:b/>
                    </w:rPr>
                    <w:t>Northern Territory</w:t>
                  </w:r>
                </w:p>
              </w:tc>
            </w:tr>
            <w:tr w:rsidR="001A080D" w:rsidRPr="00A0137E" w14:paraId="4AEE78D5" w14:textId="77777777" w:rsidTr="00784511">
              <w:trPr>
                <w:gridAfter w:val="4"/>
                <w:wAfter w:w="74" w:type="dxa"/>
              </w:trPr>
              <w:tc>
                <w:tcPr>
                  <w:tcW w:w="8459" w:type="dxa"/>
                  <w:gridSpan w:val="2"/>
                  <w:tcBorders>
                    <w:bottom w:val="single" w:sz="6" w:space="0" w:color="BFBFBF"/>
                  </w:tcBorders>
                  <w:shd w:val="clear" w:color="auto" w:fill="auto"/>
                </w:tcPr>
                <w:p w14:paraId="42C64268" w14:textId="51319A29" w:rsidR="001A080D" w:rsidRPr="00A0137E" w:rsidRDefault="0015493D" w:rsidP="000B48BF">
                  <w:pPr>
                    <w:pStyle w:val="TableUnitsRow"/>
                    <w:jc w:val="left"/>
                  </w:pPr>
                  <w:r>
                    <w:t xml:space="preserve">The </w:t>
                  </w:r>
                  <w:r w:rsidR="001A080D" w:rsidRPr="00A0137E">
                    <w:t>NT does not conduct a post</w:t>
                  </w:r>
                  <w:r>
                    <w:t>-</w:t>
                  </w:r>
                  <w:r w:rsidR="001A080D" w:rsidRPr="00A0137E">
                    <w:t>school destination survey.</w:t>
                  </w:r>
                </w:p>
              </w:tc>
            </w:tr>
          </w:tbl>
          <w:p w14:paraId="399E502E" w14:textId="77777777" w:rsidR="001A080D" w:rsidRPr="00A0137E" w:rsidRDefault="001A080D" w:rsidP="000B48BF">
            <w:pPr>
              <w:pStyle w:val="Box"/>
            </w:pPr>
          </w:p>
        </w:tc>
      </w:tr>
      <w:tr w:rsidR="001A080D" w14:paraId="5FFBE820" w14:textId="77777777" w:rsidTr="00FC200C">
        <w:tc>
          <w:tcPr>
            <w:tcW w:w="5000" w:type="pct"/>
            <w:tcBorders>
              <w:top w:val="nil"/>
              <w:left w:val="nil"/>
              <w:bottom w:val="nil"/>
              <w:right w:val="nil"/>
            </w:tcBorders>
            <w:shd w:val="clear" w:color="auto" w:fill="auto"/>
          </w:tcPr>
          <w:p w14:paraId="63CD8F36" w14:textId="115AFBAD" w:rsidR="001A080D" w:rsidRPr="00A0137E" w:rsidRDefault="001A080D" w:rsidP="000B48BF">
            <w:pPr>
              <w:pStyle w:val="Source"/>
            </w:pPr>
            <w:r w:rsidRPr="00A0137E">
              <w:rPr>
                <w:i/>
              </w:rPr>
              <w:lastRenderedPageBreak/>
              <w:t>Source</w:t>
            </w:r>
            <w:r w:rsidRPr="00A0137E">
              <w:t>: State and Territory governments (unpublished)</w:t>
            </w:r>
            <w:r w:rsidR="0026798B">
              <w:t>.</w:t>
            </w:r>
          </w:p>
        </w:tc>
      </w:tr>
      <w:tr w:rsidR="001A080D" w14:paraId="020A9262" w14:textId="77777777" w:rsidTr="00FC200C">
        <w:tc>
          <w:tcPr>
            <w:tcW w:w="5000" w:type="pct"/>
            <w:tcBorders>
              <w:top w:val="nil"/>
              <w:left w:val="nil"/>
              <w:bottom w:val="single" w:sz="6" w:space="0" w:color="78A22F"/>
              <w:right w:val="nil"/>
            </w:tcBorders>
            <w:shd w:val="clear" w:color="auto" w:fill="auto"/>
          </w:tcPr>
          <w:p w14:paraId="5E0507D6" w14:textId="77777777" w:rsidR="001A080D" w:rsidRPr="003E2534" w:rsidRDefault="001A080D" w:rsidP="000B48BF">
            <w:pPr>
              <w:pStyle w:val="Box"/>
              <w:spacing w:before="0" w:line="120" w:lineRule="exact"/>
              <w:rPr>
                <w:highlight w:val="yellow"/>
              </w:rPr>
            </w:pPr>
          </w:p>
        </w:tc>
      </w:tr>
      <w:tr w:rsidR="001A080D" w:rsidRPr="00427B49" w14:paraId="5BCE1E4D" w14:textId="77777777" w:rsidTr="00FC200C">
        <w:trPr>
          <w:cantSplit/>
        </w:trPr>
        <w:tc>
          <w:tcPr>
            <w:tcW w:w="5000" w:type="pct"/>
            <w:tcBorders>
              <w:top w:val="nil"/>
              <w:left w:val="nil"/>
              <w:bottom w:val="nil"/>
              <w:right w:val="nil"/>
            </w:tcBorders>
            <w:shd w:val="clear" w:color="auto" w:fill="auto"/>
          </w:tcPr>
          <w:p w14:paraId="6A9E73D2" w14:textId="77777777" w:rsidR="001A080D" w:rsidRPr="003E2534" w:rsidRDefault="001A080D" w:rsidP="000B48BF">
            <w:pPr>
              <w:pStyle w:val="Note"/>
              <w:rPr>
                <w:highlight w:val="yellow"/>
              </w:rPr>
            </w:pPr>
          </w:p>
        </w:tc>
      </w:tr>
    </w:tbl>
    <w:p w14:paraId="5D597A24" w14:textId="1CBE3581" w:rsidR="00F80224" w:rsidRDefault="00F80224" w:rsidP="00F80224">
      <w:pPr>
        <w:pStyle w:val="Heading2"/>
        <w:ind w:left="0" w:firstLine="0"/>
      </w:pPr>
      <w:bookmarkStart w:id="38" w:name="_Toc46822959"/>
      <w:bookmarkStart w:id="39" w:name="_Toc49241272"/>
      <w:r w:rsidRPr="002724BB">
        <w:t>4.2</w:t>
      </w:r>
      <w:r w:rsidRPr="002724BB">
        <w:tab/>
        <w:t>Definitions of key terms</w:t>
      </w:r>
      <w:bookmarkEnd w:id="38"/>
      <w:bookmarkEnd w:id="39"/>
    </w:p>
    <w:tbl>
      <w:tblPr>
        <w:tblW w:w="5000" w:type="pct"/>
        <w:tblCellMar>
          <w:left w:w="57" w:type="dxa"/>
          <w:right w:w="57" w:type="dxa"/>
        </w:tblCellMar>
        <w:tblLook w:val="0000" w:firstRow="0" w:lastRow="0" w:firstColumn="0" w:lastColumn="0" w:noHBand="0" w:noVBand="0"/>
      </w:tblPr>
      <w:tblGrid>
        <w:gridCol w:w="2129"/>
        <w:gridCol w:w="6660"/>
      </w:tblGrid>
      <w:tr w:rsidR="00800E17" w:rsidRPr="00800E17" w14:paraId="79C6A8E6" w14:textId="77777777" w:rsidTr="003B3638">
        <w:trPr>
          <w:cantSplit/>
        </w:trPr>
        <w:tc>
          <w:tcPr>
            <w:tcW w:w="1211" w:type="pct"/>
          </w:tcPr>
          <w:p w14:paraId="16C312AB" w14:textId="77777777" w:rsidR="00800E17" w:rsidRPr="00800E17" w:rsidRDefault="00800E17" w:rsidP="00800E17">
            <w:pPr>
              <w:keepLines/>
              <w:spacing w:before="120" w:line="200" w:lineRule="atLeast"/>
              <w:ind w:left="6" w:right="113"/>
              <w:rPr>
                <w:rFonts w:ascii="Arial" w:hAnsi="Arial"/>
                <w:b/>
                <w:sz w:val="18"/>
                <w:szCs w:val="20"/>
              </w:rPr>
            </w:pPr>
            <w:r w:rsidRPr="00800E17">
              <w:rPr>
                <w:rFonts w:ascii="Arial" w:hAnsi="Arial"/>
                <w:b/>
                <w:sz w:val="18"/>
                <w:szCs w:val="20"/>
              </w:rPr>
              <w:t>Aboriginal and Torres Strait Islander students</w:t>
            </w:r>
          </w:p>
        </w:tc>
        <w:tc>
          <w:tcPr>
            <w:tcW w:w="3789" w:type="pct"/>
          </w:tcPr>
          <w:p w14:paraId="54AFDD39" w14:textId="77777777" w:rsidR="00800E17" w:rsidRPr="00800E17" w:rsidRDefault="00800E17" w:rsidP="00800E17">
            <w:pPr>
              <w:keepNext/>
              <w:keepLines/>
              <w:spacing w:before="120" w:line="200" w:lineRule="atLeast"/>
              <w:rPr>
                <w:rFonts w:ascii="Arial" w:hAnsi="Arial"/>
                <w:sz w:val="18"/>
                <w:szCs w:val="20"/>
              </w:rPr>
            </w:pPr>
            <w:r w:rsidRPr="00800E17">
              <w:rPr>
                <w:rFonts w:ascii="Arial" w:hAnsi="Arial"/>
                <w:sz w:val="18"/>
                <w:szCs w:val="20"/>
              </w:rPr>
              <w:t xml:space="preserve">Students </w:t>
            </w:r>
            <w:proofErr w:type="gramStart"/>
            <w:r w:rsidRPr="00800E17">
              <w:rPr>
                <w:rFonts w:ascii="Arial" w:hAnsi="Arial"/>
                <w:sz w:val="18"/>
                <w:szCs w:val="20"/>
              </w:rPr>
              <w:t>are considered to be</w:t>
            </w:r>
            <w:proofErr w:type="gramEnd"/>
            <w:r w:rsidRPr="00800E17">
              <w:rPr>
                <w:rFonts w:ascii="Arial" w:hAnsi="Arial"/>
                <w:sz w:val="18"/>
                <w:szCs w:val="20"/>
              </w:rPr>
              <w:t xml:space="preserve"> Aboriginal or Torres Strait Islander origin if they identify as being an Aboriginal or Torres Strait Islander or from an Aboriginal and Torres Strait Islander background. Administrative processes for determining Indigenous status vary across jurisdictions. </w:t>
            </w:r>
          </w:p>
        </w:tc>
      </w:tr>
      <w:tr w:rsidR="00800E17" w:rsidRPr="00800E17" w14:paraId="3C8C92C3" w14:textId="77777777" w:rsidTr="00800E17">
        <w:trPr>
          <w:cantSplit/>
        </w:trPr>
        <w:tc>
          <w:tcPr>
            <w:tcW w:w="1211" w:type="pct"/>
            <w:shd w:val="clear" w:color="auto" w:fill="FFFFFF"/>
          </w:tcPr>
          <w:p w14:paraId="554A6D8C" w14:textId="77777777" w:rsidR="00800E17" w:rsidRPr="00800E17" w:rsidRDefault="00800E17" w:rsidP="00800E17">
            <w:pPr>
              <w:keepLines/>
              <w:spacing w:before="120" w:line="200" w:lineRule="atLeast"/>
              <w:ind w:left="6" w:right="113"/>
              <w:rPr>
                <w:rFonts w:ascii="Arial" w:hAnsi="Arial"/>
                <w:b/>
                <w:sz w:val="18"/>
                <w:szCs w:val="20"/>
              </w:rPr>
            </w:pPr>
            <w:r w:rsidRPr="00800E17">
              <w:rPr>
                <w:rFonts w:ascii="Arial" w:hAnsi="Arial"/>
                <w:b/>
                <w:sz w:val="18"/>
                <w:szCs w:val="20"/>
              </w:rPr>
              <w:lastRenderedPageBreak/>
              <w:t>Comparability</w:t>
            </w:r>
          </w:p>
        </w:tc>
        <w:tc>
          <w:tcPr>
            <w:tcW w:w="3789" w:type="pct"/>
            <w:shd w:val="clear" w:color="auto" w:fill="FFFFFF"/>
          </w:tcPr>
          <w:p w14:paraId="23598694" w14:textId="77777777" w:rsidR="00800E17" w:rsidRPr="00800E17" w:rsidRDefault="00800E17" w:rsidP="00800E17">
            <w:pPr>
              <w:keepNext/>
              <w:keepLines/>
              <w:spacing w:before="120" w:line="200" w:lineRule="atLeast"/>
              <w:rPr>
                <w:rFonts w:ascii="Arial" w:hAnsi="Arial"/>
                <w:sz w:val="18"/>
                <w:szCs w:val="20"/>
              </w:rPr>
            </w:pPr>
            <w:r w:rsidRPr="00800E17">
              <w:rPr>
                <w:rFonts w:ascii="Arial" w:hAnsi="Arial"/>
                <w:sz w:val="18"/>
                <w:szCs w:val="20"/>
              </w:rPr>
              <w:t>Data are considered comparable if (subject to caveats) they can be used to inform an assessment of comparative performance. Typically, data are considered comparable when they are collected in the same way and in accordance with the same definitions. For comparable indicators or measures, significant differences in reported results allow an assessment of differences in performance, rather than being the result of anomalies in the data.</w:t>
            </w:r>
          </w:p>
        </w:tc>
      </w:tr>
      <w:tr w:rsidR="00800E17" w:rsidRPr="00800E17" w14:paraId="67F13157" w14:textId="77777777" w:rsidTr="00800E17">
        <w:trPr>
          <w:cantSplit/>
        </w:trPr>
        <w:tc>
          <w:tcPr>
            <w:tcW w:w="1211" w:type="pct"/>
            <w:shd w:val="clear" w:color="auto" w:fill="FFFFFF"/>
          </w:tcPr>
          <w:p w14:paraId="77E7291D" w14:textId="77777777" w:rsidR="00800E17" w:rsidRPr="00800E17" w:rsidRDefault="00800E17" w:rsidP="003B3638">
            <w:pPr>
              <w:keepLines/>
              <w:spacing w:before="120" w:line="200" w:lineRule="atLeast"/>
              <w:ind w:right="113"/>
              <w:rPr>
                <w:rFonts w:ascii="Arial" w:hAnsi="Arial"/>
                <w:b/>
                <w:sz w:val="18"/>
                <w:szCs w:val="20"/>
              </w:rPr>
            </w:pPr>
            <w:r w:rsidRPr="00800E17">
              <w:rPr>
                <w:rFonts w:ascii="Arial" w:hAnsi="Arial"/>
                <w:b/>
                <w:sz w:val="18"/>
                <w:szCs w:val="20"/>
              </w:rPr>
              <w:t>Completeness</w:t>
            </w:r>
          </w:p>
        </w:tc>
        <w:tc>
          <w:tcPr>
            <w:tcW w:w="3789" w:type="pct"/>
            <w:shd w:val="clear" w:color="auto" w:fill="FFFFFF"/>
          </w:tcPr>
          <w:p w14:paraId="7A213B69" w14:textId="77777777" w:rsidR="00800E17" w:rsidRPr="00800E17" w:rsidRDefault="00800E17" w:rsidP="00800E17">
            <w:pPr>
              <w:keepNext/>
              <w:keepLines/>
              <w:spacing w:before="120" w:line="200" w:lineRule="atLeast"/>
              <w:rPr>
                <w:rFonts w:ascii="Arial" w:hAnsi="Arial"/>
                <w:sz w:val="18"/>
                <w:szCs w:val="20"/>
              </w:rPr>
            </w:pPr>
            <w:r w:rsidRPr="00800E17">
              <w:rPr>
                <w:rFonts w:ascii="Arial" w:hAnsi="Arial"/>
                <w:sz w:val="18"/>
                <w:szCs w:val="20"/>
              </w:rPr>
              <w:t>Data are considered complete if all required data are available for all jurisdictions that provide the service.</w:t>
            </w:r>
          </w:p>
        </w:tc>
      </w:tr>
      <w:tr w:rsidR="00800E17" w:rsidRPr="00800E17" w14:paraId="243B1674" w14:textId="77777777" w:rsidTr="00800E17">
        <w:trPr>
          <w:cantSplit/>
        </w:trPr>
        <w:tc>
          <w:tcPr>
            <w:tcW w:w="1211" w:type="pct"/>
            <w:shd w:val="clear" w:color="auto" w:fill="FFFFFF"/>
          </w:tcPr>
          <w:p w14:paraId="2AFEBCBC" w14:textId="77777777" w:rsidR="00800E17" w:rsidRPr="00800E17" w:rsidRDefault="00800E17" w:rsidP="00800E17">
            <w:pPr>
              <w:keepLines/>
              <w:spacing w:before="120" w:line="200" w:lineRule="atLeast"/>
              <w:ind w:left="6" w:right="113"/>
              <w:rPr>
                <w:rFonts w:ascii="Arial" w:hAnsi="Arial"/>
                <w:b/>
                <w:sz w:val="18"/>
                <w:szCs w:val="20"/>
              </w:rPr>
            </w:pPr>
            <w:r w:rsidRPr="00800E17">
              <w:rPr>
                <w:rFonts w:ascii="Arial" w:hAnsi="Arial"/>
                <w:b/>
                <w:sz w:val="18"/>
                <w:szCs w:val="20"/>
              </w:rPr>
              <w:t>Confidence interval</w:t>
            </w:r>
          </w:p>
        </w:tc>
        <w:tc>
          <w:tcPr>
            <w:tcW w:w="3789" w:type="pct"/>
            <w:shd w:val="clear" w:color="auto" w:fill="FFFFFF"/>
          </w:tcPr>
          <w:p w14:paraId="099B41E1" w14:textId="77777777" w:rsidR="00800E17" w:rsidRPr="00800E17" w:rsidRDefault="00800E17" w:rsidP="00800E17">
            <w:pPr>
              <w:keepNext/>
              <w:keepLines/>
              <w:spacing w:before="120" w:line="200" w:lineRule="atLeast"/>
              <w:rPr>
                <w:rFonts w:ascii="Arial" w:hAnsi="Arial"/>
                <w:sz w:val="18"/>
                <w:szCs w:val="20"/>
              </w:rPr>
            </w:pPr>
            <w:r w:rsidRPr="00800E17">
              <w:rPr>
                <w:rFonts w:ascii="Arial" w:hAnsi="Arial"/>
                <w:sz w:val="18"/>
                <w:szCs w:val="20"/>
              </w:rPr>
              <w:t>A confidence interval is a specified interval, with the sample statistic at the centre, within which the corresponding population value can be said to lie with a given level of confidence (section 2).</w:t>
            </w:r>
          </w:p>
        </w:tc>
      </w:tr>
      <w:tr w:rsidR="00800E17" w:rsidRPr="00800E17" w14:paraId="5231993A" w14:textId="77777777" w:rsidTr="00800E17">
        <w:trPr>
          <w:cantSplit/>
        </w:trPr>
        <w:tc>
          <w:tcPr>
            <w:tcW w:w="1211" w:type="pct"/>
            <w:shd w:val="clear" w:color="auto" w:fill="FFFFFF"/>
          </w:tcPr>
          <w:p w14:paraId="09D91F16" w14:textId="77777777" w:rsidR="00800E17" w:rsidRPr="00800E17" w:rsidRDefault="00800E17" w:rsidP="00800E17">
            <w:pPr>
              <w:keepLines/>
              <w:spacing w:before="120" w:line="200" w:lineRule="atLeast"/>
              <w:ind w:left="6" w:right="113"/>
              <w:rPr>
                <w:rFonts w:ascii="Arial" w:hAnsi="Arial"/>
                <w:b/>
                <w:sz w:val="18"/>
                <w:szCs w:val="20"/>
              </w:rPr>
            </w:pPr>
            <w:r w:rsidRPr="00800E17">
              <w:rPr>
                <w:rFonts w:ascii="Arial" w:hAnsi="Arial"/>
                <w:b/>
                <w:sz w:val="18"/>
                <w:szCs w:val="20"/>
              </w:rPr>
              <w:t>Confidence intervals (for NAPLAN and NAP sample)</w:t>
            </w:r>
          </w:p>
        </w:tc>
        <w:tc>
          <w:tcPr>
            <w:tcW w:w="3789" w:type="pct"/>
            <w:shd w:val="clear" w:color="auto" w:fill="FFFFFF"/>
          </w:tcPr>
          <w:p w14:paraId="698A3248" w14:textId="77777777" w:rsidR="00800E17" w:rsidRPr="00800E17" w:rsidRDefault="00800E17" w:rsidP="00800E17">
            <w:pPr>
              <w:keepNext/>
              <w:keepLines/>
              <w:spacing w:before="120" w:line="200" w:lineRule="atLeast"/>
              <w:rPr>
                <w:rFonts w:ascii="Arial" w:hAnsi="Arial"/>
                <w:sz w:val="18"/>
                <w:szCs w:val="20"/>
              </w:rPr>
            </w:pPr>
            <w:r w:rsidRPr="00800E17">
              <w:rPr>
                <w:rFonts w:ascii="Arial" w:hAnsi="Arial"/>
                <w:sz w:val="18"/>
                <w:szCs w:val="20"/>
              </w:rPr>
              <w:t xml:space="preserve">The NAPLAN and NAP sample confidence intervals are calculated by ACARA and </w:t>
            </w:r>
            <w:proofErr w:type="gramStart"/>
            <w:r w:rsidRPr="00800E17">
              <w:rPr>
                <w:rFonts w:ascii="Arial" w:hAnsi="Arial"/>
                <w:sz w:val="18"/>
                <w:szCs w:val="20"/>
              </w:rPr>
              <w:t>take into account</w:t>
            </w:r>
            <w:proofErr w:type="gramEnd"/>
            <w:r w:rsidRPr="00800E17">
              <w:rPr>
                <w:rFonts w:ascii="Arial" w:hAnsi="Arial"/>
                <w:sz w:val="18"/>
                <w:szCs w:val="20"/>
              </w:rPr>
              <w:t xml:space="preserve"> two factors:</w:t>
            </w:r>
          </w:p>
          <w:p w14:paraId="75B7E332" w14:textId="77777777" w:rsidR="00800E17" w:rsidRPr="00525873" w:rsidRDefault="00800E17" w:rsidP="008D1CB3">
            <w:pPr>
              <w:pStyle w:val="ListParagraph"/>
              <w:keepNext/>
              <w:keepLines/>
              <w:numPr>
                <w:ilvl w:val="0"/>
                <w:numId w:val="23"/>
              </w:numPr>
              <w:spacing w:before="40" w:line="200" w:lineRule="atLeast"/>
              <w:ind w:right="113"/>
              <w:rPr>
                <w:rFonts w:ascii="Arial" w:hAnsi="Arial"/>
                <w:sz w:val="18"/>
                <w:szCs w:val="20"/>
              </w:rPr>
            </w:pPr>
            <w:r w:rsidRPr="00525873">
              <w:rPr>
                <w:rFonts w:ascii="Arial" w:hAnsi="Arial"/>
                <w:i/>
                <w:sz w:val="18"/>
                <w:szCs w:val="20"/>
              </w:rPr>
              <w:t>Sampling error</w:t>
            </w:r>
            <w:r w:rsidRPr="00525873">
              <w:rPr>
                <w:rFonts w:ascii="Arial" w:hAnsi="Arial"/>
                <w:sz w:val="18"/>
                <w:szCs w:val="20"/>
              </w:rPr>
              <w:t xml:space="preserve"> — The sampling error accounts for adjustments for non</w:t>
            </w:r>
            <w:r w:rsidRPr="00525873">
              <w:rPr>
                <w:rFonts w:ascii="Arial" w:hAnsi="Arial"/>
                <w:sz w:val="18"/>
                <w:szCs w:val="20"/>
              </w:rPr>
              <w:noBreakHyphen/>
              <w:t>response and measures the variance across students.</w:t>
            </w:r>
          </w:p>
          <w:p w14:paraId="2A93FCB6" w14:textId="77777777" w:rsidR="00800E17" w:rsidRPr="00525873" w:rsidRDefault="00800E17" w:rsidP="008D1CB3">
            <w:pPr>
              <w:pStyle w:val="ListParagraph"/>
              <w:keepNext/>
              <w:keepLines/>
              <w:numPr>
                <w:ilvl w:val="0"/>
                <w:numId w:val="23"/>
              </w:numPr>
              <w:spacing w:before="40" w:line="200" w:lineRule="atLeast"/>
              <w:ind w:right="113"/>
              <w:rPr>
                <w:rFonts w:ascii="Arial" w:hAnsi="Arial"/>
                <w:sz w:val="18"/>
                <w:szCs w:val="20"/>
              </w:rPr>
            </w:pPr>
            <w:r w:rsidRPr="00525873">
              <w:rPr>
                <w:rFonts w:ascii="Arial" w:hAnsi="Arial"/>
                <w:i/>
                <w:sz w:val="18"/>
                <w:szCs w:val="20"/>
              </w:rPr>
              <w:t>Measurement error</w:t>
            </w:r>
            <w:r w:rsidRPr="00525873">
              <w:rPr>
                <w:rFonts w:ascii="Arial" w:hAnsi="Arial"/>
                <w:sz w:val="18"/>
                <w:szCs w:val="20"/>
              </w:rPr>
              <w:t xml:space="preserve"> — The NAPLAN assessments can only sample a small part of the literacy or numeracy curriculum so as not to place too much burden on each students’ time. Consequently, the result of the NAPLAN assessments will contain some uncertainty </w:t>
            </w:r>
            <w:r w:rsidRPr="00525873">
              <w:rPr>
                <w:rFonts w:ascii="Arial" w:hAnsi="Arial"/>
                <w:i/>
                <w:sz w:val="18"/>
                <w:szCs w:val="20"/>
              </w:rPr>
              <w:t>for each student</w:t>
            </w:r>
            <w:r w:rsidRPr="00525873">
              <w:rPr>
                <w:rFonts w:ascii="Arial" w:hAnsi="Arial"/>
                <w:sz w:val="18"/>
                <w:szCs w:val="20"/>
              </w:rPr>
              <w:t xml:space="preserve">. This uncertainty is referred to as measurement error. </w:t>
            </w:r>
          </w:p>
          <w:p w14:paraId="0A529C3A" w14:textId="77777777" w:rsidR="00800E17" w:rsidRPr="00800E17" w:rsidRDefault="00800E17" w:rsidP="00800E17">
            <w:pPr>
              <w:keepNext/>
              <w:keepLines/>
              <w:spacing w:before="120" w:line="200" w:lineRule="atLeast"/>
              <w:rPr>
                <w:rFonts w:ascii="Arial" w:hAnsi="Arial"/>
                <w:sz w:val="18"/>
                <w:szCs w:val="20"/>
              </w:rPr>
            </w:pPr>
            <w:r w:rsidRPr="00800E17">
              <w:rPr>
                <w:rFonts w:ascii="Arial" w:hAnsi="Arial"/>
                <w:sz w:val="18"/>
                <w:szCs w:val="20"/>
              </w:rPr>
              <w:t xml:space="preserve">Estimates of sampling and measurement errors are combined to obtain final standard errors and confidence intervals to determine statistical significance of mean differences and percentage differences in NAPLAN and NAP sample performance </w:t>
            </w:r>
            <w:r w:rsidRPr="00800E17">
              <w:rPr>
                <w:rFonts w:ascii="Arial" w:hAnsi="Arial"/>
                <w:i/>
                <w:sz w:val="18"/>
                <w:szCs w:val="20"/>
              </w:rPr>
              <w:t>within a report year</w:t>
            </w:r>
            <w:r w:rsidRPr="00800E17">
              <w:rPr>
                <w:rFonts w:ascii="Arial" w:hAnsi="Arial"/>
                <w:sz w:val="18"/>
                <w:szCs w:val="20"/>
              </w:rPr>
              <w:t>.</w:t>
            </w:r>
          </w:p>
          <w:p w14:paraId="1E4002D6" w14:textId="77777777" w:rsidR="00800E17" w:rsidRPr="00800E17" w:rsidRDefault="00800E17" w:rsidP="00800E17">
            <w:pPr>
              <w:keepNext/>
              <w:keepLines/>
              <w:spacing w:before="120" w:line="200" w:lineRule="atLeast"/>
              <w:rPr>
                <w:rFonts w:ascii="Arial" w:hAnsi="Arial"/>
                <w:sz w:val="18"/>
                <w:szCs w:val="20"/>
              </w:rPr>
            </w:pPr>
            <w:r w:rsidRPr="00800E17">
              <w:rPr>
                <w:rFonts w:ascii="Arial" w:hAnsi="Arial"/>
                <w:sz w:val="18"/>
                <w:szCs w:val="20"/>
              </w:rPr>
              <w:t>For analysing difference across years, a further source of error needs to be accounted for:</w:t>
            </w:r>
          </w:p>
          <w:p w14:paraId="18B99433" w14:textId="77777777" w:rsidR="00800E17" w:rsidRPr="00525873" w:rsidRDefault="00800E17" w:rsidP="008D1CB3">
            <w:pPr>
              <w:pStyle w:val="ListParagraph"/>
              <w:keepNext/>
              <w:keepLines/>
              <w:numPr>
                <w:ilvl w:val="0"/>
                <w:numId w:val="24"/>
              </w:numPr>
              <w:spacing w:before="40" w:line="200" w:lineRule="atLeast"/>
              <w:ind w:right="113"/>
              <w:rPr>
                <w:rFonts w:ascii="Arial" w:hAnsi="Arial"/>
                <w:sz w:val="18"/>
                <w:szCs w:val="20"/>
              </w:rPr>
            </w:pPr>
            <w:r w:rsidRPr="00525873">
              <w:rPr>
                <w:rFonts w:ascii="Arial" w:hAnsi="Arial"/>
                <w:i/>
                <w:sz w:val="18"/>
                <w:szCs w:val="20"/>
              </w:rPr>
              <w:t>Equating error</w:t>
            </w:r>
            <w:r w:rsidRPr="00525873">
              <w:rPr>
                <w:rFonts w:ascii="Arial" w:hAnsi="Arial"/>
                <w:sz w:val="18"/>
                <w:szCs w:val="20"/>
              </w:rPr>
              <w:t xml:space="preserve"> — The equating error measures the variance related to the impact of changes to the NAPLAN secure equating tests between years. That is, how closely the equating tests align between years.</w:t>
            </w:r>
          </w:p>
          <w:p w14:paraId="227734CE" w14:textId="77777777" w:rsidR="00800E17" w:rsidRPr="00800E17" w:rsidRDefault="00800E17" w:rsidP="00800E17">
            <w:pPr>
              <w:keepNext/>
              <w:keepLines/>
              <w:spacing w:before="120" w:line="200" w:lineRule="atLeast"/>
              <w:rPr>
                <w:rFonts w:ascii="Arial" w:hAnsi="Arial"/>
                <w:sz w:val="18"/>
                <w:szCs w:val="20"/>
              </w:rPr>
            </w:pPr>
            <w:r w:rsidRPr="00800E17">
              <w:rPr>
                <w:rFonts w:ascii="Arial" w:hAnsi="Arial"/>
                <w:sz w:val="18"/>
                <w:szCs w:val="20"/>
              </w:rPr>
              <w:t xml:space="preserve">To evaluate statistical significance of mean and percentage differences between years, ACARA tests the change between years </w:t>
            </w:r>
            <w:proofErr w:type="gramStart"/>
            <w:r w:rsidRPr="00800E17">
              <w:rPr>
                <w:rFonts w:ascii="Arial" w:hAnsi="Arial"/>
                <w:sz w:val="18"/>
                <w:szCs w:val="20"/>
              </w:rPr>
              <w:t>taking into account</w:t>
            </w:r>
            <w:proofErr w:type="gramEnd"/>
            <w:r w:rsidRPr="00800E17">
              <w:rPr>
                <w:rFonts w:ascii="Arial" w:hAnsi="Arial"/>
                <w:sz w:val="18"/>
                <w:szCs w:val="20"/>
              </w:rPr>
              <w:t xml:space="preserve"> the equating, sampling and measurement errors. However, the equating error is not represented within the reported confidence interval.</w:t>
            </w:r>
          </w:p>
        </w:tc>
      </w:tr>
      <w:tr w:rsidR="00800E17" w:rsidRPr="00800E17" w14:paraId="4ACEBF1E" w14:textId="77777777" w:rsidTr="003B3638">
        <w:trPr>
          <w:cantSplit/>
        </w:trPr>
        <w:tc>
          <w:tcPr>
            <w:tcW w:w="1211" w:type="pct"/>
          </w:tcPr>
          <w:p w14:paraId="53D03078" w14:textId="77777777" w:rsidR="00800E17" w:rsidRPr="00800E17" w:rsidRDefault="00800E17" w:rsidP="00800E17">
            <w:pPr>
              <w:keepLines/>
              <w:spacing w:before="120" w:line="200" w:lineRule="atLeast"/>
              <w:ind w:left="6" w:right="113"/>
              <w:rPr>
                <w:rFonts w:ascii="Arial" w:hAnsi="Arial"/>
                <w:b/>
                <w:sz w:val="18"/>
                <w:szCs w:val="20"/>
              </w:rPr>
            </w:pPr>
            <w:r w:rsidRPr="00800E17">
              <w:rPr>
                <w:rFonts w:ascii="Arial" w:hAnsi="Arial"/>
                <w:b/>
                <w:sz w:val="18"/>
                <w:szCs w:val="20"/>
              </w:rPr>
              <w:t>Foundation year</w:t>
            </w:r>
            <w:r w:rsidRPr="00800E17">
              <w:rPr>
                <w:rFonts w:ascii="Arial" w:hAnsi="Arial"/>
                <w:b/>
                <w:sz w:val="18"/>
                <w:szCs w:val="20"/>
              </w:rPr>
              <w:br/>
              <w:t>(pre-year 1)</w:t>
            </w:r>
          </w:p>
        </w:tc>
        <w:tc>
          <w:tcPr>
            <w:tcW w:w="3789" w:type="pct"/>
          </w:tcPr>
          <w:p w14:paraId="74E042BC" w14:textId="77777777" w:rsidR="00800E17" w:rsidRPr="00800E17" w:rsidRDefault="00800E17" w:rsidP="00800E17">
            <w:pPr>
              <w:keepLines/>
              <w:spacing w:before="120" w:line="200" w:lineRule="atLeast"/>
              <w:rPr>
                <w:rFonts w:ascii="Arial" w:hAnsi="Arial"/>
                <w:sz w:val="18"/>
                <w:szCs w:val="20"/>
              </w:rPr>
            </w:pPr>
            <w:r w:rsidRPr="00800E17">
              <w:rPr>
                <w:rFonts w:ascii="Arial" w:hAnsi="Arial"/>
                <w:sz w:val="18"/>
                <w:szCs w:val="20"/>
              </w:rPr>
              <w:t>The first year of primary school.</w:t>
            </w:r>
          </w:p>
          <w:p w14:paraId="5A6D09A7" w14:textId="77777777" w:rsidR="00800E17" w:rsidRPr="00800E17" w:rsidRDefault="00800E17" w:rsidP="00800E17">
            <w:pPr>
              <w:keepLines/>
              <w:spacing w:before="120" w:line="200" w:lineRule="atLeast"/>
              <w:rPr>
                <w:rFonts w:ascii="Arial" w:hAnsi="Arial"/>
                <w:sz w:val="18"/>
                <w:szCs w:val="20"/>
              </w:rPr>
            </w:pPr>
            <w:r w:rsidRPr="00800E17">
              <w:rPr>
                <w:rFonts w:ascii="Arial" w:hAnsi="Arial"/>
                <w:sz w:val="18"/>
                <w:szCs w:val="20"/>
              </w:rPr>
              <w:t>Naming conventions for the foundation year differ between states and territories. Foundation year is known as:</w:t>
            </w:r>
          </w:p>
          <w:p w14:paraId="2418201D" w14:textId="77777777" w:rsidR="00800E17" w:rsidRPr="00525873" w:rsidRDefault="00800E17" w:rsidP="0035217A">
            <w:pPr>
              <w:pStyle w:val="ListParagraph"/>
              <w:keepLines/>
              <w:numPr>
                <w:ilvl w:val="0"/>
                <w:numId w:val="24"/>
              </w:numPr>
              <w:spacing w:before="40" w:line="200" w:lineRule="atLeast"/>
              <w:ind w:right="113"/>
              <w:rPr>
                <w:rFonts w:ascii="Arial" w:hAnsi="Arial"/>
                <w:sz w:val="18"/>
                <w:szCs w:val="20"/>
              </w:rPr>
            </w:pPr>
            <w:r w:rsidRPr="00525873">
              <w:rPr>
                <w:rFonts w:ascii="Arial" w:hAnsi="Arial"/>
                <w:sz w:val="18"/>
                <w:szCs w:val="20"/>
              </w:rPr>
              <w:t xml:space="preserve">Kindergarten in New South Wales and the Australian Capital Territory </w:t>
            </w:r>
          </w:p>
          <w:p w14:paraId="4C94C736" w14:textId="77777777" w:rsidR="00800E17" w:rsidRPr="00525873" w:rsidRDefault="00800E17" w:rsidP="008D1CB3">
            <w:pPr>
              <w:pStyle w:val="ListParagraph"/>
              <w:keepLines/>
              <w:numPr>
                <w:ilvl w:val="0"/>
                <w:numId w:val="24"/>
              </w:numPr>
              <w:spacing w:before="40" w:line="200" w:lineRule="atLeast"/>
              <w:ind w:right="113"/>
              <w:rPr>
                <w:rFonts w:ascii="Arial" w:hAnsi="Arial"/>
                <w:sz w:val="18"/>
                <w:szCs w:val="20"/>
              </w:rPr>
            </w:pPr>
            <w:r w:rsidRPr="00525873">
              <w:rPr>
                <w:rFonts w:ascii="Arial" w:hAnsi="Arial"/>
                <w:sz w:val="18"/>
                <w:szCs w:val="20"/>
              </w:rPr>
              <w:t xml:space="preserve">Preparatory in Victoria, Queensland and Tasmania </w:t>
            </w:r>
          </w:p>
          <w:p w14:paraId="02AB31D2" w14:textId="77777777" w:rsidR="00800E17" w:rsidRPr="00525873" w:rsidRDefault="00800E17" w:rsidP="008D1CB3">
            <w:pPr>
              <w:pStyle w:val="ListParagraph"/>
              <w:keepLines/>
              <w:numPr>
                <w:ilvl w:val="0"/>
                <w:numId w:val="24"/>
              </w:numPr>
              <w:spacing w:before="40" w:line="200" w:lineRule="atLeast"/>
              <w:ind w:right="113"/>
              <w:rPr>
                <w:rFonts w:ascii="Arial" w:hAnsi="Arial"/>
                <w:sz w:val="18"/>
                <w:szCs w:val="20"/>
              </w:rPr>
            </w:pPr>
            <w:r w:rsidRPr="00525873">
              <w:rPr>
                <w:rFonts w:ascii="Arial" w:hAnsi="Arial"/>
                <w:sz w:val="18"/>
                <w:szCs w:val="20"/>
              </w:rPr>
              <w:t xml:space="preserve">Reception in South Australia </w:t>
            </w:r>
          </w:p>
          <w:p w14:paraId="7CA2F889" w14:textId="77777777" w:rsidR="00800E17" w:rsidRPr="00525873" w:rsidRDefault="00800E17" w:rsidP="008D1CB3">
            <w:pPr>
              <w:pStyle w:val="ListParagraph"/>
              <w:keepLines/>
              <w:numPr>
                <w:ilvl w:val="0"/>
                <w:numId w:val="24"/>
              </w:numPr>
              <w:spacing w:before="40" w:line="200" w:lineRule="atLeast"/>
              <w:ind w:right="113"/>
              <w:rPr>
                <w:rFonts w:ascii="Arial" w:hAnsi="Arial"/>
                <w:sz w:val="18"/>
                <w:szCs w:val="20"/>
              </w:rPr>
            </w:pPr>
            <w:r w:rsidRPr="00525873">
              <w:rPr>
                <w:rFonts w:ascii="Arial" w:hAnsi="Arial"/>
                <w:sz w:val="18"/>
                <w:szCs w:val="20"/>
              </w:rPr>
              <w:t>Pre</w:t>
            </w:r>
            <w:r w:rsidRPr="00525873">
              <w:rPr>
                <w:rFonts w:ascii="Arial" w:hAnsi="Arial"/>
                <w:sz w:val="18"/>
                <w:szCs w:val="20"/>
              </w:rPr>
              <w:noBreakHyphen/>
              <w:t xml:space="preserve">primary in Western Australia </w:t>
            </w:r>
          </w:p>
          <w:p w14:paraId="1325A945" w14:textId="77777777" w:rsidR="00800E17" w:rsidRPr="00525873" w:rsidRDefault="00800E17" w:rsidP="008D1CB3">
            <w:pPr>
              <w:pStyle w:val="ListParagraph"/>
              <w:keepLines/>
              <w:numPr>
                <w:ilvl w:val="0"/>
                <w:numId w:val="24"/>
              </w:numPr>
              <w:spacing w:before="40" w:line="200" w:lineRule="atLeast"/>
              <w:ind w:right="113"/>
              <w:rPr>
                <w:rFonts w:ascii="Arial" w:hAnsi="Arial"/>
                <w:sz w:val="18"/>
                <w:szCs w:val="20"/>
              </w:rPr>
            </w:pPr>
            <w:r w:rsidRPr="00525873">
              <w:rPr>
                <w:rFonts w:ascii="Arial" w:hAnsi="Arial"/>
                <w:sz w:val="18"/>
                <w:szCs w:val="20"/>
              </w:rPr>
              <w:t xml:space="preserve">Transition in the Northern Territory, and </w:t>
            </w:r>
          </w:p>
          <w:p w14:paraId="26DB6C19" w14:textId="77777777" w:rsidR="00800E17" w:rsidRPr="00525873" w:rsidRDefault="00800E17" w:rsidP="008D1CB3">
            <w:pPr>
              <w:pStyle w:val="ListParagraph"/>
              <w:keepLines/>
              <w:numPr>
                <w:ilvl w:val="0"/>
                <w:numId w:val="24"/>
              </w:numPr>
              <w:spacing w:before="40" w:line="200" w:lineRule="atLeast"/>
              <w:ind w:right="113"/>
              <w:rPr>
                <w:rFonts w:ascii="Arial" w:hAnsi="Arial"/>
                <w:sz w:val="18"/>
                <w:szCs w:val="20"/>
              </w:rPr>
            </w:pPr>
            <w:r w:rsidRPr="00525873">
              <w:rPr>
                <w:rFonts w:ascii="Arial" w:hAnsi="Arial"/>
                <w:sz w:val="18"/>
                <w:szCs w:val="20"/>
              </w:rPr>
              <w:t xml:space="preserve">Foundation year in the Australian Curriculum. </w:t>
            </w:r>
          </w:p>
        </w:tc>
      </w:tr>
      <w:tr w:rsidR="00800E17" w:rsidRPr="00800E17" w14:paraId="3154995B" w14:textId="77777777" w:rsidTr="003B3638">
        <w:trPr>
          <w:cantSplit/>
        </w:trPr>
        <w:tc>
          <w:tcPr>
            <w:tcW w:w="1211" w:type="pct"/>
          </w:tcPr>
          <w:p w14:paraId="7886B909" w14:textId="77777777" w:rsidR="00800E17" w:rsidRPr="00800E17" w:rsidRDefault="00800E17" w:rsidP="00800E17">
            <w:pPr>
              <w:keepNext/>
              <w:keepLines/>
              <w:spacing w:before="120" w:line="200" w:lineRule="atLeast"/>
              <w:ind w:left="6" w:right="113"/>
              <w:rPr>
                <w:rFonts w:ascii="Arial" w:hAnsi="Arial"/>
                <w:b/>
                <w:sz w:val="18"/>
                <w:szCs w:val="20"/>
              </w:rPr>
            </w:pPr>
            <w:r w:rsidRPr="00800E17">
              <w:rPr>
                <w:rFonts w:ascii="Arial" w:hAnsi="Arial"/>
                <w:b/>
                <w:sz w:val="18"/>
                <w:szCs w:val="20"/>
              </w:rPr>
              <w:t>Full time equivalent student</w:t>
            </w:r>
          </w:p>
        </w:tc>
        <w:tc>
          <w:tcPr>
            <w:tcW w:w="3789" w:type="pct"/>
          </w:tcPr>
          <w:p w14:paraId="637597FC" w14:textId="77777777" w:rsidR="00800E17" w:rsidRPr="00800E17" w:rsidRDefault="00800E17" w:rsidP="00800E17">
            <w:pPr>
              <w:keepNext/>
              <w:keepLines/>
              <w:spacing w:before="120" w:line="200" w:lineRule="atLeast"/>
              <w:rPr>
                <w:rFonts w:ascii="Arial" w:hAnsi="Arial"/>
                <w:sz w:val="18"/>
                <w:szCs w:val="20"/>
              </w:rPr>
            </w:pPr>
            <w:r w:rsidRPr="00800E17">
              <w:rPr>
                <w:rFonts w:ascii="Arial" w:hAnsi="Arial"/>
                <w:sz w:val="18"/>
                <w:szCs w:val="20"/>
              </w:rPr>
              <w:t xml:space="preserve">The FTE of a </w:t>
            </w:r>
            <w:proofErr w:type="gramStart"/>
            <w:r w:rsidRPr="00800E17">
              <w:rPr>
                <w:rFonts w:ascii="Arial" w:hAnsi="Arial"/>
                <w:sz w:val="18"/>
                <w:szCs w:val="20"/>
              </w:rPr>
              <w:t>full time</w:t>
            </w:r>
            <w:proofErr w:type="gramEnd"/>
            <w:r w:rsidRPr="00800E17">
              <w:rPr>
                <w:rFonts w:ascii="Arial" w:hAnsi="Arial"/>
                <w:sz w:val="18"/>
                <w:szCs w:val="20"/>
              </w:rPr>
              <w:t xml:space="preserve"> student is 1.0. The method of converting part time student numbers into FTEs is based on the student’s workload compared with the workload usually undertaken by a </w:t>
            </w:r>
            <w:proofErr w:type="gramStart"/>
            <w:r w:rsidRPr="00800E17">
              <w:rPr>
                <w:rFonts w:ascii="Arial" w:hAnsi="Arial"/>
                <w:sz w:val="18"/>
                <w:szCs w:val="20"/>
              </w:rPr>
              <w:t>full time</w:t>
            </w:r>
            <w:proofErr w:type="gramEnd"/>
            <w:r w:rsidRPr="00800E17">
              <w:rPr>
                <w:rFonts w:ascii="Arial" w:hAnsi="Arial"/>
                <w:sz w:val="18"/>
                <w:szCs w:val="20"/>
              </w:rPr>
              <w:t xml:space="preserve"> student.</w:t>
            </w:r>
          </w:p>
        </w:tc>
      </w:tr>
      <w:tr w:rsidR="00800E17" w:rsidRPr="00800E17" w14:paraId="53A3C6C0" w14:textId="77777777" w:rsidTr="003B3638">
        <w:trPr>
          <w:cantSplit/>
        </w:trPr>
        <w:tc>
          <w:tcPr>
            <w:tcW w:w="1211" w:type="pct"/>
          </w:tcPr>
          <w:p w14:paraId="158C06BC" w14:textId="77777777" w:rsidR="00800E17" w:rsidRPr="00800E17" w:rsidRDefault="00800E17" w:rsidP="00800E17">
            <w:pPr>
              <w:keepLines/>
              <w:spacing w:before="120" w:line="200" w:lineRule="atLeast"/>
              <w:ind w:left="6" w:right="113"/>
              <w:rPr>
                <w:rFonts w:ascii="Arial" w:hAnsi="Arial"/>
                <w:b/>
                <w:sz w:val="18"/>
                <w:szCs w:val="20"/>
              </w:rPr>
            </w:pPr>
            <w:r w:rsidRPr="00800E17">
              <w:rPr>
                <w:rFonts w:ascii="Arial" w:hAnsi="Arial"/>
                <w:b/>
                <w:sz w:val="18"/>
                <w:szCs w:val="20"/>
              </w:rPr>
              <w:t>Full time student</w:t>
            </w:r>
          </w:p>
        </w:tc>
        <w:tc>
          <w:tcPr>
            <w:tcW w:w="3789" w:type="pct"/>
          </w:tcPr>
          <w:p w14:paraId="37EB297F" w14:textId="77777777" w:rsidR="00800E17" w:rsidRPr="00800E17" w:rsidRDefault="00800E17" w:rsidP="00800E17">
            <w:pPr>
              <w:keepLines/>
              <w:spacing w:before="120" w:line="200" w:lineRule="atLeast"/>
              <w:rPr>
                <w:rFonts w:ascii="Arial" w:hAnsi="Arial"/>
                <w:sz w:val="18"/>
                <w:szCs w:val="20"/>
              </w:rPr>
            </w:pPr>
            <w:r w:rsidRPr="00800E17">
              <w:rPr>
                <w:rFonts w:ascii="Arial" w:hAnsi="Arial"/>
                <w:sz w:val="18"/>
                <w:szCs w:val="20"/>
              </w:rPr>
              <w:t xml:space="preserve">A person who satisfies the definition of a student and undertakes a workload equivalent to, or greater than, that usually undertaken by a student of that year level. The definition of </w:t>
            </w:r>
            <w:proofErr w:type="gramStart"/>
            <w:r w:rsidRPr="00800E17">
              <w:rPr>
                <w:rFonts w:ascii="Arial" w:hAnsi="Arial"/>
                <w:sz w:val="18"/>
                <w:szCs w:val="20"/>
              </w:rPr>
              <w:t>full time</w:t>
            </w:r>
            <w:proofErr w:type="gramEnd"/>
            <w:r w:rsidRPr="00800E17">
              <w:rPr>
                <w:rFonts w:ascii="Arial" w:hAnsi="Arial"/>
                <w:sz w:val="18"/>
                <w:szCs w:val="20"/>
              </w:rPr>
              <w:t xml:space="preserve"> student varies across jurisdictions.</w:t>
            </w:r>
          </w:p>
        </w:tc>
      </w:tr>
      <w:tr w:rsidR="00800E17" w:rsidRPr="00800E17" w14:paraId="009513FE" w14:textId="77777777" w:rsidTr="003B3638">
        <w:trPr>
          <w:cantSplit/>
        </w:trPr>
        <w:tc>
          <w:tcPr>
            <w:tcW w:w="1211" w:type="pct"/>
          </w:tcPr>
          <w:p w14:paraId="4D0C96E1" w14:textId="77777777" w:rsidR="00800E17" w:rsidRPr="00800E17" w:rsidRDefault="00800E17" w:rsidP="00800E17">
            <w:pPr>
              <w:keepLines/>
              <w:spacing w:before="120" w:line="200" w:lineRule="atLeast"/>
              <w:ind w:left="6" w:right="113"/>
              <w:rPr>
                <w:rFonts w:ascii="Arial" w:hAnsi="Arial"/>
                <w:sz w:val="18"/>
                <w:szCs w:val="18"/>
              </w:rPr>
            </w:pPr>
            <w:r w:rsidRPr="00800E17">
              <w:rPr>
                <w:rFonts w:ascii="Arial" w:hAnsi="Arial"/>
                <w:b/>
                <w:sz w:val="18"/>
                <w:szCs w:val="20"/>
              </w:rPr>
              <w:lastRenderedPageBreak/>
              <w:t>Geographic classification</w:t>
            </w:r>
            <w:r w:rsidRPr="00800E17">
              <w:rPr>
                <w:rFonts w:ascii="Arial" w:hAnsi="Arial"/>
                <w:b/>
                <w:sz w:val="18"/>
                <w:szCs w:val="20"/>
              </w:rPr>
              <w:br/>
              <w:t>(ASGS)</w:t>
            </w:r>
          </w:p>
        </w:tc>
        <w:tc>
          <w:tcPr>
            <w:tcW w:w="3789" w:type="pct"/>
          </w:tcPr>
          <w:p w14:paraId="77051B7D" w14:textId="77777777" w:rsidR="00800E17" w:rsidRPr="00800E17" w:rsidRDefault="00800E17" w:rsidP="00800E17">
            <w:pPr>
              <w:keepLines/>
              <w:spacing w:before="120" w:line="200" w:lineRule="atLeast"/>
              <w:rPr>
                <w:rFonts w:ascii="Arial" w:hAnsi="Arial"/>
                <w:sz w:val="18"/>
                <w:szCs w:val="20"/>
              </w:rPr>
            </w:pPr>
            <w:r w:rsidRPr="00800E17">
              <w:rPr>
                <w:rFonts w:ascii="Arial" w:hAnsi="Arial"/>
                <w:sz w:val="18"/>
                <w:szCs w:val="20"/>
              </w:rPr>
              <w:t>From 2016, Student remoteness is based on the Australian Statistical Geography Standard (ASGS) Remoteness Structure. The extended version of the Accessibility/Remoteness Index of Australia (ARIA+), developed by the University of Adelaide’s Australian Population and Migration Research Centre, is the standard ABS</w:t>
            </w:r>
            <w:r w:rsidRPr="00800E17">
              <w:rPr>
                <w:rFonts w:ascii="Arial" w:hAnsi="Arial"/>
                <w:sz w:val="18"/>
                <w:szCs w:val="20"/>
              </w:rPr>
              <w:noBreakHyphen/>
              <w:t>endorsed measure of remoteness on ABS postal areas. Student remoteness (ARIA+) regions use the same ARIA+ ranges as the ABS remoteness areas and are therefore an approximation of the ABS remoteness areas. For more details of ARIA+ refer to &lt;www.abs.gov.au/websitedbs/d3310114.nsf/home/</w:t>
            </w:r>
            <w:r w:rsidRPr="00800E17">
              <w:rPr>
                <w:rFonts w:ascii="Arial" w:hAnsi="Arial"/>
                <w:sz w:val="18"/>
                <w:szCs w:val="20"/>
              </w:rPr>
              <w:br/>
            </w:r>
            <w:proofErr w:type="spellStart"/>
            <w:r w:rsidRPr="00800E17">
              <w:rPr>
                <w:rFonts w:ascii="Arial" w:hAnsi="Arial"/>
                <w:sz w:val="18"/>
                <w:szCs w:val="20"/>
              </w:rPr>
              <w:t>remoteness+structure</w:t>
            </w:r>
            <w:proofErr w:type="spellEnd"/>
            <w:r w:rsidRPr="00800E17">
              <w:rPr>
                <w:rFonts w:ascii="Arial" w:hAnsi="Arial"/>
                <w:sz w:val="18"/>
                <w:szCs w:val="20"/>
              </w:rPr>
              <w:t xml:space="preserve">&gt;. </w:t>
            </w:r>
          </w:p>
          <w:p w14:paraId="19FC7DE1" w14:textId="77777777" w:rsidR="00800E17" w:rsidRPr="00800E17" w:rsidRDefault="00800E17" w:rsidP="00800E17">
            <w:pPr>
              <w:keepLines/>
              <w:spacing w:before="120" w:line="200" w:lineRule="atLeast"/>
              <w:rPr>
                <w:rFonts w:ascii="Arial" w:hAnsi="Arial"/>
                <w:sz w:val="18"/>
                <w:szCs w:val="20"/>
              </w:rPr>
            </w:pPr>
            <w:r w:rsidRPr="00800E17">
              <w:rPr>
                <w:rFonts w:ascii="Arial" w:hAnsi="Arial"/>
                <w:sz w:val="18"/>
                <w:szCs w:val="20"/>
              </w:rPr>
              <w:t>The remoteness categories are:</w:t>
            </w:r>
          </w:p>
          <w:p w14:paraId="0675D0C5" w14:textId="77777777" w:rsidR="00800E17" w:rsidRPr="00525873" w:rsidRDefault="00800E17" w:rsidP="008D1CB3">
            <w:pPr>
              <w:pStyle w:val="ListParagraph"/>
              <w:keepLines/>
              <w:numPr>
                <w:ilvl w:val="0"/>
                <w:numId w:val="25"/>
              </w:numPr>
              <w:spacing w:before="40" w:line="200" w:lineRule="atLeast"/>
              <w:ind w:right="113"/>
              <w:rPr>
                <w:rFonts w:ascii="Arial" w:hAnsi="Arial"/>
                <w:sz w:val="18"/>
                <w:szCs w:val="20"/>
              </w:rPr>
            </w:pPr>
            <w:r w:rsidRPr="00525873">
              <w:rPr>
                <w:rFonts w:ascii="Arial" w:hAnsi="Arial"/>
                <w:sz w:val="18"/>
                <w:szCs w:val="20"/>
              </w:rPr>
              <w:t>Major cities of Australia</w:t>
            </w:r>
          </w:p>
          <w:p w14:paraId="70D6D999" w14:textId="77777777" w:rsidR="00800E17" w:rsidRPr="00525873" w:rsidRDefault="00800E17" w:rsidP="008D1CB3">
            <w:pPr>
              <w:pStyle w:val="ListParagraph"/>
              <w:keepLines/>
              <w:numPr>
                <w:ilvl w:val="0"/>
                <w:numId w:val="25"/>
              </w:numPr>
              <w:spacing w:before="40" w:line="200" w:lineRule="atLeast"/>
              <w:ind w:right="113"/>
              <w:rPr>
                <w:rFonts w:ascii="Arial" w:hAnsi="Arial"/>
                <w:sz w:val="18"/>
                <w:szCs w:val="20"/>
              </w:rPr>
            </w:pPr>
            <w:r w:rsidRPr="00525873">
              <w:rPr>
                <w:rFonts w:ascii="Arial" w:hAnsi="Arial"/>
                <w:sz w:val="18"/>
                <w:szCs w:val="20"/>
              </w:rPr>
              <w:t>Inner regional areas of Australia</w:t>
            </w:r>
          </w:p>
          <w:p w14:paraId="7D66C015" w14:textId="77777777" w:rsidR="00800E17" w:rsidRPr="00525873" w:rsidRDefault="00800E17" w:rsidP="008D1CB3">
            <w:pPr>
              <w:pStyle w:val="ListParagraph"/>
              <w:keepLines/>
              <w:numPr>
                <w:ilvl w:val="0"/>
                <w:numId w:val="25"/>
              </w:numPr>
              <w:spacing w:before="40" w:line="200" w:lineRule="atLeast"/>
              <w:ind w:right="113"/>
              <w:rPr>
                <w:rFonts w:ascii="Arial" w:hAnsi="Arial"/>
                <w:sz w:val="18"/>
                <w:szCs w:val="20"/>
              </w:rPr>
            </w:pPr>
            <w:r w:rsidRPr="00525873">
              <w:rPr>
                <w:rFonts w:ascii="Arial" w:hAnsi="Arial"/>
                <w:sz w:val="18"/>
                <w:szCs w:val="20"/>
              </w:rPr>
              <w:t>Outer regional areas of Australia</w:t>
            </w:r>
          </w:p>
          <w:p w14:paraId="69E3EF6B" w14:textId="77777777" w:rsidR="00800E17" w:rsidRPr="00525873" w:rsidRDefault="00800E17" w:rsidP="008D1CB3">
            <w:pPr>
              <w:pStyle w:val="ListParagraph"/>
              <w:keepLines/>
              <w:numPr>
                <w:ilvl w:val="0"/>
                <w:numId w:val="25"/>
              </w:numPr>
              <w:spacing w:before="40" w:line="200" w:lineRule="atLeast"/>
              <w:ind w:right="113"/>
              <w:rPr>
                <w:rFonts w:ascii="Arial" w:hAnsi="Arial"/>
                <w:sz w:val="18"/>
                <w:szCs w:val="20"/>
              </w:rPr>
            </w:pPr>
            <w:r w:rsidRPr="00525873">
              <w:rPr>
                <w:rFonts w:ascii="Arial" w:hAnsi="Arial"/>
                <w:sz w:val="18"/>
                <w:szCs w:val="20"/>
              </w:rPr>
              <w:t>Remote areas of Australia</w:t>
            </w:r>
          </w:p>
          <w:p w14:paraId="4FC65555" w14:textId="77777777" w:rsidR="00800E17" w:rsidRDefault="00800E17" w:rsidP="008D1CB3">
            <w:pPr>
              <w:pStyle w:val="ListParagraph"/>
              <w:keepNext/>
              <w:keepLines/>
              <w:numPr>
                <w:ilvl w:val="0"/>
                <w:numId w:val="25"/>
              </w:numPr>
              <w:spacing w:before="40" w:line="200" w:lineRule="atLeast"/>
              <w:ind w:right="113"/>
              <w:rPr>
                <w:rFonts w:ascii="Arial" w:hAnsi="Arial"/>
                <w:sz w:val="18"/>
                <w:szCs w:val="20"/>
              </w:rPr>
            </w:pPr>
            <w:r w:rsidRPr="00525873">
              <w:rPr>
                <w:rFonts w:ascii="Arial" w:hAnsi="Arial"/>
                <w:sz w:val="18"/>
                <w:szCs w:val="20"/>
              </w:rPr>
              <w:t>Very remote areas of Australia.</w:t>
            </w:r>
          </w:p>
          <w:p w14:paraId="6864DD92" w14:textId="5F1193E1" w:rsidR="00BA6BBF" w:rsidRPr="00BA6BBF" w:rsidRDefault="00BA6BBF" w:rsidP="00BA6BBF">
            <w:pPr>
              <w:keepNext/>
              <w:keepLines/>
              <w:spacing w:before="40" w:line="200" w:lineRule="atLeast"/>
              <w:ind w:right="113"/>
              <w:rPr>
                <w:rFonts w:ascii="Arial" w:hAnsi="Arial"/>
                <w:sz w:val="18"/>
                <w:szCs w:val="20"/>
              </w:rPr>
            </w:pPr>
            <w:r w:rsidRPr="00800E17">
              <w:rPr>
                <w:rFonts w:ascii="Arial" w:hAnsi="Arial"/>
                <w:sz w:val="18"/>
                <w:szCs w:val="20"/>
              </w:rPr>
              <w:t>Geographic classifications prior to 2016 are based on the Ministerial Council for Education, Early Childhood Development and Youth Affairs (</w:t>
            </w:r>
            <w:r w:rsidRPr="00800E17">
              <w:rPr>
                <w:rFonts w:ascii="Arial" w:hAnsi="Arial"/>
                <w:sz w:val="18"/>
                <w:szCs w:val="18"/>
              </w:rPr>
              <w:t>MCEECDYA</w:t>
            </w:r>
            <w:r w:rsidRPr="00800E17">
              <w:rPr>
                <w:rFonts w:ascii="Arial" w:hAnsi="Arial"/>
                <w:sz w:val="18"/>
                <w:szCs w:val="20"/>
              </w:rPr>
              <w:t>) standard. Data are not directly comparable. (The exception is Census and survey data which were already using the ASGS, and prior to that the Australian Standard Geographic Classification).</w:t>
            </w:r>
          </w:p>
        </w:tc>
      </w:tr>
      <w:tr w:rsidR="00800E17" w:rsidRPr="00800E17" w14:paraId="5586283F" w14:textId="77777777" w:rsidTr="00800E17">
        <w:trPr>
          <w:cantSplit/>
        </w:trPr>
        <w:tc>
          <w:tcPr>
            <w:tcW w:w="1211" w:type="pct"/>
          </w:tcPr>
          <w:p w14:paraId="25FB8CCF" w14:textId="77777777" w:rsidR="00800E17" w:rsidRPr="00800E17" w:rsidRDefault="00800E17" w:rsidP="00800E17">
            <w:pPr>
              <w:keepLines/>
              <w:spacing w:before="120" w:line="200" w:lineRule="atLeast"/>
              <w:ind w:left="6" w:right="113"/>
              <w:rPr>
                <w:rFonts w:ascii="Arial" w:hAnsi="Arial"/>
                <w:b/>
                <w:sz w:val="18"/>
                <w:szCs w:val="20"/>
              </w:rPr>
            </w:pPr>
            <w:r w:rsidRPr="00800E17">
              <w:rPr>
                <w:rFonts w:ascii="Arial" w:hAnsi="Arial"/>
                <w:b/>
                <w:sz w:val="18"/>
                <w:szCs w:val="20"/>
              </w:rPr>
              <w:t>Geographic classification</w:t>
            </w:r>
            <w:r w:rsidRPr="00800E17">
              <w:rPr>
                <w:rFonts w:ascii="Arial" w:hAnsi="Arial"/>
                <w:b/>
                <w:sz w:val="18"/>
                <w:szCs w:val="20"/>
              </w:rPr>
              <w:br/>
              <w:t>(</w:t>
            </w:r>
            <w:r w:rsidRPr="00800E17">
              <w:rPr>
                <w:rFonts w:ascii="Arial" w:hAnsi="Arial"/>
                <w:b/>
                <w:sz w:val="18"/>
                <w:szCs w:val="18"/>
              </w:rPr>
              <w:t>MCEECDYA</w:t>
            </w:r>
            <w:r w:rsidRPr="00800E17">
              <w:rPr>
                <w:rFonts w:ascii="Arial" w:hAnsi="Arial"/>
                <w:b/>
                <w:sz w:val="18"/>
                <w:szCs w:val="20"/>
              </w:rPr>
              <w:t>)</w:t>
            </w:r>
          </w:p>
        </w:tc>
        <w:tc>
          <w:tcPr>
            <w:tcW w:w="3789" w:type="pct"/>
            <w:shd w:val="clear" w:color="auto" w:fill="FFFFFF"/>
          </w:tcPr>
          <w:p w14:paraId="3E55AC5A" w14:textId="77777777" w:rsidR="00800E17" w:rsidRPr="00800E17" w:rsidRDefault="00800E17" w:rsidP="00800E17">
            <w:pPr>
              <w:keepLines/>
              <w:spacing w:before="120" w:line="200" w:lineRule="atLeast"/>
              <w:rPr>
                <w:rFonts w:ascii="Arial" w:hAnsi="Arial"/>
                <w:sz w:val="18"/>
                <w:szCs w:val="20"/>
              </w:rPr>
            </w:pPr>
            <w:r w:rsidRPr="00800E17">
              <w:rPr>
                <w:rFonts w:ascii="Arial" w:hAnsi="Arial"/>
                <w:sz w:val="18"/>
                <w:szCs w:val="20"/>
              </w:rPr>
              <w:t xml:space="preserve">Prior to 2016, Geographic categorisation is based on the agreed MCEECDYA Geographic Location Classification which, at the highest level, divides Australia into three zones (the metropolitan, provincial and remote zones). </w:t>
            </w:r>
          </w:p>
          <w:p w14:paraId="77C1D9A6" w14:textId="77777777" w:rsidR="00800E17" w:rsidRPr="00525873" w:rsidRDefault="00800E17" w:rsidP="008D1CB3">
            <w:pPr>
              <w:pStyle w:val="ListParagraph"/>
              <w:keepNext/>
              <w:keepLines/>
              <w:numPr>
                <w:ilvl w:val="0"/>
                <w:numId w:val="26"/>
              </w:numPr>
              <w:spacing w:before="40" w:line="200" w:lineRule="atLeast"/>
              <w:ind w:right="113"/>
              <w:rPr>
                <w:rFonts w:ascii="Arial" w:hAnsi="Arial"/>
                <w:sz w:val="18"/>
                <w:szCs w:val="20"/>
              </w:rPr>
            </w:pPr>
            <w:r w:rsidRPr="00525873">
              <w:rPr>
                <w:rFonts w:ascii="Arial" w:hAnsi="Arial"/>
                <w:i/>
                <w:sz w:val="18"/>
                <w:szCs w:val="20"/>
              </w:rPr>
              <w:t>Metropolitan zone</w:t>
            </w:r>
            <w:r w:rsidRPr="00525873">
              <w:rPr>
                <w:rFonts w:ascii="Arial" w:hAnsi="Arial"/>
                <w:sz w:val="18"/>
                <w:szCs w:val="20"/>
              </w:rPr>
              <w:t>: Mainland State capital city regions and Major urban Statistical Districts (100 000 or more population).</w:t>
            </w:r>
          </w:p>
          <w:p w14:paraId="62C7B727" w14:textId="77777777" w:rsidR="00800E17" w:rsidRPr="00525873" w:rsidRDefault="00800E17" w:rsidP="008D1CB3">
            <w:pPr>
              <w:pStyle w:val="ListParagraph"/>
              <w:keepNext/>
              <w:keepLines/>
              <w:numPr>
                <w:ilvl w:val="0"/>
                <w:numId w:val="26"/>
              </w:numPr>
              <w:spacing w:before="40" w:line="200" w:lineRule="atLeast"/>
              <w:ind w:right="113"/>
              <w:rPr>
                <w:rFonts w:ascii="Arial" w:hAnsi="Arial"/>
                <w:sz w:val="18"/>
                <w:szCs w:val="20"/>
              </w:rPr>
            </w:pPr>
            <w:r w:rsidRPr="00525873">
              <w:rPr>
                <w:rFonts w:ascii="Arial" w:hAnsi="Arial"/>
                <w:i/>
                <w:sz w:val="18"/>
                <w:szCs w:val="20"/>
                <w:lang w:val="fr-FR"/>
              </w:rPr>
              <w:t xml:space="preserve">Provincial </w:t>
            </w:r>
            <w:proofErr w:type="gramStart"/>
            <w:r w:rsidRPr="00525873">
              <w:rPr>
                <w:rFonts w:ascii="Arial" w:hAnsi="Arial"/>
                <w:i/>
                <w:sz w:val="18"/>
                <w:szCs w:val="20"/>
                <w:lang w:val="fr-FR"/>
              </w:rPr>
              <w:t>zone</w:t>
            </w:r>
            <w:r w:rsidRPr="00525873">
              <w:rPr>
                <w:rFonts w:ascii="Arial" w:hAnsi="Arial"/>
                <w:sz w:val="18"/>
                <w:szCs w:val="20"/>
                <w:lang w:val="fr-FR"/>
              </w:rPr>
              <w:t>:</w:t>
            </w:r>
            <w:proofErr w:type="gramEnd"/>
            <w:r w:rsidRPr="00525873">
              <w:rPr>
                <w:rFonts w:ascii="Arial" w:hAnsi="Arial"/>
                <w:sz w:val="18"/>
                <w:szCs w:val="20"/>
                <w:lang w:val="fr-FR"/>
              </w:rPr>
              <w:t xml:space="preserve"> </w:t>
            </w:r>
            <w:r w:rsidRPr="00525873">
              <w:rPr>
                <w:rFonts w:ascii="Arial" w:hAnsi="Arial"/>
                <w:sz w:val="18"/>
                <w:szCs w:val="20"/>
              </w:rPr>
              <w:t xml:space="preserve">Provincial city statistical districts and Darwin statistical division (25 000–99 999 population); and Other provincial areas (Collection District [CD] ARIA+ score </w:t>
            </w:r>
            <w:r w:rsidRPr="00525873">
              <w:rPr>
                <w:rFonts w:ascii="Arial" w:hAnsi="Arial"/>
                <w:sz w:val="18"/>
                <w:szCs w:val="20"/>
                <w:u w:val="single"/>
              </w:rPr>
              <w:t>&lt;</w:t>
            </w:r>
            <w:r w:rsidRPr="00525873">
              <w:rPr>
                <w:rFonts w:ascii="Arial" w:hAnsi="Arial"/>
                <w:sz w:val="18"/>
                <w:szCs w:val="20"/>
              </w:rPr>
              <w:t xml:space="preserve"> 5.92).</w:t>
            </w:r>
          </w:p>
          <w:p w14:paraId="22CA4B21" w14:textId="77777777" w:rsidR="00800E17" w:rsidRPr="00525873" w:rsidRDefault="00800E17" w:rsidP="008D1CB3">
            <w:pPr>
              <w:pStyle w:val="ListParagraph"/>
              <w:keepNext/>
              <w:keepLines/>
              <w:numPr>
                <w:ilvl w:val="0"/>
                <w:numId w:val="29"/>
              </w:numPr>
              <w:spacing w:before="40" w:line="200" w:lineRule="atLeast"/>
              <w:ind w:right="113"/>
              <w:rPr>
                <w:rFonts w:ascii="Arial" w:hAnsi="Arial"/>
                <w:sz w:val="18"/>
                <w:szCs w:val="20"/>
              </w:rPr>
            </w:pPr>
            <w:r w:rsidRPr="00525873">
              <w:rPr>
                <w:rFonts w:ascii="Arial" w:hAnsi="Arial"/>
                <w:sz w:val="18"/>
                <w:szCs w:val="20"/>
              </w:rPr>
              <w:t>Inner provincial areas (CD ARIA+ score &lt; 2.4)</w:t>
            </w:r>
          </w:p>
          <w:p w14:paraId="45B10369" w14:textId="77777777" w:rsidR="00800E17" w:rsidRPr="00525873" w:rsidRDefault="00800E17" w:rsidP="008D1CB3">
            <w:pPr>
              <w:pStyle w:val="ListParagraph"/>
              <w:keepNext/>
              <w:keepLines/>
              <w:numPr>
                <w:ilvl w:val="0"/>
                <w:numId w:val="29"/>
              </w:numPr>
              <w:spacing w:before="40" w:line="200" w:lineRule="atLeast"/>
              <w:ind w:right="113"/>
              <w:rPr>
                <w:rFonts w:ascii="Arial" w:hAnsi="Arial"/>
                <w:sz w:val="18"/>
                <w:szCs w:val="20"/>
              </w:rPr>
            </w:pPr>
            <w:r w:rsidRPr="00525873">
              <w:rPr>
                <w:rFonts w:ascii="Arial" w:hAnsi="Arial"/>
                <w:sz w:val="18"/>
                <w:szCs w:val="20"/>
              </w:rPr>
              <w:t>Outer provincial areas (CD ARIA+ score &gt; 2.4 and &lt; 5.92).</w:t>
            </w:r>
          </w:p>
          <w:p w14:paraId="32DCA57E" w14:textId="77777777" w:rsidR="00800E17" w:rsidRPr="00525873" w:rsidRDefault="00800E17" w:rsidP="008D1CB3">
            <w:pPr>
              <w:pStyle w:val="ListParagraph"/>
              <w:keepNext/>
              <w:keepLines/>
              <w:numPr>
                <w:ilvl w:val="0"/>
                <w:numId w:val="27"/>
              </w:numPr>
              <w:spacing w:before="40" w:line="200" w:lineRule="atLeast"/>
              <w:ind w:right="113"/>
              <w:rPr>
                <w:rFonts w:ascii="Arial" w:hAnsi="Arial"/>
                <w:sz w:val="18"/>
                <w:szCs w:val="20"/>
                <w:lang w:val="fr-FR"/>
              </w:rPr>
            </w:pPr>
            <w:r w:rsidRPr="00525873">
              <w:rPr>
                <w:rFonts w:ascii="Arial" w:hAnsi="Arial"/>
                <w:i/>
                <w:sz w:val="18"/>
                <w:szCs w:val="20"/>
              </w:rPr>
              <w:t>Remote zone</w:t>
            </w:r>
            <w:r w:rsidRPr="00525873">
              <w:rPr>
                <w:rFonts w:ascii="Arial" w:hAnsi="Arial"/>
                <w:sz w:val="18"/>
                <w:szCs w:val="20"/>
              </w:rPr>
              <w:t xml:space="preserve">: </w:t>
            </w:r>
            <w:proofErr w:type="spellStart"/>
            <w:r w:rsidRPr="00525873">
              <w:rPr>
                <w:rFonts w:ascii="Arial" w:hAnsi="Arial"/>
                <w:sz w:val="18"/>
                <w:szCs w:val="20"/>
                <w:lang w:val="fr-FR"/>
              </w:rPr>
              <w:t>Remote</w:t>
            </w:r>
            <w:proofErr w:type="spellEnd"/>
            <w:r w:rsidRPr="00525873">
              <w:rPr>
                <w:rFonts w:ascii="Arial" w:hAnsi="Arial"/>
                <w:sz w:val="18"/>
                <w:szCs w:val="20"/>
                <w:lang w:val="fr-FR"/>
              </w:rPr>
              <w:t xml:space="preserve"> zone (CD ARIA+ score &gt; 5.92)</w:t>
            </w:r>
          </w:p>
          <w:p w14:paraId="55C59E26" w14:textId="77777777" w:rsidR="00800E17" w:rsidRPr="00525873" w:rsidRDefault="00800E17" w:rsidP="008D1CB3">
            <w:pPr>
              <w:pStyle w:val="ListParagraph"/>
              <w:keepNext/>
              <w:keepLines/>
              <w:numPr>
                <w:ilvl w:val="0"/>
                <w:numId w:val="28"/>
              </w:numPr>
              <w:spacing w:before="40" w:line="200" w:lineRule="atLeast"/>
              <w:ind w:right="113"/>
              <w:rPr>
                <w:rFonts w:ascii="Arial" w:hAnsi="Arial"/>
                <w:sz w:val="18"/>
                <w:szCs w:val="20"/>
              </w:rPr>
            </w:pPr>
            <w:r w:rsidRPr="00525873">
              <w:rPr>
                <w:rFonts w:ascii="Arial" w:hAnsi="Arial"/>
                <w:sz w:val="18"/>
                <w:szCs w:val="20"/>
              </w:rPr>
              <w:t xml:space="preserve">Remote areas (CD ARIA+ score &gt; 5.92 and </w:t>
            </w:r>
            <w:r w:rsidRPr="00525873">
              <w:rPr>
                <w:rFonts w:ascii="Arial" w:hAnsi="Arial"/>
                <w:sz w:val="18"/>
                <w:szCs w:val="20"/>
                <w:u w:val="single"/>
              </w:rPr>
              <w:t xml:space="preserve">&lt; </w:t>
            </w:r>
            <w:r w:rsidRPr="00525873">
              <w:rPr>
                <w:rFonts w:ascii="Arial" w:hAnsi="Arial"/>
                <w:sz w:val="18"/>
                <w:szCs w:val="20"/>
              </w:rPr>
              <w:t>10.53)</w:t>
            </w:r>
          </w:p>
          <w:p w14:paraId="19510DAB" w14:textId="77777777" w:rsidR="00800E17" w:rsidRPr="00525873" w:rsidRDefault="00800E17" w:rsidP="008D1CB3">
            <w:pPr>
              <w:pStyle w:val="ListParagraph"/>
              <w:keepNext/>
              <w:keepLines/>
              <w:numPr>
                <w:ilvl w:val="0"/>
                <w:numId w:val="28"/>
              </w:numPr>
              <w:spacing w:before="40" w:line="200" w:lineRule="atLeast"/>
              <w:ind w:right="113"/>
              <w:rPr>
                <w:rFonts w:ascii="Arial" w:hAnsi="Arial"/>
                <w:sz w:val="18"/>
                <w:szCs w:val="20"/>
              </w:rPr>
            </w:pPr>
            <w:r w:rsidRPr="00525873">
              <w:rPr>
                <w:rFonts w:ascii="Arial" w:hAnsi="Arial"/>
                <w:sz w:val="18"/>
                <w:szCs w:val="20"/>
              </w:rPr>
              <w:t>Very remote areas (CD ARIA+ score &gt; 10.53).</w:t>
            </w:r>
          </w:p>
        </w:tc>
      </w:tr>
      <w:tr w:rsidR="00800E17" w:rsidRPr="00800E17" w14:paraId="0ABD9D6A" w14:textId="77777777" w:rsidTr="003B3638">
        <w:trPr>
          <w:cantSplit/>
        </w:trPr>
        <w:tc>
          <w:tcPr>
            <w:tcW w:w="1211" w:type="pct"/>
          </w:tcPr>
          <w:p w14:paraId="16C2CB89" w14:textId="77777777" w:rsidR="00800E17" w:rsidRPr="00800E17" w:rsidRDefault="00800E17" w:rsidP="00800E17">
            <w:pPr>
              <w:keepLines/>
              <w:spacing w:before="120" w:line="200" w:lineRule="atLeast"/>
              <w:ind w:left="6" w:right="113"/>
              <w:rPr>
                <w:rFonts w:ascii="Arial" w:hAnsi="Arial"/>
                <w:b/>
                <w:sz w:val="18"/>
                <w:szCs w:val="20"/>
              </w:rPr>
            </w:pPr>
            <w:r w:rsidRPr="00800E17">
              <w:rPr>
                <w:rFonts w:ascii="Arial" w:hAnsi="Arial"/>
                <w:b/>
                <w:sz w:val="18"/>
                <w:szCs w:val="20"/>
              </w:rPr>
              <w:t>In</w:t>
            </w:r>
            <w:r w:rsidRPr="00800E17">
              <w:rPr>
                <w:rFonts w:ascii="Arial" w:hAnsi="Arial"/>
                <w:b/>
                <w:sz w:val="18"/>
                <w:szCs w:val="20"/>
              </w:rPr>
              <w:noBreakHyphen/>
              <w:t>school expenditure</w:t>
            </w:r>
          </w:p>
        </w:tc>
        <w:tc>
          <w:tcPr>
            <w:tcW w:w="3789" w:type="pct"/>
          </w:tcPr>
          <w:p w14:paraId="4A0707A8" w14:textId="77777777" w:rsidR="00800E17" w:rsidRPr="00800E17" w:rsidRDefault="00800E17" w:rsidP="00800E17">
            <w:pPr>
              <w:keepLines/>
              <w:spacing w:before="120" w:line="200" w:lineRule="atLeast"/>
              <w:rPr>
                <w:rFonts w:ascii="Arial" w:hAnsi="Arial"/>
                <w:sz w:val="18"/>
                <w:szCs w:val="20"/>
              </w:rPr>
            </w:pPr>
            <w:r w:rsidRPr="00800E17">
              <w:rPr>
                <w:rFonts w:ascii="Arial" w:hAnsi="Arial"/>
                <w:sz w:val="18"/>
                <w:szCs w:val="20"/>
              </w:rPr>
              <w:t>Costs relating directly to schools. Staff, for example, are categorised as being either in</w:t>
            </w:r>
            <w:r w:rsidRPr="00800E17">
              <w:rPr>
                <w:rFonts w:ascii="Arial" w:hAnsi="Arial"/>
                <w:sz w:val="18"/>
                <w:szCs w:val="20"/>
              </w:rPr>
              <w:noBreakHyphen/>
              <w:t>school or out</w:t>
            </w:r>
            <w:r w:rsidRPr="00800E17">
              <w:rPr>
                <w:rFonts w:ascii="Arial" w:hAnsi="Arial"/>
                <w:sz w:val="18"/>
                <w:szCs w:val="20"/>
              </w:rPr>
              <w:noBreakHyphen/>
              <w:t>of</w:t>
            </w:r>
            <w:r w:rsidRPr="00800E17">
              <w:rPr>
                <w:rFonts w:ascii="Arial" w:hAnsi="Arial"/>
                <w:sz w:val="18"/>
                <w:szCs w:val="20"/>
              </w:rPr>
              <w:noBreakHyphen/>
              <w:t>school. They are categorised as in</w:t>
            </w:r>
            <w:r w:rsidRPr="00800E17">
              <w:rPr>
                <w:rFonts w:ascii="Arial" w:hAnsi="Arial"/>
                <w:sz w:val="18"/>
                <w:szCs w:val="20"/>
              </w:rPr>
              <w:noBreakHyphen/>
              <w:t>school if they usually spend more than half of their time actively engaged in duties at one or more schools or ancillary education establishments. In</w:t>
            </w:r>
            <w:r w:rsidRPr="00800E17">
              <w:rPr>
                <w:rFonts w:ascii="Arial" w:hAnsi="Arial"/>
                <w:sz w:val="18"/>
                <w:szCs w:val="20"/>
              </w:rPr>
              <w:noBreakHyphen/>
              <w:t>school employee related expenses, for example, represent all salaries, wages awards, allowances and related on costs paid to in</w:t>
            </w:r>
            <w:r w:rsidRPr="00800E17">
              <w:rPr>
                <w:rFonts w:ascii="Arial" w:hAnsi="Arial"/>
                <w:sz w:val="18"/>
                <w:szCs w:val="20"/>
              </w:rPr>
              <w:noBreakHyphen/>
              <w:t>school staff.</w:t>
            </w:r>
          </w:p>
        </w:tc>
      </w:tr>
      <w:tr w:rsidR="00800E17" w:rsidRPr="00800E17" w14:paraId="3AEAAD95" w14:textId="77777777" w:rsidTr="003B3638">
        <w:trPr>
          <w:cantSplit/>
        </w:trPr>
        <w:tc>
          <w:tcPr>
            <w:tcW w:w="1211" w:type="pct"/>
            <w:shd w:val="clear" w:color="auto" w:fill="auto"/>
          </w:tcPr>
          <w:p w14:paraId="274C95C5" w14:textId="77777777" w:rsidR="00800E17" w:rsidRPr="00800E17" w:rsidRDefault="00800E17" w:rsidP="00800E17">
            <w:pPr>
              <w:keepLines/>
              <w:spacing w:before="120" w:line="200" w:lineRule="atLeast"/>
              <w:ind w:left="6" w:right="113"/>
              <w:rPr>
                <w:rFonts w:ascii="Arial" w:hAnsi="Arial"/>
                <w:b/>
                <w:sz w:val="18"/>
                <w:szCs w:val="20"/>
              </w:rPr>
            </w:pPr>
            <w:r w:rsidRPr="00800E17">
              <w:rPr>
                <w:rFonts w:ascii="Arial" w:hAnsi="Arial"/>
                <w:b/>
                <w:sz w:val="18"/>
                <w:szCs w:val="20"/>
              </w:rPr>
              <w:t>Low socio-educational background</w:t>
            </w:r>
          </w:p>
        </w:tc>
        <w:tc>
          <w:tcPr>
            <w:tcW w:w="3789" w:type="pct"/>
            <w:shd w:val="clear" w:color="auto" w:fill="auto"/>
          </w:tcPr>
          <w:p w14:paraId="401A6B20" w14:textId="77777777" w:rsidR="00800E17" w:rsidRPr="00800E17" w:rsidRDefault="00800E17" w:rsidP="00800E17">
            <w:pPr>
              <w:keepLines/>
              <w:spacing w:before="120" w:line="200" w:lineRule="atLeast"/>
              <w:rPr>
                <w:rFonts w:ascii="Arial" w:hAnsi="Arial"/>
                <w:sz w:val="18"/>
                <w:szCs w:val="20"/>
              </w:rPr>
            </w:pPr>
            <w:r w:rsidRPr="00800E17">
              <w:rPr>
                <w:rFonts w:ascii="Arial" w:hAnsi="Arial"/>
                <w:sz w:val="18"/>
                <w:szCs w:val="20"/>
              </w:rPr>
              <w:t>Students in the lowest quartile of the Index of Community Socio-Educational Advantage (ICSEA).</w:t>
            </w:r>
          </w:p>
          <w:p w14:paraId="508C8C2E" w14:textId="77777777" w:rsidR="00800E17" w:rsidRPr="00800E17" w:rsidRDefault="00800E17" w:rsidP="00800E17">
            <w:pPr>
              <w:keepLines/>
              <w:spacing w:before="120" w:line="200" w:lineRule="atLeast"/>
              <w:rPr>
                <w:rFonts w:ascii="Arial" w:hAnsi="Arial"/>
                <w:sz w:val="18"/>
                <w:szCs w:val="20"/>
              </w:rPr>
            </w:pPr>
            <w:r w:rsidRPr="00800E17">
              <w:rPr>
                <w:rFonts w:ascii="Arial" w:hAnsi="Arial"/>
                <w:sz w:val="18"/>
                <w:szCs w:val="20"/>
              </w:rPr>
              <w:t>The ICSEA is a student level score constructed by ACARA from information (obtained from school enrolment records) relating to parents’: occupation; school education; and non</w:t>
            </w:r>
            <w:r w:rsidRPr="00800E17">
              <w:rPr>
                <w:rFonts w:ascii="Arial" w:hAnsi="Arial"/>
                <w:sz w:val="18"/>
                <w:szCs w:val="20"/>
              </w:rPr>
              <w:noBreakHyphen/>
              <w:t xml:space="preserve">school education. </w:t>
            </w:r>
          </w:p>
        </w:tc>
      </w:tr>
      <w:tr w:rsidR="00800E17" w:rsidRPr="00800E17" w14:paraId="096EFBDC" w14:textId="77777777" w:rsidTr="003B3638">
        <w:trPr>
          <w:cantSplit/>
        </w:trPr>
        <w:tc>
          <w:tcPr>
            <w:tcW w:w="1211" w:type="pct"/>
            <w:shd w:val="clear" w:color="auto" w:fill="auto"/>
          </w:tcPr>
          <w:p w14:paraId="5812040B" w14:textId="77777777" w:rsidR="00800E17" w:rsidRPr="00800E17" w:rsidRDefault="00800E17" w:rsidP="00800E17">
            <w:pPr>
              <w:keepLines/>
              <w:spacing w:before="120" w:line="200" w:lineRule="atLeast"/>
              <w:ind w:left="6" w:right="113"/>
              <w:rPr>
                <w:rFonts w:ascii="Arial" w:hAnsi="Arial"/>
                <w:b/>
                <w:sz w:val="18"/>
                <w:szCs w:val="20"/>
              </w:rPr>
            </w:pPr>
            <w:r w:rsidRPr="00800E17">
              <w:rPr>
                <w:rFonts w:ascii="Arial" w:hAnsi="Arial"/>
                <w:b/>
                <w:sz w:val="18"/>
                <w:szCs w:val="20"/>
              </w:rPr>
              <w:t>Out</w:t>
            </w:r>
            <w:r w:rsidRPr="00800E17">
              <w:rPr>
                <w:rFonts w:ascii="Arial" w:hAnsi="Arial"/>
                <w:b/>
                <w:sz w:val="18"/>
                <w:szCs w:val="20"/>
              </w:rPr>
              <w:noBreakHyphen/>
              <w:t>of</w:t>
            </w:r>
            <w:r w:rsidRPr="00800E17">
              <w:rPr>
                <w:rFonts w:ascii="Arial" w:hAnsi="Arial"/>
                <w:b/>
                <w:sz w:val="18"/>
                <w:szCs w:val="20"/>
              </w:rPr>
              <w:noBreakHyphen/>
              <w:t>school expenditure</w:t>
            </w:r>
          </w:p>
        </w:tc>
        <w:tc>
          <w:tcPr>
            <w:tcW w:w="3789" w:type="pct"/>
            <w:shd w:val="clear" w:color="auto" w:fill="auto"/>
          </w:tcPr>
          <w:p w14:paraId="46320ECF" w14:textId="77777777" w:rsidR="00800E17" w:rsidRPr="00800E17" w:rsidRDefault="00800E17" w:rsidP="00800E17">
            <w:pPr>
              <w:keepLines/>
              <w:spacing w:before="120" w:line="200" w:lineRule="atLeast"/>
              <w:rPr>
                <w:rFonts w:ascii="Arial" w:hAnsi="Arial"/>
                <w:sz w:val="18"/>
                <w:szCs w:val="20"/>
              </w:rPr>
            </w:pPr>
            <w:r w:rsidRPr="00800E17">
              <w:rPr>
                <w:rFonts w:ascii="Arial" w:hAnsi="Arial"/>
                <w:sz w:val="18"/>
                <w:szCs w:val="20"/>
              </w:rPr>
              <w:t>Costs relating indirectly to schools. (See in</w:t>
            </w:r>
            <w:r w:rsidRPr="00800E17">
              <w:rPr>
                <w:rFonts w:ascii="Arial" w:hAnsi="Arial"/>
                <w:sz w:val="18"/>
                <w:szCs w:val="20"/>
              </w:rPr>
              <w:noBreakHyphen/>
              <w:t>school expenditure).</w:t>
            </w:r>
          </w:p>
        </w:tc>
      </w:tr>
      <w:tr w:rsidR="00800E17" w:rsidRPr="00800E17" w14:paraId="50265740" w14:textId="77777777" w:rsidTr="003B3638">
        <w:trPr>
          <w:cantSplit/>
        </w:trPr>
        <w:tc>
          <w:tcPr>
            <w:tcW w:w="1211" w:type="pct"/>
            <w:shd w:val="clear" w:color="auto" w:fill="auto"/>
          </w:tcPr>
          <w:p w14:paraId="01C0E68A" w14:textId="77777777" w:rsidR="00800E17" w:rsidRPr="00800E17" w:rsidRDefault="00800E17" w:rsidP="00800E17">
            <w:pPr>
              <w:keepLines/>
              <w:spacing w:before="120" w:line="200" w:lineRule="atLeast"/>
              <w:ind w:left="6" w:right="113"/>
              <w:rPr>
                <w:rFonts w:ascii="Arial" w:hAnsi="Arial"/>
                <w:b/>
                <w:sz w:val="18"/>
                <w:szCs w:val="20"/>
              </w:rPr>
            </w:pPr>
            <w:r w:rsidRPr="00800E17">
              <w:rPr>
                <w:rFonts w:ascii="Arial" w:hAnsi="Arial"/>
                <w:b/>
                <w:sz w:val="18"/>
                <w:szCs w:val="20"/>
              </w:rPr>
              <w:t>Pre</w:t>
            </w:r>
            <w:r w:rsidRPr="00800E17">
              <w:rPr>
                <w:rFonts w:ascii="Arial" w:hAnsi="Arial"/>
                <w:b/>
                <w:sz w:val="18"/>
                <w:szCs w:val="20"/>
              </w:rPr>
              <w:noBreakHyphen/>
              <w:t>year 1</w:t>
            </w:r>
          </w:p>
        </w:tc>
        <w:tc>
          <w:tcPr>
            <w:tcW w:w="3789" w:type="pct"/>
            <w:shd w:val="clear" w:color="auto" w:fill="auto"/>
          </w:tcPr>
          <w:p w14:paraId="6058F7C6" w14:textId="77777777" w:rsidR="00800E17" w:rsidRPr="00800E17" w:rsidRDefault="00800E17" w:rsidP="00800E17">
            <w:pPr>
              <w:keepLines/>
              <w:spacing w:before="120" w:line="200" w:lineRule="atLeast"/>
              <w:rPr>
                <w:rFonts w:ascii="Arial" w:hAnsi="Arial"/>
                <w:sz w:val="18"/>
                <w:szCs w:val="20"/>
              </w:rPr>
            </w:pPr>
            <w:r w:rsidRPr="00800E17">
              <w:rPr>
                <w:rFonts w:ascii="Arial" w:hAnsi="Arial"/>
                <w:sz w:val="18"/>
                <w:szCs w:val="20"/>
              </w:rPr>
              <w:t xml:space="preserve">See ‘foundation year’. </w:t>
            </w:r>
          </w:p>
        </w:tc>
      </w:tr>
      <w:tr w:rsidR="00800E17" w:rsidRPr="00800E17" w14:paraId="03C460B7" w14:textId="77777777" w:rsidTr="003B3638">
        <w:trPr>
          <w:cantSplit/>
        </w:trPr>
        <w:tc>
          <w:tcPr>
            <w:tcW w:w="1211" w:type="pct"/>
            <w:shd w:val="clear" w:color="auto" w:fill="auto"/>
          </w:tcPr>
          <w:p w14:paraId="69EE0771" w14:textId="77777777" w:rsidR="00800E17" w:rsidRPr="00800E17" w:rsidRDefault="00800E17" w:rsidP="00800E17">
            <w:pPr>
              <w:keepLines/>
              <w:spacing w:before="120" w:line="200" w:lineRule="atLeast"/>
              <w:ind w:left="6" w:right="113"/>
              <w:rPr>
                <w:rFonts w:ascii="Arial" w:hAnsi="Arial"/>
                <w:b/>
                <w:sz w:val="18"/>
                <w:szCs w:val="20"/>
              </w:rPr>
            </w:pPr>
            <w:r w:rsidRPr="00800E17">
              <w:rPr>
                <w:rFonts w:ascii="Arial" w:hAnsi="Arial"/>
                <w:b/>
                <w:sz w:val="18"/>
                <w:szCs w:val="20"/>
              </w:rPr>
              <w:t>Part time student</w:t>
            </w:r>
          </w:p>
        </w:tc>
        <w:tc>
          <w:tcPr>
            <w:tcW w:w="3789" w:type="pct"/>
            <w:shd w:val="clear" w:color="auto" w:fill="auto"/>
          </w:tcPr>
          <w:p w14:paraId="6BA0680B" w14:textId="77777777" w:rsidR="00800E17" w:rsidRPr="00800E17" w:rsidRDefault="00800E17" w:rsidP="00800E17">
            <w:pPr>
              <w:keepLines/>
              <w:spacing w:before="120" w:line="200" w:lineRule="atLeast"/>
              <w:rPr>
                <w:rFonts w:ascii="Arial" w:hAnsi="Arial"/>
                <w:sz w:val="18"/>
                <w:szCs w:val="20"/>
              </w:rPr>
            </w:pPr>
            <w:r w:rsidRPr="00800E17">
              <w:rPr>
                <w:rFonts w:ascii="Arial" w:hAnsi="Arial"/>
                <w:sz w:val="18"/>
                <w:szCs w:val="20"/>
              </w:rPr>
              <w:t>A student undertaking a workload that is less than that specified as being full time in the jurisdiction.</w:t>
            </w:r>
          </w:p>
        </w:tc>
      </w:tr>
      <w:tr w:rsidR="00800E17" w:rsidRPr="00800E17" w14:paraId="33C23FFD" w14:textId="77777777" w:rsidTr="003B3638">
        <w:trPr>
          <w:cantSplit/>
        </w:trPr>
        <w:tc>
          <w:tcPr>
            <w:tcW w:w="1211" w:type="pct"/>
            <w:shd w:val="clear" w:color="auto" w:fill="auto"/>
          </w:tcPr>
          <w:p w14:paraId="1FBF038E" w14:textId="77777777" w:rsidR="00800E17" w:rsidRPr="00800E17" w:rsidRDefault="00800E17" w:rsidP="00800E17">
            <w:pPr>
              <w:keepLines/>
              <w:spacing w:before="120" w:line="200" w:lineRule="atLeast"/>
              <w:ind w:left="6" w:right="113"/>
              <w:rPr>
                <w:rFonts w:ascii="Arial" w:hAnsi="Arial"/>
                <w:b/>
                <w:sz w:val="18"/>
                <w:szCs w:val="20"/>
              </w:rPr>
            </w:pPr>
            <w:r w:rsidRPr="00800E17">
              <w:rPr>
                <w:rFonts w:ascii="Arial" w:hAnsi="Arial"/>
                <w:b/>
                <w:sz w:val="18"/>
                <w:szCs w:val="20"/>
              </w:rPr>
              <w:t>Real expenditure</w:t>
            </w:r>
          </w:p>
        </w:tc>
        <w:tc>
          <w:tcPr>
            <w:tcW w:w="3789" w:type="pct"/>
            <w:shd w:val="clear" w:color="auto" w:fill="auto"/>
          </w:tcPr>
          <w:p w14:paraId="7DF82577" w14:textId="77777777" w:rsidR="00800E17" w:rsidRPr="00800E17" w:rsidRDefault="00800E17" w:rsidP="00800E17">
            <w:pPr>
              <w:keepLines/>
              <w:spacing w:before="120" w:line="200" w:lineRule="atLeast"/>
              <w:rPr>
                <w:rFonts w:ascii="Arial" w:hAnsi="Arial"/>
                <w:sz w:val="18"/>
                <w:szCs w:val="20"/>
              </w:rPr>
            </w:pPr>
            <w:r w:rsidRPr="00800E17">
              <w:rPr>
                <w:rFonts w:ascii="Arial" w:hAnsi="Arial"/>
                <w:sz w:val="18"/>
                <w:szCs w:val="20"/>
              </w:rPr>
              <w:t>Nominal expenditure adjusted for changes in prices, using the General Government Final Consumption Expenditure chain price deflator and expressed in terms of final year prices.</w:t>
            </w:r>
          </w:p>
        </w:tc>
      </w:tr>
      <w:tr w:rsidR="00800E17" w:rsidRPr="00800E17" w14:paraId="0E1ECEB6" w14:textId="77777777" w:rsidTr="003B3638">
        <w:trPr>
          <w:cantSplit/>
        </w:trPr>
        <w:tc>
          <w:tcPr>
            <w:tcW w:w="1211" w:type="pct"/>
            <w:shd w:val="clear" w:color="auto" w:fill="auto"/>
          </w:tcPr>
          <w:p w14:paraId="3E1DAD32" w14:textId="77777777" w:rsidR="00800E17" w:rsidRPr="00800E17" w:rsidRDefault="00800E17" w:rsidP="00800E17">
            <w:pPr>
              <w:keepNext/>
              <w:keepLines/>
              <w:spacing w:before="120" w:line="200" w:lineRule="atLeast"/>
              <w:ind w:left="6" w:right="113"/>
              <w:rPr>
                <w:rFonts w:ascii="Arial" w:hAnsi="Arial"/>
                <w:b/>
                <w:sz w:val="18"/>
                <w:szCs w:val="20"/>
              </w:rPr>
            </w:pPr>
            <w:r w:rsidRPr="00800E17">
              <w:rPr>
                <w:rFonts w:ascii="Arial" w:hAnsi="Arial"/>
                <w:b/>
                <w:sz w:val="18"/>
                <w:szCs w:val="20"/>
              </w:rPr>
              <w:lastRenderedPageBreak/>
              <w:t>School</w:t>
            </w:r>
          </w:p>
        </w:tc>
        <w:tc>
          <w:tcPr>
            <w:tcW w:w="3789" w:type="pct"/>
            <w:shd w:val="clear" w:color="auto" w:fill="auto"/>
          </w:tcPr>
          <w:p w14:paraId="138A1A4E" w14:textId="77777777" w:rsidR="00800E17" w:rsidRPr="00800E17" w:rsidRDefault="00800E17" w:rsidP="00800E17">
            <w:pPr>
              <w:keepLines/>
              <w:spacing w:before="120" w:line="200" w:lineRule="atLeast"/>
              <w:rPr>
                <w:rFonts w:ascii="Arial" w:hAnsi="Arial"/>
                <w:sz w:val="18"/>
                <w:szCs w:val="20"/>
              </w:rPr>
            </w:pPr>
            <w:r w:rsidRPr="00800E17">
              <w:rPr>
                <w:rFonts w:ascii="Arial" w:hAnsi="Arial"/>
                <w:sz w:val="18"/>
                <w:szCs w:val="20"/>
              </w:rPr>
              <w:t xml:space="preserve">A school is an establishment which satisfies </w:t>
            </w:r>
            <w:proofErr w:type="gramStart"/>
            <w:r w:rsidRPr="00800E17">
              <w:rPr>
                <w:rFonts w:ascii="Arial" w:hAnsi="Arial"/>
                <w:sz w:val="18"/>
                <w:szCs w:val="20"/>
              </w:rPr>
              <w:t>all of</w:t>
            </w:r>
            <w:proofErr w:type="gramEnd"/>
            <w:r w:rsidRPr="00800E17">
              <w:rPr>
                <w:rFonts w:ascii="Arial" w:hAnsi="Arial"/>
                <w:sz w:val="18"/>
                <w:szCs w:val="20"/>
              </w:rPr>
              <w:t xml:space="preserve"> the following criteria.</w:t>
            </w:r>
          </w:p>
          <w:p w14:paraId="341FCC39" w14:textId="77777777" w:rsidR="00800E17" w:rsidRPr="00525873" w:rsidRDefault="00800E17" w:rsidP="008D1CB3">
            <w:pPr>
              <w:pStyle w:val="ListParagraph"/>
              <w:keepLines/>
              <w:numPr>
                <w:ilvl w:val="0"/>
                <w:numId w:val="30"/>
              </w:numPr>
              <w:spacing w:before="40" w:line="200" w:lineRule="atLeast"/>
              <w:ind w:right="113"/>
              <w:rPr>
                <w:rFonts w:ascii="Arial" w:hAnsi="Arial"/>
                <w:sz w:val="18"/>
                <w:szCs w:val="20"/>
              </w:rPr>
            </w:pPr>
            <w:r w:rsidRPr="00525873">
              <w:rPr>
                <w:rFonts w:ascii="Arial" w:hAnsi="Arial"/>
                <w:sz w:val="18"/>
                <w:szCs w:val="20"/>
              </w:rPr>
              <w:t xml:space="preserve">Its major activity is the provision of </w:t>
            </w:r>
            <w:proofErr w:type="gramStart"/>
            <w:r w:rsidRPr="00525873">
              <w:rPr>
                <w:rFonts w:ascii="Arial" w:hAnsi="Arial"/>
                <w:sz w:val="18"/>
                <w:szCs w:val="20"/>
              </w:rPr>
              <w:t>full time</w:t>
            </w:r>
            <w:proofErr w:type="gramEnd"/>
            <w:r w:rsidRPr="00525873">
              <w:rPr>
                <w:rFonts w:ascii="Arial" w:hAnsi="Arial"/>
                <w:sz w:val="18"/>
                <w:szCs w:val="20"/>
              </w:rPr>
              <w:t xml:space="preserve"> day primary or secondary education or the provision of primary or secondary distance education. </w:t>
            </w:r>
          </w:p>
          <w:p w14:paraId="42EA6ECA" w14:textId="77777777" w:rsidR="00800E17" w:rsidRPr="00525873" w:rsidRDefault="00800E17" w:rsidP="008D1CB3">
            <w:pPr>
              <w:pStyle w:val="ListParagraph"/>
              <w:keepLines/>
              <w:numPr>
                <w:ilvl w:val="0"/>
                <w:numId w:val="30"/>
              </w:numPr>
              <w:spacing w:before="40" w:line="200" w:lineRule="atLeast"/>
              <w:ind w:right="113"/>
              <w:rPr>
                <w:rFonts w:ascii="Arial" w:hAnsi="Arial"/>
                <w:sz w:val="18"/>
                <w:szCs w:val="20"/>
              </w:rPr>
            </w:pPr>
            <w:r w:rsidRPr="00525873">
              <w:rPr>
                <w:rFonts w:ascii="Arial" w:hAnsi="Arial"/>
                <w:sz w:val="18"/>
                <w:szCs w:val="20"/>
              </w:rPr>
              <w:t>It is headed by a principal (or equivalent) responsible for its internal operation.</w:t>
            </w:r>
          </w:p>
          <w:p w14:paraId="36A90B2F" w14:textId="77777777" w:rsidR="00800E17" w:rsidRPr="00525873" w:rsidRDefault="00800E17" w:rsidP="008D1CB3">
            <w:pPr>
              <w:pStyle w:val="ListParagraph"/>
              <w:keepLines/>
              <w:numPr>
                <w:ilvl w:val="0"/>
                <w:numId w:val="30"/>
              </w:numPr>
              <w:spacing w:before="40" w:line="200" w:lineRule="atLeast"/>
              <w:ind w:right="113"/>
              <w:rPr>
                <w:rFonts w:ascii="Arial" w:hAnsi="Arial"/>
                <w:sz w:val="18"/>
                <w:szCs w:val="20"/>
              </w:rPr>
            </w:pPr>
            <w:r w:rsidRPr="00525873">
              <w:rPr>
                <w:rFonts w:ascii="Arial" w:hAnsi="Arial"/>
                <w:sz w:val="18"/>
                <w:szCs w:val="20"/>
              </w:rPr>
              <w:t>It is possible for students to enrol for a minimum of four continuous weeks, excluding breaks for school vacations.</w:t>
            </w:r>
          </w:p>
        </w:tc>
      </w:tr>
      <w:tr w:rsidR="00800E17" w:rsidRPr="00800E17" w14:paraId="6B57D5C9" w14:textId="77777777" w:rsidTr="003B3638">
        <w:trPr>
          <w:cantSplit/>
        </w:trPr>
        <w:tc>
          <w:tcPr>
            <w:tcW w:w="1211" w:type="pct"/>
            <w:shd w:val="clear" w:color="auto" w:fill="auto"/>
          </w:tcPr>
          <w:p w14:paraId="4EECDE47" w14:textId="77777777" w:rsidR="00800E17" w:rsidRPr="00800E17" w:rsidRDefault="00800E17" w:rsidP="00800E17">
            <w:pPr>
              <w:keepLines/>
              <w:spacing w:before="120" w:line="200" w:lineRule="atLeast"/>
              <w:ind w:left="6" w:right="113"/>
              <w:rPr>
                <w:rFonts w:ascii="Arial" w:hAnsi="Arial"/>
                <w:b/>
                <w:sz w:val="18"/>
                <w:szCs w:val="20"/>
              </w:rPr>
            </w:pPr>
            <w:r w:rsidRPr="00800E17">
              <w:rPr>
                <w:rFonts w:ascii="Arial" w:hAnsi="Arial"/>
                <w:b/>
                <w:sz w:val="18"/>
                <w:szCs w:val="20"/>
              </w:rPr>
              <w:t>Science literacy</w:t>
            </w:r>
          </w:p>
        </w:tc>
        <w:tc>
          <w:tcPr>
            <w:tcW w:w="3789" w:type="pct"/>
            <w:shd w:val="clear" w:color="auto" w:fill="auto"/>
          </w:tcPr>
          <w:p w14:paraId="7018328A" w14:textId="77777777" w:rsidR="00800E17" w:rsidRPr="00800E17" w:rsidRDefault="00800E17" w:rsidP="00800E17">
            <w:pPr>
              <w:keepLines/>
              <w:spacing w:before="120" w:line="200" w:lineRule="atLeast"/>
              <w:rPr>
                <w:rFonts w:ascii="Arial" w:hAnsi="Arial"/>
                <w:sz w:val="18"/>
                <w:szCs w:val="20"/>
              </w:rPr>
            </w:pPr>
            <w:r w:rsidRPr="00800E17">
              <w:rPr>
                <w:rFonts w:ascii="Arial" w:hAnsi="Arial"/>
                <w:sz w:val="18"/>
                <w:szCs w:val="20"/>
              </w:rPr>
              <w:t>Science literacy and scientific literacy: the application of broad conceptual understandings of science to make sense of the world, understand natural phenomena, and interpret media reports about scientific issues. It also includes asking investigable questions, conducting investigations, collecting and interpreting data and making decisions.</w:t>
            </w:r>
          </w:p>
        </w:tc>
      </w:tr>
      <w:tr w:rsidR="00800E17" w:rsidRPr="00800E17" w14:paraId="64F04825" w14:textId="77777777" w:rsidTr="003B3638">
        <w:trPr>
          <w:cantSplit/>
        </w:trPr>
        <w:tc>
          <w:tcPr>
            <w:tcW w:w="1211" w:type="pct"/>
            <w:shd w:val="clear" w:color="auto" w:fill="auto"/>
          </w:tcPr>
          <w:p w14:paraId="23B17163" w14:textId="77777777" w:rsidR="00800E17" w:rsidRPr="00800E17" w:rsidRDefault="00800E17" w:rsidP="00800E17">
            <w:pPr>
              <w:keepLines/>
              <w:spacing w:before="120" w:line="200" w:lineRule="atLeast"/>
              <w:ind w:left="6" w:right="113"/>
              <w:rPr>
                <w:rFonts w:ascii="Arial" w:hAnsi="Arial"/>
                <w:b/>
                <w:sz w:val="18"/>
                <w:szCs w:val="20"/>
              </w:rPr>
            </w:pPr>
            <w:r w:rsidRPr="00800E17">
              <w:rPr>
                <w:rFonts w:ascii="Arial" w:hAnsi="Arial"/>
                <w:b/>
                <w:sz w:val="18"/>
                <w:szCs w:val="20"/>
              </w:rPr>
              <w:t>Socioeconomic status</w:t>
            </w:r>
          </w:p>
        </w:tc>
        <w:tc>
          <w:tcPr>
            <w:tcW w:w="3789" w:type="pct"/>
            <w:shd w:val="clear" w:color="auto" w:fill="auto"/>
          </w:tcPr>
          <w:p w14:paraId="6957B60F" w14:textId="77777777" w:rsidR="00800E17" w:rsidRPr="00800E17" w:rsidRDefault="00800E17" w:rsidP="00800E17">
            <w:pPr>
              <w:keepLines/>
              <w:spacing w:before="120" w:line="200" w:lineRule="atLeast"/>
              <w:rPr>
                <w:rFonts w:ascii="Arial" w:hAnsi="Arial"/>
                <w:sz w:val="18"/>
                <w:szCs w:val="20"/>
              </w:rPr>
            </w:pPr>
            <w:r w:rsidRPr="00800E17">
              <w:rPr>
                <w:rFonts w:ascii="Arial" w:hAnsi="Arial"/>
                <w:sz w:val="18"/>
                <w:szCs w:val="20"/>
              </w:rPr>
              <w:t>As identified in footnotes to specific tables.</w:t>
            </w:r>
          </w:p>
        </w:tc>
      </w:tr>
      <w:tr w:rsidR="00800E17" w:rsidRPr="00800E17" w14:paraId="6A209DD1" w14:textId="77777777" w:rsidTr="003B3638">
        <w:trPr>
          <w:cantSplit/>
        </w:trPr>
        <w:tc>
          <w:tcPr>
            <w:tcW w:w="1211" w:type="pct"/>
            <w:shd w:val="clear" w:color="auto" w:fill="auto"/>
          </w:tcPr>
          <w:p w14:paraId="710CA674" w14:textId="77777777" w:rsidR="00800E17" w:rsidRPr="00800E17" w:rsidRDefault="00800E17" w:rsidP="00800E17">
            <w:pPr>
              <w:keepLines/>
              <w:spacing w:before="120" w:line="200" w:lineRule="atLeast"/>
              <w:ind w:left="6" w:right="113"/>
              <w:rPr>
                <w:rFonts w:ascii="Arial" w:hAnsi="Arial"/>
                <w:b/>
                <w:sz w:val="18"/>
                <w:szCs w:val="20"/>
              </w:rPr>
            </w:pPr>
            <w:r w:rsidRPr="00800E17">
              <w:rPr>
                <w:rFonts w:ascii="Arial" w:hAnsi="Arial"/>
                <w:b/>
                <w:sz w:val="18"/>
                <w:szCs w:val="20"/>
              </w:rPr>
              <w:t>Socio</w:t>
            </w:r>
            <w:r w:rsidRPr="00800E17">
              <w:rPr>
                <w:rFonts w:ascii="Arial" w:hAnsi="Arial"/>
                <w:b/>
                <w:sz w:val="18"/>
                <w:szCs w:val="20"/>
              </w:rPr>
              <w:noBreakHyphen/>
              <w:t>educational background</w:t>
            </w:r>
          </w:p>
        </w:tc>
        <w:tc>
          <w:tcPr>
            <w:tcW w:w="3789" w:type="pct"/>
            <w:shd w:val="clear" w:color="auto" w:fill="auto"/>
          </w:tcPr>
          <w:p w14:paraId="0D5AA961" w14:textId="77777777" w:rsidR="00800E17" w:rsidRPr="00800E17" w:rsidRDefault="00800E17" w:rsidP="00800E17">
            <w:pPr>
              <w:keepLines/>
              <w:spacing w:before="120" w:line="200" w:lineRule="atLeast"/>
              <w:rPr>
                <w:rFonts w:ascii="Arial" w:hAnsi="Arial"/>
                <w:sz w:val="18"/>
                <w:szCs w:val="20"/>
              </w:rPr>
            </w:pPr>
            <w:r w:rsidRPr="00800E17">
              <w:rPr>
                <w:rFonts w:ascii="Arial" w:hAnsi="Arial"/>
                <w:sz w:val="18"/>
                <w:szCs w:val="20"/>
              </w:rPr>
              <w:t>See ‘Low socio</w:t>
            </w:r>
            <w:r w:rsidRPr="00800E17">
              <w:rPr>
                <w:rFonts w:ascii="Arial" w:hAnsi="Arial"/>
                <w:sz w:val="18"/>
                <w:szCs w:val="20"/>
              </w:rPr>
              <w:noBreakHyphen/>
              <w:t>educational background’.</w:t>
            </w:r>
          </w:p>
        </w:tc>
      </w:tr>
      <w:tr w:rsidR="00800E17" w:rsidRPr="00800E17" w14:paraId="197C11A2" w14:textId="77777777" w:rsidTr="003B3638">
        <w:trPr>
          <w:cantSplit/>
        </w:trPr>
        <w:tc>
          <w:tcPr>
            <w:tcW w:w="1211" w:type="pct"/>
          </w:tcPr>
          <w:p w14:paraId="005341E2" w14:textId="77777777" w:rsidR="00800E17" w:rsidRPr="00800E17" w:rsidRDefault="00800E17" w:rsidP="00800E17">
            <w:pPr>
              <w:keepLines/>
              <w:spacing w:before="120" w:line="200" w:lineRule="atLeast"/>
              <w:ind w:left="6" w:right="113"/>
              <w:rPr>
                <w:rFonts w:ascii="Arial" w:hAnsi="Arial"/>
                <w:b/>
                <w:sz w:val="18"/>
                <w:szCs w:val="20"/>
              </w:rPr>
            </w:pPr>
            <w:r w:rsidRPr="00800E17">
              <w:rPr>
                <w:rFonts w:ascii="Arial" w:hAnsi="Arial"/>
                <w:b/>
                <w:sz w:val="18"/>
                <w:szCs w:val="20"/>
              </w:rPr>
              <w:t>Source of income</w:t>
            </w:r>
          </w:p>
        </w:tc>
        <w:tc>
          <w:tcPr>
            <w:tcW w:w="3789" w:type="pct"/>
          </w:tcPr>
          <w:p w14:paraId="15131E3F" w14:textId="77777777" w:rsidR="00800E17" w:rsidRPr="00800E17" w:rsidRDefault="00800E17" w:rsidP="00800E17">
            <w:pPr>
              <w:keepLines/>
              <w:spacing w:before="120" w:line="200" w:lineRule="atLeast"/>
              <w:rPr>
                <w:rFonts w:ascii="Arial" w:hAnsi="Arial"/>
                <w:sz w:val="18"/>
                <w:szCs w:val="20"/>
              </w:rPr>
            </w:pPr>
            <w:r w:rsidRPr="00800E17">
              <w:rPr>
                <w:rFonts w:ascii="Arial" w:hAnsi="Arial"/>
                <w:sz w:val="18"/>
                <w:szCs w:val="20"/>
              </w:rPr>
              <w:t>In this chapter, income from either the Australian Government or State and Territory governments. Australian Government expenditure is derived from specific purpose payments (current and capital) for schools. This funding indicates the level of monies allocated, not necessarily the level of expenditure incurred in any given financial year. The data therefore provide only a broad indication of the level of Australian Government funding.</w:t>
            </w:r>
          </w:p>
        </w:tc>
      </w:tr>
      <w:tr w:rsidR="00800E17" w:rsidRPr="00800E17" w14:paraId="0BC036F8" w14:textId="77777777" w:rsidTr="003B3638">
        <w:trPr>
          <w:cantSplit/>
        </w:trPr>
        <w:tc>
          <w:tcPr>
            <w:tcW w:w="1211" w:type="pct"/>
          </w:tcPr>
          <w:p w14:paraId="47BD4548" w14:textId="77777777" w:rsidR="00800E17" w:rsidRPr="00800E17" w:rsidRDefault="00800E17" w:rsidP="00800E17">
            <w:pPr>
              <w:keepLines/>
              <w:spacing w:before="120" w:line="200" w:lineRule="atLeast"/>
              <w:ind w:left="6" w:right="113"/>
              <w:rPr>
                <w:rFonts w:ascii="Arial" w:hAnsi="Arial"/>
                <w:b/>
                <w:sz w:val="18"/>
                <w:szCs w:val="20"/>
              </w:rPr>
            </w:pPr>
            <w:r w:rsidRPr="00800E17">
              <w:rPr>
                <w:rFonts w:ascii="Arial" w:hAnsi="Arial"/>
                <w:b/>
                <w:sz w:val="18"/>
                <w:szCs w:val="20"/>
              </w:rPr>
              <w:t>Special school</w:t>
            </w:r>
          </w:p>
        </w:tc>
        <w:tc>
          <w:tcPr>
            <w:tcW w:w="3789" w:type="pct"/>
          </w:tcPr>
          <w:p w14:paraId="4317A77D" w14:textId="77777777" w:rsidR="00800E17" w:rsidRPr="00800E17" w:rsidRDefault="00800E17" w:rsidP="00800E17">
            <w:pPr>
              <w:keepLines/>
              <w:spacing w:before="120" w:line="200" w:lineRule="atLeast"/>
              <w:rPr>
                <w:rFonts w:ascii="Arial" w:hAnsi="Arial"/>
                <w:sz w:val="18"/>
                <w:szCs w:val="20"/>
              </w:rPr>
            </w:pPr>
            <w:r w:rsidRPr="00800E17">
              <w:rPr>
                <w:rFonts w:ascii="Arial" w:hAnsi="Arial"/>
                <w:sz w:val="18"/>
                <w:szCs w:val="20"/>
              </w:rPr>
              <w:t>A special school satisfies the definition of a school and requires one or more of the following characteristics to be exhibited by the student before enrolment is allowed:</w:t>
            </w:r>
          </w:p>
          <w:p w14:paraId="7D814BA3" w14:textId="77777777" w:rsidR="00800E17" w:rsidRPr="0033213E" w:rsidRDefault="00800E17" w:rsidP="008D1CB3">
            <w:pPr>
              <w:pStyle w:val="ListParagraph"/>
              <w:keepLines/>
              <w:numPr>
                <w:ilvl w:val="0"/>
                <w:numId w:val="31"/>
              </w:numPr>
              <w:spacing w:before="40" w:line="200" w:lineRule="atLeast"/>
              <w:ind w:right="113"/>
              <w:rPr>
                <w:rFonts w:ascii="Arial" w:hAnsi="Arial"/>
                <w:sz w:val="18"/>
                <w:szCs w:val="20"/>
              </w:rPr>
            </w:pPr>
            <w:r w:rsidRPr="0033213E">
              <w:rPr>
                <w:rFonts w:ascii="Arial" w:hAnsi="Arial"/>
                <w:sz w:val="18"/>
                <w:szCs w:val="20"/>
              </w:rPr>
              <w:t xml:space="preserve">mental or physical disability or impairment </w:t>
            </w:r>
          </w:p>
          <w:p w14:paraId="643F9543" w14:textId="77777777" w:rsidR="00800E17" w:rsidRPr="0033213E" w:rsidRDefault="00800E17" w:rsidP="008D1CB3">
            <w:pPr>
              <w:pStyle w:val="ListParagraph"/>
              <w:keepLines/>
              <w:numPr>
                <w:ilvl w:val="0"/>
                <w:numId w:val="31"/>
              </w:numPr>
              <w:spacing w:before="40" w:line="200" w:lineRule="atLeast"/>
              <w:ind w:right="113"/>
              <w:rPr>
                <w:rFonts w:ascii="Arial" w:hAnsi="Arial"/>
                <w:sz w:val="18"/>
                <w:szCs w:val="20"/>
              </w:rPr>
            </w:pPr>
            <w:r w:rsidRPr="0033213E">
              <w:rPr>
                <w:rFonts w:ascii="Arial" w:hAnsi="Arial"/>
                <w:sz w:val="18"/>
                <w:szCs w:val="20"/>
              </w:rPr>
              <w:t xml:space="preserve">slow learning ability </w:t>
            </w:r>
          </w:p>
          <w:p w14:paraId="764E1EA7" w14:textId="77777777" w:rsidR="00800E17" w:rsidRPr="0033213E" w:rsidRDefault="00800E17" w:rsidP="008D1CB3">
            <w:pPr>
              <w:pStyle w:val="ListParagraph"/>
              <w:keepLines/>
              <w:numPr>
                <w:ilvl w:val="0"/>
                <w:numId w:val="31"/>
              </w:numPr>
              <w:spacing w:before="40" w:line="200" w:lineRule="atLeast"/>
              <w:ind w:right="113"/>
              <w:rPr>
                <w:rFonts w:ascii="Arial" w:hAnsi="Arial"/>
                <w:sz w:val="18"/>
                <w:szCs w:val="20"/>
              </w:rPr>
            </w:pPr>
            <w:r w:rsidRPr="0033213E">
              <w:rPr>
                <w:rFonts w:ascii="Arial" w:hAnsi="Arial"/>
                <w:sz w:val="18"/>
                <w:szCs w:val="20"/>
              </w:rPr>
              <w:t xml:space="preserve">social or emotional problems </w:t>
            </w:r>
          </w:p>
          <w:p w14:paraId="2DFADB6A" w14:textId="0AA1E691" w:rsidR="00800E17" w:rsidRPr="0033213E" w:rsidRDefault="00800E17" w:rsidP="008D1CB3">
            <w:pPr>
              <w:pStyle w:val="ListParagraph"/>
              <w:keepLines/>
              <w:numPr>
                <w:ilvl w:val="0"/>
                <w:numId w:val="31"/>
              </w:numPr>
              <w:spacing w:before="40" w:line="200" w:lineRule="atLeast"/>
              <w:ind w:right="113"/>
              <w:rPr>
                <w:rFonts w:ascii="Arial" w:hAnsi="Arial"/>
                <w:sz w:val="18"/>
                <w:szCs w:val="20"/>
              </w:rPr>
            </w:pPr>
            <w:r w:rsidRPr="0033213E">
              <w:rPr>
                <w:rFonts w:ascii="Arial" w:hAnsi="Arial"/>
                <w:sz w:val="18"/>
                <w:szCs w:val="20"/>
              </w:rPr>
              <w:t>in custody, on remand or in hospital (ABS 20</w:t>
            </w:r>
            <w:r w:rsidR="0033213E">
              <w:rPr>
                <w:rFonts w:ascii="Arial" w:hAnsi="Arial"/>
                <w:sz w:val="18"/>
                <w:szCs w:val="20"/>
              </w:rPr>
              <w:t>20</w:t>
            </w:r>
            <w:r w:rsidRPr="0033213E">
              <w:rPr>
                <w:rFonts w:ascii="Arial" w:hAnsi="Arial"/>
                <w:sz w:val="18"/>
                <w:szCs w:val="20"/>
              </w:rPr>
              <w:t>).</w:t>
            </w:r>
          </w:p>
        </w:tc>
      </w:tr>
      <w:tr w:rsidR="00800E17" w:rsidRPr="00800E17" w14:paraId="11120530" w14:textId="77777777" w:rsidTr="003B3638">
        <w:trPr>
          <w:cantSplit/>
        </w:trPr>
        <w:tc>
          <w:tcPr>
            <w:tcW w:w="1211" w:type="pct"/>
          </w:tcPr>
          <w:p w14:paraId="68098A2E" w14:textId="77777777" w:rsidR="00800E17" w:rsidRPr="00800E17" w:rsidRDefault="00800E17" w:rsidP="00800E17">
            <w:pPr>
              <w:keepLines/>
              <w:spacing w:before="120" w:line="200" w:lineRule="atLeast"/>
              <w:ind w:left="6" w:right="113"/>
              <w:rPr>
                <w:rFonts w:ascii="Arial" w:hAnsi="Arial"/>
                <w:b/>
                <w:sz w:val="18"/>
                <w:szCs w:val="20"/>
              </w:rPr>
            </w:pPr>
            <w:r w:rsidRPr="00800E17">
              <w:rPr>
                <w:rFonts w:ascii="Arial" w:hAnsi="Arial"/>
                <w:b/>
                <w:sz w:val="18"/>
                <w:szCs w:val="20"/>
              </w:rPr>
              <w:t>Student</w:t>
            </w:r>
            <w:r w:rsidRPr="00800E17">
              <w:rPr>
                <w:rFonts w:ascii="Arial" w:hAnsi="Arial"/>
                <w:b/>
                <w:sz w:val="18"/>
                <w:szCs w:val="20"/>
              </w:rPr>
              <w:noBreakHyphen/>
              <w:t>to</w:t>
            </w:r>
            <w:r w:rsidRPr="00800E17">
              <w:rPr>
                <w:rFonts w:ascii="Arial" w:hAnsi="Arial"/>
                <w:b/>
                <w:sz w:val="18"/>
                <w:szCs w:val="20"/>
              </w:rPr>
              <w:noBreakHyphen/>
              <w:t>staff ratios</w:t>
            </w:r>
          </w:p>
        </w:tc>
        <w:tc>
          <w:tcPr>
            <w:tcW w:w="3789" w:type="pct"/>
          </w:tcPr>
          <w:p w14:paraId="5106E87E" w14:textId="77777777" w:rsidR="00800E17" w:rsidRPr="00800E17" w:rsidRDefault="00800E17" w:rsidP="00800E17">
            <w:pPr>
              <w:keepNext/>
              <w:keepLines/>
              <w:spacing w:before="120" w:line="200" w:lineRule="atLeast"/>
              <w:rPr>
                <w:rFonts w:ascii="Arial" w:hAnsi="Arial"/>
                <w:sz w:val="18"/>
                <w:szCs w:val="20"/>
              </w:rPr>
            </w:pPr>
            <w:r w:rsidRPr="00800E17">
              <w:rPr>
                <w:rFonts w:ascii="Arial" w:hAnsi="Arial"/>
                <w:sz w:val="18"/>
                <w:szCs w:val="20"/>
              </w:rPr>
              <w:t>The number of FTE students per FTE teaching staff. Students at special schools are allocated to primary and secondary (see below). The FTE of staff includes those who are generally active in schools and ancillary education establishments.</w:t>
            </w:r>
          </w:p>
        </w:tc>
      </w:tr>
      <w:tr w:rsidR="00800E17" w:rsidRPr="00800E17" w14:paraId="5A038A13" w14:textId="77777777" w:rsidTr="003B3638">
        <w:trPr>
          <w:cantSplit/>
        </w:trPr>
        <w:tc>
          <w:tcPr>
            <w:tcW w:w="1211" w:type="pct"/>
          </w:tcPr>
          <w:p w14:paraId="7B5DCCFD" w14:textId="77777777" w:rsidR="00800E17" w:rsidRPr="00800E17" w:rsidRDefault="00800E17" w:rsidP="00800E17">
            <w:pPr>
              <w:keepLines/>
              <w:spacing w:before="120" w:line="200" w:lineRule="atLeast"/>
              <w:ind w:left="6" w:right="113"/>
              <w:rPr>
                <w:rFonts w:ascii="Arial" w:hAnsi="Arial"/>
                <w:b/>
                <w:sz w:val="18"/>
                <w:szCs w:val="20"/>
              </w:rPr>
            </w:pPr>
            <w:r w:rsidRPr="00800E17">
              <w:rPr>
                <w:rFonts w:ascii="Arial" w:hAnsi="Arial"/>
                <w:b/>
                <w:sz w:val="18"/>
                <w:szCs w:val="20"/>
              </w:rPr>
              <w:t>Student</w:t>
            </w:r>
          </w:p>
        </w:tc>
        <w:tc>
          <w:tcPr>
            <w:tcW w:w="3789" w:type="pct"/>
          </w:tcPr>
          <w:p w14:paraId="588DFBD9" w14:textId="77777777" w:rsidR="00800E17" w:rsidRPr="00800E17" w:rsidRDefault="00800E17" w:rsidP="00800E17">
            <w:pPr>
              <w:keepNext/>
              <w:keepLines/>
              <w:spacing w:before="120" w:line="200" w:lineRule="atLeast"/>
              <w:rPr>
                <w:rFonts w:ascii="Arial" w:hAnsi="Arial"/>
                <w:sz w:val="18"/>
                <w:szCs w:val="20"/>
              </w:rPr>
            </w:pPr>
            <w:r w:rsidRPr="00800E17">
              <w:rPr>
                <w:rFonts w:ascii="Arial" w:hAnsi="Arial"/>
                <w:sz w:val="18"/>
                <w:szCs w:val="20"/>
              </w:rPr>
              <w:t>A person who is formally (officially) enrolled or registered at a school, and is also active in a primary, secondary or special education program at that school. Students at special schools are allocated to primary and secondary on the basis of their actual grade (if assigned); whether or not they are receiving primary or secondary curriculum instruction; or, as a last resort, whether they are of primary or secondary school age.</w:t>
            </w:r>
          </w:p>
        </w:tc>
      </w:tr>
      <w:tr w:rsidR="00800E17" w:rsidRPr="00800E17" w14:paraId="6FBF96C7" w14:textId="77777777" w:rsidTr="003B3638">
        <w:trPr>
          <w:cantSplit/>
        </w:trPr>
        <w:tc>
          <w:tcPr>
            <w:tcW w:w="1211" w:type="pct"/>
            <w:shd w:val="clear" w:color="auto" w:fill="auto"/>
          </w:tcPr>
          <w:p w14:paraId="54D4D75D" w14:textId="77777777" w:rsidR="00800E17" w:rsidRPr="00800E17" w:rsidRDefault="00800E17" w:rsidP="00800E17">
            <w:pPr>
              <w:keepLines/>
              <w:spacing w:before="120" w:line="200" w:lineRule="atLeast"/>
              <w:ind w:left="6" w:right="113"/>
              <w:rPr>
                <w:rFonts w:ascii="Arial" w:hAnsi="Arial"/>
                <w:b/>
                <w:sz w:val="18"/>
                <w:szCs w:val="20"/>
              </w:rPr>
            </w:pPr>
            <w:r w:rsidRPr="00800E17">
              <w:rPr>
                <w:rFonts w:ascii="Arial" w:hAnsi="Arial"/>
                <w:b/>
                <w:sz w:val="18"/>
                <w:szCs w:val="20"/>
              </w:rPr>
              <w:t>Students with disability</w:t>
            </w:r>
          </w:p>
        </w:tc>
        <w:tc>
          <w:tcPr>
            <w:tcW w:w="3789" w:type="pct"/>
            <w:shd w:val="clear" w:color="auto" w:fill="auto"/>
          </w:tcPr>
          <w:p w14:paraId="0456EA2C" w14:textId="77777777" w:rsidR="00800E17" w:rsidRPr="00800E17" w:rsidRDefault="00800E17" w:rsidP="00800E17">
            <w:pPr>
              <w:keepNext/>
              <w:keepLines/>
              <w:spacing w:before="120" w:line="200" w:lineRule="atLeast"/>
              <w:rPr>
                <w:rFonts w:ascii="Arial" w:hAnsi="Arial"/>
                <w:sz w:val="18"/>
                <w:szCs w:val="20"/>
              </w:rPr>
            </w:pPr>
            <w:r w:rsidRPr="00800E17">
              <w:rPr>
                <w:rFonts w:ascii="Arial" w:hAnsi="Arial"/>
                <w:sz w:val="18"/>
                <w:szCs w:val="20"/>
              </w:rPr>
              <w:t xml:space="preserve">Students are counted in the Nationally Consistent Collection of Data on School Students with Disability where: </w:t>
            </w:r>
          </w:p>
          <w:p w14:paraId="1562563B" w14:textId="77777777" w:rsidR="00800E17" w:rsidRPr="00800E17" w:rsidRDefault="00800E17" w:rsidP="008D1CB3">
            <w:pPr>
              <w:pStyle w:val="DQITableBullet"/>
              <w:keepNext w:val="0"/>
              <w:numPr>
                <w:ilvl w:val="0"/>
                <w:numId w:val="22"/>
              </w:numPr>
              <w:spacing w:before="40" w:after="0"/>
            </w:pPr>
            <w:r w:rsidRPr="00800E17">
              <w:t xml:space="preserve">the student’s impairment meets the </w:t>
            </w:r>
            <w:r w:rsidRPr="00525873">
              <w:t>Disability Discrimination Act 1992</w:t>
            </w:r>
            <w:r w:rsidRPr="00800E17">
              <w:t xml:space="preserve"> (DDA); AND </w:t>
            </w:r>
          </w:p>
          <w:p w14:paraId="7892CA68" w14:textId="77777777" w:rsidR="00800E17" w:rsidRPr="00525873" w:rsidRDefault="00800E17" w:rsidP="008D1CB3">
            <w:pPr>
              <w:pStyle w:val="ListParagraph"/>
              <w:keepNext/>
              <w:keepLines/>
              <w:numPr>
                <w:ilvl w:val="0"/>
                <w:numId w:val="22"/>
              </w:numPr>
              <w:spacing w:before="40" w:line="200" w:lineRule="atLeast"/>
              <w:ind w:right="113"/>
              <w:rPr>
                <w:rFonts w:ascii="Arial" w:hAnsi="Arial"/>
                <w:sz w:val="18"/>
                <w:szCs w:val="20"/>
              </w:rPr>
            </w:pPr>
            <w:r w:rsidRPr="00525873">
              <w:rPr>
                <w:rFonts w:ascii="Arial" w:hAnsi="Arial"/>
                <w:sz w:val="18"/>
                <w:szCs w:val="20"/>
              </w:rPr>
              <w:t>the functional impact of the student’s disability results in the school actively addressing or supporting the student’s specific individual education needs arising from their disability.</w:t>
            </w:r>
          </w:p>
          <w:p w14:paraId="326BE1BB" w14:textId="77777777" w:rsidR="00800E17" w:rsidRPr="00800E17" w:rsidRDefault="00800E17" w:rsidP="00800E17">
            <w:pPr>
              <w:keepNext/>
              <w:keepLines/>
              <w:spacing w:before="120" w:line="200" w:lineRule="atLeast"/>
              <w:rPr>
                <w:rFonts w:ascii="Arial" w:hAnsi="Arial"/>
                <w:sz w:val="18"/>
                <w:szCs w:val="20"/>
              </w:rPr>
            </w:pPr>
            <w:r w:rsidRPr="00800E17">
              <w:rPr>
                <w:rFonts w:ascii="Arial" w:hAnsi="Arial"/>
                <w:sz w:val="18"/>
                <w:szCs w:val="20"/>
              </w:rPr>
              <w:t xml:space="preserve">The DDA provides a broad definition of disability. The DDA covers individuals with disability, associates of a person with a disability, people who do not have a disability but who may face disability discrimination in the future, people who are not in fact impaired in functioning but treated as impaired, and people with conditions such as obesity, mild allergies or physical sensitivities, and those who wear glasses. </w:t>
            </w:r>
          </w:p>
        </w:tc>
      </w:tr>
      <w:tr w:rsidR="00800E17" w:rsidRPr="00800E17" w14:paraId="2EC4AAFD" w14:textId="77777777" w:rsidTr="00800E17">
        <w:trPr>
          <w:cantSplit/>
        </w:trPr>
        <w:tc>
          <w:tcPr>
            <w:tcW w:w="1211" w:type="pct"/>
            <w:shd w:val="clear" w:color="auto" w:fill="FFFFFF"/>
          </w:tcPr>
          <w:p w14:paraId="240833F3" w14:textId="77777777" w:rsidR="00800E17" w:rsidRPr="00800E17" w:rsidRDefault="00800E17" w:rsidP="00800E17">
            <w:pPr>
              <w:keepLines/>
              <w:spacing w:before="120" w:line="200" w:lineRule="atLeast"/>
              <w:ind w:left="6" w:right="113"/>
              <w:rPr>
                <w:rFonts w:ascii="Arial" w:hAnsi="Arial"/>
                <w:b/>
                <w:sz w:val="18"/>
                <w:szCs w:val="20"/>
              </w:rPr>
            </w:pPr>
            <w:r w:rsidRPr="00800E17">
              <w:rPr>
                <w:rFonts w:ascii="Arial" w:hAnsi="Arial"/>
                <w:b/>
                <w:sz w:val="18"/>
                <w:szCs w:val="20"/>
              </w:rPr>
              <w:lastRenderedPageBreak/>
              <w:t>Teaching staff</w:t>
            </w:r>
          </w:p>
        </w:tc>
        <w:tc>
          <w:tcPr>
            <w:tcW w:w="3789" w:type="pct"/>
          </w:tcPr>
          <w:p w14:paraId="69BDBB3B" w14:textId="77777777" w:rsidR="00800E17" w:rsidRPr="00800E17" w:rsidRDefault="00800E17" w:rsidP="00800E17">
            <w:pPr>
              <w:keepLines/>
              <w:spacing w:before="120" w:line="200" w:lineRule="atLeast"/>
              <w:rPr>
                <w:rFonts w:ascii="Arial" w:hAnsi="Arial"/>
                <w:sz w:val="18"/>
                <w:szCs w:val="20"/>
              </w:rPr>
            </w:pPr>
            <w:r w:rsidRPr="00800E17">
              <w:rPr>
                <w:rFonts w:ascii="Arial" w:hAnsi="Arial"/>
                <w:sz w:val="18"/>
                <w:szCs w:val="20"/>
              </w:rPr>
              <w:t xml:space="preserve">Teaching staff have teaching duties (that is, they are engaged to impart the school curriculum) and spend </w:t>
            </w:r>
            <w:proofErr w:type="gramStart"/>
            <w:r w:rsidRPr="00800E17">
              <w:rPr>
                <w:rFonts w:ascii="Arial" w:hAnsi="Arial"/>
                <w:sz w:val="18"/>
                <w:szCs w:val="20"/>
              </w:rPr>
              <w:t>the majority of</w:t>
            </w:r>
            <w:proofErr w:type="gramEnd"/>
            <w:r w:rsidRPr="00800E17">
              <w:rPr>
                <w:rFonts w:ascii="Arial" w:hAnsi="Arial"/>
                <w:sz w:val="18"/>
                <w:szCs w:val="20"/>
              </w:rPr>
              <w:t xml:space="preserve"> their time in contact with students. They support students, either by direct class contact or on an individual basis. Teaching staff include principals, deputy principals and senior teachers mainly involved in administrative duties, but not specialist support staff (who may spend </w:t>
            </w:r>
            <w:proofErr w:type="gramStart"/>
            <w:r w:rsidRPr="00800E17">
              <w:rPr>
                <w:rFonts w:ascii="Arial" w:hAnsi="Arial"/>
                <w:sz w:val="18"/>
                <w:szCs w:val="20"/>
              </w:rPr>
              <w:t>the majority of</w:t>
            </w:r>
            <w:proofErr w:type="gramEnd"/>
            <w:r w:rsidRPr="00800E17">
              <w:rPr>
                <w:rFonts w:ascii="Arial" w:hAnsi="Arial"/>
                <w:sz w:val="18"/>
                <w:szCs w:val="20"/>
              </w:rPr>
              <w:t xml:space="preserve"> their time in contact with students but are not engaged to impart the school curriculum). For the NT, Assistant Teachers in Homeland Learning Centres and community school are included as teaching staff.</w:t>
            </w:r>
          </w:p>
        </w:tc>
      </w:tr>
      <w:tr w:rsidR="00800E17" w:rsidRPr="00800E17" w14:paraId="168DD9F7" w14:textId="77777777" w:rsidTr="003B3638">
        <w:trPr>
          <w:cantSplit/>
        </w:trPr>
        <w:tc>
          <w:tcPr>
            <w:tcW w:w="1211" w:type="pct"/>
            <w:shd w:val="clear" w:color="auto" w:fill="auto"/>
          </w:tcPr>
          <w:p w14:paraId="49E07C9C" w14:textId="77777777" w:rsidR="00800E17" w:rsidRPr="00800E17" w:rsidRDefault="00800E17" w:rsidP="00800E17">
            <w:pPr>
              <w:keepLines/>
              <w:spacing w:before="120" w:line="200" w:lineRule="atLeast"/>
              <w:ind w:left="6" w:right="113"/>
              <w:rPr>
                <w:rFonts w:ascii="Arial" w:hAnsi="Arial"/>
                <w:b/>
                <w:sz w:val="18"/>
                <w:szCs w:val="20"/>
                <w:highlight w:val="yellow"/>
              </w:rPr>
            </w:pPr>
            <w:r w:rsidRPr="00800E17">
              <w:rPr>
                <w:rFonts w:ascii="Arial" w:hAnsi="Arial"/>
                <w:b/>
                <w:sz w:val="18"/>
                <w:szCs w:val="20"/>
              </w:rPr>
              <w:t>Ungraded student</w:t>
            </w:r>
          </w:p>
        </w:tc>
        <w:tc>
          <w:tcPr>
            <w:tcW w:w="3789" w:type="pct"/>
            <w:shd w:val="clear" w:color="auto" w:fill="auto"/>
          </w:tcPr>
          <w:p w14:paraId="44193833" w14:textId="77777777" w:rsidR="00800E17" w:rsidRPr="00800E17" w:rsidRDefault="00800E17" w:rsidP="00800E17">
            <w:pPr>
              <w:keepNext/>
              <w:keepLines/>
              <w:spacing w:before="120" w:line="200" w:lineRule="atLeast"/>
              <w:rPr>
                <w:rFonts w:ascii="Arial" w:hAnsi="Arial"/>
                <w:sz w:val="18"/>
                <w:szCs w:val="20"/>
              </w:rPr>
            </w:pPr>
            <w:r w:rsidRPr="00800E17">
              <w:rPr>
                <w:rFonts w:ascii="Arial" w:hAnsi="Arial"/>
                <w:sz w:val="18"/>
                <w:szCs w:val="20"/>
              </w:rPr>
              <w:t>A student in ungraded classes who cannot readily be allocated to a year of education. These students are included as either ungraded primary or ungraded secondary, according to the typical age level in each jurisdiction.</w:t>
            </w:r>
          </w:p>
        </w:tc>
      </w:tr>
      <w:tr w:rsidR="00800E17" w:rsidRPr="00800E17" w14:paraId="4C34E52B" w14:textId="77777777" w:rsidTr="003B3638">
        <w:trPr>
          <w:cantSplit/>
          <w:trHeight w:val="68"/>
        </w:trPr>
        <w:tc>
          <w:tcPr>
            <w:tcW w:w="1211" w:type="pct"/>
            <w:shd w:val="clear" w:color="auto" w:fill="auto"/>
          </w:tcPr>
          <w:p w14:paraId="5AEF9F9C" w14:textId="77777777" w:rsidR="00800E17" w:rsidRPr="00800E17" w:rsidRDefault="00800E17" w:rsidP="00800E17">
            <w:pPr>
              <w:keepLines/>
              <w:spacing w:before="120" w:line="200" w:lineRule="atLeast"/>
              <w:ind w:left="6" w:right="113"/>
              <w:rPr>
                <w:rFonts w:ascii="Arial" w:hAnsi="Arial"/>
                <w:b/>
                <w:sz w:val="18"/>
                <w:szCs w:val="20"/>
                <w:highlight w:val="yellow"/>
              </w:rPr>
            </w:pPr>
            <w:r w:rsidRPr="00800E17">
              <w:rPr>
                <w:rFonts w:ascii="Arial" w:hAnsi="Arial"/>
                <w:b/>
                <w:sz w:val="18"/>
                <w:szCs w:val="20"/>
              </w:rPr>
              <w:t>VET in Schools</w:t>
            </w:r>
          </w:p>
        </w:tc>
        <w:tc>
          <w:tcPr>
            <w:tcW w:w="3789" w:type="pct"/>
            <w:shd w:val="clear" w:color="auto" w:fill="auto"/>
          </w:tcPr>
          <w:p w14:paraId="35CB1D6E" w14:textId="77777777" w:rsidR="00800E17" w:rsidRPr="00800E17" w:rsidRDefault="00800E17" w:rsidP="00800E17">
            <w:pPr>
              <w:keepNext/>
              <w:keepLines/>
              <w:spacing w:before="120" w:line="200" w:lineRule="atLeast"/>
              <w:rPr>
                <w:rFonts w:ascii="Arial" w:hAnsi="Arial"/>
                <w:sz w:val="18"/>
                <w:szCs w:val="20"/>
              </w:rPr>
            </w:pPr>
            <w:r w:rsidRPr="00800E17">
              <w:rPr>
                <w:rFonts w:ascii="Arial" w:hAnsi="Arial"/>
                <w:sz w:val="18"/>
                <w:szCs w:val="20"/>
              </w:rPr>
              <w:t>VET in Schools refers to nationally recognised VET qualifications or accredited courses undertaken by school students as part of the senior secondary certificate. The training that students receive reflects specific industry competency standards and is delivered by an external Registered Training Organisation (RTO), the school or school sector as an RTO and/or the school in partnership with an RTO. VET courses may require structured work placements and may be undertaken as a school</w:t>
            </w:r>
            <w:r w:rsidRPr="00800E17">
              <w:rPr>
                <w:rFonts w:ascii="Arial" w:hAnsi="Arial"/>
                <w:sz w:val="18"/>
                <w:szCs w:val="20"/>
              </w:rPr>
              <w:noBreakHyphen/>
              <w:t>based apprenticeship or traineeship.</w:t>
            </w:r>
          </w:p>
        </w:tc>
      </w:tr>
    </w:tbl>
    <w:p w14:paraId="381D05B6" w14:textId="0F3EE95B" w:rsidR="00F80224" w:rsidRPr="00796966" w:rsidRDefault="00F80224" w:rsidP="00F80224">
      <w:pPr>
        <w:pStyle w:val="Heading2"/>
        <w:spacing w:before="360"/>
      </w:pPr>
      <w:bookmarkStart w:id="40" w:name="_Toc532209568"/>
      <w:bookmarkStart w:id="41" w:name="_Toc46822960"/>
      <w:bookmarkStart w:id="42" w:name="_Toc49241273"/>
      <w:r w:rsidRPr="00796966">
        <w:t>4</w:t>
      </w:r>
      <w:r>
        <w:t>.3</w:t>
      </w:r>
      <w:r w:rsidRPr="00796966">
        <w:tab/>
        <w:t>References</w:t>
      </w:r>
      <w:bookmarkEnd w:id="40"/>
      <w:bookmarkEnd w:id="41"/>
      <w:bookmarkEnd w:id="42"/>
    </w:p>
    <w:p w14:paraId="4C70D7C8" w14:textId="67C8BA46" w:rsidR="00F80224" w:rsidRPr="00883A84" w:rsidRDefault="00F80224" w:rsidP="00F80224">
      <w:pPr>
        <w:spacing w:before="120" w:line="320" w:lineRule="atLeast"/>
        <w:ind w:left="340" w:hanging="340"/>
        <w:jc w:val="both"/>
        <w:rPr>
          <w:szCs w:val="20"/>
        </w:rPr>
      </w:pPr>
      <w:r w:rsidRPr="00883A84">
        <w:rPr>
          <w:szCs w:val="20"/>
        </w:rPr>
        <w:t>ABS (Australian Bureau of Statistics) 20</w:t>
      </w:r>
      <w:r w:rsidR="00EA3B9A">
        <w:rPr>
          <w:szCs w:val="20"/>
        </w:rPr>
        <w:t>20</w:t>
      </w:r>
      <w:r w:rsidRPr="00883A84">
        <w:rPr>
          <w:szCs w:val="20"/>
        </w:rPr>
        <w:t xml:space="preserve">, </w:t>
      </w:r>
      <w:r w:rsidRPr="00883A84">
        <w:rPr>
          <w:i/>
          <w:szCs w:val="20"/>
        </w:rPr>
        <w:t>Schools Australia, 201</w:t>
      </w:r>
      <w:r w:rsidR="00EA3B9A">
        <w:rPr>
          <w:i/>
          <w:szCs w:val="20"/>
        </w:rPr>
        <w:t>9</w:t>
      </w:r>
      <w:r w:rsidRPr="00883A84">
        <w:rPr>
          <w:szCs w:val="20"/>
        </w:rPr>
        <w:t>, Cat. no. 4221.0, Canberra.</w:t>
      </w:r>
    </w:p>
    <w:p w14:paraId="2012E422" w14:textId="01309B7A" w:rsidR="00F80224" w:rsidRPr="00883A84" w:rsidRDefault="00F80224" w:rsidP="00F80224">
      <w:pPr>
        <w:spacing w:before="120" w:line="320" w:lineRule="atLeast"/>
        <w:ind w:left="340" w:hanging="340"/>
        <w:jc w:val="both"/>
        <w:rPr>
          <w:szCs w:val="20"/>
        </w:rPr>
      </w:pPr>
      <w:r w:rsidRPr="00883A84">
        <w:rPr>
          <w:szCs w:val="20"/>
        </w:rPr>
        <w:t>ACARA (Australian Curriculum and Assessment Reporting Authority) 20</w:t>
      </w:r>
      <w:r w:rsidR="00BF4A58">
        <w:rPr>
          <w:szCs w:val="20"/>
        </w:rPr>
        <w:t>20</w:t>
      </w:r>
      <w:r w:rsidRPr="00883A84">
        <w:rPr>
          <w:szCs w:val="20"/>
        </w:rPr>
        <w:t xml:space="preserve">, </w:t>
      </w:r>
      <w:r w:rsidRPr="00883A84">
        <w:rPr>
          <w:i/>
          <w:szCs w:val="20"/>
        </w:rPr>
        <w:t>National Assessment Program—Literacy and Numeracy Achievement in Reading, Writing, Language Conventions and Numeracy: National Report for 201</w:t>
      </w:r>
      <w:r w:rsidR="00BF4A58">
        <w:rPr>
          <w:i/>
          <w:szCs w:val="20"/>
        </w:rPr>
        <w:t>9</w:t>
      </w:r>
      <w:r w:rsidRPr="00883A84">
        <w:rPr>
          <w:szCs w:val="20"/>
        </w:rPr>
        <w:t>, Sydney.</w:t>
      </w:r>
      <w:r w:rsidRPr="00883A84">
        <w:rPr>
          <w:i/>
          <w:iCs/>
          <w:szCs w:val="20"/>
        </w:rPr>
        <w:t xml:space="preserve"> </w:t>
      </w:r>
    </w:p>
    <w:p w14:paraId="0FC6A2FA" w14:textId="77777777" w:rsidR="00F80224" w:rsidRPr="00883A84" w:rsidRDefault="00F80224" w:rsidP="00F80224">
      <w:pPr>
        <w:pStyle w:val="Reference"/>
      </w:pPr>
      <w:r w:rsidRPr="00883A84">
        <w:t xml:space="preserve">Boon, H.J. 2011, ‘Raising the bar: ethics education for quality teachers’, </w:t>
      </w:r>
      <w:r w:rsidRPr="00883A84">
        <w:rPr>
          <w:i/>
          <w:iCs/>
        </w:rPr>
        <w:t>Australian Journal of Teacher Education</w:t>
      </w:r>
      <w:r w:rsidRPr="00883A84">
        <w:t>, vol. 36, pp. 76–93.</w:t>
      </w:r>
    </w:p>
    <w:p w14:paraId="52671441" w14:textId="77777777" w:rsidR="00F80224" w:rsidRPr="00883A84" w:rsidRDefault="00F80224" w:rsidP="00F80224">
      <w:pPr>
        <w:pStyle w:val="Reference"/>
      </w:pPr>
      <w:proofErr w:type="spellStart"/>
      <w:r w:rsidRPr="00883A84">
        <w:t>Bruckauf</w:t>
      </w:r>
      <w:proofErr w:type="spellEnd"/>
      <w:r w:rsidRPr="00883A84">
        <w:t xml:space="preserve">, Z. and </w:t>
      </w:r>
      <w:proofErr w:type="spellStart"/>
      <w:r w:rsidRPr="00883A84">
        <w:t>Chzhen</w:t>
      </w:r>
      <w:proofErr w:type="spellEnd"/>
      <w:r w:rsidRPr="00883A84">
        <w:t xml:space="preserve">, Y., 2016, </w:t>
      </w:r>
      <w:r w:rsidRPr="00883A84">
        <w:rPr>
          <w:i/>
        </w:rPr>
        <w:t>Education for All? Measuring inequality of educational outcomes among 15</w:t>
      </w:r>
      <w:r w:rsidRPr="00883A84">
        <w:rPr>
          <w:i/>
        </w:rPr>
        <w:noBreakHyphen/>
        <w:t>year</w:t>
      </w:r>
      <w:r w:rsidRPr="00883A84">
        <w:rPr>
          <w:i/>
        </w:rPr>
        <w:noBreakHyphen/>
        <w:t>olds across 39 industrialized nations</w:t>
      </w:r>
      <w:r w:rsidRPr="00883A84">
        <w:t xml:space="preserve">, </w:t>
      </w:r>
      <w:proofErr w:type="spellStart"/>
      <w:r w:rsidRPr="00883A84">
        <w:t>Innocenti</w:t>
      </w:r>
      <w:proofErr w:type="spellEnd"/>
      <w:r w:rsidRPr="00883A84">
        <w:t xml:space="preserve"> Working Papers no. 2016_08, UNICEF </w:t>
      </w:r>
      <w:proofErr w:type="spellStart"/>
      <w:r w:rsidRPr="00883A84">
        <w:t>Innocenti</w:t>
      </w:r>
      <w:proofErr w:type="spellEnd"/>
      <w:r w:rsidRPr="00883A84">
        <w:t xml:space="preserve"> Research Centre, Florence.</w:t>
      </w:r>
    </w:p>
    <w:p w14:paraId="5780EDBC" w14:textId="77777777" w:rsidR="00F80224" w:rsidRPr="00883A84" w:rsidRDefault="00F80224" w:rsidP="00F80224">
      <w:pPr>
        <w:spacing w:before="120" w:line="320" w:lineRule="atLeast"/>
        <w:ind w:left="340" w:hanging="340"/>
        <w:jc w:val="both"/>
      </w:pPr>
      <w:r w:rsidRPr="00883A84">
        <w:t xml:space="preserve">Fredricks, J., Blumenfeld, P., Paris, A. 2004, ‘School Engagement: Potential of the Concept, State of the Evidence’, </w:t>
      </w:r>
      <w:r w:rsidRPr="00883A84">
        <w:rPr>
          <w:i/>
        </w:rPr>
        <w:t>Review of Educational Research</w:t>
      </w:r>
      <w:r w:rsidRPr="00883A84">
        <w:t xml:space="preserve">, vol. 74 Spring 2004, </w:t>
      </w:r>
      <w:r w:rsidRPr="00883A84">
        <w:br/>
        <w:t>pp 59–109.</w:t>
      </w:r>
    </w:p>
    <w:p w14:paraId="082D2343" w14:textId="77777777" w:rsidR="00F80224" w:rsidRPr="00883A84" w:rsidRDefault="00F80224" w:rsidP="00F80224">
      <w:pPr>
        <w:pStyle w:val="Reference"/>
      </w:pPr>
      <w:r w:rsidRPr="00883A84">
        <w:t xml:space="preserve">Hattie, J.A. 2009, </w:t>
      </w:r>
      <w:r w:rsidRPr="00883A84">
        <w:rPr>
          <w:i/>
          <w:iCs/>
        </w:rPr>
        <w:t>Visible Learning: A Synthesis of Over 800 Meta</w:t>
      </w:r>
      <w:r w:rsidRPr="00883A84">
        <w:rPr>
          <w:i/>
          <w:iCs/>
        </w:rPr>
        <w:noBreakHyphen/>
        <w:t>analyses Relating to Achievement</w:t>
      </w:r>
      <w:r w:rsidRPr="00883A84">
        <w:t>, Routledge, New York, USA.</w:t>
      </w:r>
    </w:p>
    <w:p w14:paraId="46AE6C46" w14:textId="77777777" w:rsidR="00F80224" w:rsidRPr="00883A84" w:rsidRDefault="00F80224" w:rsidP="00F80224">
      <w:pPr>
        <w:pStyle w:val="Reference"/>
      </w:pPr>
      <w:r w:rsidRPr="00883A84">
        <w:t xml:space="preserve">Hancock, K. J., Shepherd, C. C. J., Lawrence, D. and Zubrick, S. R. 2013, </w:t>
      </w:r>
      <w:r w:rsidRPr="00883A84">
        <w:rPr>
          <w:i/>
        </w:rPr>
        <w:t xml:space="preserve">Student attendance and educational outcomes: </w:t>
      </w:r>
      <w:proofErr w:type="gramStart"/>
      <w:r w:rsidRPr="00883A84">
        <w:rPr>
          <w:i/>
        </w:rPr>
        <w:t>Every day</w:t>
      </w:r>
      <w:proofErr w:type="gramEnd"/>
      <w:r w:rsidRPr="00883A84">
        <w:rPr>
          <w:i/>
        </w:rPr>
        <w:t xml:space="preserve"> counts.</w:t>
      </w:r>
      <w:r w:rsidRPr="00883A84">
        <w:t xml:space="preserve"> Report for the Department of Education, Employment and Workplace Relations, Canberra.</w:t>
      </w:r>
    </w:p>
    <w:p w14:paraId="2C7C9658" w14:textId="77777777" w:rsidR="00F80224" w:rsidRPr="00883A84" w:rsidRDefault="00F80224" w:rsidP="00F80224">
      <w:pPr>
        <w:spacing w:before="120" w:line="320" w:lineRule="atLeast"/>
        <w:ind w:left="340" w:hanging="340"/>
        <w:jc w:val="both"/>
      </w:pPr>
      <w:r w:rsidRPr="00883A84">
        <w:rPr>
          <w:color w:val="000000"/>
        </w:rPr>
        <w:t xml:space="preserve">PC (Productivity Commission) 2012, </w:t>
      </w:r>
      <w:r w:rsidRPr="00883A84">
        <w:rPr>
          <w:i/>
          <w:iCs/>
          <w:color w:val="000000"/>
        </w:rPr>
        <w:t>Schools Workforce</w:t>
      </w:r>
      <w:r w:rsidRPr="00883A84">
        <w:rPr>
          <w:color w:val="000000"/>
        </w:rPr>
        <w:t>, Research Report, Canberra.</w:t>
      </w:r>
    </w:p>
    <w:p w14:paraId="1F201492" w14:textId="4D53A1DE" w:rsidR="00F80224" w:rsidRDefault="00F80224" w:rsidP="0099655C">
      <w:pPr>
        <w:spacing w:before="120" w:line="320" w:lineRule="atLeast"/>
        <w:ind w:left="340" w:hanging="340"/>
        <w:jc w:val="both"/>
        <w:rPr>
          <w:szCs w:val="20"/>
        </w:rPr>
      </w:pPr>
      <w:r w:rsidRPr="00883A84">
        <w:rPr>
          <w:szCs w:val="20"/>
        </w:rPr>
        <w:t>UNESCO</w:t>
      </w:r>
      <w:r w:rsidRPr="00883A84">
        <w:rPr>
          <w:szCs w:val="20"/>
        </w:rPr>
        <w:noBreakHyphen/>
        <w:t xml:space="preserve">IBE. (United Nations Education Scientific and Cultural Organisation – International Bureau of Education) (2016), </w:t>
      </w:r>
      <w:r w:rsidRPr="00883A84">
        <w:rPr>
          <w:i/>
          <w:szCs w:val="20"/>
        </w:rPr>
        <w:t xml:space="preserve">What Makes a Quality </w:t>
      </w:r>
      <w:proofErr w:type="gramStart"/>
      <w:r w:rsidRPr="00883A84">
        <w:rPr>
          <w:i/>
          <w:szCs w:val="20"/>
        </w:rPr>
        <w:t>Curriculum?</w:t>
      </w:r>
      <w:r w:rsidRPr="00883A84">
        <w:rPr>
          <w:szCs w:val="20"/>
        </w:rPr>
        <w:t>,</w:t>
      </w:r>
      <w:proofErr w:type="gramEnd"/>
      <w:r w:rsidRPr="00883A84">
        <w:rPr>
          <w:szCs w:val="20"/>
        </w:rPr>
        <w:t xml:space="preserve"> UNESCO International, Bureau of Education, Geneva, &lt;http://unesdoc.unesco.org/</w:t>
      </w:r>
      <w:r w:rsidRPr="00883A84">
        <w:rPr>
          <w:szCs w:val="20"/>
        </w:rPr>
        <w:br/>
        <w:t>images/0024/002439/243975e.pdf&gt; (accessed 23 October 2017).</w:t>
      </w:r>
    </w:p>
    <w:p w14:paraId="1C759366" w14:textId="77777777" w:rsidR="0099655C" w:rsidRPr="0099655C" w:rsidRDefault="0099655C" w:rsidP="0099655C">
      <w:pPr>
        <w:spacing w:before="120" w:line="320" w:lineRule="atLeast"/>
        <w:ind w:left="340" w:hanging="340"/>
        <w:jc w:val="both"/>
        <w:rPr>
          <w:szCs w:val="20"/>
        </w:rPr>
      </w:pPr>
    </w:p>
    <w:sectPr w:rsidR="0099655C" w:rsidRPr="0099655C" w:rsidSect="001D7157">
      <w:headerReference w:type="even" r:id="rId8"/>
      <w:headerReference w:type="default" r:id="rId9"/>
      <w:footerReference w:type="even" r:id="rId10"/>
      <w:footerReference w:type="default" r:id="rId11"/>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F4307" w14:textId="77777777" w:rsidR="00483134" w:rsidRDefault="00483134">
      <w:r>
        <w:separator/>
      </w:r>
    </w:p>
  </w:endnote>
  <w:endnote w:type="continuationSeparator" w:id="0">
    <w:p w14:paraId="0EDE8F52" w14:textId="77777777" w:rsidR="00483134" w:rsidRDefault="0048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31"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654"/>
    </w:tblGrid>
    <w:tr w:rsidR="00483134" w14:paraId="6BEF5FE9" w14:textId="77777777" w:rsidTr="009E4A0F">
      <w:trPr>
        <w:trHeight w:hRule="exact" w:val="567"/>
      </w:trPr>
      <w:tc>
        <w:tcPr>
          <w:tcW w:w="510" w:type="dxa"/>
        </w:tcPr>
        <w:p w14:paraId="46046731" w14:textId="69542D73" w:rsidR="00483134" w:rsidRPr="00A24443" w:rsidRDefault="00483134" w:rsidP="00771E9C">
          <w:pPr>
            <w:pStyle w:val="Footer"/>
            <w:tabs>
              <w:tab w:val="left" w:pos="0"/>
            </w:tabs>
            <w:ind w:right="0"/>
            <w:rPr>
              <w:rStyle w:val="PageNumber"/>
              <w:caps w:val="0"/>
            </w:rPr>
          </w:pPr>
          <w:r>
            <w:rPr>
              <w:rStyle w:val="PageNumber"/>
              <w:caps w:val="0"/>
            </w:rPr>
            <w:t>4.</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22</w:t>
          </w:r>
          <w:r w:rsidRPr="00A24443">
            <w:rPr>
              <w:rStyle w:val="PageNumber"/>
              <w:caps w:val="0"/>
            </w:rPr>
            <w:fldChar w:fldCharType="end"/>
          </w:r>
        </w:p>
      </w:tc>
      <w:tc>
        <w:tcPr>
          <w:tcW w:w="7767" w:type="dxa"/>
        </w:tcPr>
        <w:p w14:paraId="31F7ACE7" w14:textId="7B1273E2" w:rsidR="00483134" w:rsidRPr="0013739A" w:rsidRDefault="00483134" w:rsidP="007D5F17">
          <w:pPr>
            <w:pStyle w:val="Footer"/>
            <w:rPr>
              <w:rFonts w:cs="Arial"/>
            </w:rPr>
          </w:pPr>
          <w:r>
            <w:rPr>
              <w:rFonts w:cs="Arial"/>
            </w:rPr>
            <w:t>report on government services 2021</w:t>
          </w:r>
          <w:r w:rsidRPr="00BA5B14">
            <w:rPr>
              <w:rFonts w:cs="Arial"/>
            </w:rPr>
            <w:fldChar w:fldCharType="begin"/>
          </w:r>
          <w:r w:rsidRPr="00BA5B14">
            <w:rPr>
              <w:rFonts w:cs="Arial"/>
            </w:rPr>
            <w:instrText xml:space="preserve"> SUBJECT  \* MERGEFORMAT </w:instrText>
          </w:r>
          <w:r w:rsidRPr="00BA5B14">
            <w:rPr>
              <w:rFonts w:cs="Arial"/>
            </w:rPr>
            <w:fldChar w:fldCharType="end"/>
          </w:r>
          <w:bookmarkStart w:id="43" w:name="DraftReportEven"/>
          <w:bookmarkEnd w:id="43"/>
        </w:p>
      </w:tc>
      <w:tc>
        <w:tcPr>
          <w:tcW w:w="654" w:type="dxa"/>
        </w:tcPr>
        <w:p w14:paraId="05B0D531" w14:textId="77777777" w:rsidR="00483134" w:rsidRDefault="00483134" w:rsidP="00771E9C">
          <w:pPr>
            <w:pStyle w:val="Footer"/>
          </w:pPr>
        </w:p>
      </w:tc>
    </w:tr>
  </w:tbl>
  <w:p w14:paraId="6DCB03DC" w14:textId="77777777" w:rsidR="00483134" w:rsidRDefault="00483134" w:rsidP="0019293B">
    <w:pPr>
      <w:pStyle w:val="FooterEnd"/>
    </w:pPr>
  </w:p>
  <w:p w14:paraId="3E052D8B" w14:textId="77777777" w:rsidR="00483134" w:rsidRDefault="00483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7"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5"/>
      <w:gridCol w:w="512"/>
    </w:tblGrid>
    <w:tr w:rsidR="00483134" w14:paraId="2528F660" w14:textId="77777777" w:rsidTr="007D047A">
      <w:trPr>
        <w:trHeight w:hRule="exact" w:val="567"/>
      </w:trPr>
      <w:tc>
        <w:tcPr>
          <w:tcW w:w="510" w:type="dxa"/>
        </w:tcPr>
        <w:p w14:paraId="645EF6A1" w14:textId="77777777" w:rsidR="00483134" w:rsidRDefault="00483134" w:rsidP="007D047A">
          <w:pPr>
            <w:pStyle w:val="Footer"/>
            <w:ind w:right="360" w:firstLine="360"/>
          </w:pPr>
        </w:p>
      </w:tc>
      <w:tc>
        <w:tcPr>
          <w:tcW w:w="7765" w:type="dxa"/>
        </w:tcPr>
        <w:p w14:paraId="2A28740D" w14:textId="0C88AF5B" w:rsidR="00483134" w:rsidRPr="00BA5B14" w:rsidRDefault="00483134" w:rsidP="001320B7">
          <w:pPr>
            <w:pStyle w:val="Footer"/>
            <w:jc w:val="right"/>
            <w:rPr>
              <w:rFonts w:cs="Arial"/>
            </w:rPr>
          </w:pPr>
          <w:r>
            <w:t xml:space="preserve">SCHOOL education </w:t>
          </w:r>
          <w:r>
            <w:rPr>
              <w:rFonts w:cs="Arial"/>
            </w:rPr>
            <w:t>INTERPRETATIVE MATERIAl</w:t>
          </w:r>
        </w:p>
      </w:tc>
      <w:tc>
        <w:tcPr>
          <w:tcW w:w="512" w:type="dxa"/>
        </w:tcPr>
        <w:p w14:paraId="6CF8F056" w14:textId="2CC76C48" w:rsidR="00483134" w:rsidRPr="00A24443" w:rsidRDefault="00483134" w:rsidP="00E5786F">
          <w:pPr>
            <w:pStyle w:val="Footer"/>
            <w:jc w:val="right"/>
            <w:rPr>
              <w:caps w:val="0"/>
            </w:rPr>
          </w:pPr>
          <w:r>
            <w:rPr>
              <w:rStyle w:val="PageNumber"/>
              <w:caps w:val="0"/>
            </w:rPr>
            <w:t>4.</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23</w:t>
          </w:r>
          <w:r w:rsidRPr="00A24443">
            <w:rPr>
              <w:rStyle w:val="PageNumber"/>
              <w:caps w:val="0"/>
            </w:rPr>
            <w:fldChar w:fldCharType="end"/>
          </w:r>
        </w:p>
      </w:tc>
    </w:tr>
  </w:tbl>
  <w:p w14:paraId="2F808057" w14:textId="77777777" w:rsidR="00483134" w:rsidRDefault="00483134">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1CD0C" w14:textId="77777777" w:rsidR="00483134" w:rsidRDefault="00483134">
      <w:r>
        <w:separator/>
      </w:r>
    </w:p>
  </w:footnote>
  <w:footnote w:type="continuationSeparator" w:id="0">
    <w:p w14:paraId="01EB8139" w14:textId="77777777" w:rsidR="00483134" w:rsidRDefault="00483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83134" w14:paraId="12B42ACA" w14:textId="77777777" w:rsidTr="009E4A0F">
      <w:tc>
        <w:tcPr>
          <w:tcW w:w="6634" w:type="dxa"/>
          <w:tcBorders>
            <w:top w:val="single" w:sz="6" w:space="0" w:color="auto"/>
          </w:tcBorders>
        </w:tcPr>
        <w:p w14:paraId="6AB5012F" w14:textId="284B12B7" w:rsidR="00483134" w:rsidRDefault="00483134" w:rsidP="00C7654E">
          <w:pPr>
            <w:pStyle w:val="HeaderOdd"/>
          </w:pPr>
        </w:p>
      </w:tc>
      <w:tc>
        <w:tcPr>
          <w:tcW w:w="2155" w:type="dxa"/>
          <w:tcBorders>
            <w:top w:val="single" w:sz="24" w:space="0" w:color="auto"/>
          </w:tcBorders>
        </w:tcPr>
        <w:p w14:paraId="3CFB608F" w14:textId="77777777" w:rsidR="00483134" w:rsidRDefault="00483134" w:rsidP="00C7654E">
          <w:pPr>
            <w:pStyle w:val="HeaderOdd"/>
          </w:pPr>
        </w:p>
      </w:tc>
    </w:tr>
  </w:tbl>
  <w:p w14:paraId="18FD32D9" w14:textId="77777777" w:rsidR="00483134" w:rsidRDefault="00483134" w:rsidP="0019293B">
    <w:pPr>
      <w:pStyle w:val="HeaderEnd"/>
    </w:pPr>
  </w:p>
  <w:p w14:paraId="4335A3BB" w14:textId="77777777" w:rsidR="00483134" w:rsidRDefault="00483134" w:rsidP="00717D2B">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2155"/>
      <w:gridCol w:w="6634"/>
    </w:tblGrid>
    <w:tr w:rsidR="00483134" w14:paraId="1D91A7FC" w14:textId="77777777" w:rsidTr="009E4A0F">
      <w:tc>
        <w:tcPr>
          <w:tcW w:w="2155" w:type="dxa"/>
          <w:tcBorders>
            <w:top w:val="single" w:sz="24" w:space="0" w:color="auto"/>
          </w:tcBorders>
        </w:tcPr>
        <w:p w14:paraId="2271007E" w14:textId="77777777" w:rsidR="00483134" w:rsidRDefault="00483134" w:rsidP="00931525">
          <w:pPr>
            <w:pStyle w:val="HeaderEven"/>
          </w:pPr>
        </w:p>
      </w:tc>
      <w:tc>
        <w:tcPr>
          <w:tcW w:w="6634" w:type="dxa"/>
          <w:tcBorders>
            <w:top w:val="single" w:sz="6" w:space="0" w:color="auto"/>
          </w:tcBorders>
        </w:tcPr>
        <w:p w14:paraId="642C965F" w14:textId="36B56BE9" w:rsidR="00483134" w:rsidRDefault="00483134" w:rsidP="00931525">
          <w:pPr>
            <w:pStyle w:val="HeaderEven"/>
            <w:jc w:val="right"/>
          </w:pPr>
        </w:p>
      </w:tc>
    </w:tr>
  </w:tbl>
  <w:p w14:paraId="024A5EE9" w14:textId="77777777" w:rsidR="00483134" w:rsidRDefault="00483134"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2" w15:restartNumberingAfterBreak="0">
    <w:nsid w:val="05E261D8"/>
    <w:multiLevelType w:val="hybridMultilevel"/>
    <w:tmpl w:val="747893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4" w15:restartNumberingAfterBreak="0">
    <w:nsid w:val="0B352CBD"/>
    <w:multiLevelType w:val="hybridMultilevel"/>
    <w:tmpl w:val="113458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AF55C5D"/>
    <w:multiLevelType w:val="hybridMultilevel"/>
    <w:tmpl w:val="41F01E8C"/>
    <w:lvl w:ilvl="0" w:tplc="DE88AD14">
      <w:start w:val="201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F24568"/>
    <w:multiLevelType w:val="hybridMultilevel"/>
    <w:tmpl w:val="8AB6F0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15:restartNumberingAfterBreak="0">
    <w:nsid w:val="24300D49"/>
    <w:multiLevelType w:val="hybridMultilevel"/>
    <w:tmpl w:val="B60A5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7B50993"/>
    <w:multiLevelType w:val="hybridMultilevel"/>
    <w:tmpl w:val="DD5226D2"/>
    <w:lvl w:ilvl="0" w:tplc="D8280E12">
      <w:start w:val="1"/>
      <w:numFmt w:val="bullet"/>
      <w:pStyle w:val="DQITableBullet2"/>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2E181692"/>
    <w:multiLevelType w:val="hybridMultilevel"/>
    <w:tmpl w:val="288E12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FD6637E"/>
    <w:multiLevelType w:val="hybridMultilevel"/>
    <w:tmpl w:val="5DDC23B4"/>
    <w:lvl w:ilvl="0" w:tplc="DE88AD14">
      <w:start w:val="2016"/>
      <w:numFmt w:val="bullet"/>
      <w:lvlText w:val="-"/>
      <w:lvlJc w:val="left"/>
      <w:pPr>
        <w:ind w:left="720" w:hanging="360"/>
      </w:pPr>
      <w:rPr>
        <w:rFonts w:ascii="Arial" w:eastAsia="Times New Roman" w:hAnsi="Arial" w:cs="Arial" w:hint="default"/>
      </w:rPr>
    </w:lvl>
    <w:lvl w:ilvl="1" w:tplc="DE88AD14">
      <w:start w:val="2016"/>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8" w15:restartNumberingAfterBreak="0">
    <w:nsid w:val="35D90608"/>
    <w:multiLevelType w:val="hybridMultilevel"/>
    <w:tmpl w:val="C448B8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642864"/>
    <w:multiLevelType w:val="hybridMultilevel"/>
    <w:tmpl w:val="7DDAB240"/>
    <w:lvl w:ilvl="0" w:tplc="E594DE88">
      <w:start w:val="1"/>
      <w:numFmt w:val="lowerLetter"/>
      <w:pStyle w:val="DQITable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1D46A9"/>
    <w:multiLevelType w:val="hybridMultilevel"/>
    <w:tmpl w:val="EC08AE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3"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4"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5"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8" w15:restartNumberingAfterBreak="0">
    <w:nsid w:val="76934A3B"/>
    <w:multiLevelType w:val="hybridMultilevel"/>
    <w:tmpl w:val="3D24E2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7"/>
  </w:num>
  <w:num w:numId="2">
    <w:abstractNumId w:val="0"/>
  </w:num>
  <w:num w:numId="3">
    <w:abstractNumId w:val="22"/>
  </w:num>
  <w:num w:numId="4">
    <w:abstractNumId w:val="1"/>
  </w:num>
  <w:num w:numId="5">
    <w:abstractNumId w:val="27"/>
  </w:num>
  <w:num w:numId="6">
    <w:abstractNumId w:val="24"/>
  </w:num>
  <w:num w:numId="7">
    <w:abstractNumId w:val="7"/>
  </w:num>
  <w:num w:numId="8">
    <w:abstractNumId w:val="23"/>
  </w:num>
  <w:num w:numId="9">
    <w:abstractNumId w:val="6"/>
  </w:num>
  <w:num w:numId="10">
    <w:abstractNumId w:val="5"/>
  </w:num>
  <w:num w:numId="11">
    <w:abstractNumId w:val="11"/>
  </w:num>
  <w:num w:numId="12">
    <w:abstractNumId w:val="14"/>
  </w:num>
  <w:num w:numId="13">
    <w:abstractNumId w:val="3"/>
  </w:num>
  <w:num w:numId="14">
    <w:abstractNumId w:val="25"/>
  </w:num>
  <w:num w:numId="15">
    <w:abstractNumId w:val="29"/>
  </w:num>
  <w:num w:numId="16">
    <w:abstractNumId w:val="21"/>
  </w:num>
  <w:num w:numId="17">
    <w:abstractNumId w:val="30"/>
  </w:num>
  <w:num w:numId="18">
    <w:abstractNumId w:val="26"/>
  </w:num>
  <w:num w:numId="19">
    <w:abstractNumId w:val="8"/>
  </w:num>
  <w:num w:numId="20">
    <w:abstractNumId w:val="19"/>
  </w:num>
  <w:num w:numId="21">
    <w:abstractNumId w:val="13"/>
  </w:num>
  <w:num w:numId="22">
    <w:abstractNumId w:val="28"/>
  </w:num>
  <w:num w:numId="23">
    <w:abstractNumId w:val="20"/>
  </w:num>
  <w:num w:numId="24">
    <w:abstractNumId w:val="18"/>
  </w:num>
  <w:num w:numId="25">
    <w:abstractNumId w:val="15"/>
  </w:num>
  <w:num w:numId="26">
    <w:abstractNumId w:val="2"/>
  </w:num>
  <w:num w:numId="27">
    <w:abstractNumId w:val="10"/>
  </w:num>
  <w:num w:numId="28">
    <w:abstractNumId w:val="9"/>
  </w:num>
  <w:num w:numId="29">
    <w:abstractNumId w:val="16"/>
  </w:num>
  <w:num w:numId="30">
    <w:abstractNumId w:val="12"/>
  </w:num>
  <w:num w:numId="31">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CORRECTIVE SERVICES"/>
    <w:docVar w:name="ShortReportTitle" w:val="Report on Government Service Provision 2020"/>
  </w:docVars>
  <w:rsids>
    <w:rsidRoot w:val="00651016"/>
    <w:rsid w:val="00005691"/>
    <w:rsid w:val="00005C0C"/>
    <w:rsid w:val="00011C3F"/>
    <w:rsid w:val="0001409F"/>
    <w:rsid w:val="000147F6"/>
    <w:rsid w:val="00017606"/>
    <w:rsid w:val="00017833"/>
    <w:rsid w:val="000178A5"/>
    <w:rsid w:val="000227D5"/>
    <w:rsid w:val="000232CE"/>
    <w:rsid w:val="000245AA"/>
    <w:rsid w:val="0003061B"/>
    <w:rsid w:val="0003664B"/>
    <w:rsid w:val="0004093C"/>
    <w:rsid w:val="0004111F"/>
    <w:rsid w:val="00055077"/>
    <w:rsid w:val="0005519C"/>
    <w:rsid w:val="000565B3"/>
    <w:rsid w:val="0007150B"/>
    <w:rsid w:val="000904CB"/>
    <w:rsid w:val="000938F5"/>
    <w:rsid w:val="00094E9C"/>
    <w:rsid w:val="0009563E"/>
    <w:rsid w:val="00095663"/>
    <w:rsid w:val="00096E55"/>
    <w:rsid w:val="0009783E"/>
    <w:rsid w:val="00097FC4"/>
    <w:rsid w:val="000A0109"/>
    <w:rsid w:val="000A671B"/>
    <w:rsid w:val="000B1022"/>
    <w:rsid w:val="000B48BF"/>
    <w:rsid w:val="000B5301"/>
    <w:rsid w:val="000B601B"/>
    <w:rsid w:val="000C207E"/>
    <w:rsid w:val="000C2CB2"/>
    <w:rsid w:val="000C3A6F"/>
    <w:rsid w:val="000D207D"/>
    <w:rsid w:val="000D41E9"/>
    <w:rsid w:val="000E37DC"/>
    <w:rsid w:val="000E623C"/>
    <w:rsid w:val="000E7AF7"/>
    <w:rsid w:val="000F0035"/>
    <w:rsid w:val="000F04E7"/>
    <w:rsid w:val="000F060A"/>
    <w:rsid w:val="000F0FD2"/>
    <w:rsid w:val="000F420B"/>
    <w:rsid w:val="000F539C"/>
    <w:rsid w:val="000F5B29"/>
    <w:rsid w:val="00106405"/>
    <w:rsid w:val="00110116"/>
    <w:rsid w:val="0011755E"/>
    <w:rsid w:val="00120072"/>
    <w:rsid w:val="00120E72"/>
    <w:rsid w:val="00126EB8"/>
    <w:rsid w:val="001274D4"/>
    <w:rsid w:val="001307CD"/>
    <w:rsid w:val="001320B7"/>
    <w:rsid w:val="001363AA"/>
    <w:rsid w:val="0013739A"/>
    <w:rsid w:val="00141DEC"/>
    <w:rsid w:val="00141E60"/>
    <w:rsid w:val="00142165"/>
    <w:rsid w:val="0015033B"/>
    <w:rsid w:val="00153577"/>
    <w:rsid w:val="0015493D"/>
    <w:rsid w:val="00162434"/>
    <w:rsid w:val="001668B4"/>
    <w:rsid w:val="001708C1"/>
    <w:rsid w:val="00182F06"/>
    <w:rsid w:val="00183E82"/>
    <w:rsid w:val="001878BB"/>
    <w:rsid w:val="00191AE0"/>
    <w:rsid w:val="0019293B"/>
    <w:rsid w:val="0019426B"/>
    <w:rsid w:val="00196177"/>
    <w:rsid w:val="001A080D"/>
    <w:rsid w:val="001A6A4B"/>
    <w:rsid w:val="001A7514"/>
    <w:rsid w:val="001C0865"/>
    <w:rsid w:val="001C0AED"/>
    <w:rsid w:val="001C3ABA"/>
    <w:rsid w:val="001C5111"/>
    <w:rsid w:val="001C6116"/>
    <w:rsid w:val="001C7220"/>
    <w:rsid w:val="001D01EA"/>
    <w:rsid w:val="001D2AF2"/>
    <w:rsid w:val="001D4849"/>
    <w:rsid w:val="001D60B4"/>
    <w:rsid w:val="001D7157"/>
    <w:rsid w:val="001D784F"/>
    <w:rsid w:val="001E734C"/>
    <w:rsid w:val="001E7BE8"/>
    <w:rsid w:val="001F0248"/>
    <w:rsid w:val="001F3EB3"/>
    <w:rsid w:val="001F4390"/>
    <w:rsid w:val="001F4F86"/>
    <w:rsid w:val="001F6A68"/>
    <w:rsid w:val="002028DB"/>
    <w:rsid w:val="00202C2C"/>
    <w:rsid w:val="00203050"/>
    <w:rsid w:val="002108E1"/>
    <w:rsid w:val="002135AB"/>
    <w:rsid w:val="002144BE"/>
    <w:rsid w:val="002313CE"/>
    <w:rsid w:val="002320B8"/>
    <w:rsid w:val="00235CD0"/>
    <w:rsid w:val="00242279"/>
    <w:rsid w:val="00243997"/>
    <w:rsid w:val="0024516C"/>
    <w:rsid w:val="00245C82"/>
    <w:rsid w:val="0025214A"/>
    <w:rsid w:val="002627A0"/>
    <w:rsid w:val="0026798B"/>
    <w:rsid w:val="00270658"/>
    <w:rsid w:val="002724BA"/>
    <w:rsid w:val="0028521D"/>
    <w:rsid w:val="00291B40"/>
    <w:rsid w:val="002B1967"/>
    <w:rsid w:val="002B4008"/>
    <w:rsid w:val="002B54B0"/>
    <w:rsid w:val="002C2E3C"/>
    <w:rsid w:val="002C439F"/>
    <w:rsid w:val="002C5A8C"/>
    <w:rsid w:val="002C6BBC"/>
    <w:rsid w:val="002C7403"/>
    <w:rsid w:val="002D0C42"/>
    <w:rsid w:val="002D0E8E"/>
    <w:rsid w:val="002D26F4"/>
    <w:rsid w:val="002D51BA"/>
    <w:rsid w:val="002D74D0"/>
    <w:rsid w:val="002E0479"/>
    <w:rsid w:val="002F7F25"/>
    <w:rsid w:val="00301189"/>
    <w:rsid w:val="00301E4A"/>
    <w:rsid w:val="00301F11"/>
    <w:rsid w:val="00301FD1"/>
    <w:rsid w:val="00313D45"/>
    <w:rsid w:val="003168B8"/>
    <w:rsid w:val="00322D64"/>
    <w:rsid w:val="00323E09"/>
    <w:rsid w:val="0033213E"/>
    <w:rsid w:val="00333344"/>
    <w:rsid w:val="00333932"/>
    <w:rsid w:val="00340A08"/>
    <w:rsid w:val="00340B07"/>
    <w:rsid w:val="00340E32"/>
    <w:rsid w:val="003424F6"/>
    <w:rsid w:val="00343CD2"/>
    <w:rsid w:val="00347711"/>
    <w:rsid w:val="00350275"/>
    <w:rsid w:val="003518AA"/>
    <w:rsid w:val="00352165"/>
    <w:rsid w:val="0035217A"/>
    <w:rsid w:val="00353182"/>
    <w:rsid w:val="003565D9"/>
    <w:rsid w:val="003602E1"/>
    <w:rsid w:val="003603D7"/>
    <w:rsid w:val="003606E0"/>
    <w:rsid w:val="003615D8"/>
    <w:rsid w:val="00361BDD"/>
    <w:rsid w:val="00363817"/>
    <w:rsid w:val="00364E8D"/>
    <w:rsid w:val="0037026F"/>
    <w:rsid w:val="00370C08"/>
    <w:rsid w:val="00371240"/>
    <w:rsid w:val="003735DC"/>
    <w:rsid w:val="00374731"/>
    <w:rsid w:val="003747F5"/>
    <w:rsid w:val="00376E59"/>
    <w:rsid w:val="00377EC1"/>
    <w:rsid w:val="00380340"/>
    <w:rsid w:val="00386103"/>
    <w:rsid w:val="00390440"/>
    <w:rsid w:val="003919F9"/>
    <w:rsid w:val="003920CF"/>
    <w:rsid w:val="00394AB7"/>
    <w:rsid w:val="003A3B23"/>
    <w:rsid w:val="003B23C2"/>
    <w:rsid w:val="003B3638"/>
    <w:rsid w:val="003C38B5"/>
    <w:rsid w:val="003C5022"/>
    <w:rsid w:val="003C5A00"/>
    <w:rsid w:val="003C5D99"/>
    <w:rsid w:val="003D080A"/>
    <w:rsid w:val="003D1087"/>
    <w:rsid w:val="003D1176"/>
    <w:rsid w:val="003D5B51"/>
    <w:rsid w:val="003D778C"/>
    <w:rsid w:val="003E2F59"/>
    <w:rsid w:val="003E746B"/>
    <w:rsid w:val="003F0789"/>
    <w:rsid w:val="003F7A72"/>
    <w:rsid w:val="00401882"/>
    <w:rsid w:val="00403A44"/>
    <w:rsid w:val="004100C8"/>
    <w:rsid w:val="00411DBD"/>
    <w:rsid w:val="00412ACE"/>
    <w:rsid w:val="004145D2"/>
    <w:rsid w:val="0041642B"/>
    <w:rsid w:val="00425128"/>
    <w:rsid w:val="00426CB4"/>
    <w:rsid w:val="00431249"/>
    <w:rsid w:val="004321D2"/>
    <w:rsid w:val="00434C19"/>
    <w:rsid w:val="00440285"/>
    <w:rsid w:val="004461EF"/>
    <w:rsid w:val="00447941"/>
    <w:rsid w:val="00450810"/>
    <w:rsid w:val="00460F20"/>
    <w:rsid w:val="00462C59"/>
    <w:rsid w:val="00466311"/>
    <w:rsid w:val="004679B7"/>
    <w:rsid w:val="00470737"/>
    <w:rsid w:val="00477144"/>
    <w:rsid w:val="00483134"/>
    <w:rsid w:val="00484439"/>
    <w:rsid w:val="00485909"/>
    <w:rsid w:val="00491380"/>
    <w:rsid w:val="0049240C"/>
    <w:rsid w:val="0049459F"/>
    <w:rsid w:val="00496D19"/>
    <w:rsid w:val="004A0A44"/>
    <w:rsid w:val="004A32D6"/>
    <w:rsid w:val="004A366B"/>
    <w:rsid w:val="004A38DD"/>
    <w:rsid w:val="004A7422"/>
    <w:rsid w:val="004A7D98"/>
    <w:rsid w:val="004B2A15"/>
    <w:rsid w:val="004B2F51"/>
    <w:rsid w:val="004B43AE"/>
    <w:rsid w:val="004B4652"/>
    <w:rsid w:val="004B4B27"/>
    <w:rsid w:val="004B76BE"/>
    <w:rsid w:val="004C30ED"/>
    <w:rsid w:val="004C69E5"/>
    <w:rsid w:val="004D5675"/>
    <w:rsid w:val="004E6288"/>
    <w:rsid w:val="004E76F6"/>
    <w:rsid w:val="005003F0"/>
    <w:rsid w:val="0050538F"/>
    <w:rsid w:val="005066CA"/>
    <w:rsid w:val="0051306E"/>
    <w:rsid w:val="00517795"/>
    <w:rsid w:val="00523639"/>
    <w:rsid w:val="00525873"/>
    <w:rsid w:val="00531657"/>
    <w:rsid w:val="00531FE5"/>
    <w:rsid w:val="00534C7C"/>
    <w:rsid w:val="005354FD"/>
    <w:rsid w:val="00536E8D"/>
    <w:rsid w:val="005402FA"/>
    <w:rsid w:val="00541E1A"/>
    <w:rsid w:val="00541EE2"/>
    <w:rsid w:val="0055177F"/>
    <w:rsid w:val="00551EF5"/>
    <w:rsid w:val="00571F57"/>
    <w:rsid w:val="005729BD"/>
    <w:rsid w:val="00573437"/>
    <w:rsid w:val="00573BE3"/>
    <w:rsid w:val="00580022"/>
    <w:rsid w:val="00580154"/>
    <w:rsid w:val="00582AB2"/>
    <w:rsid w:val="00583C39"/>
    <w:rsid w:val="00586A90"/>
    <w:rsid w:val="00587F28"/>
    <w:rsid w:val="005909CF"/>
    <w:rsid w:val="0059112B"/>
    <w:rsid w:val="00591E71"/>
    <w:rsid w:val="00594BFE"/>
    <w:rsid w:val="005A0D41"/>
    <w:rsid w:val="005B1C72"/>
    <w:rsid w:val="005B408E"/>
    <w:rsid w:val="005C12E7"/>
    <w:rsid w:val="005C1702"/>
    <w:rsid w:val="005C2C6B"/>
    <w:rsid w:val="005C4E34"/>
    <w:rsid w:val="005C763B"/>
    <w:rsid w:val="005D2E88"/>
    <w:rsid w:val="005D329F"/>
    <w:rsid w:val="005D6B2F"/>
    <w:rsid w:val="005E07DA"/>
    <w:rsid w:val="005E193D"/>
    <w:rsid w:val="005E1B73"/>
    <w:rsid w:val="005E48A5"/>
    <w:rsid w:val="005E568B"/>
    <w:rsid w:val="005F163A"/>
    <w:rsid w:val="005F48ED"/>
    <w:rsid w:val="005F5338"/>
    <w:rsid w:val="00601F6E"/>
    <w:rsid w:val="00605234"/>
    <w:rsid w:val="00606E78"/>
    <w:rsid w:val="00606F27"/>
    <w:rsid w:val="00607BF1"/>
    <w:rsid w:val="00610C1C"/>
    <w:rsid w:val="006136A3"/>
    <w:rsid w:val="00617F3F"/>
    <w:rsid w:val="00621715"/>
    <w:rsid w:val="006277A4"/>
    <w:rsid w:val="00630687"/>
    <w:rsid w:val="00630D4D"/>
    <w:rsid w:val="00632A74"/>
    <w:rsid w:val="006353FD"/>
    <w:rsid w:val="006362EC"/>
    <w:rsid w:val="00645906"/>
    <w:rsid w:val="00647FE9"/>
    <w:rsid w:val="00651016"/>
    <w:rsid w:val="00654D42"/>
    <w:rsid w:val="00655976"/>
    <w:rsid w:val="00665122"/>
    <w:rsid w:val="00666E02"/>
    <w:rsid w:val="0067648C"/>
    <w:rsid w:val="00681C94"/>
    <w:rsid w:val="006843B6"/>
    <w:rsid w:val="006963C3"/>
    <w:rsid w:val="006A0F0C"/>
    <w:rsid w:val="006A2B6D"/>
    <w:rsid w:val="006A3ACC"/>
    <w:rsid w:val="006A4655"/>
    <w:rsid w:val="006A7758"/>
    <w:rsid w:val="006B2B3C"/>
    <w:rsid w:val="006B303C"/>
    <w:rsid w:val="006B75F9"/>
    <w:rsid w:val="006C1D81"/>
    <w:rsid w:val="006C7038"/>
    <w:rsid w:val="006C7A3B"/>
    <w:rsid w:val="006E5A30"/>
    <w:rsid w:val="006E6B97"/>
    <w:rsid w:val="006E73EF"/>
    <w:rsid w:val="00706B44"/>
    <w:rsid w:val="007079C9"/>
    <w:rsid w:val="00711C6B"/>
    <w:rsid w:val="00714D4D"/>
    <w:rsid w:val="007152E9"/>
    <w:rsid w:val="00716415"/>
    <w:rsid w:val="00717D2B"/>
    <w:rsid w:val="00724B08"/>
    <w:rsid w:val="007266D3"/>
    <w:rsid w:val="00732029"/>
    <w:rsid w:val="00741A26"/>
    <w:rsid w:val="0074520F"/>
    <w:rsid w:val="00745353"/>
    <w:rsid w:val="00755D5E"/>
    <w:rsid w:val="007604BB"/>
    <w:rsid w:val="00771E9C"/>
    <w:rsid w:val="00772909"/>
    <w:rsid w:val="00774338"/>
    <w:rsid w:val="00777076"/>
    <w:rsid w:val="007801F8"/>
    <w:rsid w:val="007843E7"/>
    <w:rsid w:val="00784511"/>
    <w:rsid w:val="00785232"/>
    <w:rsid w:val="0079239E"/>
    <w:rsid w:val="00792CA0"/>
    <w:rsid w:val="007932A1"/>
    <w:rsid w:val="007941E3"/>
    <w:rsid w:val="0079701E"/>
    <w:rsid w:val="0079764D"/>
    <w:rsid w:val="007A21EB"/>
    <w:rsid w:val="007A223F"/>
    <w:rsid w:val="007A5766"/>
    <w:rsid w:val="007B0C06"/>
    <w:rsid w:val="007B1651"/>
    <w:rsid w:val="007B19F2"/>
    <w:rsid w:val="007B1A93"/>
    <w:rsid w:val="007B1CB8"/>
    <w:rsid w:val="007B217F"/>
    <w:rsid w:val="007B2231"/>
    <w:rsid w:val="007B3C4E"/>
    <w:rsid w:val="007B7EC3"/>
    <w:rsid w:val="007C28ED"/>
    <w:rsid w:val="007C36C9"/>
    <w:rsid w:val="007D047A"/>
    <w:rsid w:val="007D19D2"/>
    <w:rsid w:val="007D3F24"/>
    <w:rsid w:val="007D41CB"/>
    <w:rsid w:val="007D5F17"/>
    <w:rsid w:val="007D6401"/>
    <w:rsid w:val="007D6595"/>
    <w:rsid w:val="007E01E4"/>
    <w:rsid w:val="007E41CF"/>
    <w:rsid w:val="007E5CA1"/>
    <w:rsid w:val="007E7A12"/>
    <w:rsid w:val="007F7107"/>
    <w:rsid w:val="00800D4C"/>
    <w:rsid w:val="00800E17"/>
    <w:rsid w:val="00802A23"/>
    <w:rsid w:val="0080722A"/>
    <w:rsid w:val="0081030F"/>
    <w:rsid w:val="00812082"/>
    <w:rsid w:val="00812F4A"/>
    <w:rsid w:val="0081320E"/>
    <w:rsid w:val="00813739"/>
    <w:rsid w:val="008140F3"/>
    <w:rsid w:val="0082087D"/>
    <w:rsid w:val="00820CD1"/>
    <w:rsid w:val="00826FF2"/>
    <w:rsid w:val="00833CA3"/>
    <w:rsid w:val="00835771"/>
    <w:rsid w:val="0083734D"/>
    <w:rsid w:val="00842933"/>
    <w:rsid w:val="00844512"/>
    <w:rsid w:val="008470FA"/>
    <w:rsid w:val="00850E3B"/>
    <w:rsid w:val="0086082C"/>
    <w:rsid w:val="00864932"/>
    <w:rsid w:val="00864ADC"/>
    <w:rsid w:val="008702CE"/>
    <w:rsid w:val="00871B6C"/>
    <w:rsid w:val="00874B0C"/>
    <w:rsid w:val="0087525A"/>
    <w:rsid w:val="00875B4A"/>
    <w:rsid w:val="00880153"/>
    <w:rsid w:val="0088025F"/>
    <w:rsid w:val="00880EF9"/>
    <w:rsid w:val="00880F97"/>
    <w:rsid w:val="0088133A"/>
    <w:rsid w:val="00885D7A"/>
    <w:rsid w:val="00886406"/>
    <w:rsid w:val="00887805"/>
    <w:rsid w:val="0089285E"/>
    <w:rsid w:val="0089436C"/>
    <w:rsid w:val="008A57F3"/>
    <w:rsid w:val="008B037B"/>
    <w:rsid w:val="008D1CB3"/>
    <w:rsid w:val="008D1E69"/>
    <w:rsid w:val="008D365C"/>
    <w:rsid w:val="008D3ACE"/>
    <w:rsid w:val="008D6FAE"/>
    <w:rsid w:val="008D7218"/>
    <w:rsid w:val="008D726F"/>
    <w:rsid w:val="008D7622"/>
    <w:rsid w:val="008E1DA5"/>
    <w:rsid w:val="008E5B7B"/>
    <w:rsid w:val="008E7B29"/>
    <w:rsid w:val="008F3ACE"/>
    <w:rsid w:val="00901626"/>
    <w:rsid w:val="009021A6"/>
    <w:rsid w:val="009030BF"/>
    <w:rsid w:val="00903879"/>
    <w:rsid w:val="00903A63"/>
    <w:rsid w:val="00903B52"/>
    <w:rsid w:val="00906C3C"/>
    <w:rsid w:val="00907DD8"/>
    <w:rsid w:val="0091032F"/>
    <w:rsid w:val="00914368"/>
    <w:rsid w:val="0091682A"/>
    <w:rsid w:val="00916A2F"/>
    <w:rsid w:val="009204C5"/>
    <w:rsid w:val="00922914"/>
    <w:rsid w:val="00926A8A"/>
    <w:rsid w:val="00927B83"/>
    <w:rsid w:val="0093024D"/>
    <w:rsid w:val="00931076"/>
    <w:rsid w:val="00931525"/>
    <w:rsid w:val="009345D9"/>
    <w:rsid w:val="00934B15"/>
    <w:rsid w:val="00936059"/>
    <w:rsid w:val="00940048"/>
    <w:rsid w:val="00940C87"/>
    <w:rsid w:val="00942B62"/>
    <w:rsid w:val="0095323B"/>
    <w:rsid w:val="009550F3"/>
    <w:rsid w:val="00956A0C"/>
    <w:rsid w:val="00956BD9"/>
    <w:rsid w:val="00962489"/>
    <w:rsid w:val="00962E60"/>
    <w:rsid w:val="00967CD3"/>
    <w:rsid w:val="009722F6"/>
    <w:rsid w:val="00980FC2"/>
    <w:rsid w:val="00981AC7"/>
    <w:rsid w:val="00986F21"/>
    <w:rsid w:val="009879DA"/>
    <w:rsid w:val="00990121"/>
    <w:rsid w:val="00990C2C"/>
    <w:rsid w:val="00995814"/>
    <w:rsid w:val="0099655C"/>
    <w:rsid w:val="00996F4A"/>
    <w:rsid w:val="009A5171"/>
    <w:rsid w:val="009B1A54"/>
    <w:rsid w:val="009B579A"/>
    <w:rsid w:val="009B58F0"/>
    <w:rsid w:val="009B72D2"/>
    <w:rsid w:val="009C1885"/>
    <w:rsid w:val="009C5C19"/>
    <w:rsid w:val="009D72C7"/>
    <w:rsid w:val="009E0D8E"/>
    <w:rsid w:val="009E1844"/>
    <w:rsid w:val="009E4A0F"/>
    <w:rsid w:val="009E53CD"/>
    <w:rsid w:val="009E5F3C"/>
    <w:rsid w:val="009F0B37"/>
    <w:rsid w:val="009F0D1B"/>
    <w:rsid w:val="009F53DD"/>
    <w:rsid w:val="009F5BBD"/>
    <w:rsid w:val="009F67D7"/>
    <w:rsid w:val="009F696D"/>
    <w:rsid w:val="009F6BC6"/>
    <w:rsid w:val="009F6CBC"/>
    <w:rsid w:val="009F74EF"/>
    <w:rsid w:val="00A02826"/>
    <w:rsid w:val="00A034D1"/>
    <w:rsid w:val="00A060C8"/>
    <w:rsid w:val="00A1304A"/>
    <w:rsid w:val="00A15D5A"/>
    <w:rsid w:val="00A17328"/>
    <w:rsid w:val="00A23A20"/>
    <w:rsid w:val="00A241A9"/>
    <w:rsid w:val="00A24443"/>
    <w:rsid w:val="00A246A7"/>
    <w:rsid w:val="00A25740"/>
    <w:rsid w:val="00A268B9"/>
    <w:rsid w:val="00A2703A"/>
    <w:rsid w:val="00A326E3"/>
    <w:rsid w:val="00A33DFF"/>
    <w:rsid w:val="00A35115"/>
    <w:rsid w:val="00A357CD"/>
    <w:rsid w:val="00A36D9A"/>
    <w:rsid w:val="00A402CD"/>
    <w:rsid w:val="00A451DC"/>
    <w:rsid w:val="00A50EE9"/>
    <w:rsid w:val="00A554AB"/>
    <w:rsid w:val="00A55CA7"/>
    <w:rsid w:val="00A57062"/>
    <w:rsid w:val="00A57744"/>
    <w:rsid w:val="00A67781"/>
    <w:rsid w:val="00A761F9"/>
    <w:rsid w:val="00A76F75"/>
    <w:rsid w:val="00A8627D"/>
    <w:rsid w:val="00A92B53"/>
    <w:rsid w:val="00A94FA6"/>
    <w:rsid w:val="00A97C81"/>
    <w:rsid w:val="00AA49A0"/>
    <w:rsid w:val="00AA4CE6"/>
    <w:rsid w:val="00AA6710"/>
    <w:rsid w:val="00AB0681"/>
    <w:rsid w:val="00AB2449"/>
    <w:rsid w:val="00AB4EF3"/>
    <w:rsid w:val="00AC270E"/>
    <w:rsid w:val="00AC3A15"/>
    <w:rsid w:val="00AC556C"/>
    <w:rsid w:val="00AD520B"/>
    <w:rsid w:val="00AE1D9A"/>
    <w:rsid w:val="00AE3BCC"/>
    <w:rsid w:val="00AE6875"/>
    <w:rsid w:val="00AE6E2A"/>
    <w:rsid w:val="00AF5174"/>
    <w:rsid w:val="00B05E4A"/>
    <w:rsid w:val="00B06AC7"/>
    <w:rsid w:val="00B06ECD"/>
    <w:rsid w:val="00B111B3"/>
    <w:rsid w:val="00B21AB2"/>
    <w:rsid w:val="00B22070"/>
    <w:rsid w:val="00B2425A"/>
    <w:rsid w:val="00B25992"/>
    <w:rsid w:val="00B425C3"/>
    <w:rsid w:val="00B4373D"/>
    <w:rsid w:val="00B440AD"/>
    <w:rsid w:val="00B47115"/>
    <w:rsid w:val="00B479BB"/>
    <w:rsid w:val="00B53E7E"/>
    <w:rsid w:val="00B6342E"/>
    <w:rsid w:val="00B70989"/>
    <w:rsid w:val="00B7113F"/>
    <w:rsid w:val="00B80781"/>
    <w:rsid w:val="00B8169E"/>
    <w:rsid w:val="00B835A3"/>
    <w:rsid w:val="00B9476D"/>
    <w:rsid w:val="00BA2BCF"/>
    <w:rsid w:val="00BA5B14"/>
    <w:rsid w:val="00BA6BBF"/>
    <w:rsid w:val="00BA73B6"/>
    <w:rsid w:val="00BA7DA6"/>
    <w:rsid w:val="00BA7E27"/>
    <w:rsid w:val="00BB2603"/>
    <w:rsid w:val="00BB4FCD"/>
    <w:rsid w:val="00BC04E9"/>
    <w:rsid w:val="00BC06ED"/>
    <w:rsid w:val="00BC765E"/>
    <w:rsid w:val="00BD13EA"/>
    <w:rsid w:val="00BD1B4D"/>
    <w:rsid w:val="00BD2596"/>
    <w:rsid w:val="00BE1C9A"/>
    <w:rsid w:val="00BE3808"/>
    <w:rsid w:val="00BF4A58"/>
    <w:rsid w:val="00C00A56"/>
    <w:rsid w:val="00C038A3"/>
    <w:rsid w:val="00C03B7E"/>
    <w:rsid w:val="00C03B88"/>
    <w:rsid w:val="00C052C6"/>
    <w:rsid w:val="00C062E9"/>
    <w:rsid w:val="00C069AA"/>
    <w:rsid w:val="00C07B64"/>
    <w:rsid w:val="00C13721"/>
    <w:rsid w:val="00C14FE4"/>
    <w:rsid w:val="00C277BC"/>
    <w:rsid w:val="00C3066D"/>
    <w:rsid w:val="00C31398"/>
    <w:rsid w:val="00C44573"/>
    <w:rsid w:val="00C52395"/>
    <w:rsid w:val="00C52416"/>
    <w:rsid w:val="00C543F4"/>
    <w:rsid w:val="00C5533D"/>
    <w:rsid w:val="00C557B5"/>
    <w:rsid w:val="00C56DD1"/>
    <w:rsid w:val="00C57F57"/>
    <w:rsid w:val="00C6291C"/>
    <w:rsid w:val="00C62DB5"/>
    <w:rsid w:val="00C63190"/>
    <w:rsid w:val="00C633CB"/>
    <w:rsid w:val="00C664CD"/>
    <w:rsid w:val="00C70539"/>
    <w:rsid w:val="00C708F3"/>
    <w:rsid w:val="00C736B7"/>
    <w:rsid w:val="00C73CCC"/>
    <w:rsid w:val="00C74F99"/>
    <w:rsid w:val="00C75BC0"/>
    <w:rsid w:val="00C7654E"/>
    <w:rsid w:val="00C81D4A"/>
    <w:rsid w:val="00C8722F"/>
    <w:rsid w:val="00C8762C"/>
    <w:rsid w:val="00C9448F"/>
    <w:rsid w:val="00CA00F9"/>
    <w:rsid w:val="00CA2961"/>
    <w:rsid w:val="00CA45C5"/>
    <w:rsid w:val="00CB50D7"/>
    <w:rsid w:val="00CB7177"/>
    <w:rsid w:val="00CB76F1"/>
    <w:rsid w:val="00CB7CED"/>
    <w:rsid w:val="00CC070F"/>
    <w:rsid w:val="00CC1998"/>
    <w:rsid w:val="00CC4946"/>
    <w:rsid w:val="00CC64A1"/>
    <w:rsid w:val="00CD38E4"/>
    <w:rsid w:val="00CD407E"/>
    <w:rsid w:val="00CD421E"/>
    <w:rsid w:val="00CD79CD"/>
    <w:rsid w:val="00CE07B6"/>
    <w:rsid w:val="00CE1F66"/>
    <w:rsid w:val="00CF12BC"/>
    <w:rsid w:val="00CF3B11"/>
    <w:rsid w:val="00CF47F6"/>
    <w:rsid w:val="00D003BC"/>
    <w:rsid w:val="00D07E45"/>
    <w:rsid w:val="00D270A4"/>
    <w:rsid w:val="00D3118F"/>
    <w:rsid w:val="00D31FE9"/>
    <w:rsid w:val="00D33A6A"/>
    <w:rsid w:val="00D34E1B"/>
    <w:rsid w:val="00D37553"/>
    <w:rsid w:val="00D376BA"/>
    <w:rsid w:val="00D37ABD"/>
    <w:rsid w:val="00D434A0"/>
    <w:rsid w:val="00D45634"/>
    <w:rsid w:val="00D54DA5"/>
    <w:rsid w:val="00D55478"/>
    <w:rsid w:val="00D5568A"/>
    <w:rsid w:val="00D608A4"/>
    <w:rsid w:val="00D61811"/>
    <w:rsid w:val="00D63D73"/>
    <w:rsid w:val="00D64452"/>
    <w:rsid w:val="00D66214"/>
    <w:rsid w:val="00D66E1E"/>
    <w:rsid w:val="00D70696"/>
    <w:rsid w:val="00D75722"/>
    <w:rsid w:val="00D80CF5"/>
    <w:rsid w:val="00D8575B"/>
    <w:rsid w:val="00D8695D"/>
    <w:rsid w:val="00D90DE7"/>
    <w:rsid w:val="00DA5BBA"/>
    <w:rsid w:val="00DA7427"/>
    <w:rsid w:val="00DB0565"/>
    <w:rsid w:val="00DB07C5"/>
    <w:rsid w:val="00DB26D2"/>
    <w:rsid w:val="00DB28AC"/>
    <w:rsid w:val="00DB50CE"/>
    <w:rsid w:val="00DB67C9"/>
    <w:rsid w:val="00DC0C95"/>
    <w:rsid w:val="00DC4F0B"/>
    <w:rsid w:val="00DD6580"/>
    <w:rsid w:val="00DE0296"/>
    <w:rsid w:val="00DE08BE"/>
    <w:rsid w:val="00DE4D4C"/>
    <w:rsid w:val="00DE7211"/>
    <w:rsid w:val="00DF1F04"/>
    <w:rsid w:val="00E01D7F"/>
    <w:rsid w:val="00E03588"/>
    <w:rsid w:val="00E05C03"/>
    <w:rsid w:val="00E13374"/>
    <w:rsid w:val="00E16871"/>
    <w:rsid w:val="00E16CF0"/>
    <w:rsid w:val="00E17C72"/>
    <w:rsid w:val="00E21FC6"/>
    <w:rsid w:val="00E251BA"/>
    <w:rsid w:val="00E34095"/>
    <w:rsid w:val="00E348ED"/>
    <w:rsid w:val="00E3531F"/>
    <w:rsid w:val="00E35E0F"/>
    <w:rsid w:val="00E431A9"/>
    <w:rsid w:val="00E464F7"/>
    <w:rsid w:val="00E46BFB"/>
    <w:rsid w:val="00E47E1E"/>
    <w:rsid w:val="00E5786F"/>
    <w:rsid w:val="00E669E2"/>
    <w:rsid w:val="00E76135"/>
    <w:rsid w:val="00E81230"/>
    <w:rsid w:val="00E82F14"/>
    <w:rsid w:val="00E82F4F"/>
    <w:rsid w:val="00E8631E"/>
    <w:rsid w:val="00E864DF"/>
    <w:rsid w:val="00E90C74"/>
    <w:rsid w:val="00E912F6"/>
    <w:rsid w:val="00EA3B9A"/>
    <w:rsid w:val="00EB05B8"/>
    <w:rsid w:val="00EB2CC3"/>
    <w:rsid w:val="00EB3C91"/>
    <w:rsid w:val="00EC2844"/>
    <w:rsid w:val="00EC5500"/>
    <w:rsid w:val="00ED18F8"/>
    <w:rsid w:val="00ED1A53"/>
    <w:rsid w:val="00ED2B7E"/>
    <w:rsid w:val="00ED74CC"/>
    <w:rsid w:val="00EE6EDA"/>
    <w:rsid w:val="00EE778E"/>
    <w:rsid w:val="00EF0761"/>
    <w:rsid w:val="00EF0A82"/>
    <w:rsid w:val="00EF62FB"/>
    <w:rsid w:val="00EF6719"/>
    <w:rsid w:val="00EF67A9"/>
    <w:rsid w:val="00EF6C6C"/>
    <w:rsid w:val="00F056FC"/>
    <w:rsid w:val="00F0632F"/>
    <w:rsid w:val="00F069AE"/>
    <w:rsid w:val="00F10476"/>
    <w:rsid w:val="00F1313D"/>
    <w:rsid w:val="00F135D8"/>
    <w:rsid w:val="00F17040"/>
    <w:rsid w:val="00F170D1"/>
    <w:rsid w:val="00F23AA6"/>
    <w:rsid w:val="00F24D46"/>
    <w:rsid w:val="00F25878"/>
    <w:rsid w:val="00F27DBF"/>
    <w:rsid w:val="00F31299"/>
    <w:rsid w:val="00F313BD"/>
    <w:rsid w:val="00F3534A"/>
    <w:rsid w:val="00F35BFB"/>
    <w:rsid w:val="00F36ACC"/>
    <w:rsid w:val="00F42BFB"/>
    <w:rsid w:val="00F51609"/>
    <w:rsid w:val="00F54F28"/>
    <w:rsid w:val="00F55C25"/>
    <w:rsid w:val="00F56CFB"/>
    <w:rsid w:val="00F607A4"/>
    <w:rsid w:val="00F717B1"/>
    <w:rsid w:val="00F72B40"/>
    <w:rsid w:val="00F73727"/>
    <w:rsid w:val="00F766A7"/>
    <w:rsid w:val="00F76E5C"/>
    <w:rsid w:val="00F80209"/>
    <w:rsid w:val="00F80224"/>
    <w:rsid w:val="00F81006"/>
    <w:rsid w:val="00F81367"/>
    <w:rsid w:val="00F85325"/>
    <w:rsid w:val="00F87215"/>
    <w:rsid w:val="00F90583"/>
    <w:rsid w:val="00F90F86"/>
    <w:rsid w:val="00F92C5A"/>
    <w:rsid w:val="00FA3A21"/>
    <w:rsid w:val="00FB5741"/>
    <w:rsid w:val="00FC1C62"/>
    <w:rsid w:val="00FC200C"/>
    <w:rsid w:val="00FD1097"/>
    <w:rsid w:val="00FD1DD1"/>
    <w:rsid w:val="00FD22B1"/>
    <w:rsid w:val="00FD33F1"/>
    <w:rsid w:val="00FD3566"/>
    <w:rsid w:val="00FD519C"/>
    <w:rsid w:val="00FE2013"/>
    <w:rsid w:val="00FE3C71"/>
    <w:rsid w:val="00FE5397"/>
    <w:rsid w:val="00FE7F7E"/>
    <w:rsid w:val="00FF4F39"/>
    <w:rsid w:val="00FF6695"/>
    <w:rsid w:val="00FF7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14:docId w14:val="41C5433D"/>
  <w15:docId w15:val="{F35421CF-9455-4400-8A7E-0FFE148F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F90583"/>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B9476D"/>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link w:val="BoxHeading1Char"/>
    <w:rsid w:val="00A17328"/>
    <w:pPr>
      <w:keepNext/>
      <w:spacing w:before="200" w:line="280" w:lineRule="atLeast"/>
    </w:pPr>
    <w:rPr>
      <w:rFonts w:ascii="Arial" w:hAnsi="Arial"/>
      <w:b/>
      <w:sz w:val="22"/>
    </w:rPr>
  </w:style>
  <w:style w:type="paragraph" w:customStyle="1" w:styleId="BoxHeading2">
    <w:name w:val="Box Heading 2"/>
    <w:basedOn w:val="BoxHeading1"/>
    <w:next w:val="Box"/>
    <w:link w:val="BoxHeading2Char"/>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link w:val="ContinuedChar"/>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link w:val="ReferenceChar"/>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qForma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uiPriority w:val="39"/>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B9476D"/>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Heading3Char">
    <w:name w:val="Heading 3 Char"/>
    <w:basedOn w:val="DefaultParagraphFont"/>
    <w:link w:val="Heading3"/>
    <w:rsid w:val="00F90583"/>
    <w:rPr>
      <w:rFonts w:ascii="Arial" w:hAnsi="Arial"/>
      <w:b/>
      <w:sz w:val="26"/>
    </w:rPr>
  </w:style>
  <w:style w:type="character" w:customStyle="1" w:styleId="Heading4Char">
    <w:name w:val="Heading 4 Char"/>
    <w:basedOn w:val="DefaultParagraphFont"/>
    <w:link w:val="Heading4"/>
    <w:rsid w:val="00F90583"/>
    <w:rPr>
      <w:rFonts w:ascii="Arial" w:hAnsi="Arial"/>
      <w:sz w:val="24"/>
    </w:rPr>
  </w:style>
  <w:style w:type="character" w:customStyle="1" w:styleId="TableBodyTextChar">
    <w:name w:val="Table Body Text Char"/>
    <w:link w:val="TableBodyText"/>
    <w:rsid w:val="00F90583"/>
    <w:rPr>
      <w:rFonts w:ascii="Arial" w:hAnsi="Arial"/>
      <w:sz w:val="18"/>
    </w:rPr>
  </w:style>
  <w:style w:type="character" w:customStyle="1" w:styleId="TableBulletChar">
    <w:name w:val="Table Bullet Char"/>
    <w:basedOn w:val="TableBodyTextChar"/>
    <w:link w:val="TableBullet"/>
    <w:rsid w:val="00F90583"/>
    <w:rPr>
      <w:rFonts w:ascii="Arial" w:hAnsi="Arial"/>
      <w:sz w:val="18"/>
    </w:rPr>
  </w:style>
  <w:style w:type="character" w:customStyle="1" w:styleId="Heading2Char">
    <w:name w:val="Heading 2 Char"/>
    <w:basedOn w:val="DefaultParagraphFont"/>
    <w:link w:val="Heading2"/>
    <w:rsid w:val="00F90583"/>
    <w:rPr>
      <w:rFonts w:ascii="Arial" w:hAnsi="Arial"/>
      <w:b/>
      <w:sz w:val="32"/>
    </w:rPr>
  </w:style>
  <w:style w:type="paragraph" w:styleId="TOCHeading">
    <w:name w:val="TOC Heading"/>
    <w:basedOn w:val="Heading1"/>
    <w:next w:val="Normal"/>
    <w:uiPriority w:val="39"/>
    <w:unhideWhenUsed/>
    <w:qFormat/>
    <w:rsid w:val="00C9448F"/>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character" w:styleId="Hyperlink">
    <w:name w:val="Hyperlink"/>
    <w:basedOn w:val="DefaultParagraphFont"/>
    <w:uiPriority w:val="99"/>
    <w:unhideWhenUsed/>
    <w:rsid w:val="00C9448F"/>
    <w:rPr>
      <w:color w:val="000000" w:themeColor="hyperlink"/>
      <w:u w:val="single"/>
    </w:rPr>
  </w:style>
  <w:style w:type="character" w:customStyle="1" w:styleId="HeaderChar">
    <w:name w:val="Header Char"/>
    <w:basedOn w:val="DefaultParagraphFont"/>
    <w:link w:val="Header"/>
    <w:rsid w:val="00E16871"/>
    <w:rPr>
      <w:rFonts w:ascii="Arial" w:hAnsi="Arial"/>
      <w:caps/>
      <w:sz w:val="24"/>
    </w:rPr>
  </w:style>
  <w:style w:type="paragraph" w:customStyle="1" w:styleId="Heading1NotTOC">
    <w:name w:val="Heading 1 Not TOC"/>
    <w:basedOn w:val="Heading1"/>
    <w:next w:val="BodyText"/>
    <w:rsid w:val="00B9476D"/>
    <w:rPr>
      <w:kern w:val="28"/>
      <w:szCs w:val="26"/>
      <w:lang w:eastAsia="en-US"/>
    </w:rPr>
  </w:style>
  <w:style w:type="character" w:customStyle="1" w:styleId="BoxChar">
    <w:name w:val="Box Char"/>
    <w:link w:val="Box"/>
    <w:rsid w:val="00C277BC"/>
    <w:rPr>
      <w:rFonts w:ascii="Arial" w:hAnsi="Arial"/>
    </w:rPr>
  </w:style>
  <w:style w:type="character" w:customStyle="1" w:styleId="BoxListBulletChar">
    <w:name w:val="Box List Bullet Char"/>
    <w:link w:val="BoxListBullet"/>
    <w:rsid w:val="00C277BC"/>
    <w:rPr>
      <w:rFonts w:ascii="Arial" w:hAnsi="Arial"/>
    </w:rPr>
  </w:style>
  <w:style w:type="character" w:customStyle="1" w:styleId="Heading1Char">
    <w:name w:val="Heading 1 Char"/>
    <w:basedOn w:val="DefaultParagraphFont"/>
    <w:link w:val="Heading1"/>
    <w:rsid w:val="00C277BC"/>
    <w:rPr>
      <w:sz w:val="52"/>
    </w:rPr>
  </w:style>
  <w:style w:type="character" w:customStyle="1" w:styleId="NoteChar">
    <w:name w:val="Note Char"/>
    <w:basedOn w:val="DefaultParagraphFont"/>
    <w:link w:val="Note"/>
    <w:locked/>
    <w:rsid w:val="00466311"/>
    <w:rPr>
      <w:rFonts w:ascii="Arial" w:hAnsi="Arial"/>
      <w:sz w:val="18"/>
    </w:rPr>
  </w:style>
  <w:style w:type="table" w:customStyle="1" w:styleId="TableGrid1">
    <w:name w:val="Table Grid1"/>
    <w:basedOn w:val="TableNormal"/>
    <w:next w:val="TableGrid"/>
    <w:rsid w:val="00466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66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Comparable">
    <w:name w:val="Box Comparable"/>
    <w:basedOn w:val="Box"/>
    <w:rsid w:val="00CD38E4"/>
    <w:pPr>
      <w:spacing w:before="100"/>
      <w:ind w:left="284"/>
    </w:pPr>
  </w:style>
  <w:style w:type="character" w:customStyle="1" w:styleId="BoxTitleChar">
    <w:name w:val="Box Title Char"/>
    <w:link w:val="BoxTitle"/>
    <w:rsid w:val="00EF67A9"/>
    <w:rPr>
      <w:rFonts w:ascii="Arial" w:hAnsi="Arial"/>
      <w:b/>
      <w:sz w:val="24"/>
      <w:szCs w:val="24"/>
    </w:rPr>
  </w:style>
  <w:style w:type="character" w:customStyle="1" w:styleId="ContinuedChar">
    <w:name w:val="Continued Char"/>
    <w:basedOn w:val="DefaultParagraphFont"/>
    <w:link w:val="Continued"/>
    <w:rsid w:val="007D3F24"/>
    <w:rPr>
      <w:rFonts w:ascii="Arial" w:hAnsi="Arial"/>
      <w:sz w:val="18"/>
    </w:rPr>
  </w:style>
  <w:style w:type="paragraph" w:customStyle="1" w:styleId="BoxSpace">
    <w:name w:val="Box Space"/>
    <w:basedOn w:val="BodyText"/>
    <w:rsid w:val="00916A2F"/>
    <w:pPr>
      <w:keepNext/>
      <w:spacing w:before="360" w:line="80" w:lineRule="exact"/>
      <w:jc w:val="left"/>
    </w:pPr>
  </w:style>
  <w:style w:type="paragraph" w:customStyle="1" w:styleId="DQITableText">
    <w:name w:val="DQI Table Text"/>
    <w:basedOn w:val="TableBodyText"/>
    <w:qFormat/>
    <w:rsid w:val="00916A2F"/>
    <w:pPr>
      <w:spacing w:before="60" w:after="60"/>
      <w:ind w:left="0" w:right="0"/>
      <w:jc w:val="left"/>
    </w:pPr>
  </w:style>
  <w:style w:type="paragraph" w:customStyle="1" w:styleId="DQIRowHeadings">
    <w:name w:val="DQI Row Headings"/>
    <w:basedOn w:val="Normal"/>
    <w:rsid w:val="00916A2F"/>
    <w:pPr>
      <w:keepNext/>
      <w:keepLines/>
      <w:spacing w:before="60" w:after="60" w:line="200" w:lineRule="atLeast"/>
      <w:ind w:left="6" w:right="113"/>
    </w:pPr>
    <w:rPr>
      <w:rFonts w:ascii="Arial" w:hAnsi="Arial"/>
      <w:b/>
      <w:sz w:val="18"/>
      <w:szCs w:val="20"/>
    </w:rPr>
  </w:style>
  <w:style w:type="paragraph" w:customStyle="1" w:styleId="DQITableBullet">
    <w:name w:val="DQI Table Bullet"/>
    <w:basedOn w:val="TableBullet"/>
    <w:rsid w:val="00916A2F"/>
    <w:pPr>
      <w:numPr>
        <w:numId w:val="0"/>
      </w:numPr>
      <w:spacing w:before="60" w:after="60"/>
    </w:pPr>
  </w:style>
  <w:style w:type="paragraph" w:customStyle="1" w:styleId="DQITableList">
    <w:name w:val="DQI Table List"/>
    <w:basedOn w:val="DQITableText"/>
    <w:rsid w:val="00916A2F"/>
    <w:pPr>
      <w:numPr>
        <w:numId w:val="20"/>
      </w:numPr>
      <w:ind w:left="170" w:hanging="170"/>
    </w:pPr>
  </w:style>
  <w:style w:type="paragraph" w:customStyle="1" w:styleId="DQITableBullet2">
    <w:name w:val="DQI Table Bullet 2"/>
    <w:basedOn w:val="DQITableText"/>
    <w:rsid w:val="00916A2F"/>
    <w:pPr>
      <w:numPr>
        <w:numId w:val="21"/>
      </w:numPr>
      <w:ind w:left="340" w:hanging="170"/>
    </w:pPr>
  </w:style>
  <w:style w:type="character" w:customStyle="1" w:styleId="BoxHeading1Char">
    <w:name w:val="Box Heading 1 Char"/>
    <w:link w:val="BoxHeading1"/>
    <w:rsid w:val="00F80224"/>
    <w:rPr>
      <w:rFonts w:ascii="Arial" w:hAnsi="Arial"/>
      <w:b/>
      <w:sz w:val="22"/>
    </w:rPr>
  </w:style>
  <w:style w:type="character" w:customStyle="1" w:styleId="BoxHeading2Char">
    <w:name w:val="Box Heading 2 Char"/>
    <w:link w:val="BoxHeading2"/>
    <w:rsid w:val="00F80224"/>
    <w:rPr>
      <w:rFonts w:ascii="Arial" w:hAnsi="Arial"/>
      <w:i/>
      <w:sz w:val="22"/>
    </w:rPr>
  </w:style>
  <w:style w:type="character" w:customStyle="1" w:styleId="FootnoteTextChar">
    <w:name w:val="Footnote Text Char"/>
    <w:basedOn w:val="DefaultParagraphFont"/>
    <w:link w:val="FootnoteText"/>
    <w:rsid w:val="00F80224"/>
  </w:style>
  <w:style w:type="paragraph" w:customStyle="1" w:styleId="VET">
    <w:name w:val="VET"/>
    <w:basedOn w:val="Box"/>
    <w:rsid w:val="00F80224"/>
  </w:style>
  <w:style w:type="character" w:customStyle="1" w:styleId="ReferenceChar">
    <w:name w:val="Reference Char"/>
    <w:link w:val="Reference"/>
    <w:rsid w:val="00F80224"/>
    <w:rPr>
      <w:sz w:val="24"/>
    </w:rPr>
  </w:style>
  <w:style w:type="paragraph" w:styleId="CommentSubject">
    <w:name w:val="annotation subject"/>
    <w:basedOn w:val="CommentText"/>
    <w:next w:val="CommentText"/>
    <w:link w:val="CommentSubjectChar"/>
    <w:semiHidden/>
    <w:unhideWhenUsed/>
    <w:rsid w:val="009E5F3C"/>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9E5F3C"/>
    <w:rPr>
      <w:szCs w:val="24"/>
    </w:rPr>
  </w:style>
  <w:style w:type="character" w:customStyle="1" w:styleId="CommentSubjectChar">
    <w:name w:val="Comment Subject Char"/>
    <w:basedOn w:val="CommentTextChar"/>
    <w:link w:val="CommentSubject"/>
    <w:semiHidden/>
    <w:rsid w:val="009E5F3C"/>
    <w:rPr>
      <w:b/>
      <w:bCs/>
      <w:szCs w:val="24"/>
    </w:rPr>
  </w:style>
  <w:style w:type="paragraph" w:styleId="ListParagraph">
    <w:name w:val="List Paragraph"/>
    <w:basedOn w:val="Normal"/>
    <w:uiPriority w:val="34"/>
    <w:rsid w:val="00525873"/>
    <w:pPr>
      <w:ind w:left="720"/>
      <w:contextualSpacing/>
    </w:pPr>
  </w:style>
  <w:style w:type="character" w:styleId="UnresolvedMention">
    <w:name w:val="Unresolved Mention"/>
    <w:basedOn w:val="DefaultParagraphFont"/>
    <w:uiPriority w:val="99"/>
    <w:semiHidden/>
    <w:unhideWhenUsed/>
    <w:rsid w:val="00E82F14"/>
    <w:rPr>
      <w:color w:val="605E5C"/>
      <w:shd w:val="clear" w:color="auto" w:fill="E1DFDD"/>
    </w:rPr>
  </w:style>
  <w:style w:type="paragraph" w:styleId="NormalWeb">
    <w:name w:val="Normal (Web)"/>
    <w:basedOn w:val="Normal"/>
    <w:uiPriority w:val="99"/>
    <w:unhideWhenUsed/>
    <w:rsid w:val="00E82F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575227">
      <w:bodyDiv w:val="1"/>
      <w:marLeft w:val="0"/>
      <w:marRight w:val="0"/>
      <w:marTop w:val="0"/>
      <w:marBottom w:val="0"/>
      <w:divBdr>
        <w:top w:val="none" w:sz="0" w:space="0" w:color="auto"/>
        <w:left w:val="none" w:sz="0" w:space="0" w:color="auto"/>
        <w:bottom w:val="none" w:sz="0" w:space="0" w:color="auto"/>
        <w:right w:val="none" w:sz="0" w:space="0" w:color="auto"/>
      </w:divBdr>
    </w:div>
    <w:div w:id="881792512">
      <w:bodyDiv w:val="1"/>
      <w:marLeft w:val="0"/>
      <w:marRight w:val="0"/>
      <w:marTop w:val="0"/>
      <w:marBottom w:val="0"/>
      <w:divBdr>
        <w:top w:val="none" w:sz="0" w:space="0" w:color="auto"/>
        <w:left w:val="none" w:sz="0" w:space="0" w:color="auto"/>
        <w:bottom w:val="none" w:sz="0" w:space="0" w:color="auto"/>
        <w:right w:val="none" w:sz="0" w:space="0" w:color="auto"/>
      </w:divBdr>
    </w:div>
    <w:div w:id="1018116276">
      <w:bodyDiv w:val="1"/>
      <w:marLeft w:val="0"/>
      <w:marRight w:val="0"/>
      <w:marTop w:val="0"/>
      <w:marBottom w:val="0"/>
      <w:divBdr>
        <w:top w:val="none" w:sz="0" w:space="0" w:color="auto"/>
        <w:left w:val="none" w:sz="0" w:space="0" w:color="auto"/>
        <w:bottom w:val="none" w:sz="0" w:space="0" w:color="auto"/>
        <w:right w:val="none" w:sz="0" w:space="0" w:color="auto"/>
      </w:divBdr>
    </w:div>
    <w:div w:id="1312901849">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CCD98-1A28-45F4-98C5-F646C540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8858</Words>
  <Characters>50756</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Section 4 School education interpretative material - Report on Government Services 2021</vt:lpstr>
    </vt:vector>
  </TitlesOfParts>
  <Manager/>
  <Company>Productivity Commission</Company>
  <LinksUpToDate>false</LinksUpToDate>
  <CharactersWithSpaces>59496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 School education interpretative material - Report on Government Services 2021</dc:title>
  <dc:subject/>
  <dc:creator>Steering Committee for the Review of Government Service provision</dc:creator>
  <cp:keywords/>
  <dc:description/>
  <cp:lastModifiedBy>Munce, Melissa</cp:lastModifiedBy>
  <cp:revision>4</cp:revision>
  <cp:lastPrinted>2021-01-07T03:27:00Z</cp:lastPrinted>
  <dcterms:created xsi:type="dcterms:W3CDTF">2020-10-15T00:50:00Z</dcterms:created>
  <dcterms:modified xsi:type="dcterms:W3CDTF">2021-01-07T03:28:00Z</dcterms:modified>
</cp:coreProperties>
</file>