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E375C7" w14:textId="3A505072" w:rsidR="00E93942" w:rsidRDefault="00E93942" w:rsidP="00E93942">
      <w:pPr>
        <w:pStyle w:val="Heading1"/>
      </w:pPr>
      <w:bookmarkStart w:id="0" w:name="_Toc338082263"/>
      <w:bookmarkStart w:id="1" w:name="_Toc340063209"/>
      <w:bookmarkStart w:id="2" w:name="_Toc401156652"/>
      <w:bookmarkStart w:id="3" w:name="_Toc430790758"/>
      <w:bookmarkStart w:id="4" w:name="_Toc458687988"/>
      <w:bookmarkStart w:id="5" w:name="_Toc21937635"/>
      <w:bookmarkStart w:id="6" w:name="_Toc34311752"/>
      <w:r>
        <w:t>10</w:t>
      </w:r>
      <w:r>
        <w:tab/>
      </w:r>
      <w:bookmarkEnd w:id="0"/>
      <w:bookmarkEnd w:id="1"/>
      <w:bookmarkEnd w:id="2"/>
      <w:bookmarkEnd w:id="3"/>
      <w:bookmarkEnd w:id="4"/>
      <w:r>
        <w:t>Primary and community health interpretative material</w:t>
      </w:r>
      <w:bookmarkEnd w:id="5"/>
      <w:bookmarkEnd w:id="6"/>
    </w:p>
    <w:bookmarkStart w:id="7" w:name="begin" w:displacedByCustomXml="next"/>
    <w:bookmarkEnd w:id="7" w:displacedByCustomXml="next"/>
    <w:bookmarkStart w:id="8" w:name="_Toc458687989" w:displacedByCustomXml="next"/>
    <w:sdt>
      <w:sdtPr>
        <w:rPr>
          <w:rFonts w:ascii="Times New Roman" w:hAnsi="Times New Roman"/>
          <w:b w:val="0"/>
          <w:kern w:val="28"/>
          <w:sz w:val="52"/>
          <w:szCs w:val="20"/>
          <w:lang w:eastAsia="en-AU"/>
        </w:rPr>
        <w:id w:val="-1727060330"/>
        <w:docPartObj>
          <w:docPartGallery w:val="Table of Contents"/>
          <w:docPartUnique/>
        </w:docPartObj>
      </w:sdtPr>
      <w:sdtEndPr>
        <w:rPr>
          <w:rFonts w:ascii="Arial" w:hAnsi="Arial"/>
          <w:b/>
          <w:kern w:val="0"/>
          <w:sz w:val="26"/>
          <w:szCs w:val="26"/>
          <w:lang w:eastAsia="en-US"/>
        </w:rPr>
      </w:sdtEndPr>
      <w:sdtContent>
        <w:p w14:paraId="342A4BDB" w14:textId="321A24FF" w:rsidR="00E93942" w:rsidRDefault="00E93942" w:rsidP="00E93942">
          <w:pPr>
            <w:pStyle w:val="TOC1"/>
            <w:rPr>
              <w:rFonts w:asciiTheme="minorHAnsi" w:eastAsiaTheme="minorEastAsia" w:hAnsiTheme="minorHAnsi" w:cstheme="minorBidi"/>
              <w:b w:val="0"/>
              <w:noProof/>
              <w:sz w:val="22"/>
              <w:szCs w:val="22"/>
              <w:lang w:eastAsia="en-AU"/>
            </w:rPr>
          </w:pPr>
          <w:r w:rsidRPr="00AF6079">
            <w:rPr>
              <w:noProof/>
            </w:rPr>
            <w:t>10</w:t>
          </w:r>
          <w:r>
            <w:rPr>
              <w:rFonts w:asciiTheme="minorHAnsi" w:eastAsiaTheme="minorEastAsia" w:hAnsiTheme="minorHAnsi" w:cstheme="minorBidi"/>
              <w:b w:val="0"/>
              <w:noProof/>
              <w:sz w:val="22"/>
              <w:szCs w:val="22"/>
              <w:lang w:eastAsia="en-AU"/>
            </w:rPr>
            <w:tab/>
          </w:r>
          <w:r w:rsidRPr="00AF6079">
            <w:rPr>
              <w:noProof/>
            </w:rPr>
            <w:t>Primary and community health interpretative material</w:t>
          </w:r>
          <w:r>
            <w:rPr>
              <w:noProof/>
              <w:webHidden/>
            </w:rPr>
            <w:tab/>
          </w:r>
          <w:r w:rsidR="00054780">
            <w:rPr>
              <w:noProof/>
              <w:webHidden/>
            </w:rPr>
            <w:t>10</w:t>
          </w:r>
          <w:r w:rsidR="00A53390">
            <w:rPr>
              <w:noProof/>
              <w:webHidden/>
            </w:rPr>
            <w:t>.</w:t>
          </w:r>
          <w:r w:rsidR="009C14C4">
            <w:rPr>
              <w:noProof/>
              <w:webHidden/>
            </w:rPr>
            <w:t>1</w:t>
          </w:r>
        </w:p>
        <w:p w14:paraId="55ACCE00" w14:textId="57CB4081" w:rsidR="00E93942" w:rsidRDefault="00E93942" w:rsidP="00E93942">
          <w:pPr>
            <w:pStyle w:val="TOC2"/>
            <w:rPr>
              <w:rFonts w:asciiTheme="minorHAnsi" w:eastAsiaTheme="minorEastAsia" w:hAnsiTheme="minorHAnsi" w:cstheme="minorBidi"/>
              <w:noProof/>
              <w:sz w:val="22"/>
              <w:szCs w:val="22"/>
              <w:lang w:eastAsia="en-AU"/>
            </w:rPr>
          </w:pPr>
          <w:r w:rsidRPr="00AF6079">
            <w:rPr>
              <w:noProof/>
            </w:rPr>
            <w:t>10.1 Indicators</w:t>
          </w:r>
          <w:r>
            <w:rPr>
              <w:noProof/>
              <w:webHidden/>
            </w:rPr>
            <w:tab/>
          </w:r>
          <w:r w:rsidR="00054780">
            <w:rPr>
              <w:noProof/>
              <w:webHidden/>
            </w:rPr>
            <w:t>10</w:t>
          </w:r>
          <w:r w:rsidR="00A53390">
            <w:rPr>
              <w:noProof/>
              <w:webHidden/>
            </w:rPr>
            <w:t>.</w:t>
          </w:r>
          <w:r w:rsidR="009C14C4">
            <w:rPr>
              <w:noProof/>
              <w:webHidden/>
            </w:rPr>
            <w:t>2</w:t>
          </w:r>
        </w:p>
        <w:p w14:paraId="6167ADBD" w14:textId="76AD038B" w:rsidR="00E93942" w:rsidRDefault="00E93942" w:rsidP="00E93942">
          <w:pPr>
            <w:pStyle w:val="TOC3"/>
            <w:rPr>
              <w:rFonts w:asciiTheme="minorHAnsi" w:eastAsiaTheme="minorEastAsia" w:hAnsiTheme="minorHAnsi" w:cstheme="minorBidi"/>
              <w:noProof/>
              <w:sz w:val="22"/>
              <w:szCs w:val="22"/>
              <w:lang w:eastAsia="en-AU"/>
            </w:rPr>
          </w:pPr>
          <w:r w:rsidRPr="00AF6079">
            <w:rPr>
              <w:noProof/>
            </w:rPr>
            <w:t>Outputs</w:t>
          </w:r>
          <w:r>
            <w:rPr>
              <w:noProof/>
              <w:webHidden/>
            </w:rPr>
            <w:tab/>
          </w:r>
          <w:r w:rsidR="00054780">
            <w:rPr>
              <w:noProof/>
              <w:webHidden/>
            </w:rPr>
            <w:t>10</w:t>
          </w:r>
          <w:r w:rsidR="00A53390">
            <w:rPr>
              <w:noProof/>
              <w:webHidden/>
            </w:rPr>
            <w:t>.</w:t>
          </w:r>
          <w:r w:rsidR="009C14C4">
            <w:rPr>
              <w:noProof/>
              <w:webHidden/>
            </w:rPr>
            <w:t>2</w:t>
          </w:r>
        </w:p>
        <w:p w14:paraId="61812066" w14:textId="45B13F08" w:rsidR="00E93942" w:rsidRDefault="00E93942" w:rsidP="00E93942">
          <w:pPr>
            <w:pStyle w:val="TOC3"/>
            <w:rPr>
              <w:rFonts w:asciiTheme="minorHAnsi" w:eastAsiaTheme="minorEastAsia" w:hAnsiTheme="minorHAnsi" w:cstheme="minorBidi"/>
              <w:noProof/>
              <w:sz w:val="22"/>
              <w:szCs w:val="22"/>
              <w:lang w:eastAsia="en-AU"/>
            </w:rPr>
          </w:pPr>
          <w:r w:rsidRPr="00AF6079">
            <w:rPr>
              <w:noProof/>
            </w:rPr>
            <w:t>Equity</w:t>
          </w:r>
          <w:r>
            <w:rPr>
              <w:noProof/>
              <w:webHidden/>
            </w:rPr>
            <w:tab/>
          </w:r>
          <w:r w:rsidR="00054780">
            <w:rPr>
              <w:noProof/>
              <w:webHidden/>
            </w:rPr>
            <w:t>10</w:t>
          </w:r>
          <w:r w:rsidR="00A53390">
            <w:rPr>
              <w:noProof/>
              <w:webHidden/>
            </w:rPr>
            <w:t>.</w:t>
          </w:r>
          <w:r w:rsidR="009C14C4">
            <w:rPr>
              <w:noProof/>
              <w:webHidden/>
            </w:rPr>
            <w:t>2</w:t>
          </w:r>
        </w:p>
        <w:p w14:paraId="31C4C2BF" w14:textId="28B4A20F" w:rsidR="00E93942" w:rsidRDefault="00E93942" w:rsidP="00E93942">
          <w:pPr>
            <w:pStyle w:val="TOC4"/>
            <w:rPr>
              <w:rFonts w:asciiTheme="minorHAnsi" w:eastAsiaTheme="minorEastAsia" w:hAnsiTheme="minorHAnsi" w:cstheme="minorBidi"/>
              <w:noProof/>
              <w:sz w:val="22"/>
              <w:szCs w:val="22"/>
              <w:lang w:eastAsia="en-AU"/>
            </w:rPr>
          </w:pPr>
          <w:r w:rsidRPr="00AF6079">
            <w:rPr>
              <w:noProof/>
            </w:rPr>
            <w:t>Access — Availability of primary healthcare services</w:t>
          </w:r>
          <w:r>
            <w:rPr>
              <w:noProof/>
              <w:webHidden/>
            </w:rPr>
            <w:tab/>
          </w:r>
          <w:r w:rsidR="00054780">
            <w:rPr>
              <w:noProof/>
              <w:webHidden/>
            </w:rPr>
            <w:t>10</w:t>
          </w:r>
          <w:r w:rsidR="00A53390">
            <w:rPr>
              <w:noProof/>
              <w:webHidden/>
            </w:rPr>
            <w:t>.</w:t>
          </w:r>
          <w:r w:rsidR="009C14C4">
            <w:rPr>
              <w:noProof/>
              <w:webHidden/>
            </w:rPr>
            <w:t>2</w:t>
          </w:r>
        </w:p>
        <w:p w14:paraId="646FDD1F" w14:textId="23EDC5C8" w:rsidR="00E93942" w:rsidRPr="00185849" w:rsidRDefault="00E93942" w:rsidP="00E93942">
          <w:pPr>
            <w:pStyle w:val="TOC4"/>
            <w:rPr>
              <w:rFonts w:asciiTheme="minorHAnsi" w:eastAsiaTheme="minorEastAsia" w:hAnsiTheme="minorHAnsi" w:cstheme="minorBidi"/>
              <w:noProof/>
              <w:sz w:val="22"/>
              <w:szCs w:val="22"/>
              <w:lang w:eastAsia="en-AU"/>
            </w:rPr>
          </w:pPr>
          <w:r w:rsidRPr="00AF6079">
            <w:rPr>
              <w:noProof/>
            </w:rPr>
            <w:t xml:space="preserve">Access </w:t>
          </w:r>
          <w:r w:rsidR="009C14C4" w:rsidRPr="00AF6079">
            <w:rPr>
              <w:noProof/>
            </w:rPr>
            <w:t xml:space="preserve">— </w:t>
          </w:r>
          <w:r w:rsidRPr="00AF6079">
            <w:rPr>
              <w:noProof/>
            </w:rPr>
            <w:t xml:space="preserve">Early detection and early treatment for </w:t>
          </w:r>
          <w:r w:rsidRPr="00185849">
            <w:rPr>
              <w:noProof/>
            </w:rPr>
            <w:t>Aboriginal and Torres Strait Islander Australians</w:t>
          </w:r>
          <w:r w:rsidRPr="00185849">
            <w:rPr>
              <w:noProof/>
              <w:webHidden/>
            </w:rPr>
            <w:tab/>
          </w:r>
          <w:r w:rsidR="00054780" w:rsidRPr="00185849">
            <w:rPr>
              <w:noProof/>
              <w:webHidden/>
            </w:rPr>
            <w:t>10</w:t>
          </w:r>
          <w:r w:rsidR="00A53390" w:rsidRPr="00185849">
            <w:rPr>
              <w:noProof/>
              <w:webHidden/>
            </w:rPr>
            <w:t>.</w:t>
          </w:r>
          <w:r w:rsidR="009C14C4" w:rsidRPr="00185849">
            <w:rPr>
              <w:noProof/>
              <w:webHidden/>
            </w:rPr>
            <w:t>4</w:t>
          </w:r>
        </w:p>
        <w:p w14:paraId="3282CFE5" w14:textId="36B6DC64" w:rsidR="00E93942" w:rsidRPr="00185849" w:rsidRDefault="00E93942" w:rsidP="00E93942">
          <w:pPr>
            <w:pStyle w:val="TOC3"/>
            <w:rPr>
              <w:rFonts w:asciiTheme="minorHAnsi" w:eastAsiaTheme="minorEastAsia" w:hAnsiTheme="minorHAnsi" w:cstheme="minorBidi"/>
              <w:noProof/>
              <w:sz w:val="22"/>
              <w:szCs w:val="22"/>
              <w:lang w:eastAsia="en-AU"/>
            </w:rPr>
          </w:pPr>
          <w:r w:rsidRPr="00185849">
            <w:rPr>
              <w:noProof/>
            </w:rPr>
            <w:t>Effectiveness</w:t>
          </w:r>
          <w:r w:rsidRPr="00185849">
            <w:rPr>
              <w:noProof/>
              <w:webHidden/>
            </w:rPr>
            <w:tab/>
          </w:r>
          <w:r w:rsidR="00054780" w:rsidRPr="00185849">
            <w:rPr>
              <w:noProof/>
              <w:webHidden/>
            </w:rPr>
            <w:t>10</w:t>
          </w:r>
          <w:r w:rsidR="00A53390" w:rsidRPr="00185849">
            <w:rPr>
              <w:noProof/>
              <w:webHidden/>
            </w:rPr>
            <w:t>.</w:t>
          </w:r>
          <w:r w:rsidR="00C616FD">
            <w:rPr>
              <w:noProof/>
              <w:webHidden/>
            </w:rPr>
            <w:t>4</w:t>
          </w:r>
        </w:p>
        <w:p w14:paraId="5F6E51AA" w14:textId="2D2CBD3D" w:rsidR="00E93942" w:rsidRPr="00185849" w:rsidRDefault="00E93942" w:rsidP="00E93942">
          <w:pPr>
            <w:pStyle w:val="TOC4"/>
            <w:rPr>
              <w:rFonts w:asciiTheme="minorHAnsi" w:eastAsiaTheme="minorEastAsia" w:hAnsiTheme="minorHAnsi" w:cstheme="minorBidi"/>
              <w:noProof/>
              <w:sz w:val="22"/>
              <w:szCs w:val="22"/>
              <w:lang w:eastAsia="en-AU"/>
            </w:rPr>
          </w:pPr>
          <w:r w:rsidRPr="00185849">
            <w:rPr>
              <w:noProof/>
            </w:rPr>
            <w:t xml:space="preserve">Access </w:t>
          </w:r>
          <w:r w:rsidR="009C14C4" w:rsidRPr="00185849">
            <w:rPr>
              <w:noProof/>
            </w:rPr>
            <w:t xml:space="preserve">— </w:t>
          </w:r>
          <w:r w:rsidRPr="00185849">
            <w:rPr>
              <w:noProof/>
            </w:rPr>
            <w:t>Affordability of primary healthcare services</w:t>
          </w:r>
          <w:r w:rsidRPr="00185849">
            <w:rPr>
              <w:noProof/>
              <w:webHidden/>
            </w:rPr>
            <w:tab/>
          </w:r>
          <w:r w:rsidR="00054780" w:rsidRPr="00185849">
            <w:rPr>
              <w:noProof/>
              <w:webHidden/>
            </w:rPr>
            <w:t>10</w:t>
          </w:r>
          <w:r w:rsidR="00A53390" w:rsidRPr="00185849">
            <w:rPr>
              <w:noProof/>
              <w:webHidden/>
            </w:rPr>
            <w:t>.</w:t>
          </w:r>
          <w:r w:rsidR="00C616FD">
            <w:rPr>
              <w:noProof/>
              <w:webHidden/>
            </w:rPr>
            <w:t>4</w:t>
          </w:r>
        </w:p>
        <w:p w14:paraId="263FDFEB" w14:textId="655367CC" w:rsidR="00E93942" w:rsidRPr="00185849" w:rsidRDefault="00E93942" w:rsidP="00E93942">
          <w:pPr>
            <w:pStyle w:val="TOC4"/>
            <w:rPr>
              <w:rFonts w:asciiTheme="minorHAnsi" w:eastAsiaTheme="minorEastAsia" w:hAnsiTheme="minorHAnsi" w:cstheme="minorBidi"/>
              <w:noProof/>
              <w:sz w:val="22"/>
              <w:szCs w:val="22"/>
              <w:lang w:eastAsia="en-AU"/>
            </w:rPr>
          </w:pPr>
          <w:r w:rsidRPr="00185849">
            <w:rPr>
              <w:noProof/>
            </w:rPr>
            <w:t xml:space="preserve">Access </w:t>
          </w:r>
          <w:r w:rsidR="009C14C4" w:rsidRPr="00185849">
            <w:rPr>
              <w:noProof/>
            </w:rPr>
            <w:t xml:space="preserve">— </w:t>
          </w:r>
          <w:r w:rsidRPr="00185849">
            <w:rPr>
              <w:noProof/>
            </w:rPr>
            <w:t>Timeliness of primary healthcare services</w:t>
          </w:r>
          <w:r w:rsidRPr="00185849">
            <w:rPr>
              <w:noProof/>
              <w:webHidden/>
            </w:rPr>
            <w:tab/>
          </w:r>
          <w:r w:rsidR="00054780" w:rsidRPr="00185849">
            <w:rPr>
              <w:noProof/>
              <w:webHidden/>
            </w:rPr>
            <w:t>10</w:t>
          </w:r>
          <w:r w:rsidR="00A53390" w:rsidRPr="00185849">
            <w:rPr>
              <w:noProof/>
              <w:webHidden/>
            </w:rPr>
            <w:t>.</w:t>
          </w:r>
          <w:r w:rsidR="00C23F93">
            <w:rPr>
              <w:noProof/>
              <w:webHidden/>
            </w:rPr>
            <w:t>5</w:t>
          </w:r>
        </w:p>
        <w:p w14:paraId="7B7E0931" w14:textId="6706B272" w:rsidR="00E93942" w:rsidRPr="00185849" w:rsidRDefault="00E93942" w:rsidP="00E93942">
          <w:pPr>
            <w:pStyle w:val="TOC4"/>
            <w:rPr>
              <w:rFonts w:asciiTheme="minorHAnsi" w:eastAsiaTheme="minorEastAsia" w:hAnsiTheme="minorHAnsi" w:cstheme="minorBidi"/>
              <w:noProof/>
              <w:sz w:val="22"/>
              <w:szCs w:val="22"/>
              <w:lang w:eastAsia="en-AU"/>
            </w:rPr>
          </w:pPr>
          <w:r w:rsidRPr="00185849">
            <w:rPr>
              <w:noProof/>
            </w:rPr>
            <w:t>Access — Potentially avoidable presentations to emergency departments</w:t>
          </w:r>
          <w:r w:rsidRPr="00185849">
            <w:rPr>
              <w:noProof/>
              <w:webHidden/>
            </w:rPr>
            <w:tab/>
          </w:r>
          <w:r w:rsidR="00054780" w:rsidRPr="00185849">
            <w:rPr>
              <w:noProof/>
              <w:webHidden/>
            </w:rPr>
            <w:t>10</w:t>
          </w:r>
          <w:r w:rsidR="00A53390" w:rsidRPr="00185849">
            <w:rPr>
              <w:noProof/>
              <w:webHidden/>
            </w:rPr>
            <w:t>.</w:t>
          </w:r>
          <w:r w:rsidR="00C23F93">
            <w:rPr>
              <w:noProof/>
              <w:webHidden/>
            </w:rPr>
            <w:t>6</w:t>
          </w:r>
        </w:p>
        <w:p w14:paraId="2D33A04D" w14:textId="0E77721C" w:rsidR="00E93942" w:rsidRPr="00185849" w:rsidRDefault="00E93942" w:rsidP="00E93942">
          <w:pPr>
            <w:pStyle w:val="TOC4"/>
            <w:rPr>
              <w:rFonts w:asciiTheme="minorHAnsi" w:eastAsiaTheme="minorEastAsia" w:hAnsiTheme="minorHAnsi" w:cstheme="minorBidi"/>
              <w:noProof/>
              <w:sz w:val="22"/>
              <w:szCs w:val="22"/>
              <w:lang w:eastAsia="en-AU"/>
            </w:rPr>
          </w:pPr>
          <w:r w:rsidRPr="00185849">
            <w:rPr>
              <w:noProof/>
            </w:rPr>
            <w:t xml:space="preserve">Appropriateness </w:t>
          </w:r>
          <w:r w:rsidR="009C14C4" w:rsidRPr="00185849">
            <w:rPr>
              <w:noProof/>
            </w:rPr>
            <w:t xml:space="preserve">— </w:t>
          </w:r>
          <w:r w:rsidRPr="00185849">
            <w:rPr>
              <w:noProof/>
            </w:rPr>
            <w:t>Developmental health checks</w:t>
          </w:r>
          <w:r w:rsidRPr="00185849">
            <w:rPr>
              <w:noProof/>
              <w:webHidden/>
            </w:rPr>
            <w:tab/>
          </w:r>
          <w:r w:rsidR="00054780" w:rsidRPr="00185849">
            <w:rPr>
              <w:noProof/>
              <w:webHidden/>
            </w:rPr>
            <w:t>10</w:t>
          </w:r>
          <w:r w:rsidR="00A53390" w:rsidRPr="00185849">
            <w:rPr>
              <w:noProof/>
              <w:webHidden/>
            </w:rPr>
            <w:t>.</w:t>
          </w:r>
          <w:r w:rsidR="00C23F93">
            <w:rPr>
              <w:noProof/>
              <w:webHidden/>
            </w:rPr>
            <w:t>7</w:t>
          </w:r>
        </w:p>
        <w:p w14:paraId="30997B6C" w14:textId="0CFF908C" w:rsidR="00E93942" w:rsidRPr="00185849" w:rsidRDefault="00E93942" w:rsidP="00E93942">
          <w:pPr>
            <w:pStyle w:val="TOC4"/>
            <w:rPr>
              <w:rFonts w:asciiTheme="minorHAnsi" w:eastAsiaTheme="minorEastAsia" w:hAnsiTheme="minorHAnsi" w:cstheme="minorBidi"/>
              <w:noProof/>
              <w:sz w:val="22"/>
              <w:szCs w:val="22"/>
              <w:lang w:eastAsia="en-AU"/>
            </w:rPr>
          </w:pPr>
          <w:r w:rsidRPr="00185849">
            <w:rPr>
              <w:noProof/>
            </w:rPr>
            <w:t xml:space="preserve">Appropriateness </w:t>
          </w:r>
          <w:r w:rsidR="009C14C4" w:rsidRPr="00185849">
            <w:rPr>
              <w:noProof/>
            </w:rPr>
            <w:t xml:space="preserve">— </w:t>
          </w:r>
          <w:r w:rsidRPr="00185849">
            <w:rPr>
              <w:noProof/>
            </w:rPr>
            <w:t>Chronic disease management</w:t>
          </w:r>
          <w:r w:rsidRPr="00185849">
            <w:rPr>
              <w:noProof/>
              <w:webHidden/>
            </w:rPr>
            <w:tab/>
          </w:r>
          <w:r w:rsidR="00054780" w:rsidRPr="00185849">
            <w:rPr>
              <w:noProof/>
              <w:webHidden/>
            </w:rPr>
            <w:t>10</w:t>
          </w:r>
          <w:r w:rsidR="00A53390" w:rsidRPr="00185849">
            <w:rPr>
              <w:noProof/>
              <w:webHidden/>
            </w:rPr>
            <w:t>.</w:t>
          </w:r>
          <w:r w:rsidR="00C23F93">
            <w:rPr>
              <w:noProof/>
              <w:webHidden/>
            </w:rPr>
            <w:t>8</w:t>
          </w:r>
        </w:p>
        <w:p w14:paraId="0B20A2B9" w14:textId="57886779" w:rsidR="00E93942" w:rsidRPr="00185849" w:rsidRDefault="00E93942" w:rsidP="00E93942">
          <w:pPr>
            <w:pStyle w:val="TOC4"/>
            <w:rPr>
              <w:rFonts w:asciiTheme="minorHAnsi" w:eastAsiaTheme="minorEastAsia" w:hAnsiTheme="minorHAnsi" w:cstheme="minorBidi"/>
              <w:noProof/>
              <w:sz w:val="22"/>
              <w:szCs w:val="22"/>
              <w:lang w:eastAsia="en-AU"/>
            </w:rPr>
          </w:pPr>
          <w:r w:rsidRPr="00185849">
            <w:rPr>
              <w:noProof/>
            </w:rPr>
            <w:t xml:space="preserve">Appropriateness </w:t>
          </w:r>
          <w:r w:rsidR="009C14C4" w:rsidRPr="00185849">
            <w:rPr>
              <w:noProof/>
            </w:rPr>
            <w:t xml:space="preserve">— </w:t>
          </w:r>
          <w:r w:rsidRPr="00185849">
            <w:rPr>
              <w:noProof/>
            </w:rPr>
            <w:t>Immunisation coverage</w:t>
          </w:r>
          <w:r w:rsidRPr="00185849">
            <w:rPr>
              <w:noProof/>
              <w:webHidden/>
            </w:rPr>
            <w:tab/>
          </w:r>
          <w:r w:rsidR="00054780" w:rsidRPr="00185849">
            <w:rPr>
              <w:noProof/>
              <w:webHidden/>
            </w:rPr>
            <w:t>10</w:t>
          </w:r>
          <w:r w:rsidR="00A53390" w:rsidRPr="00185849">
            <w:rPr>
              <w:noProof/>
              <w:webHidden/>
            </w:rPr>
            <w:t>.</w:t>
          </w:r>
          <w:r w:rsidR="00D964E5" w:rsidRPr="00185849">
            <w:rPr>
              <w:noProof/>
              <w:webHidden/>
            </w:rPr>
            <w:t>9</w:t>
          </w:r>
        </w:p>
        <w:p w14:paraId="7E0F476E" w14:textId="574820F8" w:rsidR="00E93942" w:rsidRPr="00185849" w:rsidRDefault="00E93942" w:rsidP="00E93942">
          <w:pPr>
            <w:pStyle w:val="TOC4"/>
            <w:rPr>
              <w:rFonts w:asciiTheme="minorHAnsi" w:eastAsiaTheme="minorEastAsia" w:hAnsiTheme="minorHAnsi" w:cstheme="minorBidi"/>
              <w:noProof/>
              <w:sz w:val="22"/>
              <w:szCs w:val="22"/>
              <w:lang w:eastAsia="en-AU"/>
            </w:rPr>
          </w:pPr>
          <w:r w:rsidRPr="00185849">
            <w:rPr>
              <w:noProof/>
            </w:rPr>
            <w:t xml:space="preserve">Appropriateness </w:t>
          </w:r>
          <w:r w:rsidR="009C14C4" w:rsidRPr="00185849">
            <w:rPr>
              <w:noProof/>
            </w:rPr>
            <w:t xml:space="preserve">— </w:t>
          </w:r>
          <w:r w:rsidRPr="00185849">
            <w:rPr>
              <w:noProof/>
            </w:rPr>
            <w:t>Cancer screening</w:t>
          </w:r>
          <w:r w:rsidRPr="00185849">
            <w:rPr>
              <w:noProof/>
              <w:webHidden/>
            </w:rPr>
            <w:tab/>
          </w:r>
          <w:r w:rsidR="00054780" w:rsidRPr="00185849">
            <w:rPr>
              <w:noProof/>
              <w:webHidden/>
            </w:rPr>
            <w:t>10</w:t>
          </w:r>
          <w:r w:rsidR="00A53390" w:rsidRPr="00185849">
            <w:rPr>
              <w:noProof/>
              <w:webHidden/>
            </w:rPr>
            <w:t>.</w:t>
          </w:r>
          <w:r w:rsidR="00D964E5" w:rsidRPr="00185849">
            <w:rPr>
              <w:noProof/>
              <w:webHidden/>
            </w:rPr>
            <w:t>10</w:t>
          </w:r>
        </w:p>
        <w:p w14:paraId="2B3437F4" w14:textId="103157F3" w:rsidR="00E93942" w:rsidRPr="00185849" w:rsidRDefault="00E93942" w:rsidP="00E93942">
          <w:pPr>
            <w:pStyle w:val="TOC4"/>
            <w:rPr>
              <w:rFonts w:asciiTheme="minorHAnsi" w:eastAsiaTheme="minorEastAsia" w:hAnsiTheme="minorHAnsi" w:cstheme="minorBidi"/>
              <w:noProof/>
              <w:sz w:val="22"/>
              <w:szCs w:val="22"/>
              <w:lang w:eastAsia="en-AU"/>
            </w:rPr>
          </w:pPr>
          <w:r w:rsidRPr="00185849">
            <w:rPr>
              <w:noProof/>
            </w:rPr>
            <w:t>Quality — Safety — General practices with accreditation</w:t>
          </w:r>
          <w:r w:rsidRPr="00185849">
            <w:rPr>
              <w:noProof/>
              <w:webHidden/>
            </w:rPr>
            <w:tab/>
          </w:r>
          <w:r w:rsidR="00054780" w:rsidRPr="00185849">
            <w:rPr>
              <w:noProof/>
              <w:webHidden/>
            </w:rPr>
            <w:t>10</w:t>
          </w:r>
          <w:r w:rsidR="00A53390" w:rsidRPr="00185849">
            <w:rPr>
              <w:noProof/>
              <w:webHidden/>
            </w:rPr>
            <w:t>.</w:t>
          </w:r>
          <w:r w:rsidR="009C14C4" w:rsidRPr="00185849">
            <w:rPr>
              <w:noProof/>
              <w:webHidden/>
            </w:rPr>
            <w:t>1</w:t>
          </w:r>
          <w:r w:rsidR="00D964E5" w:rsidRPr="00185849">
            <w:rPr>
              <w:noProof/>
              <w:webHidden/>
            </w:rPr>
            <w:t>1</w:t>
          </w:r>
        </w:p>
        <w:p w14:paraId="0D536230" w14:textId="26D97C17" w:rsidR="00E93942" w:rsidRPr="00185849" w:rsidRDefault="00E93942" w:rsidP="00E93942">
          <w:pPr>
            <w:pStyle w:val="TOC4"/>
            <w:rPr>
              <w:rFonts w:asciiTheme="minorHAnsi" w:eastAsiaTheme="minorEastAsia" w:hAnsiTheme="minorHAnsi" w:cstheme="minorBidi"/>
              <w:noProof/>
              <w:sz w:val="22"/>
              <w:szCs w:val="22"/>
              <w:lang w:eastAsia="en-AU"/>
            </w:rPr>
          </w:pPr>
          <w:r w:rsidRPr="00185849">
            <w:rPr>
              <w:noProof/>
            </w:rPr>
            <w:t>Quality — Responsiveness — Patient satisfaction</w:t>
          </w:r>
          <w:r w:rsidRPr="00185849">
            <w:rPr>
              <w:noProof/>
              <w:webHidden/>
            </w:rPr>
            <w:tab/>
          </w:r>
          <w:r w:rsidR="00054780" w:rsidRPr="00185849">
            <w:rPr>
              <w:noProof/>
              <w:webHidden/>
            </w:rPr>
            <w:t>10</w:t>
          </w:r>
          <w:r w:rsidR="00A53390" w:rsidRPr="00185849">
            <w:rPr>
              <w:noProof/>
              <w:webHidden/>
            </w:rPr>
            <w:t>.</w:t>
          </w:r>
          <w:r w:rsidR="009C14C4" w:rsidRPr="00185849">
            <w:rPr>
              <w:noProof/>
              <w:webHidden/>
            </w:rPr>
            <w:t>1</w:t>
          </w:r>
          <w:r w:rsidR="00EE45D4" w:rsidRPr="00185849">
            <w:rPr>
              <w:noProof/>
              <w:webHidden/>
            </w:rPr>
            <w:t>2</w:t>
          </w:r>
        </w:p>
        <w:p w14:paraId="52EA770C" w14:textId="6EA7DE14" w:rsidR="00E93942" w:rsidRPr="00185849" w:rsidRDefault="00E93942" w:rsidP="00E93942">
          <w:pPr>
            <w:pStyle w:val="TOC4"/>
            <w:rPr>
              <w:rFonts w:asciiTheme="minorHAnsi" w:eastAsiaTheme="minorEastAsia" w:hAnsiTheme="minorHAnsi" w:cstheme="minorBidi"/>
              <w:noProof/>
              <w:sz w:val="22"/>
              <w:szCs w:val="22"/>
              <w:lang w:eastAsia="en-AU"/>
            </w:rPr>
          </w:pPr>
          <w:r w:rsidRPr="00185849">
            <w:rPr>
              <w:noProof/>
            </w:rPr>
            <w:t>Quality — Continuity — Continuity of care</w:t>
          </w:r>
          <w:r w:rsidRPr="00185849">
            <w:rPr>
              <w:noProof/>
              <w:webHidden/>
            </w:rPr>
            <w:tab/>
          </w:r>
          <w:r w:rsidR="00054780" w:rsidRPr="00185849">
            <w:rPr>
              <w:noProof/>
              <w:webHidden/>
            </w:rPr>
            <w:t>10</w:t>
          </w:r>
          <w:r w:rsidR="00A53390" w:rsidRPr="00185849">
            <w:rPr>
              <w:noProof/>
              <w:webHidden/>
            </w:rPr>
            <w:t>.</w:t>
          </w:r>
          <w:r w:rsidR="009C14C4" w:rsidRPr="00185849">
            <w:rPr>
              <w:noProof/>
              <w:webHidden/>
            </w:rPr>
            <w:t>1</w:t>
          </w:r>
          <w:r w:rsidR="00EE45D4" w:rsidRPr="00185849">
            <w:rPr>
              <w:noProof/>
              <w:webHidden/>
            </w:rPr>
            <w:t>3</w:t>
          </w:r>
        </w:p>
        <w:p w14:paraId="07E5D643" w14:textId="31229AD6" w:rsidR="00E93942" w:rsidRPr="00185849" w:rsidRDefault="00E93942" w:rsidP="00E93942">
          <w:pPr>
            <w:pStyle w:val="TOC4"/>
            <w:rPr>
              <w:rFonts w:asciiTheme="minorHAnsi" w:eastAsiaTheme="minorEastAsia" w:hAnsiTheme="minorHAnsi" w:cstheme="minorBidi"/>
              <w:noProof/>
              <w:sz w:val="22"/>
              <w:szCs w:val="22"/>
              <w:lang w:eastAsia="en-AU"/>
            </w:rPr>
          </w:pPr>
          <w:r w:rsidRPr="00185849">
            <w:rPr>
              <w:noProof/>
            </w:rPr>
            <w:t>Sustainability — Workforce sustainability</w:t>
          </w:r>
          <w:r w:rsidRPr="00185849">
            <w:rPr>
              <w:noProof/>
              <w:webHidden/>
            </w:rPr>
            <w:tab/>
          </w:r>
          <w:r w:rsidR="00054780" w:rsidRPr="00185849">
            <w:rPr>
              <w:noProof/>
              <w:webHidden/>
            </w:rPr>
            <w:t>10</w:t>
          </w:r>
          <w:r w:rsidR="00A53390" w:rsidRPr="00185849">
            <w:rPr>
              <w:noProof/>
              <w:webHidden/>
            </w:rPr>
            <w:t>.</w:t>
          </w:r>
          <w:r w:rsidR="009C14C4" w:rsidRPr="00185849">
            <w:rPr>
              <w:noProof/>
              <w:webHidden/>
            </w:rPr>
            <w:t>1</w:t>
          </w:r>
          <w:r w:rsidR="00B23CC0">
            <w:rPr>
              <w:noProof/>
              <w:webHidden/>
            </w:rPr>
            <w:t>4</w:t>
          </w:r>
        </w:p>
        <w:p w14:paraId="17598615" w14:textId="2AA3B545" w:rsidR="00E93942" w:rsidRPr="00185849" w:rsidRDefault="00E93942" w:rsidP="00E93942">
          <w:pPr>
            <w:pStyle w:val="TOC3"/>
            <w:rPr>
              <w:rFonts w:asciiTheme="minorHAnsi" w:eastAsiaTheme="minorEastAsia" w:hAnsiTheme="minorHAnsi" w:cstheme="minorBidi"/>
              <w:noProof/>
              <w:sz w:val="22"/>
              <w:szCs w:val="22"/>
              <w:lang w:eastAsia="en-AU"/>
            </w:rPr>
          </w:pPr>
          <w:r w:rsidRPr="00185849">
            <w:rPr>
              <w:noProof/>
            </w:rPr>
            <w:t>Efficiency</w:t>
          </w:r>
          <w:r w:rsidRPr="00185849">
            <w:rPr>
              <w:noProof/>
              <w:webHidden/>
            </w:rPr>
            <w:tab/>
          </w:r>
          <w:r w:rsidR="00054780" w:rsidRPr="00185849">
            <w:rPr>
              <w:noProof/>
              <w:webHidden/>
            </w:rPr>
            <w:t>10</w:t>
          </w:r>
          <w:r w:rsidR="00A53390" w:rsidRPr="00185849">
            <w:rPr>
              <w:noProof/>
              <w:webHidden/>
            </w:rPr>
            <w:t>.</w:t>
          </w:r>
          <w:r w:rsidR="009C14C4" w:rsidRPr="00185849">
            <w:rPr>
              <w:noProof/>
              <w:webHidden/>
            </w:rPr>
            <w:t>1</w:t>
          </w:r>
          <w:r w:rsidR="00B23CC0">
            <w:rPr>
              <w:noProof/>
              <w:webHidden/>
            </w:rPr>
            <w:t>5</w:t>
          </w:r>
        </w:p>
        <w:p w14:paraId="6079A0E1" w14:textId="42374D5F" w:rsidR="00E93942" w:rsidRDefault="00E93942" w:rsidP="00E93942">
          <w:pPr>
            <w:pStyle w:val="TOC4"/>
            <w:rPr>
              <w:rFonts w:asciiTheme="minorHAnsi" w:eastAsiaTheme="minorEastAsia" w:hAnsiTheme="minorHAnsi" w:cstheme="minorBidi"/>
              <w:noProof/>
              <w:sz w:val="22"/>
              <w:szCs w:val="22"/>
              <w:lang w:eastAsia="en-AU"/>
            </w:rPr>
          </w:pPr>
          <w:r w:rsidRPr="00185849">
            <w:rPr>
              <w:noProof/>
            </w:rPr>
            <w:t>Cost to government of general practice per person</w:t>
          </w:r>
          <w:r>
            <w:rPr>
              <w:noProof/>
              <w:webHidden/>
            </w:rPr>
            <w:tab/>
          </w:r>
          <w:r w:rsidR="00054780">
            <w:rPr>
              <w:noProof/>
              <w:webHidden/>
            </w:rPr>
            <w:t>10</w:t>
          </w:r>
          <w:r w:rsidR="00A53390">
            <w:rPr>
              <w:noProof/>
              <w:webHidden/>
            </w:rPr>
            <w:t>.</w:t>
          </w:r>
          <w:r w:rsidR="009C14C4">
            <w:rPr>
              <w:noProof/>
              <w:webHidden/>
            </w:rPr>
            <w:t>1</w:t>
          </w:r>
          <w:r w:rsidR="00B23CC0">
            <w:rPr>
              <w:noProof/>
              <w:webHidden/>
            </w:rPr>
            <w:t>5</w:t>
          </w:r>
        </w:p>
        <w:p w14:paraId="351DBBFE" w14:textId="3EC172A0" w:rsidR="00E93942" w:rsidRDefault="00E93942" w:rsidP="00E93942">
          <w:pPr>
            <w:pStyle w:val="TOC3"/>
            <w:rPr>
              <w:rFonts w:asciiTheme="minorHAnsi" w:eastAsiaTheme="minorEastAsia" w:hAnsiTheme="minorHAnsi" w:cstheme="minorBidi"/>
              <w:noProof/>
              <w:sz w:val="22"/>
              <w:szCs w:val="22"/>
              <w:lang w:eastAsia="en-AU"/>
            </w:rPr>
          </w:pPr>
          <w:r w:rsidRPr="00AF6079">
            <w:rPr>
              <w:noProof/>
            </w:rPr>
            <w:t>Outcomes</w:t>
          </w:r>
          <w:r>
            <w:rPr>
              <w:noProof/>
              <w:webHidden/>
            </w:rPr>
            <w:tab/>
          </w:r>
          <w:r w:rsidR="00054780">
            <w:rPr>
              <w:noProof/>
              <w:webHidden/>
            </w:rPr>
            <w:t>10</w:t>
          </w:r>
          <w:r w:rsidR="00A53390">
            <w:rPr>
              <w:noProof/>
              <w:webHidden/>
            </w:rPr>
            <w:t>.</w:t>
          </w:r>
          <w:r w:rsidR="009C14C4">
            <w:rPr>
              <w:noProof/>
              <w:webHidden/>
            </w:rPr>
            <w:t>1</w:t>
          </w:r>
          <w:r w:rsidR="00B23CC0">
            <w:rPr>
              <w:noProof/>
              <w:webHidden/>
            </w:rPr>
            <w:t>6</w:t>
          </w:r>
        </w:p>
        <w:p w14:paraId="50C1DA76" w14:textId="12758F7A" w:rsidR="00E93942" w:rsidRDefault="00E93942" w:rsidP="00E93942">
          <w:pPr>
            <w:pStyle w:val="TOC4"/>
            <w:rPr>
              <w:rFonts w:asciiTheme="minorHAnsi" w:eastAsiaTheme="minorEastAsia" w:hAnsiTheme="minorHAnsi" w:cstheme="minorBidi"/>
              <w:noProof/>
              <w:sz w:val="22"/>
              <w:szCs w:val="22"/>
              <w:lang w:eastAsia="en-AU"/>
            </w:rPr>
          </w:pPr>
          <w:r w:rsidRPr="00AF6079">
            <w:rPr>
              <w:noProof/>
            </w:rPr>
            <w:t>Notifications of selected childhood diseases</w:t>
          </w:r>
          <w:r>
            <w:rPr>
              <w:noProof/>
              <w:webHidden/>
            </w:rPr>
            <w:tab/>
          </w:r>
          <w:r w:rsidR="00054780">
            <w:rPr>
              <w:noProof/>
              <w:webHidden/>
            </w:rPr>
            <w:t>10</w:t>
          </w:r>
          <w:r w:rsidR="00A53390">
            <w:rPr>
              <w:noProof/>
              <w:webHidden/>
            </w:rPr>
            <w:t>.</w:t>
          </w:r>
          <w:r w:rsidR="009C14C4">
            <w:rPr>
              <w:noProof/>
              <w:webHidden/>
            </w:rPr>
            <w:t>1</w:t>
          </w:r>
          <w:r w:rsidR="00B23CC0">
            <w:rPr>
              <w:noProof/>
              <w:webHidden/>
            </w:rPr>
            <w:t>6</w:t>
          </w:r>
        </w:p>
        <w:p w14:paraId="37E6BCE1" w14:textId="4838F9E1" w:rsidR="00E93942" w:rsidRDefault="00E93942" w:rsidP="00E93942">
          <w:pPr>
            <w:pStyle w:val="TOC4"/>
            <w:rPr>
              <w:rFonts w:asciiTheme="minorHAnsi" w:eastAsiaTheme="minorEastAsia" w:hAnsiTheme="minorHAnsi" w:cstheme="minorBidi"/>
              <w:noProof/>
              <w:sz w:val="22"/>
              <w:szCs w:val="22"/>
              <w:lang w:eastAsia="en-AU"/>
            </w:rPr>
          </w:pPr>
          <w:r w:rsidRPr="00AF6079">
            <w:rPr>
              <w:noProof/>
            </w:rPr>
            <w:t>Selected potentially preventable hospitalisations</w:t>
          </w:r>
          <w:r>
            <w:rPr>
              <w:noProof/>
              <w:webHidden/>
            </w:rPr>
            <w:tab/>
          </w:r>
          <w:r w:rsidR="00054780">
            <w:rPr>
              <w:noProof/>
              <w:webHidden/>
            </w:rPr>
            <w:t>10</w:t>
          </w:r>
          <w:r w:rsidR="00A53390">
            <w:rPr>
              <w:noProof/>
              <w:webHidden/>
            </w:rPr>
            <w:t>.</w:t>
          </w:r>
          <w:r w:rsidR="009C14C4">
            <w:rPr>
              <w:noProof/>
              <w:webHidden/>
            </w:rPr>
            <w:t>1</w:t>
          </w:r>
          <w:r w:rsidR="00C23F93">
            <w:rPr>
              <w:noProof/>
              <w:webHidden/>
            </w:rPr>
            <w:t>6</w:t>
          </w:r>
        </w:p>
        <w:p w14:paraId="29E8DFAD" w14:textId="70E1E4E6" w:rsidR="00E93942" w:rsidRDefault="00E93942" w:rsidP="00E93942">
          <w:pPr>
            <w:pStyle w:val="TOC2"/>
            <w:tabs>
              <w:tab w:val="left" w:pos="1320"/>
            </w:tabs>
            <w:rPr>
              <w:rFonts w:asciiTheme="minorHAnsi" w:eastAsiaTheme="minorEastAsia" w:hAnsiTheme="minorHAnsi" w:cstheme="minorBidi"/>
              <w:noProof/>
              <w:sz w:val="22"/>
              <w:szCs w:val="22"/>
              <w:lang w:eastAsia="en-AU"/>
            </w:rPr>
          </w:pPr>
          <w:r w:rsidRPr="00AF6079">
            <w:rPr>
              <w:noProof/>
            </w:rPr>
            <w:t>10.2</w:t>
          </w:r>
          <w:r>
            <w:rPr>
              <w:rFonts w:asciiTheme="minorHAnsi" w:eastAsiaTheme="minorEastAsia" w:hAnsiTheme="minorHAnsi" w:cstheme="minorBidi"/>
              <w:noProof/>
              <w:sz w:val="22"/>
              <w:szCs w:val="22"/>
              <w:lang w:eastAsia="en-AU"/>
            </w:rPr>
            <w:tab/>
          </w:r>
          <w:r w:rsidRPr="00AF6079">
            <w:rPr>
              <w:noProof/>
            </w:rPr>
            <w:t>Definitions of key terms</w:t>
          </w:r>
          <w:r>
            <w:rPr>
              <w:noProof/>
              <w:webHidden/>
            </w:rPr>
            <w:tab/>
          </w:r>
          <w:r w:rsidR="00054780">
            <w:rPr>
              <w:noProof/>
              <w:webHidden/>
            </w:rPr>
            <w:t>10</w:t>
          </w:r>
          <w:r w:rsidR="00A53390">
            <w:rPr>
              <w:noProof/>
              <w:webHidden/>
            </w:rPr>
            <w:t>.</w:t>
          </w:r>
          <w:r w:rsidR="009C14C4">
            <w:rPr>
              <w:noProof/>
              <w:webHidden/>
            </w:rPr>
            <w:t>1</w:t>
          </w:r>
          <w:r w:rsidR="00C23F93">
            <w:rPr>
              <w:noProof/>
              <w:webHidden/>
            </w:rPr>
            <w:t>7</w:t>
          </w:r>
        </w:p>
        <w:p w14:paraId="65D9C4D0" w14:textId="092CA9F4" w:rsidR="00E93942" w:rsidRDefault="00E93942" w:rsidP="00E93942">
          <w:pPr>
            <w:pStyle w:val="TOC2"/>
            <w:rPr>
              <w:rFonts w:asciiTheme="minorHAnsi" w:eastAsiaTheme="minorEastAsia" w:hAnsiTheme="minorHAnsi" w:cstheme="minorBidi"/>
              <w:noProof/>
              <w:sz w:val="22"/>
              <w:szCs w:val="22"/>
              <w:lang w:eastAsia="en-AU"/>
            </w:rPr>
          </w:pPr>
          <w:r w:rsidRPr="00AF6079">
            <w:rPr>
              <w:noProof/>
            </w:rPr>
            <w:t>10.3 References</w:t>
          </w:r>
          <w:r>
            <w:rPr>
              <w:noProof/>
              <w:webHidden/>
            </w:rPr>
            <w:tab/>
          </w:r>
          <w:r w:rsidR="00054780">
            <w:rPr>
              <w:noProof/>
              <w:webHidden/>
            </w:rPr>
            <w:t>10</w:t>
          </w:r>
          <w:r w:rsidR="00A53390">
            <w:rPr>
              <w:noProof/>
              <w:webHidden/>
            </w:rPr>
            <w:t>.</w:t>
          </w:r>
          <w:r w:rsidR="00AD0D4F">
            <w:rPr>
              <w:noProof/>
              <w:webHidden/>
            </w:rPr>
            <w:t>2</w:t>
          </w:r>
          <w:r w:rsidR="00C23F93">
            <w:rPr>
              <w:noProof/>
              <w:webHidden/>
            </w:rPr>
            <w:t>0</w:t>
          </w:r>
        </w:p>
        <w:p w14:paraId="6E605F03" w14:textId="0093686F" w:rsidR="00E93942" w:rsidRPr="001F5D40" w:rsidRDefault="00653D69" w:rsidP="00E93942">
          <w:pPr>
            <w:pStyle w:val="TOC1"/>
          </w:pPr>
        </w:p>
        <w:bookmarkStart w:id="9" w:name="_GoBack" w:displacedByCustomXml="next"/>
        <w:bookmarkEnd w:id="9" w:displacedByCustomXml="next"/>
      </w:sdtContent>
    </w:sdt>
    <w:p w14:paraId="0229F52C" w14:textId="77777777" w:rsidR="00E93942" w:rsidRPr="001F5D40" w:rsidRDefault="00E93942" w:rsidP="00E93942">
      <w:pPr>
        <w:pStyle w:val="BodyText"/>
      </w:pPr>
      <w:r w:rsidRPr="001F5D40">
        <w:lastRenderedPageBreak/>
        <w:t xml:space="preserve">The </w:t>
      </w:r>
      <w:r>
        <w:t xml:space="preserve">Primary and community health </w:t>
      </w:r>
      <w:r w:rsidRPr="001F5D40">
        <w:t>interpretative material is supporting material and includes explanations of why indicators have been chosen, and wherever possible, a link to the stated objectives of the service. It includes indicator definitions, technical details defining how the indicator is measured and guidance on how the indicator is to be interpreted, including caveats and the indicator’s completeness and comparability status.</w:t>
      </w:r>
    </w:p>
    <w:p w14:paraId="1EAF4EDC" w14:textId="77EAE327" w:rsidR="00E93942" w:rsidRDefault="00E93942" w:rsidP="00E93942">
      <w:pPr>
        <w:pStyle w:val="BodyText"/>
      </w:pPr>
      <w:r w:rsidRPr="001F5D40">
        <w:t xml:space="preserve">Further information on the Report on Government Services including other reported service areas, the glossary and list of abbreviations is available at </w:t>
      </w:r>
      <w:r w:rsidR="00914021" w:rsidRPr="00C37DDB">
        <w:t>https://www.pc.gov.au/research/ongoing/report-on-government-services</w:t>
      </w:r>
      <w:r w:rsidRPr="001F5D40">
        <w:t>.</w:t>
      </w:r>
    </w:p>
    <w:p w14:paraId="46711867" w14:textId="77777777" w:rsidR="00E93942" w:rsidRDefault="00E93942" w:rsidP="00E93942">
      <w:pPr>
        <w:pStyle w:val="Heading2"/>
      </w:pPr>
      <w:bookmarkStart w:id="10" w:name="_Toc18405552"/>
      <w:bookmarkStart w:id="11" w:name="_Toc21937636"/>
      <w:bookmarkStart w:id="12" w:name="_Toc34311753"/>
      <w:r>
        <w:t xml:space="preserve">10.1 </w:t>
      </w:r>
      <w:bookmarkEnd w:id="10"/>
      <w:bookmarkEnd w:id="11"/>
      <w:r>
        <w:t>Indicators</w:t>
      </w:r>
      <w:bookmarkEnd w:id="12"/>
    </w:p>
    <w:bookmarkEnd w:id="8"/>
    <w:p w14:paraId="7BC20706" w14:textId="77777777" w:rsidR="00E93942" w:rsidRDefault="00E93942" w:rsidP="00E93942">
      <w:pPr>
        <w:keepNext/>
        <w:spacing w:before="240" w:after="240" w:line="300" w:lineRule="atLeast"/>
        <w:jc w:val="both"/>
        <w:rPr>
          <w:szCs w:val="20"/>
        </w:rPr>
      </w:pPr>
      <w:r w:rsidRPr="007A6E54">
        <w:rPr>
          <w:szCs w:val="20"/>
        </w:rPr>
        <w:t>Different delivery contexts, locations and types of client can affect the equity, effectiveness and efficiency of health services.</w:t>
      </w:r>
    </w:p>
    <w:p w14:paraId="5D9468B0" w14:textId="77777777" w:rsidR="00E93942" w:rsidRDefault="00E93942" w:rsidP="00E93942">
      <w:pPr>
        <w:keepNext/>
        <w:spacing w:before="240" w:after="240" w:line="300" w:lineRule="atLeast"/>
        <w:jc w:val="both"/>
        <w:rPr>
          <w:szCs w:val="20"/>
        </w:rPr>
      </w:pPr>
      <w:r w:rsidRPr="000F6C4E">
        <w:rPr>
          <w:szCs w:val="20"/>
        </w:rPr>
        <w:t xml:space="preserve">The comparability of performance indicator results </w:t>
      </w:r>
      <w:r>
        <w:rPr>
          <w:szCs w:val="20"/>
        </w:rPr>
        <w:t>is</w:t>
      </w:r>
      <w:r w:rsidRPr="000F6C4E">
        <w:rPr>
          <w:szCs w:val="20"/>
        </w:rPr>
        <w:t xml:space="preserve"> shaded in indicator interpretation boxes, figures and </w:t>
      </w:r>
      <w:r>
        <w:rPr>
          <w:szCs w:val="20"/>
        </w:rPr>
        <w:t>data</w:t>
      </w:r>
      <w:r w:rsidRPr="000F6C4E">
        <w:rPr>
          <w:szCs w:val="20"/>
        </w:rPr>
        <w:t xml:space="preserve"> tables as follows:</w:t>
      </w:r>
    </w:p>
    <w:p w14:paraId="21811D5A" w14:textId="77777777" w:rsidR="00E93942" w:rsidRDefault="00E93942" w:rsidP="00E93942">
      <w:pPr>
        <w:pStyle w:val="BodyText"/>
      </w:pPr>
      <w:r w:rsidRPr="00FA2246">
        <w:rPr>
          <w:shd w:val="clear" w:color="auto" w:fill="F15A25"/>
        </w:rPr>
        <w:t xml:space="preserve">    </w:t>
      </w:r>
      <w:r>
        <w:t xml:space="preserve"> Data are comparable (subject to caveats) across jurisdictions and over time.</w:t>
      </w:r>
    </w:p>
    <w:p w14:paraId="714FD15F" w14:textId="77777777" w:rsidR="00E93942" w:rsidRDefault="00E93942" w:rsidP="00E93942">
      <w:pPr>
        <w:pStyle w:val="BodyText"/>
      </w:pPr>
      <w:r w:rsidRPr="00057E12">
        <w:rPr>
          <w:shd w:val="clear" w:color="auto" w:fill="FCDED3"/>
        </w:rPr>
        <w:t xml:space="preserve">    </w:t>
      </w:r>
      <w:r>
        <w:t xml:space="preserve"> Data are either not comparable (subject to caveats) within jurisdictions over time or are not comparable across jurisdictions or both.</w:t>
      </w:r>
    </w:p>
    <w:p w14:paraId="1E2014E3" w14:textId="77777777" w:rsidR="00E93942" w:rsidRDefault="00E93942" w:rsidP="00E93942">
      <w:pPr>
        <w:pStyle w:val="BodyText"/>
      </w:pPr>
      <w:r>
        <w:t>The completeness of performance indicator results is shaded in indicator interpretation boxes, figures and data tables as follows:</w:t>
      </w:r>
    </w:p>
    <w:p w14:paraId="4FCE072E" w14:textId="77777777" w:rsidR="00E93942" w:rsidRDefault="00E93942" w:rsidP="00E93942">
      <w:pPr>
        <w:pStyle w:val="BodyText"/>
      </w:pPr>
      <w:r w:rsidRPr="00FA2246">
        <w:rPr>
          <w:shd w:val="clear" w:color="auto" w:fill="F15A25"/>
        </w:rPr>
        <w:t xml:space="preserve">    </w:t>
      </w:r>
      <w:r>
        <w:t xml:space="preserve"> Data are complete (subject to caveats) for the current reporting period. All required data are available for all jurisdictions.</w:t>
      </w:r>
    </w:p>
    <w:p w14:paraId="2DF64AD3" w14:textId="77777777" w:rsidR="00E93942" w:rsidRDefault="00E93942" w:rsidP="00E93942">
      <w:pPr>
        <w:pStyle w:val="BodyText"/>
      </w:pPr>
      <w:r w:rsidRPr="00057E12">
        <w:rPr>
          <w:shd w:val="clear" w:color="auto" w:fill="FCDED3"/>
        </w:rPr>
        <w:t xml:space="preserve">    </w:t>
      </w:r>
      <w:r>
        <w:t xml:space="preserve"> Data are incomplete for the current reporting period. At least some data were not available.</w:t>
      </w:r>
    </w:p>
    <w:p w14:paraId="5CA155B2" w14:textId="77777777" w:rsidR="00E93942" w:rsidRDefault="00E93942" w:rsidP="00E93942">
      <w:pPr>
        <w:pStyle w:val="Heading3"/>
      </w:pPr>
      <w:bookmarkStart w:id="13" w:name="_Toc21937638"/>
      <w:bookmarkStart w:id="14" w:name="_Toc34311754"/>
      <w:r>
        <w:t>Outputs</w:t>
      </w:r>
      <w:bookmarkEnd w:id="13"/>
      <w:bookmarkEnd w:id="14"/>
    </w:p>
    <w:p w14:paraId="34616DB9" w14:textId="77777777" w:rsidR="00E93942" w:rsidRDefault="00E93942" w:rsidP="00E93942">
      <w:pPr>
        <w:pStyle w:val="BodyText"/>
      </w:pPr>
      <w:r>
        <w:t>Outputs are the actual</w:t>
      </w:r>
      <w:r w:rsidRPr="005956AA">
        <w:t xml:space="preserve"> services delivered </w:t>
      </w:r>
      <w:r>
        <w:t>(</w:t>
      </w:r>
      <w:r w:rsidRPr="005956AA">
        <w:t>while outcomes are the impact of these services on the status of an individual or group</w:t>
      </w:r>
      <w:r>
        <w:t>)</w:t>
      </w:r>
      <w:r w:rsidRPr="005956AA">
        <w:t xml:space="preserve"> (</w:t>
      </w:r>
      <w:r w:rsidRPr="00C419D7">
        <w:t xml:space="preserve">see </w:t>
      </w:r>
      <w:r>
        <w:t>section</w:t>
      </w:r>
      <w:r w:rsidRPr="00E22551">
        <w:t xml:space="preserve"> 1</w:t>
      </w:r>
      <w:r w:rsidRPr="005956AA">
        <w:t>).</w:t>
      </w:r>
      <w:r>
        <w:t xml:space="preserve"> </w:t>
      </w:r>
      <w:r w:rsidRPr="009655C0">
        <w:t>Output information is also critical for equitable, efficient and effective management of government services.</w:t>
      </w:r>
    </w:p>
    <w:p w14:paraId="18BB26CE" w14:textId="77777777" w:rsidR="00E93942" w:rsidRPr="00865E22" w:rsidRDefault="00E93942" w:rsidP="00E93942">
      <w:pPr>
        <w:pStyle w:val="Heading3"/>
        <w:widowControl w:val="0"/>
      </w:pPr>
      <w:bookmarkStart w:id="15" w:name="_Toc34311755"/>
      <w:r>
        <w:t>Equity</w:t>
      </w:r>
      <w:bookmarkEnd w:id="15"/>
    </w:p>
    <w:p w14:paraId="5ECC6315" w14:textId="77777777" w:rsidR="00E93942" w:rsidRDefault="00E93942" w:rsidP="00E93942">
      <w:pPr>
        <w:pStyle w:val="Heading4"/>
        <w:widowControl w:val="0"/>
      </w:pPr>
      <w:bookmarkStart w:id="16" w:name="_Toc34311756"/>
      <w:r>
        <w:t xml:space="preserve">Access — </w:t>
      </w:r>
      <w:r w:rsidRPr="00B14170">
        <w:t xml:space="preserve">Availability of </w:t>
      </w:r>
      <w:r>
        <w:t>primary healthcare services</w:t>
      </w:r>
      <w:bookmarkEnd w:id="16"/>
    </w:p>
    <w:p w14:paraId="620209F3" w14:textId="77777777" w:rsidR="00E93942" w:rsidRDefault="00E93942" w:rsidP="00E93942">
      <w:pPr>
        <w:pStyle w:val="BodyText"/>
        <w:keepNext/>
        <w:widowControl w:val="0"/>
      </w:pPr>
      <w:r w:rsidRPr="002117A6">
        <w:t xml:space="preserve">‘Availability of primary healthcare services’ is an indicator of governments’ objective to </w:t>
      </w:r>
      <w:r w:rsidRPr="002117A6">
        <w:lastRenderedPageBreak/>
        <w:t>provide access to primary healthcare services in an equitable manner (box 10.</w:t>
      </w:r>
      <w:r>
        <w:t>1</w:t>
      </w:r>
      <w:r w:rsidRPr="002117A6">
        <w:t>).</w:t>
      </w:r>
    </w:p>
    <w:p w14:paraId="034489A5" w14:textId="77777777" w:rsidR="00E93942" w:rsidRDefault="00E93942" w:rsidP="00E93942">
      <w:pPr>
        <w:pStyle w:val="BoxSpaceAbove"/>
        <w:keepNext w:val="0"/>
        <w:widowControl w:val="0"/>
      </w:pPr>
    </w:p>
    <w:tbl>
      <w:tblPr>
        <w:tblW w:w="4843" w:type="pct"/>
        <w:tblInd w:w="142"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513"/>
      </w:tblGrid>
      <w:tr w:rsidR="00E93942" w14:paraId="672E40AA" w14:textId="77777777" w:rsidTr="00F87BCC">
        <w:trPr>
          <w:tblHeader/>
        </w:trPr>
        <w:tc>
          <w:tcPr>
            <w:tcW w:w="5000" w:type="pct"/>
            <w:tcBorders>
              <w:top w:val="single" w:sz="6" w:space="0" w:color="78A22F"/>
              <w:left w:val="nil"/>
              <w:bottom w:val="nil"/>
              <w:right w:val="nil"/>
            </w:tcBorders>
            <w:shd w:val="clear" w:color="auto" w:fill="F2F2F2"/>
          </w:tcPr>
          <w:p w14:paraId="776134A9" w14:textId="77777777" w:rsidR="00E93942" w:rsidRDefault="00E93942" w:rsidP="00F87BCC">
            <w:pPr>
              <w:pStyle w:val="BoxTitle"/>
              <w:keepNext w:val="0"/>
              <w:keepLines w:val="0"/>
              <w:widowControl w:val="0"/>
            </w:pPr>
            <w:r>
              <w:rPr>
                <w:b w:val="0"/>
              </w:rPr>
              <w:t>Box 10.1</w:t>
            </w:r>
            <w:r>
              <w:tab/>
            </w:r>
            <w:r w:rsidRPr="00AD3FCC">
              <w:t xml:space="preserve">Availability of </w:t>
            </w:r>
            <w:r>
              <w:t>primary healthcare services</w:t>
            </w:r>
          </w:p>
        </w:tc>
      </w:tr>
      <w:tr w:rsidR="00E93942" w14:paraId="48DB7D7C" w14:textId="77777777" w:rsidTr="00F87BCC">
        <w:tc>
          <w:tcPr>
            <w:tcW w:w="5000" w:type="pct"/>
            <w:tcBorders>
              <w:top w:val="nil"/>
              <w:left w:val="nil"/>
              <w:bottom w:val="nil"/>
              <w:right w:val="nil"/>
            </w:tcBorders>
            <w:shd w:val="clear" w:color="auto" w:fill="F2F2F2"/>
          </w:tcPr>
          <w:p w14:paraId="7473A1AE" w14:textId="77777777" w:rsidR="00E93942" w:rsidRDefault="00E93942" w:rsidP="00F87BCC">
            <w:pPr>
              <w:pStyle w:val="Box"/>
              <w:keepNext w:val="0"/>
              <w:widowControl w:val="0"/>
            </w:pPr>
            <w:r>
              <w:t>‘Availability of primary healthcare services’ is defined by four measures:</w:t>
            </w:r>
          </w:p>
          <w:p w14:paraId="130E8DF2" w14:textId="77777777" w:rsidR="00E93942" w:rsidRDefault="00E93942" w:rsidP="00F87BCC">
            <w:pPr>
              <w:pStyle w:val="BoxListBullet"/>
              <w:keepNext w:val="0"/>
              <w:widowControl w:val="0"/>
            </w:pPr>
            <w:r>
              <w:t xml:space="preserve">PBS medicines by region, defined as the ABS census population divided by the number of approved providers of PBS medicines, by urban/rural location and </w:t>
            </w:r>
            <w:r w:rsidRPr="0066193F">
              <w:t>Pharmacy Access/Remoteness Index of Australia (</w:t>
            </w:r>
            <w:proofErr w:type="spellStart"/>
            <w:r w:rsidRPr="0066193F">
              <w:t>PhARIA</w:t>
            </w:r>
            <w:proofErr w:type="spellEnd"/>
            <w:r w:rsidRPr="0066193F">
              <w:t>) area</w:t>
            </w:r>
          </w:p>
          <w:p w14:paraId="30682899" w14:textId="77777777" w:rsidR="00E93942" w:rsidRDefault="00E93942" w:rsidP="00F87BCC">
            <w:pPr>
              <w:pStyle w:val="BoxListBullet"/>
              <w:keepNext w:val="0"/>
              <w:widowControl w:val="0"/>
            </w:pPr>
            <w:r w:rsidRPr="00FF6AE2">
              <w:t>G</w:t>
            </w:r>
            <w:r>
              <w:t xml:space="preserve">eneral </w:t>
            </w:r>
            <w:r w:rsidRPr="00FF6AE2">
              <w:t>P</w:t>
            </w:r>
            <w:r>
              <w:t>ractitioners (GPs)</w:t>
            </w:r>
            <w:r w:rsidRPr="00FF6AE2">
              <w:t xml:space="preserve"> by region, defined as the number of F</w:t>
            </w:r>
            <w:r>
              <w:t>T</w:t>
            </w:r>
            <w:r w:rsidRPr="00FF6AE2">
              <w:t>E GPs per 100 000 people, by region</w:t>
            </w:r>
          </w:p>
          <w:p w14:paraId="26EA4B74" w14:textId="77777777" w:rsidR="00E93942" w:rsidRDefault="00E93942" w:rsidP="00F87BCC">
            <w:pPr>
              <w:pStyle w:val="BoxListBullet"/>
              <w:keepNext w:val="0"/>
              <w:widowControl w:val="0"/>
            </w:pPr>
            <w:r w:rsidRPr="00FF6AE2">
              <w:t>GPs</w:t>
            </w:r>
            <w:r>
              <w:t xml:space="preserve"> by sex</w:t>
            </w:r>
            <w:r w:rsidRPr="00FF6AE2">
              <w:t xml:space="preserve">, defined </w:t>
            </w:r>
            <w:r>
              <w:t>as the number of FTE GPs</w:t>
            </w:r>
            <w:r w:rsidRPr="00FF6AE2">
              <w:t xml:space="preserve"> per 100 000 </w:t>
            </w:r>
            <w:r>
              <w:t>population, by sex</w:t>
            </w:r>
          </w:p>
          <w:p w14:paraId="055D5AC4" w14:textId="77777777" w:rsidR="00E93942" w:rsidRPr="00FF6AE2" w:rsidRDefault="00E93942" w:rsidP="00F87BCC">
            <w:pPr>
              <w:pStyle w:val="BoxListBullet"/>
              <w:keepNext w:val="0"/>
              <w:widowControl w:val="0"/>
            </w:pPr>
            <w:r>
              <w:t>Public dentists by region, defined as the number of full time equivalent (FTE) public dentists per </w:t>
            </w:r>
            <w:r w:rsidRPr="00744A92">
              <w:t>100</w:t>
            </w:r>
            <w:r>
              <w:t> </w:t>
            </w:r>
            <w:r w:rsidRPr="00744A92">
              <w:t>000</w:t>
            </w:r>
            <w:r>
              <w:t xml:space="preserve"> people by </w:t>
            </w:r>
            <w:r w:rsidRPr="004A62AC">
              <w:t>region</w:t>
            </w:r>
            <w:r>
              <w:t>,</w:t>
            </w:r>
            <w:r w:rsidRPr="004A62AC">
              <w:t xml:space="preserve"> based on clinical hours worked in the public sector</w:t>
            </w:r>
            <w:r>
              <w:t>.</w:t>
            </w:r>
          </w:p>
          <w:p w14:paraId="696FB877" w14:textId="77777777" w:rsidR="00E93942" w:rsidRPr="00012020" w:rsidRDefault="00E93942" w:rsidP="00F87BCC">
            <w:pPr>
              <w:pStyle w:val="Box"/>
              <w:keepNext w:val="0"/>
              <w:widowControl w:val="0"/>
            </w:pPr>
            <w:r w:rsidRPr="00FE39F4">
              <w:rPr>
                <w:i/>
              </w:rPr>
              <w:t>PBS medicines by region</w:t>
            </w:r>
          </w:p>
          <w:p w14:paraId="7E048DF6" w14:textId="77777777" w:rsidR="00E93942" w:rsidRDefault="00E93942" w:rsidP="00F87BCC">
            <w:pPr>
              <w:pStyle w:val="Box"/>
              <w:keepNext w:val="0"/>
              <w:widowControl w:val="0"/>
            </w:pPr>
            <w:r>
              <w:t>Similar rates across regions indicates equity of access by location.</w:t>
            </w:r>
          </w:p>
          <w:p w14:paraId="0FC70351" w14:textId="77777777" w:rsidR="00E93942" w:rsidRDefault="00E93942" w:rsidP="00F87BCC">
            <w:pPr>
              <w:pStyle w:val="Box"/>
              <w:keepNext w:val="0"/>
              <w:widowControl w:val="0"/>
            </w:pPr>
            <w:r>
              <w:t>Data reported for this measure are:</w:t>
            </w:r>
          </w:p>
          <w:p w14:paraId="60D6F219" w14:textId="77777777" w:rsidR="00E93942" w:rsidRDefault="00E93942" w:rsidP="00F87BCC">
            <w:pPr>
              <w:pStyle w:val="Box"/>
              <w:keepNext w:val="0"/>
              <w:widowControl w:val="0"/>
              <w:ind w:left="284"/>
            </w:pPr>
            <w:r w:rsidRPr="001B3B2F">
              <w:rPr>
                <w:shd w:val="clear" w:color="auto" w:fill="F15A25"/>
              </w:rPr>
              <w:t xml:space="preserve">    </w:t>
            </w:r>
            <w:r>
              <w:t xml:space="preserve"> comparable (subject to caveats) across jurisdictions </w:t>
            </w:r>
            <w:r w:rsidRPr="00AB11C8">
              <w:t>and over time</w:t>
            </w:r>
          </w:p>
          <w:p w14:paraId="31128159" w14:textId="360B6623" w:rsidR="00E93942" w:rsidRDefault="00E93942" w:rsidP="00F87BCC">
            <w:pPr>
              <w:pStyle w:val="Box"/>
              <w:keepNext w:val="0"/>
              <w:widowControl w:val="0"/>
              <w:ind w:left="284"/>
            </w:pPr>
            <w:r w:rsidRPr="001B3B2F">
              <w:rPr>
                <w:shd w:val="clear" w:color="auto" w:fill="F15A25"/>
              </w:rPr>
              <w:t xml:space="preserve">    </w:t>
            </w:r>
            <w:r>
              <w:t xml:space="preserve"> complete (subject to caveats) for the current reporting period. All required data are available for all jurisdictions as at 30 June 20</w:t>
            </w:r>
            <w:r w:rsidR="00B8164C">
              <w:t>20</w:t>
            </w:r>
            <w:r>
              <w:t>.</w:t>
            </w:r>
          </w:p>
          <w:p w14:paraId="2DF90C20" w14:textId="77777777" w:rsidR="00E93942" w:rsidRPr="00012020" w:rsidRDefault="00E93942" w:rsidP="00F87BCC">
            <w:pPr>
              <w:pStyle w:val="Box"/>
              <w:keepNext w:val="0"/>
              <w:widowControl w:val="0"/>
            </w:pPr>
            <w:r w:rsidRPr="00FE39F4">
              <w:rPr>
                <w:i/>
              </w:rPr>
              <w:t>GPs by region and sex</w:t>
            </w:r>
          </w:p>
          <w:p w14:paraId="4652E477" w14:textId="77777777" w:rsidR="00E93942" w:rsidRDefault="00E93942" w:rsidP="00F87BCC">
            <w:pPr>
              <w:pStyle w:val="Box"/>
              <w:keepNext w:val="0"/>
              <w:widowControl w:val="0"/>
            </w:pPr>
            <w:r>
              <w:t xml:space="preserve">Similar rates across regions indicates equity of access by location. Similar rates by sex means it is more </w:t>
            </w:r>
            <w:r w:rsidRPr="00FF6AE2">
              <w:t xml:space="preserve">likely that patients who prefer to visit GPs </w:t>
            </w:r>
            <w:r>
              <w:t xml:space="preserve">of their own sex </w:t>
            </w:r>
            <w:r w:rsidRPr="00FF6AE2">
              <w:t xml:space="preserve">will have their preference met. Low availability of GPs </w:t>
            </w:r>
            <w:r>
              <w:t xml:space="preserve">of each sex </w:t>
            </w:r>
            <w:r w:rsidRPr="00FF6AE2">
              <w:t xml:space="preserve">can be associated with increased waiting times to see a GP, for </w:t>
            </w:r>
            <w:r>
              <w:t>patients</w:t>
            </w:r>
            <w:r w:rsidRPr="00FF6AE2">
              <w:t xml:space="preserve"> who </w:t>
            </w:r>
            <w:r>
              <w:t>prefer to visit GPs of their own sex</w:t>
            </w:r>
            <w:r w:rsidRPr="00FF6AE2">
              <w:t>.</w:t>
            </w:r>
          </w:p>
          <w:p w14:paraId="751395F3" w14:textId="77777777" w:rsidR="00E93942" w:rsidRPr="00FF6AE2" w:rsidRDefault="00E93942" w:rsidP="00F87BCC">
            <w:pPr>
              <w:pStyle w:val="Box"/>
              <w:keepNext w:val="0"/>
              <w:widowControl w:val="0"/>
            </w:pPr>
            <w:r w:rsidRPr="00FF6AE2">
              <w:t xml:space="preserve">This </w:t>
            </w:r>
            <w:r>
              <w:t>measure</w:t>
            </w:r>
            <w:r w:rsidRPr="00FF6AE2">
              <w:t xml:space="preserve"> does not provide information on whether people are accessing GP services or whether the services are appropriate for the needs of the people receiving them.</w:t>
            </w:r>
          </w:p>
          <w:p w14:paraId="0B6C7AA0" w14:textId="77777777" w:rsidR="00E93942" w:rsidRDefault="00E93942" w:rsidP="00F87BCC">
            <w:pPr>
              <w:pStyle w:val="Box"/>
              <w:keepNext w:val="0"/>
              <w:widowControl w:val="0"/>
            </w:pPr>
            <w:r w:rsidRPr="007639D2">
              <w:t>Data reported for th</w:t>
            </w:r>
            <w:r>
              <w:t>e</w:t>
            </w:r>
            <w:r w:rsidRPr="007639D2">
              <w:t>s</w:t>
            </w:r>
            <w:r>
              <w:t>e</w:t>
            </w:r>
            <w:r w:rsidRPr="007639D2">
              <w:t xml:space="preserve"> </w:t>
            </w:r>
            <w:r>
              <w:t>measures</w:t>
            </w:r>
            <w:r w:rsidRPr="007639D2">
              <w:t xml:space="preserve"> are:</w:t>
            </w:r>
          </w:p>
          <w:p w14:paraId="5BA8FC9A" w14:textId="77777777" w:rsidR="00E93942" w:rsidRDefault="00E93942" w:rsidP="00F87BCC">
            <w:pPr>
              <w:pStyle w:val="Box"/>
              <w:keepNext w:val="0"/>
              <w:widowControl w:val="0"/>
              <w:ind w:left="284"/>
            </w:pPr>
            <w:r w:rsidRPr="001B3B2F">
              <w:rPr>
                <w:shd w:val="clear" w:color="auto" w:fill="F15A25"/>
              </w:rPr>
              <w:t xml:space="preserve">    </w:t>
            </w:r>
            <w:r>
              <w:t xml:space="preserve"> comparable (subject to caveats) across jurisdictions </w:t>
            </w:r>
            <w:r w:rsidRPr="00AB11C8">
              <w:t>and over time</w:t>
            </w:r>
          </w:p>
          <w:p w14:paraId="7CEF8DC9" w14:textId="6E5A11DF" w:rsidR="00E93942" w:rsidRDefault="00E93942" w:rsidP="00F87BCC">
            <w:pPr>
              <w:pStyle w:val="Box"/>
              <w:keepNext w:val="0"/>
              <w:widowControl w:val="0"/>
              <w:ind w:left="284"/>
            </w:pPr>
            <w:r w:rsidRPr="001B3B2F">
              <w:rPr>
                <w:shd w:val="clear" w:color="auto" w:fill="F15A25"/>
              </w:rPr>
              <w:t xml:space="preserve">    </w:t>
            </w:r>
            <w:r>
              <w:t xml:space="preserve"> complete (subject to caveats) for the current reporting period. All required 201</w:t>
            </w:r>
            <w:r w:rsidR="00B8164C">
              <w:t>9</w:t>
            </w:r>
            <w:r>
              <w:t xml:space="preserve"> </w:t>
            </w:r>
            <w:r w:rsidRPr="000D77DB">
              <w:t>data</w:t>
            </w:r>
            <w:r>
              <w:t xml:space="preserve"> </w:t>
            </w:r>
            <w:r w:rsidRPr="000D77DB">
              <w:t>are available for all jurisdictions.</w:t>
            </w:r>
          </w:p>
          <w:p w14:paraId="4007462D" w14:textId="77777777" w:rsidR="002D1F9D" w:rsidRPr="00012020" w:rsidRDefault="002D1F9D" w:rsidP="002D1F9D">
            <w:pPr>
              <w:pStyle w:val="Box"/>
              <w:keepNext w:val="0"/>
              <w:widowControl w:val="0"/>
            </w:pPr>
            <w:r>
              <w:rPr>
                <w:i/>
              </w:rPr>
              <w:t>P</w:t>
            </w:r>
            <w:r w:rsidRPr="00FE39F4">
              <w:rPr>
                <w:i/>
              </w:rPr>
              <w:t>ublic dentists</w:t>
            </w:r>
            <w:r>
              <w:rPr>
                <w:i/>
              </w:rPr>
              <w:t xml:space="preserve"> by region</w:t>
            </w:r>
          </w:p>
          <w:p w14:paraId="721C04FC" w14:textId="77777777" w:rsidR="002D1F9D" w:rsidRDefault="002D1F9D" w:rsidP="002D1F9D">
            <w:pPr>
              <w:pStyle w:val="Box"/>
              <w:keepNext w:val="0"/>
              <w:widowControl w:val="0"/>
            </w:pPr>
            <w:r>
              <w:t xml:space="preserve">Similar rates across regions indicates equity of access by location. </w:t>
            </w:r>
          </w:p>
          <w:p w14:paraId="37F8332E" w14:textId="77777777" w:rsidR="002D1F9D" w:rsidRDefault="002D1F9D" w:rsidP="002D1F9D">
            <w:pPr>
              <w:pStyle w:val="Box"/>
              <w:keepNext w:val="0"/>
              <w:widowControl w:val="0"/>
            </w:pPr>
            <w:r>
              <w:t>This measure does not provide information on whether people are accessing the service or whether the services are appropriate for the needs of the people receiving them. Data reported for this indicator are:</w:t>
            </w:r>
          </w:p>
          <w:p w14:paraId="47D03A76" w14:textId="77777777" w:rsidR="002D1F9D" w:rsidRDefault="002D1F9D" w:rsidP="002D1F9D">
            <w:pPr>
              <w:pStyle w:val="Box"/>
              <w:keepNext w:val="0"/>
              <w:widowControl w:val="0"/>
              <w:ind w:left="284"/>
            </w:pPr>
            <w:r w:rsidRPr="001B3B2F">
              <w:rPr>
                <w:shd w:val="clear" w:color="auto" w:fill="F15A25"/>
              </w:rPr>
              <w:t xml:space="preserve">    </w:t>
            </w:r>
            <w:r>
              <w:t xml:space="preserve"> comparable (subject to caveats) across jurisdictions </w:t>
            </w:r>
            <w:r w:rsidRPr="00AB11C8">
              <w:t>and over time</w:t>
            </w:r>
            <w:r>
              <w:t xml:space="preserve"> from 2014 onwards</w:t>
            </w:r>
          </w:p>
          <w:p w14:paraId="3A11684F" w14:textId="3DC9027A" w:rsidR="00E93942" w:rsidRDefault="002D1F9D" w:rsidP="00456318">
            <w:pPr>
              <w:pStyle w:val="Box"/>
              <w:ind w:left="283"/>
            </w:pPr>
            <w:r w:rsidRPr="001B3B2F">
              <w:rPr>
                <w:shd w:val="clear" w:color="auto" w:fill="F15A25"/>
              </w:rPr>
              <w:t xml:space="preserve">    </w:t>
            </w:r>
            <w:r>
              <w:t xml:space="preserve"> complete (subject to caveats) for the current reporting period. All required 2019 </w:t>
            </w:r>
            <w:r w:rsidRPr="000D77DB">
              <w:t>data</w:t>
            </w:r>
            <w:r>
              <w:t xml:space="preserve"> </w:t>
            </w:r>
            <w:r w:rsidRPr="000D77DB">
              <w:t>are available for all jurisdictions.</w:t>
            </w:r>
          </w:p>
        </w:tc>
      </w:tr>
      <w:tr w:rsidR="00E93942" w14:paraId="21416003" w14:textId="77777777" w:rsidTr="00F87BCC">
        <w:tc>
          <w:tcPr>
            <w:tcW w:w="5000" w:type="pct"/>
            <w:tcBorders>
              <w:top w:val="nil"/>
              <w:left w:val="nil"/>
              <w:bottom w:val="single" w:sz="6" w:space="0" w:color="78A22F"/>
              <w:right w:val="nil"/>
            </w:tcBorders>
            <w:shd w:val="clear" w:color="auto" w:fill="F2F2F2"/>
          </w:tcPr>
          <w:p w14:paraId="2769CF45" w14:textId="77777777" w:rsidR="00E93942" w:rsidRDefault="00E93942" w:rsidP="00F87BCC">
            <w:pPr>
              <w:pStyle w:val="Box"/>
              <w:keepNext w:val="0"/>
              <w:widowControl w:val="0"/>
              <w:spacing w:before="0" w:line="120" w:lineRule="exact"/>
            </w:pPr>
          </w:p>
        </w:tc>
      </w:tr>
      <w:tr w:rsidR="00E93942" w:rsidRPr="000863A5" w14:paraId="64B8C3B7" w14:textId="77777777" w:rsidTr="00F87BCC">
        <w:tc>
          <w:tcPr>
            <w:tcW w:w="5000" w:type="pct"/>
            <w:tcBorders>
              <w:top w:val="single" w:sz="6" w:space="0" w:color="78A22F"/>
              <w:left w:val="nil"/>
              <w:bottom w:val="nil"/>
              <w:right w:val="nil"/>
            </w:tcBorders>
          </w:tcPr>
          <w:p w14:paraId="640D13AD" w14:textId="77777777" w:rsidR="00E93942" w:rsidRPr="00626D32" w:rsidRDefault="00E93942" w:rsidP="00F87BCC">
            <w:pPr>
              <w:pStyle w:val="BoxSpaceBelow"/>
              <w:widowControl w:val="0"/>
            </w:pPr>
          </w:p>
        </w:tc>
      </w:tr>
    </w:tbl>
    <w:p w14:paraId="1F392497" w14:textId="6D61C8A1" w:rsidR="00154BCD" w:rsidRDefault="00154BCD" w:rsidP="00E93942">
      <w:pPr>
        <w:pStyle w:val="BodyText"/>
      </w:pPr>
    </w:p>
    <w:p w14:paraId="6E3D77EA" w14:textId="79F6CCC2" w:rsidR="00E93942" w:rsidRDefault="00E93942" w:rsidP="00456318">
      <w:pPr>
        <w:pStyle w:val="Heading4"/>
      </w:pPr>
      <w:bookmarkStart w:id="17" w:name="_Toc34311757"/>
      <w:r>
        <w:lastRenderedPageBreak/>
        <w:t xml:space="preserve">Access </w:t>
      </w:r>
      <w:r w:rsidR="00BB371E" w:rsidRPr="00BB371E">
        <w:t>—</w:t>
      </w:r>
      <w:r>
        <w:t xml:space="preserve"> </w:t>
      </w:r>
      <w:r w:rsidRPr="00A26245">
        <w:t xml:space="preserve">Early </w:t>
      </w:r>
      <w:r w:rsidRPr="006A354D">
        <w:t>detection</w:t>
      </w:r>
      <w:r w:rsidRPr="00A26245">
        <w:t xml:space="preserve"> and early treatment for </w:t>
      </w:r>
      <w:r>
        <w:t>Aboriginal and Torres Strait Islander Australians</w:t>
      </w:r>
      <w:bookmarkEnd w:id="17"/>
    </w:p>
    <w:p w14:paraId="472E3BA7" w14:textId="7B5E2D0A" w:rsidR="00E93942" w:rsidRDefault="00E93942" w:rsidP="00E93942">
      <w:pPr>
        <w:pStyle w:val="BodyText"/>
      </w:pPr>
      <w:r>
        <w:t xml:space="preserve">‘Early </w:t>
      </w:r>
      <w:r w:rsidRPr="006A354D">
        <w:t>detection</w:t>
      </w:r>
      <w:r>
        <w:t xml:space="preserve"> and </w:t>
      </w:r>
      <w:r w:rsidRPr="00D22060">
        <w:t xml:space="preserve">early treatment for </w:t>
      </w:r>
      <w:r>
        <w:t>Aboriginal and Torres Strait Islander Australians’ is an indicator of governments’ objective to provide access to primary and community healthcare in an equitable manner (box 10.2</w:t>
      </w:r>
      <w:r w:rsidRPr="00636C4F">
        <w:t>).</w:t>
      </w:r>
    </w:p>
    <w:p w14:paraId="53B34205" w14:textId="77777777" w:rsidR="00E93942" w:rsidRDefault="00E93942" w:rsidP="00E93942">
      <w:pPr>
        <w:pStyle w:val="BoxSpaceAbove"/>
      </w:pPr>
    </w:p>
    <w:tbl>
      <w:tblPr>
        <w:tblW w:w="8793" w:type="dxa"/>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E93942" w14:paraId="41CC7FA0" w14:textId="77777777" w:rsidTr="00F87BCC">
        <w:tc>
          <w:tcPr>
            <w:tcW w:w="8793" w:type="dxa"/>
            <w:tcBorders>
              <w:top w:val="single" w:sz="6" w:space="0" w:color="78A22F"/>
              <w:left w:val="nil"/>
              <w:bottom w:val="nil"/>
              <w:right w:val="nil"/>
            </w:tcBorders>
            <w:shd w:val="clear" w:color="auto" w:fill="F2F2F2"/>
          </w:tcPr>
          <w:p w14:paraId="1EF8972E" w14:textId="23D99CB3" w:rsidR="00E93942" w:rsidRDefault="00E93942" w:rsidP="00AC256B">
            <w:pPr>
              <w:pStyle w:val="BoxTitle"/>
            </w:pPr>
            <w:r>
              <w:rPr>
                <w:b w:val="0"/>
              </w:rPr>
              <w:t>Box 10.2</w:t>
            </w:r>
            <w:r>
              <w:tab/>
            </w:r>
            <w:r w:rsidRPr="00A26245">
              <w:t xml:space="preserve">Early detection and early treatment for </w:t>
            </w:r>
            <w:r>
              <w:t xml:space="preserve">Aboriginal and Torres Strait Islander </w:t>
            </w:r>
            <w:r w:rsidR="00AC256B">
              <w:t>people</w:t>
            </w:r>
          </w:p>
        </w:tc>
      </w:tr>
      <w:tr w:rsidR="00E93942" w14:paraId="78BCB80C" w14:textId="77777777" w:rsidTr="00F87BCC">
        <w:trPr>
          <w:cantSplit/>
        </w:trPr>
        <w:tc>
          <w:tcPr>
            <w:tcW w:w="8793" w:type="dxa"/>
            <w:tcBorders>
              <w:top w:val="nil"/>
              <w:left w:val="nil"/>
              <w:bottom w:val="nil"/>
              <w:right w:val="nil"/>
            </w:tcBorders>
            <w:shd w:val="clear" w:color="auto" w:fill="F2F2F2"/>
          </w:tcPr>
          <w:p w14:paraId="5D48F4A4" w14:textId="6E5D4BAD" w:rsidR="00E93942" w:rsidRDefault="00E93942" w:rsidP="00F87BCC">
            <w:pPr>
              <w:pStyle w:val="Box"/>
            </w:pPr>
            <w:r>
              <w:t>‘E</w:t>
            </w:r>
            <w:r w:rsidRPr="00CB289F">
              <w:t xml:space="preserve">arly detection and early treatment for </w:t>
            </w:r>
            <w:r>
              <w:t xml:space="preserve">Aboriginal and Torres Strait Islander </w:t>
            </w:r>
            <w:r w:rsidR="00AC256B">
              <w:t>people</w:t>
            </w:r>
            <w:r>
              <w:t>’</w:t>
            </w:r>
            <w:r w:rsidRPr="00CB289F">
              <w:t xml:space="preserve"> </w:t>
            </w:r>
            <w:r>
              <w:t>is</w:t>
            </w:r>
            <w:r w:rsidRPr="00CB289F">
              <w:t xml:space="preserve"> </w:t>
            </w:r>
            <w:r>
              <w:t>defined as the proportion of older people who received a health assessment under Medicare by Indigenous status.</w:t>
            </w:r>
          </w:p>
          <w:p w14:paraId="52DE1769" w14:textId="3AF46C93" w:rsidR="00E93942" w:rsidRPr="00CB289F" w:rsidRDefault="00E93942" w:rsidP="00F87BCC">
            <w:pPr>
              <w:pStyle w:val="Box"/>
            </w:pPr>
            <w:r>
              <w:t>O</w:t>
            </w:r>
            <w:r w:rsidRPr="002D0651">
              <w:t>lder people are defined as</w:t>
            </w:r>
            <w:r>
              <w:t xml:space="preserve"> Aboriginal and Torres Strait Islander </w:t>
            </w:r>
            <w:r w:rsidR="00AC256B">
              <w:t>people</w:t>
            </w:r>
            <w:r>
              <w:t xml:space="preserve"> aged 55 </w:t>
            </w:r>
            <w:r w:rsidRPr="002D0651">
              <w:t>years or over</w:t>
            </w:r>
            <w:r>
              <w:t xml:space="preserve"> and </w:t>
            </w:r>
            <w:r w:rsidR="00AC256B">
              <w:t>non-Indigenous people</w:t>
            </w:r>
            <w:r w:rsidRPr="002D0651">
              <w:t xml:space="preserve"> aged 75 years or ove</w:t>
            </w:r>
            <w:r>
              <w:t>r</w:t>
            </w:r>
            <w:r w:rsidRPr="002D0651">
              <w:t>, excluding hospital inpatients and people living in aged care facilities</w:t>
            </w:r>
            <w:r>
              <w:t>. H</w:t>
            </w:r>
            <w:r w:rsidRPr="00CB289F">
              <w:t>ealth assessments are M</w:t>
            </w:r>
            <w:r>
              <w:t xml:space="preserve">edicare </w:t>
            </w:r>
            <w:r w:rsidRPr="00CB289F">
              <w:t>B</w:t>
            </w:r>
            <w:r>
              <w:t xml:space="preserve">enefits </w:t>
            </w:r>
            <w:r w:rsidRPr="00CB289F">
              <w:t>S</w:t>
            </w:r>
            <w:r>
              <w:t>chedule (MBS)</w:t>
            </w:r>
            <w:r w:rsidRPr="00CB289F">
              <w:t xml:space="preserve"> items that allow </w:t>
            </w:r>
            <w:r w:rsidRPr="009538E3">
              <w:t>comprehensive examinations of patient health, including physical, psycho</w:t>
            </w:r>
            <w:r>
              <w:t>logical and social functioning.</w:t>
            </w:r>
          </w:p>
          <w:p w14:paraId="2D34FD33" w14:textId="1C38E367" w:rsidR="00E93942" w:rsidRDefault="00E93942" w:rsidP="00F87BCC">
            <w:pPr>
              <w:pStyle w:val="Box"/>
            </w:pPr>
            <w:r>
              <w:t xml:space="preserve">A small or narrowing gap between the proportion of </w:t>
            </w:r>
            <w:r w:rsidRPr="00DC3CAF">
              <w:t>Aboriginal and Torres Strait Islander</w:t>
            </w:r>
            <w:r>
              <w:t xml:space="preserve"> </w:t>
            </w:r>
            <w:r w:rsidR="00AC256B">
              <w:t xml:space="preserve">people </w:t>
            </w:r>
            <w:r>
              <w:t xml:space="preserve">and </w:t>
            </w:r>
            <w:r w:rsidR="00AC256B">
              <w:t>non-Indigenous people</w:t>
            </w:r>
            <w:r>
              <w:t xml:space="preserve"> who received a health assessment can indicate more equitable access to early detection and early treatment services for Aboriginal and Torres Strait Islander </w:t>
            </w:r>
            <w:r w:rsidR="00AC256B">
              <w:t>people</w:t>
            </w:r>
            <w:r>
              <w:t xml:space="preserve">. An increase over time in the proportion of older Aboriginal and Torres Strait Islander </w:t>
            </w:r>
            <w:r w:rsidR="00AC256B">
              <w:t xml:space="preserve">people </w:t>
            </w:r>
            <w:r>
              <w:t xml:space="preserve">who received a health assessment is desirable as it indicates improved access to these services. </w:t>
            </w:r>
          </w:p>
          <w:p w14:paraId="64E25023" w14:textId="77777777" w:rsidR="00E93942" w:rsidRPr="001F6AA2" w:rsidRDefault="00E93942" w:rsidP="00F87BCC">
            <w:pPr>
              <w:pStyle w:val="Box"/>
            </w:pPr>
            <w:r w:rsidRPr="001F6AA2">
              <w:t xml:space="preserve">This indicator provides no </w:t>
            </w:r>
            <w:r w:rsidRPr="00AA1187">
              <w:t xml:space="preserve">information about </w:t>
            </w:r>
            <w:r w:rsidRPr="00C4450C">
              <w:t xml:space="preserve">health assessments provided </w:t>
            </w:r>
            <w:r>
              <w:t xml:space="preserve">outside Medicare (predominantly used by Aboriginal and Torres Strait Islander people </w:t>
            </w:r>
            <w:r w:rsidRPr="00C4450C">
              <w:t>in remote and very remote areas</w:t>
            </w:r>
            <w:r>
              <w:t>).</w:t>
            </w:r>
            <w:r w:rsidRPr="001F6AA2">
              <w:t xml:space="preserve"> Accordingly, this indicator understates the proportion of </w:t>
            </w:r>
            <w:r>
              <w:t>Aboriginal and Torres Strait Islander people</w:t>
            </w:r>
            <w:r w:rsidRPr="001F6AA2">
              <w:t xml:space="preserve"> who received early detection and early treatment services.</w:t>
            </w:r>
          </w:p>
          <w:p w14:paraId="59293AE9" w14:textId="77777777" w:rsidR="00E93942" w:rsidRDefault="00E93942" w:rsidP="00F87BCC">
            <w:pPr>
              <w:pStyle w:val="Box"/>
            </w:pPr>
            <w:r>
              <w:t>Data reported for this indicator are:</w:t>
            </w:r>
          </w:p>
          <w:p w14:paraId="1DC5E193" w14:textId="77777777" w:rsidR="00E93942" w:rsidRPr="00CA3971" w:rsidRDefault="00E93942" w:rsidP="00F87BCC">
            <w:pPr>
              <w:pStyle w:val="Box"/>
              <w:ind w:left="284"/>
            </w:pPr>
            <w:r w:rsidRPr="001B3B2F">
              <w:rPr>
                <w:shd w:val="clear" w:color="auto" w:fill="F15A25"/>
              </w:rPr>
              <w:t xml:space="preserve">    </w:t>
            </w:r>
            <w:r w:rsidRPr="00CA3971">
              <w:t xml:space="preserve"> comparable (subject to caveats) across jurisdictions and over time </w:t>
            </w:r>
          </w:p>
          <w:p w14:paraId="4B6B9194" w14:textId="2F1B7EB2" w:rsidR="00E93942" w:rsidRDefault="00E93942" w:rsidP="00F87BCC">
            <w:pPr>
              <w:pStyle w:val="Box"/>
              <w:ind w:left="284"/>
            </w:pPr>
            <w:r w:rsidRPr="001B3B2F">
              <w:rPr>
                <w:shd w:val="clear" w:color="auto" w:fill="F15A25"/>
              </w:rPr>
              <w:t xml:space="preserve">    </w:t>
            </w:r>
            <w:r>
              <w:t xml:space="preserve"> complete for the current reporting period (subject to caveats). All required </w:t>
            </w:r>
            <w:r w:rsidR="00B8164C">
              <w:t>2019-20</w:t>
            </w:r>
            <w:r>
              <w:t xml:space="preserve"> data are available for all jurisdictions.</w:t>
            </w:r>
          </w:p>
        </w:tc>
      </w:tr>
      <w:tr w:rsidR="00E93942" w14:paraId="0AA0D08C" w14:textId="77777777" w:rsidTr="00F87BCC">
        <w:trPr>
          <w:cantSplit/>
        </w:trPr>
        <w:tc>
          <w:tcPr>
            <w:tcW w:w="8793" w:type="dxa"/>
            <w:tcBorders>
              <w:top w:val="nil"/>
              <w:left w:val="nil"/>
              <w:bottom w:val="single" w:sz="6" w:space="0" w:color="78A22F"/>
              <w:right w:val="nil"/>
            </w:tcBorders>
            <w:shd w:val="clear" w:color="auto" w:fill="F2F2F2"/>
          </w:tcPr>
          <w:p w14:paraId="7AEDAA07" w14:textId="77777777" w:rsidR="00E93942" w:rsidRDefault="00E93942" w:rsidP="00F87BCC">
            <w:pPr>
              <w:pStyle w:val="Box"/>
              <w:spacing w:before="0" w:line="120" w:lineRule="exact"/>
            </w:pPr>
          </w:p>
        </w:tc>
      </w:tr>
      <w:tr w:rsidR="00E93942" w:rsidRPr="000863A5" w14:paraId="38D7B116" w14:textId="77777777" w:rsidTr="00F87BCC">
        <w:tc>
          <w:tcPr>
            <w:tcW w:w="8793" w:type="dxa"/>
            <w:tcBorders>
              <w:top w:val="single" w:sz="6" w:space="0" w:color="78A22F"/>
              <w:left w:val="nil"/>
              <w:bottom w:val="nil"/>
              <w:right w:val="nil"/>
            </w:tcBorders>
          </w:tcPr>
          <w:p w14:paraId="566D4407" w14:textId="77777777" w:rsidR="00E93942" w:rsidRPr="00626D32" w:rsidRDefault="00E93942" w:rsidP="00F87BCC">
            <w:pPr>
              <w:pStyle w:val="BoxSpaceBelow"/>
            </w:pPr>
          </w:p>
        </w:tc>
      </w:tr>
    </w:tbl>
    <w:p w14:paraId="45B16C16" w14:textId="77777777" w:rsidR="00E93942" w:rsidRDefault="00E93942" w:rsidP="00E93942">
      <w:pPr>
        <w:pStyle w:val="Heading3"/>
      </w:pPr>
      <w:bookmarkStart w:id="18" w:name="_Toc34311758"/>
      <w:r>
        <w:t>Effectiveness</w:t>
      </w:r>
      <w:bookmarkEnd w:id="18"/>
    </w:p>
    <w:p w14:paraId="428C72B1" w14:textId="09DE3822" w:rsidR="00E93942" w:rsidRDefault="00E93942" w:rsidP="00E93942">
      <w:pPr>
        <w:pStyle w:val="Heading4"/>
      </w:pPr>
      <w:bookmarkStart w:id="19" w:name="_Toc34311759"/>
      <w:r>
        <w:t xml:space="preserve">Access </w:t>
      </w:r>
      <w:r w:rsidR="00BB371E" w:rsidRPr="00BB371E">
        <w:t>—</w:t>
      </w:r>
      <w:r>
        <w:t xml:space="preserve"> Affordability of primary healthcare services</w:t>
      </w:r>
      <w:bookmarkEnd w:id="19"/>
    </w:p>
    <w:p w14:paraId="2118BCF4" w14:textId="77777777" w:rsidR="00E93942" w:rsidRDefault="00E93942" w:rsidP="00E93942">
      <w:pPr>
        <w:pStyle w:val="BodyText"/>
      </w:pPr>
      <w:r>
        <w:t xml:space="preserve">‘Affordability of primary healthcare services’ is an indicator of governments’ objective to provide </w:t>
      </w:r>
      <w:r w:rsidRPr="00351BBC">
        <w:t>primary healthcare services</w:t>
      </w:r>
      <w:r>
        <w:t xml:space="preserve"> that are affordable (box 10.3).</w:t>
      </w:r>
    </w:p>
    <w:p w14:paraId="4D15AF83" w14:textId="65B999B2" w:rsidR="00E93942" w:rsidRDefault="00BD6D50" w:rsidP="00BD6D50">
      <w:pPr>
        <w:pStyle w:val="BoxSpaceAbove"/>
        <w:tabs>
          <w:tab w:val="left" w:pos="5728"/>
        </w:tabs>
      </w:pPr>
      <w:r>
        <w:lastRenderedPageBreak/>
        <w:tab/>
      </w:r>
    </w:p>
    <w:tbl>
      <w:tblPr>
        <w:tblW w:w="4843" w:type="pct"/>
        <w:tblInd w:w="142"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513"/>
      </w:tblGrid>
      <w:tr w:rsidR="00E93942" w14:paraId="60CA2A9D" w14:textId="77777777" w:rsidTr="00F87BCC">
        <w:trPr>
          <w:tblHeader/>
        </w:trPr>
        <w:tc>
          <w:tcPr>
            <w:tcW w:w="5000" w:type="pct"/>
            <w:tcBorders>
              <w:top w:val="single" w:sz="6" w:space="0" w:color="78A22F"/>
              <w:left w:val="nil"/>
              <w:bottom w:val="nil"/>
              <w:right w:val="nil"/>
            </w:tcBorders>
            <w:shd w:val="clear" w:color="auto" w:fill="F2F2F2"/>
          </w:tcPr>
          <w:p w14:paraId="53FB0A62" w14:textId="77777777" w:rsidR="00E93942" w:rsidRDefault="00E93942" w:rsidP="00F87BCC">
            <w:pPr>
              <w:pStyle w:val="BoxTitle"/>
            </w:pPr>
            <w:r>
              <w:rPr>
                <w:b w:val="0"/>
              </w:rPr>
              <w:t>Box 10.3</w:t>
            </w:r>
            <w:r>
              <w:tab/>
              <w:t>Affordability of primary healthcare</w:t>
            </w:r>
          </w:p>
        </w:tc>
      </w:tr>
      <w:tr w:rsidR="00E93942" w14:paraId="54301C87" w14:textId="77777777" w:rsidTr="00F87BCC">
        <w:tc>
          <w:tcPr>
            <w:tcW w:w="5000" w:type="pct"/>
            <w:tcBorders>
              <w:top w:val="nil"/>
              <w:left w:val="nil"/>
              <w:bottom w:val="nil"/>
              <w:right w:val="nil"/>
            </w:tcBorders>
            <w:shd w:val="clear" w:color="auto" w:fill="F2F2F2"/>
          </w:tcPr>
          <w:p w14:paraId="46D1C125" w14:textId="77777777" w:rsidR="00E93942" w:rsidRDefault="00E93942" w:rsidP="00F87BCC">
            <w:pPr>
              <w:pStyle w:val="Box"/>
            </w:pPr>
            <w:r>
              <w:t>‘Affordability of primary healthcare’ is defined by two measures:</w:t>
            </w:r>
          </w:p>
          <w:p w14:paraId="77EB88CC" w14:textId="77777777" w:rsidR="00E93942" w:rsidRDefault="00E93942" w:rsidP="00F87BCC">
            <w:pPr>
              <w:pStyle w:val="BoxListBullet"/>
            </w:pPr>
            <w:r>
              <w:t>People delaying or not seeing GPs due to cost, defined as</w:t>
            </w:r>
            <w:r w:rsidRPr="004C1535">
              <w:t xml:space="preserve"> the proportion of people who delayed seeing or did not see a GP </w:t>
            </w:r>
            <w:r>
              <w:t xml:space="preserve">at any time in the previous 12 months </w:t>
            </w:r>
            <w:r w:rsidRPr="004C1535">
              <w:t>due to cost</w:t>
            </w:r>
            <w:r>
              <w:t>.</w:t>
            </w:r>
            <w:r w:rsidRPr="00A97F84">
              <w:t xml:space="preserve"> </w:t>
            </w:r>
          </w:p>
          <w:p w14:paraId="21EBEA94" w14:textId="77777777" w:rsidR="00E93942" w:rsidRDefault="00E93942" w:rsidP="00F87BCC">
            <w:pPr>
              <w:pStyle w:val="BoxListBullet"/>
            </w:pPr>
            <w:r>
              <w:t xml:space="preserve">People delaying or not filling prescriptions due to cost, </w:t>
            </w:r>
            <w:r w:rsidRPr="00A97F84">
              <w:t xml:space="preserve">defined as the proportion of people who delayed </w:t>
            </w:r>
            <w:r>
              <w:t xml:space="preserve">filling </w:t>
            </w:r>
            <w:r w:rsidRPr="00A97F84">
              <w:t xml:space="preserve">or did not </w:t>
            </w:r>
            <w:r>
              <w:t xml:space="preserve">fill </w:t>
            </w:r>
            <w:r w:rsidRPr="00A97F84">
              <w:t xml:space="preserve">a prescription </w:t>
            </w:r>
            <w:r w:rsidRPr="00A27A45">
              <w:t xml:space="preserve">at any time in the previous 12 months </w:t>
            </w:r>
            <w:r w:rsidRPr="00A97F84">
              <w:t>due to cost.</w:t>
            </w:r>
          </w:p>
          <w:p w14:paraId="7292FBF7" w14:textId="77777777" w:rsidR="00E93942" w:rsidRDefault="00E93942" w:rsidP="00F87BCC">
            <w:pPr>
              <w:pStyle w:val="BoxListBullet"/>
              <w:numPr>
                <w:ilvl w:val="0"/>
                <w:numId w:val="0"/>
              </w:numPr>
            </w:pPr>
            <w:r w:rsidRPr="004C1535">
              <w:t>A low or decreasing proportion of people deferring visits to GPs</w:t>
            </w:r>
            <w:r>
              <w:t xml:space="preserve"> or filling prescriptions</w:t>
            </w:r>
            <w:r w:rsidRPr="004C1535">
              <w:t xml:space="preserve"> due to </w:t>
            </w:r>
            <w:r>
              <w:t>cost</w:t>
            </w:r>
            <w:r w:rsidRPr="004C1535">
              <w:t xml:space="preserve"> indicates more w</w:t>
            </w:r>
            <w:r>
              <w:t>idely affordable access to GPs and medicines.</w:t>
            </w:r>
          </w:p>
          <w:p w14:paraId="0BD92885" w14:textId="77777777" w:rsidR="00E93942" w:rsidRDefault="00E93942" w:rsidP="00F87BCC">
            <w:pPr>
              <w:pStyle w:val="Box"/>
            </w:pPr>
            <w:r>
              <w:t>Data reported for these measures are:</w:t>
            </w:r>
          </w:p>
          <w:p w14:paraId="24F43E79" w14:textId="77777777" w:rsidR="00E93942" w:rsidRDefault="00E93942" w:rsidP="00F87BCC">
            <w:pPr>
              <w:pStyle w:val="BoxListBullet"/>
              <w:numPr>
                <w:ilvl w:val="0"/>
                <w:numId w:val="0"/>
              </w:numPr>
              <w:ind w:left="568" w:hanging="284"/>
            </w:pPr>
            <w:r w:rsidRPr="001B3B2F">
              <w:rPr>
                <w:shd w:val="clear" w:color="auto" w:fill="F15A25"/>
              </w:rPr>
              <w:t xml:space="preserve">    </w:t>
            </w:r>
            <w:r>
              <w:t xml:space="preserve"> comparable (subject to caveats) across jurisdictions and over time </w:t>
            </w:r>
          </w:p>
          <w:p w14:paraId="490D7EB9" w14:textId="4CD83427" w:rsidR="00E93942" w:rsidRDefault="00E93942" w:rsidP="00F87BCC">
            <w:pPr>
              <w:pStyle w:val="BoxListBullet"/>
              <w:numPr>
                <w:ilvl w:val="0"/>
                <w:numId w:val="0"/>
              </w:numPr>
              <w:ind w:left="284"/>
            </w:pPr>
            <w:r w:rsidRPr="001B3B2F">
              <w:rPr>
                <w:shd w:val="clear" w:color="auto" w:fill="F15A25"/>
              </w:rPr>
              <w:t xml:space="preserve">    </w:t>
            </w:r>
            <w:r>
              <w:t xml:space="preserve"> complete for the current reporting period (subject to caveats). All required </w:t>
            </w:r>
            <w:r w:rsidR="00B8164C">
              <w:t>2019</w:t>
            </w:r>
            <w:r w:rsidR="00B8164C">
              <w:noBreakHyphen/>
              <w:t>20</w:t>
            </w:r>
            <w:r>
              <w:t xml:space="preserve"> data are available for all jurisdictions.</w:t>
            </w:r>
          </w:p>
          <w:p w14:paraId="376473B2" w14:textId="339B00C7" w:rsidR="00E93942" w:rsidRDefault="004D58B5" w:rsidP="00F87BCC">
            <w:pPr>
              <w:pStyle w:val="BoxListBullet"/>
              <w:numPr>
                <w:ilvl w:val="0"/>
                <w:numId w:val="0"/>
              </w:numPr>
            </w:pPr>
            <w:r>
              <w:t>Data are sourced from t</w:t>
            </w:r>
            <w:r w:rsidR="00E93942" w:rsidRPr="00A4297C">
              <w:t xml:space="preserve">he </w:t>
            </w:r>
            <w:r w:rsidR="00E93942">
              <w:t xml:space="preserve">ABS </w:t>
            </w:r>
            <w:r w:rsidR="00E93942" w:rsidRPr="00A4297C">
              <w:t>Patient Experience Survey</w:t>
            </w:r>
            <w:r w:rsidR="00E93942">
              <w:t xml:space="preserve"> </w:t>
            </w:r>
            <w:r>
              <w:t>(</w:t>
            </w:r>
            <w:proofErr w:type="spellStart"/>
            <w:r>
              <w:t>PExS</w:t>
            </w:r>
            <w:proofErr w:type="spellEnd"/>
            <w:r>
              <w:t xml:space="preserve">) of people aged 15 years and over. The </w:t>
            </w:r>
            <w:proofErr w:type="spellStart"/>
            <w:r>
              <w:t>PExS</w:t>
            </w:r>
            <w:proofErr w:type="spellEnd"/>
            <w:r w:rsidRPr="00E1291A">
              <w:t xml:space="preserve"> </w:t>
            </w:r>
            <w:r w:rsidR="00E93942" w:rsidRPr="00E1291A">
              <w:t xml:space="preserve">does not include people living in discrete </w:t>
            </w:r>
            <w:r w:rsidR="00E93942">
              <w:t xml:space="preserve">Indigenous </w:t>
            </w:r>
            <w:r w:rsidR="00E93942" w:rsidRPr="00E1291A">
              <w:t xml:space="preserve">communities, which affects the </w:t>
            </w:r>
            <w:r w:rsidR="00E93942">
              <w:t>representativeness</w:t>
            </w:r>
            <w:r w:rsidR="00E93942" w:rsidRPr="00E1291A">
              <w:t xml:space="preserve"> of the NT results</w:t>
            </w:r>
            <w:r w:rsidR="00E93942">
              <w:t xml:space="preserve"> for both measures. Approximately 20 per cent of the estimated resident population of the NT live in discrete Indigenous communities</w:t>
            </w:r>
            <w:r w:rsidR="00E93942" w:rsidRPr="00E1291A">
              <w:t>.</w:t>
            </w:r>
          </w:p>
          <w:p w14:paraId="25C36616" w14:textId="1720C8C8" w:rsidR="00B06270" w:rsidRDefault="00B06270" w:rsidP="00AC256B">
            <w:pPr>
              <w:pStyle w:val="BoxListBullet"/>
              <w:numPr>
                <w:ilvl w:val="0"/>
                <w:numId w:val="0"/>
              </w:numPr>
            </w:pPr>
            <w:r>
              <w:t xml:space="preserve">Contextual data </w:t>
            </w:r>
            <w:r w:rsidR="001E613E">
              <w:t>covering</w:t>
            </w:r>
            <w:r>
              <w:t xml:space="preserve"> </w:t>
            </w:r>
            <w:r w:rsidR="001E613E">
              <w:t xml:space="preserve">bulk billing of </w:t>
            </w:r>
            <w:r>
              <w:t>general practice</w:t>
            </w:r>
            <w:r w:rsidR="00185849">
              <w:t xml:space="preserve"> attendances</w:t>
            </w:r>
            <w:r>
              <w:t xml:space="preserve"> and specialist </w:t>
            </w:r>
            <w:r w:rsidR="00185849">
              <w:t>attendances</w:t>
            </w:r>
            <w:r>
              <w:t xml:space="preserve">, by region, are </w:t>
            </w:r>
            <w:r w:rsidR="00AC256B">
              <w:t>available in tables 10A.</w:t>
            </w:r>
            <w:r w:rsidR="00E47E66">
              <w:t>27-30</w:t>
            </w:r>
            <w:r w:rsidR="00AC256B">
              <w:t>)</w:t>
            </w:r>
            <w:r>
              <w:t>.</w:t>
            </w:r>
          </w:p>
        </w:tc>
      </w:tr>
      <w:tr w:rsidR="00E93942" w14:paraId="6351DC1D" w14:textId="77777777" w:rsidTr="00F87BCC">
        <w:tc>
          <w:tcPr>
            <w:tcW w:w="5000" w:type="pct"/>
            <w:tcBorders>
              <w:top w:val="nil"/>
              <w:left w:val="nil"/>
              <w:bottom w:val="single" w:sz="6" w:space="0" w:color="78A22F"/>
              <w:right w:val="nil"/>
            </w:tcBorders>
            <w:shd w:val="clear" w:color="auto" w:fill="F2F2F2"/>
          </w:tcPr>
          <w:p w14:paraId="54C34C45" w14:textId="77777777" w:rsidR="00E93942" w:rsidRDefault="00E93942" w:rsidP="00F87BCC">
            <w:pPr>
              <w:pStyle w:val="Box"/>
              <w:spacing w:before="0" w:line="120" w:lineRule="exact"/>
            </w:pPr>
          </w:p>
        </w:tc>
      </w:tr>
      <w:tr w:rsidR="00E93942" w:rsidRPr="000863A5" w14:paraId="1043AED7" w14:textId="77777777" w:rsidTr="00F87BCC">
        <w:tc>
          <w:tcPr>
            <w:tcW w:w="5000" w:type="pct"/>
            <w:tcBorders>
              <w:top w:val="single" w:sz="6" w:space="0" w:color="78A22F"/>
              <w:left w:val="nil"/>
              <w:bottom w:val="nil"/>
              <w:right w:val="nil"/>
            </w:tcBorders>
          </w:tcPr>
          <w:p w14:paraId="567637B3" w14:textId="77777777" w:rsidR="00E93942" w:rsidRPr="00626D32" w:rsidRDefault="00E93942" w:rsidP="00F87BCC">
            <w:pPr>
              <w:pStyle w:val="BoxSpaceBelow"/>
            </w:pPr>
          </w:p>
        </w:tc>
      </w:tr>
    </w:tbl>
    <w:p w14:paraId="0F97154C" w14:textId="37135565" w:rsidR="00E93942" w:rsidRDefault="00E93942" w:rsidP="00E93942">
      <w:pPr>
        <w:pStyle w:val="Heading4"/>
      </w:pPr>
      <w:bookmarkStart w:id="20" w:name="_Toc34311760"/>
      <w:r>
        <w:t xml:space="preserve">Access </w:t>
      </w:r>
      <w:r w:rsidR="00BB371E" w:rsidRPr="00BB371E">
        <w:t>—</w:t>
      </w:r>
      <w:r>
        <w:t xml:space="preserve"> Timeliness of primary healthcare services</w:t>
      </w:r>
      <w:bookmarkEnd w:id="20"/>
    </w:p>
    <w:p w14:paraId="3218B803" w14:textId="77777777" w:rsidR="00E93942" w:rsidRDefault="00E93942" w:rsidP="00E93942">
      <w:pPr>
        <w:pStyle w:val="BodyText"/>
      </w:pPr>
      <w:r>
        <w:t>‘Timeliness of primary healthcare services’ is an indicator of governments’ objective to ensure primary healthcare services are provided in a timely manner (box 10.4).</w:t>
      </w:r>
    </w:p>
    <w:p w14:paraId="795815CA" w14:textId="77777777" w:rsidR="00E93942" w:rsidRDefault="00E93942" w:rsidP="00E93942">
      <w:pPr>
        <w:pStyle w:val="BoxSpaceAbove"/>
      </w:pPr>
    </w:p>
    <w:tbl>
      <w:tblPr>
        <w:tblW w:w="4843" w:type="pct"/>
        <w:tblInd w:w="142"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513"/>
      </w:tblGrid>
      <w:tr w:rsidR="00E93942" w14:paraId="5F4FB3D3" w14:textId="77777777" w:rsidTr="00F87BCC">
        <w:trPr>
          <w:tblHeader/>
        </w:trPr>
        <w:tc>
          <w:tcPr>
            <w:tcW w:w="5000" w:type="pct"/>
            <w:tcBorders>
              <w:top w:val="single" w:sz="6" w:space="0" w:color="78A22F"/>
              <w:left w:val="nil"/>
              <w:bottom w:val="nil"/>
              <w:right w:val="nil"/>
            </w:tcBorders>
            <w:shd w:val="clear" w:color="auto" w:fill="F2F2F2"/>
          </w:tcPr>
          <w:p w14:paraId="4348EA42" w14:textId="77777777" w:rsidR="00E93942" w:rsidRDefault="00E93942" w:rsidP="00F87BCC">
            <w:pPr>
              <w:pStyle w:val="BoxTitle"/>
            </w:pPr>
            <w:r>
              <w:rPr>
                <w:b w:val="0"/>
              </w:rPr>
              <w:t>Box 10.4</w:t>
            </w:r>
            <w:r>
              <w:tab/>
              <w:t>Timeliness of primary healthcare services</w:t>
            </w:r>
          </w:p>
        </w:tc>
      </w:tr>
      <w:tr w:rsidR="00E93942" w14:paraId="3F6054DB" w14:textId="77777777" w:rsidTr="00F87BCC">
        <w:tc>
          <w:tcPr>
            <w:tcW w:w="5000" w:type="pct"/>
            <w:tcBorders>
              <w:top w:val="nil"/>
              <w:left w:val="nil"/>
              <w:bottom w:val="nil"/>
              <w:right w:val="nil"/>
            </w:tcBorders>
            <w:shd w:val="clear" w:color="auto" w:fill="F2F2F2"/>
          </w:tcPr>
          <w:p w14:paraId="0FB29B4B" w14:textId="77777777" w:rsidR="00E93942" w:rsidRPr="009F68F0" w:rsidRDefault="00E93942" w:rsidP="00F87BCC">
            <w:pPr>
              <w:pStyle w:val="Box"/>
            </w:pPr>
            <w:r w:rsidRPr="009F68F0">
              <w:t>‘Timeliness of primary healthcare services’ is defined by two measures:</w:t>
            </w:r>
          </w:p>
          <w:p w14:paraId="51FC4677" w14:textId="77777777" w:rsidR="00E93942" w:rsidRPr="009F68F0" w:rsidRDefault="00E93942" w:rsidP="00F87BCC">
            <w:pPr>
              <w:pStyle w:val="BoxListBullet"/>
            </w:pPr>
            <w:r w:rsidRPr="009F68F0">
              <w:t>Public dentistry waiting times, defined as the number of days waited at the 50</w:t>
            </w:r>
            <w:r>
              <w:t>th</w:t>
            </w:r>
            <w:r w:rsidRPr="009F68F0">
              <w:t xml:space="preserve"> (median) and 90th percentiles between being placed on a selected public dentistry waiting list and either being offered dental care or receiving dental care </w:t>
            </w:r>
          </w:p>
          <w:p w14:paraId="5628223D" w14:textId="7283EDF7" w:rsidR="00E93942" w:rsidRDefault="00E93942" w:rsidP="00F87BCC">
            <w:pPr>
              <w:pStyle w:val="BoxListBullet"/>
            </w:pPr>
            <w:r w:rsidRPr="009F68F0">
              <w:t xml:space="preserve">GP waiting times for urgent medical care, defined as the proportion of people who, in the previous 12 months, saw a GP for urgent medical care within specified times from making the appointment. Specified waiting times </w:t>
            </w:r>
            <w:proofErr w:type="gramStart"/>
            <w:r w:rsidRPr="009F68F0">
              <w:t>are:</w:t>
            </w:r>
            <w:proofErr w:type="gramEnd"/>
            <w:r w:rsidRPr="009F68F0">
              <w:t xml:space="preserve"> less than 4 hours; 4 to less than 24 hours; 24</w:t>
            </w:r>
            <w:r w:rsidR="0064453A">
              <w:t> </w:t>
            </w:r>
            <w:r w:rsidRPr="009F68F0">
              <w:t>hours or more.</w:t>
            </w:r>
          </w:p>
          <w:p w14:paraId="5CB66449" w14:textId="77777777" w:rsidR="00E93942" w:rsidRDefault="00E93942" w:rsidP="00F87BCC">
            <w:pPr>
              <w:pStyle w:val="Box"/>
            </w:pPr>
            <w:r w:rsidRPr="009F68F0">
              <w:t>A shorter time waited to see a dental professional indicates more timely access to public dental services. A high or increasing proportion of people who saw a GP within 4 hours for urgent medical care indicates mor</w:t>
            </w:r>
            <w:r>
              <w:t>e timely access to GPs.</w:t>
            </w:r>
          </w:p>
          <w:p w14:paraId="5C323476" w14:textId="19004128" w:rsidR="00E93942" w:rsidRDefault="00E93942" w:rsidP="0064453A">
            <w:pPr>
              <w:pStyle w:val="Box"/>
            </w:pPr>
            <w:r w:rsidRPr="009F68F0">
              <w:t xml:space="preserve">Public dental waiting times only include records on persons eligible for public dental services who were aged 18 years or over. It excludes those on jurisdictional priority client schemes and those </w:t>
            </w:r>
            <w:r>
              <w:t>who</w:t>
            </w:r>
            <w:r w:rsidRPr="009F68F0">
              <w:t xml:space="preserve"> access the service but pay full price.</w:t>
            </w:r>
            <w:r w:rsidR="0064453A">
              <w:t xml:space="preserve"> Data are reported by Aboriginal and Torres Strait Islander status, remoteness area of residence, and </w:t>
            </w:r>
            <w:r w:rsidR="0064453A" w:rsidRPr="0064453A">
              <w:t>Socio-Economic Indexes for Areas (SEIFA)</w:t>
            </w:r>
            <w:r w:rsidR="0064453A">
              <w:t xml:space="preserve"> of residence.</w:t>
            </w:r>
          </w:p>
          <w:p w14:paraId="7765C172" w14:textId="77777777" w:rsidR="00232AF6" w:rsidRPr="009F68F0" w:rsidRDefault="00232AF6" w:rsidP="00232AF6">
            <w:pPr>
              <w:pStyle w:val="Box"/>
            </w:pPr>
            <w:r w:rsidRPr="009F68F0">
              <w:t>Data reported for the public dentistry waiting times measure are:</w:t>
            </w:r>
          </w:p>
          <w:p w14:paraId="15BB31CC" w14:textId="77777777" w:rsidR="00232AF6" w:rsidRDefault="00232AF6" w:rsidP="00232AF6">
            <w:pPr>
              <w:pStyle w:val="Box"/>
              <w:ind w:left="284"/>
            </w:pPr>
            <w:r w:rsidRPr="00B664EA">
              <w:rPr>
                <w:shd w:val="clear" w:color="auto" w:fill="FCDED3"/>
              </w:rPr>
              <w:t xml:space="preserve">    </w:t>
            </w:r>
            <w:r>
              <w:t xml:space="preserve"> not comparable across jurisdictions, but are comparable (subject to caveats) within jurisdictions over time</w:t>
            </w:r>
          </w:p>
          <w:p w14:paraId="49720A7E" w14:textId="74A04923" w:rsidR="00232AF6" w:rsidRDefault="00232AF6" w:rsidP="00232AF6">
            <w:pPr>
              <w:pStyle w:val="BoxListBullet"/>
              <w:numPr>
                <w:ilvl w:val="0"/>
                <w:numId w:val="0"/>
              </w:numPr>
              <w:ind w:left="284"/>
            </w:pPr>
            <w:r w:rsidRPr="00344676">
              <w:rPr>
                <w:shd w:val="clear" w:color="auto" w:fill="FCDED3"/>
              </w:rPr>
              <w:t xml:space="preserve">    </w:t>
            </w:r>
            <w:r>
              <w:t xml:space="preserve"> </w:t>
            </w:r>
            <w:r w:rsidRPr="00AC2399">
              <w:t>incomplete for the c</w:t>
            </w:r>
            <w:r>
              <w:t>urrent reporting period. All required 2019</w:t>
            </w:r>
            <w:r>
              <w:noBreakHyphen/>
              <w:t xml:space="preserve">20 data are not </w:t>
            </w:r>
            <w:r w:rsidRPr="00AC2399">
              <w:t xml:space="preserve">available </w:t>
            </w:r>
            <w:r w:rsidRPr="00185849">
              <w:t>for NSW</w:t>
            </w:r>
            <w:r w:rsidRPr="00AC2399">
              <w:t>.</w:t>
            </w:r>
          </w:p>
          <w:p w14:paraId="37096422" w14:textId="77777777" w:rsidR="00232AF6" w:rsidRDefault="00232AF6" w:rsidP="00232AF6">
            <w:pPr>
              <w:pStyle w:val="Box"/>
            </w:pPr>
            <w:r w:rsidRPr="009F68F0">
              <w:t>Data reported for the GP waiting times measure are:</w:t>
            </w:r>
          </w:p>
          <w:p w14:paraId="7E533674" w14:textId="77777777" w:rsidR="00232AF6" w:rsidRDefault="00232AF6" w:rsidP="00232AF6">
            <w:pPr>
              <w:pStyle w:val="BoxListBullet"/>
              <w:numPr>
                <w:ilvl w:val="0"/>
                <w:numId w:val="0"/>
              </w:numPr>
              <w:ind w:left="568" w:hanging="284"/>
            </w:pPr>
            <w:r w:rsidRPr="001B3B2F">
              <w:rPr>
                <w:shd w:val="clear" w:color="auto" w:fill="F15A25"/>
              </w:rPr>
              <w:t xml:space="preserve">    </w:t>
            </w:r>
            <w:r>
              <w:t xml:space="preserve"> comparable (subject to caveats) across jurisdictions and over time </w:t>
            </w:r>
          </w:p>
          <w:p w14:paraId="595CF2A1" w14:textId="75FE6CB1" w:rsidR="00232AF6" w:rsidRDefault="00232AF6" w:rsidP="00232AF6">
            <w:pPr>
              <w:pStyle w:val="Box"/>
              <w:ind w:left="284"/>
            </w:pPr>
            <w:r w:rsidRPr="001B3B2F">
              <w:rPr>
                <w:shd w:val="clear" w:color="auto" w:fill="F15A25"/>
              </w:rPr>
              <w:t xml:space="preserve">    </w:t>
            </w:r>
            <w:r>
              <w:t xml:space="preserve"> complete for the current reporting period (subject to caveats). All required 2019</w:t>
            </w:r>
            <w:r>
              <w:noBreakHyphen/>
              <w:t>20 data are available for all jurisdictions.</w:t>
            </w:r>
          </w:p>
          <w:p w14:paraId="0D137AF2" w14:textId="33D1BA0B" w:rsidR="00E93942" w:rsidRDefault="00232AF6" w:rsidP="00232AF6">
            <w:pPr>
              <w:pStyle w:val="Box"/>
            </w:pPr>
            <w:r w:rsidRPr="009F68F0">
              <w:t xml:space="preserve">The </w:t>
            </w:r>
            <w:r>
              <w:t>ABS Patient Experience Survey</w:t>
            </w:r>
            <w:r w:rsidR="004D58B5">
              <w:t xml:space="preserve"> of people aged 15 years and over</w:t>
            </w:r>
            <w:r w:rsidRPr="009F68F0">
              <w:t xml:space="preserve"> does not include people living in discrete Indigenous communities, which affects the </w:t>
            </w:r>
            <w:r>
              <w:t>representativeness</w:t>
            </w:r>
            <w:r w:rsidRPr="009F68F0">
              <w:t xml:space="preserve"> of the NT results for the GP waiting times measure</w:t>
            </w:r>
            <w:r>
              <w:t>. Approximately 20 per cent of the estimated resident population of the NT live in discrete Indigenous communities</w:t>
            </w:r>
            <w:r w:rsidRPr="00E1291A">
              <w:t>.</w:t>
            </w:r>
          </w:p>
        </w:tc>
      </w:tr>
      <w:tr w:rsidR="00E93942" w14:paraId="4C4E49A9" w14:textId="77777777" w:rsidTr="00F87BCC">
        <w:tc>
          <w:tcPr>
            <w:tcW w:w="5000" w:type="pct"/>
            <w:tcBorders>
              <w:top w:val="nil"/>
              <w:left w:val="nil"/>
              <w:bottom w:val="single" w:sz="6" w:space="0" w:color="78A22F"/>
              <w:right w:val="nil"/>
            </w:tcBorders>
            <w:shd w:val="clear" w:color="auto" w:fill="F2F2F2"/>
          </w:tcPr>
          <w:p w14:paraId="6DA41F36" w14:textId="77777777" w:rsidR="00E93942" w:rsidRDefault="00E93942" w:rsidP="00F87BCC">
            <w:pPr>
              <w:pStyle w:val="Box"/>
              <w:spacing w:before="0" w:line="120" w:lineRule="exact"/>
            </w:pPr>
          </w:p>
        </w:tc>
      </w:tr>
      <w:tr w:rsidR="00E93942" w:rsidRPr="000863A5" w14:paraId="501DEC89" w14:textId="77777777" w:rsidTr="00F87BCC">
        <w:tc>
          <w:tcPr>
            <w:tcW w:w="5000" w:type="pct"/>
            <w:tcBorders>
              <w:top w:val="single" w:sz="6" w:space="0" w:color="78A22F"/>
              <w:left w:val="nil"/>
              <w:bottom w:val="nil"/>
              <w:right w:val="nil"/>
            </w:tcBorders>
          </w:tcPr>
          <w:p w14:paraId="726CB9B9" w14:textId="77777777" w:rsidR="00E93942" w:rsidRPr="00626D32" w:rsidRDefault="00E93942" w:rsidP="00F87BCC">
            <w:pPr>
              <w:pStyle w:val="BoxSpaceBelow"/>
            </w:pPr>
          </w:p>
        </w:tc>
      </w:tr>
    </w:tbl>
    <w:p w14:paraId="65867A31" w14:textId="77777777" w:rsidR="00E93942" w:rsidRDefault="00E93942" w:rsidP="00E93942">
      <w:pPr>
        <w:pStyle w:val="Heading4"/>
      </w:pPr>
      <w:bookmarkStart w:id="21" w:name="_Toc34311761"/>
      <w:r>
        <w:t>Access</w:t>
      </w:r>
      <w:r w:rsidRPr="00D77D61">
        <w:t xml:space="preserve"> — </w:t>
      </w:r>
      <w:r>
        <w:t>Potentially avoidable</w:t>
      </w:r>
      <w:r w:rsidRPr="00D77D61">
        <w:t xml:space="preserve"> presentations to emergency departments</w:t>
      </w:r>
      <w:bookmarkEnd w:id="21"/>
    </w:p>
    <w:p w14:paraId="730AA415" w14:textId="77777777" w:rsidR="00E93942" w:rsidRDefault="00E93942" w:rsidP="00E93942">
      <w:pPr>
        <w:pStyle w:val="BodyText"/>
      </w:pPr>
      <w:r>
        <w:t>‘Potentially avoidable presentations to emergency departments’ (also known as ‘GP-type presentations’) is an indicator of governments’ objective for primary and community healthcare to be accessible (box 10.5).</w:t>
      </w:r>
    </w:p>
    <w:p w14:paraId="7A45A440" w14:textId="77777777" w:rsidR="00E93942" w:rsidRDefault="00E93942" w:rsidP="00E93942">
      <w:pPr>
        <w:pStyle w:val="BoxSpaceAbove"/>
      </w:pPr>
    </w:p>
    <w:tbl>
      <w:tblPr>
        <w:tblW w:w="4843" w:type="pct"/>
        <w:tblInd w:w="142"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513"/>
      </w:tblGrid>
      <w:tr w:rsidR="00E93942" w14:paraId="107C758D" w14:textId="77777777" w:rsidTr="00F87BCC">
        <w:trPr>
          <w:tblHeader/>
        </w:trPr>
        <w:tc>
          <w:tcPr>
            <w:tcW w:w="5000" w:type="pct"/>
            <w:tcBorders>
              <w:top w:val="single" w:sz="6" w:space="0" w:color="78A22F"/>
              <w:left w:val="nil"/>
              <w:bottom w:val="nil"/>
              <w:right w:val="nil"/>
            </w:tcBorders>
            <w:shd w:val="clear" w:color="auto" w:fill="F2F2F2"/>
          </w:tcPr>
          <w:p w14:paraId="5CBB175F" w14:textId="77777777" w:rsidR="00E93942" w:rsidRDefault="00E93942" w:rsidP="00F87BCC">
            <w:pPr>
              <w:pStyle w:val="BoxTitle"/>
            </w:pPr>
            <w:r>
              <w:rPr>
                <w:b w:val="0"/>
              </w:rPr>
              <w:t>Box 10.5</w:t>
            </w:r>
            <w:r>
              <w:tab/>
              <w:t>Potentially avoidable presentations to emergency departments</w:t>
            </w:r>
          </w:p>
        </w:tc>
      </w:tr>
      <w:tr w:rsidR="00E93942" w14:paraId="6E8E42B4" w14:textId="77777777" w:rsidTr="00F87BCC">
        <w:tc>
          <w:tcPr>
            <w:tcW w:w="5000" w:type="pct"/>
            <w:tcBorders>
              <w:top w:val="nil"/>
              <w:left w:val="nil"/>
              <w:bottom w:val="nil"/>
              <w:right w:val="nil"/>
            </w:tcBorders>
            <w:shd w:val="clear" w:color="auto" w:fill="F2F2F2"/>
          </w:tcPr>
          <w:p w14:paraId="11B65421" w14:textId="77777777" w:rsidR="00E93942" w:rsidRDefault="00E93942" w:rsidP="00F87BCC">
            <w:pPr>
              <w:pStyle w:val="Box"/>
            </w:pPr>
            <w:r>
              <w:t>P</w:t>
            </w:r>
            <w:r w:rsidRPr="004C1535">
              <w:t>otentially avoidable present</w:t>
            </w:r>
            <w:r>
              <w:t xml:space="preserve">ations to emergency departments </w:t>
            </w:r>
            <w:r w:rsidRPr="00CC4FB1">
              <w:t>(interim measure)</w:t>
            </w:r>
            <w:r w:rsidRPr="004C1535">
              <w:t xml:space="preserve"> </w:t>
            </w:r>
            <w:r>
              <w:t xml:space="preserve">are </w:t>
            </w:r>
            <w:r w:rsidRPr="004C1535">
              <w:t>defined as</w:t>
            </w:r>
            <w:r>
              <w:t xml:space="preserve"> the </w:t>
            </w:r>
            <w:r w:rsidRPr="004C1535">
              <w:t>number of selected ‘GP</w:t>
            </w:r>
            <w:r>
              <w:noBreakHyphen/>
            </w:r>
            <w:r w:rsidRPr="004C1535">
              <w:t>type presentations’ to emergency departments, where selected GP</w:t>
            </w:r>
            <w:r>
              <w:noBreakHyphen/>
            </w:r>
            <w:r w:rsidRPr="004C1535">
              <w:t xml:space="preserve">type presentations are </w:t>
            </w:r>
            <w:r w:rsidRPr="005744E5">
              <w:t>emergency presentation</w:t>
            </w:r>
            <w:r>
              <w:t>s:</w:t>
            </w:r>
          </w:p>
          <w:p w14:paraId="1AC6286B" w14:textId="7764691C" w:rsidR="00E93942" w:rsidRDefault="00E93942" w:rsidP="00F87BCC">
            <w:pPr>
              <w:pStyle w:val="BoxListBullet"/>
            </w:pPr>
            <w:r w:rsidRPr="004C1535">
              <w:t xml:space="preserve">allocated to triage category 4 </w:t>
            </w:r>
            <w:r>
              <w:t>(</w:t>
            </w:r>
            <w:r w:rsidRPr="005744E5">
              <w:t>semi</w:t>
            </w:r>
            <w:r>
              <w:noBreakHyphen/>
            </w:r>
            <w:r w:rsidRPr="005744E5">
              <w:t>urgent</w:t>
            </w:r>
            <w:r>
              <w:t>)</w:t>
            </w:r>
            <w:r w:rsidRPr="005744E5">
              <w:t xml:space="preserve"> </w:t>
            </w:r>
            <w:r w:rsidRPr="004C1535">
              <w:t>or 5</w:t>
            </w:r>
            <w:r>
              <w:t xml:space="preserve"> (</w:t>
            </w:r>
            <w:r w:rsidRPr="005744E5">
              <w:t>non</w:t>
            </w:r>
            <w:r>
              <w:noBreakHyphen/>
            </w:r>
            <w:r w:rsidRPr="005744E5">
              <w:t>urgent</w:t>
            </w:r>
            <w:r>
              <w:t>)</w:t>
            </w:r>
            <w:r w:rsidR="003F1D73">
              <w:t>; and</w:t>
            </w:r>
          </w:p>
          <w:p w14:paraId="3F094DB7" w14:textId="1ADB233D" w:rsidR="00E93942" w:rsidRDefault="00E93942" w:rsidP="00F87BCC">
            <w:pPr>
              <w:pStyle w:val="BoxListBullet"/>
            </w:pPr>
            <w:r w:rsidRPr="004C1535">
              <w:t>not arriving by ambulance, with police or corrections</w:t>
            </w:r>
            <w:r w:rsidR="003F1D73">
              <w:t>; and</w:t>
            </w:r>
          </w:p>
          <w:p w14:paraId="62F72BD6" w14:textId="4CEEA59D" w:rsidR="00E93942" w:rsidRDefault="00E93942" w:rsidP="00F87BCC">
            <w:pPr>
              <w:pStyle w:val="BoxListBullet"/>
            </w:pPr>
            <w:r w:rsidRPr="004C1535">
              <w:t>not admitted or referred to another hospital</w:t>
            </w:r>
            <w:r w:rsidR="003F1D73">
              <w:t>; and</w:t>
            </w:r>
          </w:p>
          <w:p w14:paraId="3F59A016" w14:textId="77777777" w:rsidR="00E93942" w:rsidRDefault="00E93942" w:rsidP="00F87BCC">
            <w:pPr>
              <w:pStyle w:val="BoxListBullet"/>
            </w:pPr>
            <w:r>
              <w:t xml:space="preserve">who did not </w:t>
            </w:r>
            <w:proofErr w:type="gramStart"/>
            <w:r>
              <w:t>die.</w:t>
            </w:r>
            <w:proofErr w:type="gramEnd"/>
          </w:p>
          <w:p w14:paraId="6C5F42AF" w14:textId="6BBCE6E1" w:rsidR="00E93942" w:rsidRDefault="00E93942" w:rsidP="00F87BCC">
            <w:pPr>
              <w:pStyle w:val="Box"/>
            </w:pPr>
            <w:r w:rsidRPr="00CC4FB1">
              <w:t>Potentially avoidable presentations to emergency departments</w:t>
            </w:r>
            <w:r>
              <w:t xml:space="preserve"> </w:t>
            </w:r>
            <w:r w:rsidRPr="00CC4FB1">
              <w:t>are presentations for conditions that could be appropriately managed in the primary and community health sector. In some cases, this can be determined only retrospectively and presentation to an emergency department is appropriate.</w:t>
            </w:r>
            <w:r w:rsidRPr="00211B55">
              <w:t xml:space="preserve"> </w:t>
            </w:r>
            <w:r w:rsidRPr="00C93961">
              <w:t>Factors contributing to GP</w:t>
            </w:r>
            <w:r w:rsidRPr="00C93961">
              <w:noBreakHyphen/>
              <w:t>type presentations at emergency departments include perceived or actual lack of access to GP services, the proximity of emergency departments and trust in emergency department staff.</w:t>
            </w:r>
            <w:r>
              <w:t xml:space="preserve"> </w:t>
            </w:r>
          </w:p>
          <w:p w14:paraId="0D4A7027" w14:textId="77777777" w:rsidR="00232AF6" w:rsidRPr="0083437D" w:rsidRDefault="00232AF6" w:rsidP="00232AF6">
            <w:pPr>
              <w:pStyle w:val="Box"/>
              <w:rPr>
                <w:b/>
              </w:rPr>
            </w:pPr>
            <w:r>
              <w:t>Once a suitable denominator for this measure is agreed, a</w:t>
            </w:r>
            <w:r w:rsidRPr="004C1535">
              <w:t xml:space="preserve"> low or decreasing </w:t>
            </w:r>
            <w:r>
              <w:t>rate/</w:t>
            </w:r>
            <w:r w:rsidRPr="004C1535">
              <w:t xml:space="preserve">proportion of potentially avoidable presentations to emergency departments can indicate better access to primary and community health </w:t>
            </w:r>
            <w:r w:rsidRPr="0083437D">
              <w:t xml:space="preserve">care. Currently, the </w:t>
            </w:r>
            <w:r w:rsidRPr="0083437D">
              <w:rPr>
                <w:i/>
              </w:rPr>
              <w:t>number</w:t>
            </w:r>
            <w:r w:rsidRPr="0083437D">
              <w:t xml:space="preserve"> of potentially avoidable presentations to emergency departments are reported for this indicator. In future, this indicator will be reported as a </w:t>
            </w:r>
            <w:r w:rsidRPr="0083437D">
              <w:rPr>
                <w:i/>
              </w:rPr>
              <w:t>proportion</w:t>
            </w:r>
            <w:r w:rsidRPr="0083437D">
              <w:t xml:space="preserve"> (for example, the number of potentially avoidable GP-type presentations to emergency departments, as a proportion of all presentations to emergency departments), subject to the identification of a suitable denominator.</w:t>
            </w:r>
          </w:p>
          <w:p w14:paraId="7BBD386B" w14:textId="77777777" w:rsidR="00232AF6" w:rsidRDefault="00232AF6" w:rsidP="00232AF6">
            <w:pPr>
              <w:pStyle w:val="Box"/>
            </w:pPr>
            <w:r>
              <w:t>Data reported for this measure are:</w:t>
            </w:r>
          </w:p>
          <w:p w14:paraId="252A602D" w14:textId="77777777" w:rsidR="00232AF6" w:rsidRDefault="00232AF6" w:rsidP="00232AF6">
            <w:pPr>
              <w:pStyle w:val="Box"/>
              <w:ind w:left="284"/>
            </w:pPr>
            <w:r w:rsidRPr="00B664EA">
              <w:rPr>
                <w:shd w:val="clear" w:color="auto" w:fill="FCDED3"/>
              </w:rPr>
              <w:t xml:space="preserve">    </w:t>
            </w:r>
            <w:r>
              <w:t xml:space="preserve"> not comparable across jurisdictions or within some jurisdictions over time, but are </w:t>
            </w:r>
            <w:r w:rsidRPr="00682795">
              <w:t>comparable within</w:t>
            </w:r>
            <w:r>
              <w:t xml:space="preserve"> other</w:t>
            </w:r>
            <w:r w:rsidRPr="00682795">
              <w:t xml:space="preserve"> jurisdictions over time </w:t>
            </w:r>
            <w:r>
              <w:t>(see caveats in data tables)</w:t>
            </w:r>
          </w:p>
          <w:p w14:paraId="1D8E137C" w14:textId="3C9CB039" w:rsidR="00E93942" w:rsidRDefault="00232AF6" w:rsidP="00232AF6">
            <w:pPr>
              <w:pStyle w:val="Box"/>
              <w:ind w:left="284"/>
            </w:pPr>
            <w:r w:rsidRPr="001B3B2F">
              <w:rPr>
                <w:shd w:val="clear" w:color="auto" w:fill="F15A25"/>
              </w:rPr>
              <w:t xml:space="preserve">    </w:t>
            </w:r>
            <w:r>
              <w:t xml:space="preserve"> complete (subject to caveats) for the current reporting period. All required data for 2019-20 are available for all jurisdictions.</w:t>
            </w:r>
          </w:p>
        </w:tc>
      </w:tr>
      <w:tr w:rsidR="00E93942" w14:paraId="75F1AF3E" w14:textId="77777777" w:rsidTr="00F87BCC">
        <w:tc>
          <w:tcPr>
            <w:tcW w:w="5000" w:type="pct"/>
            <w:tcBorders>
              <w:top w:val="nil"/>
              <w:left w:val="nil"/>
              <w:bottom w:val="single" w:sz="6" w:space="0" w:color="78A22F"/>
              <w:right w:val="nil"/>
            </w:tcBorders>
            <w:shd w:val="clear" w:color="auto" w:fill="F2F2F2"/>
          </w:tcPr>
          <w:p w14:paraId="62A1D83E" w14:textId="77777777" w:rsidR="00E93942" w:rsidRDefault="00E93942" w:rsidP="00F87BCC">
            <w:pPr>
              <w:pStyle w:val="Box"/>
              <w:spacing w:before="0" w:line="120" w:lineRule="exact"/>
            </w:pPr>
          </w:p>
        </w:tc>
      </w:tr>
      <w:tr w:rsidR="00E93942" w:rsidRPr="000863A5" w14:paraId="58AC377D" w14:textId="77777777" w:rsidTr="00F87BCC">
        <w:tc>
          <w:tcPr>
            <w:tcW w:w="5000" w:type="pct"/>
            <w:tcBorders>
              <w:top w:val="single" w:sz="6" w:space="0" w:color="78A22F"/>
              <w:left w:val="nil"/>
              <w:bottom w:val="nil"/>
              <w:right w:val="nil"/>
            </w:tcBorders>
          </w:tcPr>
          <w:p w14:paraId="53DCCCDE" w14:textId="77777777" w:rsidR="00E93942" w:rsidRPr="00626D32" w:rsidRDefault="00E93942" w:rsidP="00F87BCC">
            <w:pPr>
              <w:pStyle w:val="BoxSpaceBelow"/>
            </w:pPr>
          </w:p>
        </w:tc>
      </w:tr>
    </w:tbl>
    <w:p w14:paraId="5D635770" w14:textId="6D3E9A21" w:rsidR="00E93942" w:rsidRDefault="00E93942" w:rsidP="00E93942">
      <w:pPr>
        <w:pStyle w:val="Heading4"/>
      </w:pPr>
      <w:bookmarkStart w:id="22" w:name="_Toc34311762"/>
      <w:r>
        <w:t xml:space="preserve">Appropriateness </w:t>
      </w:r>
      <w:r w:rsidR="00BB371E" w:rsidRPr="00BB371E">
        <w:t>—</w:t>
      </w:r>
      <w:r>
        <w:t xml:space="preserve"> Developmental health checks</w:t>
      </w:r>
      <w:bookmarkEnd w:id="22"/>
    </w:p>
    <w:p w14:paraId="471E3D60" w14:textId="77777777" w:rsidR="00E93942" w:rsidRDefault="00E93942" w:rsidP="00E93942">
      <w:pPr>
        <w:pStyle w:val="BodyText"/>
        <w:tabs>
          <w:tab w:val="left" w:pos="8222"/>
        </w:tabs>
      </w:pPr>
      <w:r>
        <w:t>‘Developmental health checks’ is an indicator of governments’ objective to ensure that services are appropriate and responsive to the needs of children (box 10.6)</w:t>
      </w:r>
      <w:r w:rsidRPr="0001197C">
        <w:t>.</w:t>
      </w:r>
      <w:r>
        <w:t xml:space="preserve"> </w:t>
      </w:r>
    </w:p>
    <w:p w14:paraId="6E2575F9" w14:textId="77777777" w:rsidR="00E93942" w:rsidRDefault="00E93942" w:rsidP="00E93942">
      <w:pPr>
        <w:pStyle w:val="BoxSpaceAbove"/>
      </w:pPr>
    </w:p>
    <w:tbl>
      <w:tblPr>
        <w:tblW w:w="8793" w:type="dxa"/>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93"/>
      </w:tblGrid>
      <w:tr w:rsidR="00E93942" w14:paraId="5D8246E8" w14:textId="77777777" w:rsidTr="00F87BCC">
        <w:tc>
          <w:tcPr>
            <w:tcW w:w="8793" w:type="dxa"/>
            <w:tcBorders>
              <w:top w:val="single" w:sz="6" w:space="0" w:color="78A22F"/>
              <w:left w:val="nil"/>
              <w:bottom w:val="nil"/>
              <w:right w:val="nil"/>
            </w:tcBorders>
            <w:shd w:val="clear" w:color="auto" w:fill="F2F2F2"/>
          </w:tcPr>
          <w:p w14:paraId="2E2BB317" w14:textId="77777777" w:rsidR="00E93942" w:rsidRDefault="00E93942" w:rsidP="00F87BCC">
            <w:pPr>
              <w:pStyle w:val="BoxTitle"/>
            </w:pPr>
            <w:r>
              <w:rPr>
                <w:b w:val="0"/>
              </w:rPr>
              <w:t>Box 10.</w:t>
            </w:r>
            <w:r>
              <w:rPr>
                <w:b w:val="0"/>
                <w:noProof/>
              </w:rPr>
              <w:t>6</w:t>
            </w:r>
            <w:r>
              <w:tab/>
              <w:t>Developmental health checks</w:t>
            </w:r>
          </w:p>
        </w:tc>
      </w:tr>
      <w:tr w:rsidR="00E93942" w14:paraId="57696000" w14:textId="77777777" w:rsidTr="00F87BCC">
        <w:tc>
          <w:tcPr>
            <w:tcW w:w="8793" w:type="dxa"/>
            <w:tcBorders>
              <w:top w:val="nil"/>
              <w:left w:val="nil"/>
              <w:bottom w:val="nil"/>
              <w:right w:val="nil"/>
            </w:tcBorders>
            <w:shd w:val="clear" w:color="auto" w:fill="F2F2F2"/>
          </w:tcPr>
          <w:p w14:paraId="69E70C0B" w14:textId="77777777" w:rsidR="00E93942" w:rsidRDefault="00E93942" w:rsidP="00F87BCC">
            <w:pPr>
              <w:pStyle w:val="Box"/>
            </w:pPr>
            <w:r>
              <w:t>‘Developmental health checks’</w:t>
            </w:r>
            <w:r w:rsidRPr="00F34472">
              <w:t xml:space="preserve"> </w:t>
            </w:r>
            <w:r>
              <w:t>are defined as</w:t>
            </w:r>
            <w:r w:rsidRPr="00C9583D">
              <w:t xml:space="preserve"> the</w:t>
            </w:r>
            <w:r>
              <w:t xml:space="preserve"> </w:t>
            </w:r>
            <w:r w:rsidRPr="008B285E">
              <w:t xml:space="preserve">proportion of </w:t>
            </w:r>
            <w:r>
              <w:t xml:space="preserve">preschool-aged </w:t>
            </w:r>
            <w:r w:rsidRPr="008B285E">
              <w:t>children who received a developmental health assessment</w:t>
            </w:r>
            <w:r w:rsidRPr="00C9583D">
              <w:t>.</w:t>
            </w:r>
          </w:p>
          <w:p w14:paraId="5FC5F310" w14:textId="77777777" w:rsidR="00E93942" w:rsidRPr="008C5C2B" w:rsidRDefault="00E93942" w:rsidP="00F87BCC">
            <w:pPr>
              <w:pStyle w:val="Box"/>
            </w:pPr>
            <w:r w:rsidRPr="00617D21">
              <w:t>A high</w:t>
            </w:r>
            <w:r w:rsidRPr="008C5C2B">
              <w:t xml:space="preserve"> or increasing proportion </w:t>
            </w:r>
            <w:r>
              <w:t xml:space="preserve">of preschool-aged children receiving developmental health checks </w:t>
            </w:r>
            <w:r w:rsidRPr="008C5C2B">
              <w:t>is desirable.</w:t>
            </w:r>
          </w:p>
          <w:p w14:paraId="480A8A53" w14:textId="77777777" w:rsidR="00E93942" w:rsidRDefault="00E93942" w:rsidP="00F87BCC">
            <w:pPr>
              <w:pStyle w:val="BoxListBullet"/>
              <w:numPr>
                <w:ilvl w:val="0"/>
                <w:numId w:val="0"/>
              </w:numPr>
              <w:ind w:left="284" w:hanging="284"/>
            </w:pPr>
            <w:r w:rsidRPr="005E3DE3">
              <w:t>Data are not yet available for r</w:t>
            </w:r>
            <w:r>
              <w:t xml:space="preserve">eporting against this indicator. </w:t>
            </w:r>
          </w:p>
        </w:tc>
      </w:tr>
      <w:tr w:rsidR="00E93942" w14:paraId="68D4AECC" w14:textId="77777777" w:rsidTr="00F87BCC">
        <w:tc>
          <w:tcPr>
            <w:tcW w:w="8793" w:type="dxa"/>
            <w:tcBorders>
              <w:top w:val="nil"/>
              <w:left w:val="nil"/>
              <w:bottom w:val="single" w:sz="6" w:space="0" w:color="78A22F"/>
              <w:right w:val="nil"/>
            </w:tcBorders>
            <w:shd w:val="clear" w:color="auto" w:fill="F2F2F2"/>
          </w:tcPr>
          <w:p w14:paraId="0094D5A4" w14:textId="77777777" w:rsidR="00E93942" w:rsidRDefault="00E93942" w:rsidP="00F87BCC">
            <w:pPr>
              <w:pStyle w:val="Box"/>
              <w:spacing w:before="0" w:line="120" w:lineRule="exact"/>
            </w:pPr>
          </w:p>
        </w:tc>
      </w:tr>
      <w:tr w:rsidR="00E93942" w:rsidRPr="000863A5" w14:paraId="12121B7E" w14:textId="77777777" w:rsidTr="00F87BCC">
        <w:tc>
          <w:tcPr>
            <w:tcW w:w="8793" w:type="dxa"/>
            <w:tcBorders>
              <w:top w:val="single" w:sz="6" w:space="0" w:color="78A22F"/>
              <w:left w:val="nil"/>
              <w:bottom w:val="nil"/>
              <w:right w:val="nil"/>
            </w:tcBorders>
          </w:tcPr>
          <w:p w14:paraId="4242A71F" w14:textId="77777777" w:rsidR="00E93942" w:rsidRPr="00626D32" w:rsidRDefault="00E93942" w:rsidP="00F87BCC">
            <w:pPr>
              <w:pStyle w:val="BoxSpaceBelow"/>
            </w:pPr>
          </w:p>
        </w:tc>
      </w:tr>
    </w:tbl>
    <w:p w14:paraId="5BB57256" w14:textId="612E48DF" w:rsidR="00E93942" w:rsidRDefault="00E93942" w:rsidP="00E93942">
      <w:pPr>
        <w:pStyle w:val="Heading4"/>
      </w:pPr>
      <w:bookmarkStart w:id="23" w:name="_Toc34311763"/>
      <w:r>
        <w:lastRenderedPageBreak/>
        <w:t xml:space="preserve">Appropriateness </w:t>
      </w:r>
      <w:r w:rsidR="00BB371E" w:rsidRPr="00BB371E">
        <w:t>—</w:t>
      </w:r>
      <w:r w:rsidR="00BB371E">
        <w:t xml:space="preserve"> </w:t>
      </w:r>
      <w:r>
        <w:t>Chronic disease management</w:t>
      </w:r>
      <w:bookmarkEnd w:id="23"/>
    </w:p>
    <w:p w14:paraId="5AF0249B" w14:textId="77777777" w:rsidR="00E93942" w:rsidRDefault="00E93942" w:rsidP="00E93942">
      <w:pPr>
        <w:pStyle w:val="BodyText"/>
      </w:pPr>
      <w:r>
        <w:t>‘</w:t>
      </w:r>
      <w:r w:rsidRPr="004815B8">
        <w:t>Chronic disease management</w:t>
      </w:r>
      <w:r>
        <w:t>’</w:t>
      </w:r>
      <w:r w:rsidRPr="00D00A5A">
        <w:t xml:space="preserve"> </w:t>
      </w:r>
      <w:r>
        <w:t>is an indicator of governments’ objective to ensure that primary and community health services are appropriate and responsive to meet the needs of individuals throughout their lifespan (</w:t>
      </w:r>
      <w:r w:rsidRPr="00350258">
        <w:t>box</w:t>
      </w:r>
      <w:r>
        <w:t> </w:t>
      </w:r>
      <w:r w:rsidRPr="00350258">
        <w:t>10.</w:t>
      </w:r>
      <w:r>
        <w:t>7).</w:t>
      </w:r>
    </w:p>
    <w:p w14:paraId="49B94691" w14:textId="77777777" w:rsidR="00E93942" w:rsidRDefault="00E93942" w:rsidP="00E93942">
      <w:pPr>
        <w:pStyle w:val="BoxSpaceAbove"/>
      </w:pPr>
    </w:p>
    <w:tbl>
      <w:tblPr>
        <w:tblW w:w="8793" w:type="dxa"/>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93"/>
      </w:tblGrid>
      <w:tr w:rsidR="00E93942" w14:paraId="00DF1053" w14:textId="77777777" w:rsidTr="00F87BCC">
        <w:tc>
          <w:tcPr>
            <w:tcW w:w="8793" w:type="dxa"/>
            <w:tcBorders>
              <w:top w:val="single" w:sz="6" w:space="0" w:color="78A22F"/>
              <w:left w:val="nil"/>
              <w:bottom w:val="nil"/>
              <w:right w:val="nil"/>
            </w:tcBorders>
            <w:shd w:val="clear" w:color="auto" w:fill="F2F2F2"/>
          </w:tcPr>
          <w:p w14:paraId="63D516F8" w14:textId="77777777" w:rsidR="00E93942" w:rsidRDefault="00E93942" w:rsidP="00F87BCC">
            <w:pPr>
              <w:pStyle w:val="BoxTitle"/>
            </w:pPr>
            <w:r>
              <w:rPr>
                <w:b w:val="0"/>
              </w:rPr>
              <w:t>Box 10.</w:t>
            </w:r>
            <w:r>
              <w:rPr>
                <w:b w:val="0"/>
                <w:noProof/>
              </w:rPr>
              <w:t>7</w:t>
            </w:r>
            <w:r>
              <w:tab/>
            </w:r>
            <w:r w:rsidRPr="004815B8">
              <w:t>Chronic disease management</w:t>
            </w:r>
          </w:p>
        </w:tc>
      </w:tr>
      <w:tr w:rsidR="00E93942" w14:paraId="19AAE2D2" w14:textId="77777777" w:rsidTr="00F87BCC">
        <w:tc>
          <w:tcPr>
            <w:tcW w:w="8793" w:type="dxa"/>
            <w:tcBorders>
              <w:top w:val="nil"/>
              <w:left w:val="nil"/>
              <w:bottom w:val="nil"/>
              <w:right w:val="nil"/>
            </w:tcBorders>
            <w:shd w:val="clear" w:color="auto" w:fill="F2F2F2"/>
          </w:tcPr>
          <w:p w14:paraId="0881E6AB" w14:textId="77777777" w:rsidR="00E93942" w:rsidRDefault="00E93942" w:rsidP="00F87BCC">
            <w:pPr>
              <w:pStyle w:val="Box"/>
            </w:pPr>
            <w:r>
              <w:t>‘</w:t>
            </w:r>
            <w:r w:rsidRPr="004815B8">
              <w:t>Chronic disease management</w:t>
            </w:r>
            <w:r>
              <w:t>’</w:t>
            </w:r>
            <w:r w:rsidRPr="00F34472">
              <w:t xml:space="preserve"> </w:t>
            </w:r>
            <w:r>
              <w:t>is defined by two measures:</w:t>
            </w:r>
          </w:p>
          <w:p w14:paraId="7A7AEF88" w14:textId="77777777" w:rsidR="00E93942" w:rsidRDefault="00E93942" w:rsidP="00F87BCC">
            <w:pPr>
              <w:pStyle w:val="BoxListBullet"/>
            </w:pPr>
            <w:r>
              <w:t>Management of diabetes, defined as t</w:t>
            </w:r>
            <w:r w:rsidRPr="004C6697">
              <w:t>he proportion of people with diabetes with HbA1c (glyc</w:t>
            </w:r>
            <w:r>
              <w:t>o</w:t>
            </w:r>
            <w:r w:rsidRPr="004C6697">
              <w:t>s</w:t>
            </w:r>
            <w:r>
              <w:t>y</w:t>
            </w:r>
            <w:r w:rsidRPr="004C6697">
              <w:t>late</w:t>
            </w:r>
            <w:r>
              <w:t xml:space="preserve">d haemoglobin) levels less than or equal to 7 per cent </w:t>
            </w:r>
          </w:p>
          <w:p w14:paraId="59442FB3" w14:textId="77777777" w:rsidR="00E93942" w:rsidRDefault="00E93942" w:rsidP="00F87BCC">
            <w:pPr>
              <w:pStyle w:val="BoxListBullet"/>
            </w:pPr>
            <w:r>
              <w:t>Management of asthma, defined as the proportion of people with asthma who have a written asthma action plan.</w:t>
            </w:r>
          </w:p>
          <w:p w14:paraId="27E6CEDB" w14:textId="4F2A8C48" w:rsidR="00E93942" w:rsidRPr="008C5C2B" w:rsidRDefault="00E93942" w:rsidP="00F87BCC">
            <w:pPr>
              <w:pStyle w:val="Box"/>
            </w:pPr>
            <w:r w:rsidRPr="00617D21">
              <w:t>A high</w:t>
            </w:r>
            <w:r w:rsidRPr="008C5C2B">
              <w:t xml:space="preserve"> or increasing proportion </w:t>
            </w:r>
            <w:r>
              <w:t xml:space="preserve">for each </w:t>
            </w:r>
            <w:r w:rsidRPr="00A07621">
              <w:t xml:space="preserve">measure is desirable. HbA1c provides a measure of the average blood glucose level for the preceding three months, and a HbA1c level </w:t>
            </w:r>
            <w:r>
              <w:t xml:space="preserve">less than or equal to </w:t>
            </w:r>
            <w:r w:rsidRPr="00A07621">
              <w:t>7 per cent indicates appropriate management.</w:t>
            </w:r>
            <w:r w:rsidR="00CF09E1">
              <w:t xml:space="preserve"> </w:t>
            </w:r>
            <w:r w:rsidR="00CF09E1" w:rsidRPr="00CF09E1">
              <w:t xml:space="preserve">HbA1c data </w:t>
            </w:r>
            <w:r w:rsidR="00CF09E1">
              <w:t>are for people</w:t>
            </w:r>
            <w:r w:rsidR="00CF09E1" w:rsidRPr="00CF09E1">
              <w:t xml:space="preserve"> aged 18-69 years</w:t>
            </w:r>
            <w:r w:rsidR="00CF09E1">
              <w:t>.</w:t>
            </w:r>
          </w:p>
          <w:p w14:paraId="5C9A5F74" w14:textId="77777777" w:rsidR="00E93942" w:rsidRDefault="00E93942" w:rsidP="00F87BCC">
            <w:pPr>
              <w:keepNext/>
              <w:spacing w:before="120" w:line="260" w:lineRule="atLeast"/>
              <w:jc w:val="both"/>
              <w:rPr>
                <w:rFonts w:ascii="Arial" w:hAnsi="Arial"/>
                <w:sz w:val="20"/>
                <w:szCs w:val="20"/>
              </w:rPr>
            </w:pPr>
            <w:r w:rsidRPr="002F2D31">
              <w:rPr>
                <w:rFonts w:ascii="Arial" w:hAnsi="Arial"/>
                <w:sz w:val="20"/>
                <w:szCs w:val="20"/>
              </w:rPr>
              <w:t>Data reported against this indicator are:</w:t>
            </w:r>
          </w:p>
          <w:p w14:paraId="294CD250" w14:textId="77777777" w:rsidR="00E93942" w:rsidRDefault="00E93942" w:rsidP="00F87BCC">
            <w:pPr>
              <w:pStyle w:val="Box"/>
              <w:ind w:left="284"/>
            </w:pPr>
            <w:r w:rsidRPr="001B3B2F">
              <w:rPr>
                <w:shd w:val="clear" w:color="auto" w:fill="F15A25"/>
              </w:rPr>
              <w:t xml:space="preserve">    </w:t>
            </w:r>
            <w:r>
              <w:t xml:space="preserve"> comparable (subject to caveats) across jurisdictions and over time</w:t>
            </w:r>
          </w:p>
          <w:p w14:paraId="032D137E" w14:textId="77777777" w:rsidR="00E93942" w:rsidRDefault="00E93942" w:rsidP="00F87BCC">
            <w:pPr>
              <w:pStyle w:val="Box"/>
              <w:ind w:left="284"/>
            </w:pPr>
            <w:r w:rsidRPr="001B3B2F">
              <w:rPr>
                <w:shd w:val="clear" w:color="auto" w:fill="F15A25"/>
              </w:rPr>
              <w:t xml:space="preserve">    </w:t>
            </w:r>
            <w:r>
              <w:t xml:space="preserve"> complete (subject to caveats) for the current reporting period. All required data are </w:t>
            </w:r>
            <w:r w:rsidRPr="002F2D31">
              <w:t>available for all jurisdictions for management of diabetes</w:t>
            </w:r>
            <w:r>
              <w:t xml:space="preserve"> </w:t>
            </w:r>
            <w:r w:rsidRPr="002F2D31">
              <w:t>(</w:t>
            </w:r>
            <w:r w:rsidRPr="00C91425">
              <w:t>2011</w:t>
            </w:r>
            <w:r w:rsidRPr="00C91425">
              <w:noBreakHyphen/>
              <w:t>12</w:t>
            </w:r>
            <w:r w:rsidRPr="002F2D31">
              <w:t>) and</w:t>
            </w:r>
            <w:r>
              <w:t xml:space="preserve"> management of asthma (2017</w:t>
            </w:r>
            <w:r>
              <w:noBreakHyphen/>
              <w:t>18).</w:t>
            </w:r>
          </w:p>
          <w:p w14:paraId="735186BD" w14:textId="77777777" w:rsidR="00E93942" w:rsidRPr="00F30DDF" w:rsidRDefault="00E93942" w:rsidP="00F87BCC">
            <w:pPr>
              <w:pStyle w:val="Box"/>
            </w:pPr>
            <w:r w:rsidRPr="009F68F0">
              <w:t xml:space="preserve">The </w:t>
            </w:r>
            <w:r>
              <w:t>ABS National Health Survey</w:t>
            </w:r>
            <w:r w:rsidRPr="009F68F0">
              <w:t xml:space="preserve"> does not include people living in </w:t>
            </w:r>
            <w:r>
              <w:t xml:space="preserve">very remote areas and </w:t>
            </w:r>
            <w:r w:rsidRPr="009F68F0">
              <w:t xml:space="preserve">discrete Indigenous communities, which affects the </w:t>
            </w:r>
            <w:r>
              <w:t>representativeness</w:t>
            </w:r>
            <w:r w:rsidRPr="009F68F0">
              <w:t xml:space="preserve"> of the NT results for the </w:t>
            </w:r>
            <w:r>
              <w:t>asthma</w:t>
            </w:r>
            <w:r w:rsidRPr="009F68F0">
              <w:t xml:space="preserve"> measure</w:t>
            </w:r>
            <w:r>
              <w:t>. Approximately 20 per cent of the estimated resident population of the NT live in very remote areas and discrete Indigenous communities</w:t>
            </w:r>
            <w:r w:rsidRPr="00E1291A">
              <w:t>.</w:t>
            </w:r>
          </w:p>
        </w:tc>
      </w:tr>
      <w:tr w:rsidR="00E93942" w14:paraId="79C7DD67" w14:textId="77777777" w:rsidTr="00F87BCC">
        <w:tc>
          <w:tcPr>
            <w:tcW w:w="8793" w:type="dxa"/>
            <w:tcBorders>
              <w:top w:val="nil"/>
              <w:left w:val="nil"/>
              <w:bottom w:val="single" w:sz="6" w:space="0" w:color="78A22F"/>
              <w:right w:val="nil"/>
            </w:tcBorders>
            <w:shd w:val="clear" w:color="auto" w:fill="F2F2F2"/>
          </w:tcPr>
          <w:p w14:paraId="4BCC5AE5" w14:textId="77777777" w:rsidR="00E93942" w:rsidRDefault="00E93942" w:rsidP="00F87BCC">
            <w:pPr>
              <w:pStyle w:val="Box"/>
              <w:spacing w:before="0" w:line="120" w:lineRule="exact"/>
            </w:pPr>
          </w:p>
        </w:tc>
      </w:tr>
      <w:tr w:rsidR="00E93942" w:rsidRPr="000863A5" w14:paraId="3A4811AF" w14:textId="77777777" w:rsidTr="00F87BCC">
        <w:tc>
          <w:tcPr>
            <w:tcW w:w="8793" w:type="dxa"/>
            <w:tcBorders>
              <w:top w:val="single" w:sz="6" w:space="0" w:color="78A22F"/>
              <w:left w:val="nil"/>
              <w:bottom w:val="nil"/>
              <w:right w:val="nil"/>
            </w:tcBorders>
          </w:tcPr>
          <w:p w14:paraId="0385ACEF" w14:textId="77777777" w:rsidR="00E93942" w:rsidRPr="00626D32" w:rsidRDefault="00E93942" w:rsidP="00F87BCC">
            <w:pPr>
              <w:pStyle w:val="BoxSpaceBelow"/>
            </w:pPr>
          </w:p>
        </w:tc>
      </w:tr>
    </w:tbl>
    <w:p w14:paraId="174A35E3" w14:textId="77777777" w:rsidR="002D1F9D" w:rsidRDefault="002D1F9D" w:rsidP="00E93942">
      <w:pPr>
        <w:pStyle w:val="Heading4"/>
      </w:pPr>
      <w:bookmarkStart w:id="24" w:name="_Toc34311764"/>
    </w:p>
    <w:p w14:paraId="072E0D6F" w14:textId="77777777" w:rsidR="002D1F9D" w:rsidRDefault="002D1F9D">
      <w:pPr>
        <w:spacing w:after="200" w:line="276" w:lineRule="auto"/>
        <w:rPr>
          <w:rFonts w:ascii="Arial" w:hAnsi="Arial"/>
          <w:szCs w:val="20"/>
        </w:rPr>
      </w:pPr>
      <w:r>
        <w:br w:type="page"/>
      </w:r>
    </w:p>
    <w:p w14:paraId="79DB3DA3" w14:textId="1501F559" w:rsidR="00E93942" w:rsidRPr="00944E91" w:rsidRDefault="00E93942" w:rsidP="00E93942">
      <w:pPr>
        <w:pStyle w:val="Heading4"/>
      </w:pPr>
      <w:r>
        <w:lastRenderedPageBreak/>
        <w:t xml:space="preserve">Appropriateness </w:t>
      </w:r>
      <w:r w:rsidR="00BB371E" w:rsidRPr="00BB371E">
        <w:t>—</w:t>
      </w:r>
      <w:r>
        <w:t xml:space="preserve"> I</w:t>
      </w:r>
      <w:r w:rsidRPr="00CD66BC">
        <w:t>mmunisation coverage</w:t>
      </w:r>
      <w:bookmarkEnd w:id="24"/>
    </w:p>
    <w:p w14:paraId="6AD898F6" w14:textId="77777777" w:rsidR="00E93942" w:rsidRDefault="00E93942" w:rsidP="00E93942">
      <w:pPr>
        <w:pStyle w:val="BodyText"/>
      </w:pPr>
      <w:r w:rsidRPr="004D6520">
        <w:t>‘</w:t>
      </w:r>
      <w:r>
        <w:t>I</w:t>
      </w:r>
      <w:r w:rsidRPr="004D6520">
        <w:t xml:space="preserve">mmunisation coverage’ is an indicator of </w:t>
      </w:r>
      <w:r>
        <w:t>governments’ objective to ensure primary and community health services are appropriate and responsive</w:t>
      </w:r>
      <w:r w:rsidRPr="004D6520">
        <w:t xml:space="preserve"> </w:t>
      </w:r>
      <w:r>
        <w:t>to meet the needs of individuals throughout their lifespan and communities (</w:t>
      </w:r>
      <w:r w:rsidRPr="00AA3CFC">
        <w:t>box 10.</w:t>
      </w:r>
      <w:r>
        <w:t>8).</w:t>
      </w:r>
    </w:p>
    <w:p w14:paraId="12711439" w14:textId="77777777" w:rsidR="00E93942" w:rsidRDefault="00E93942" w:rsidP="00E93942">
      <w:pPr>
        <w:pStyle w:val="BoxSpaceAbove"/>
      </w:pPr>
    </w:p>
    <w:tbl>
      <w:tblPr>
        <w:tblW w:w="4843" w:type="pct"/>
        <w:tblInd w:w="142"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513"/>
      </w:tblGrid>
      <w:tr w:rsidR="00E93942" w14:paraId="7E88B458" w14:textId="77777777" w:rsidTr="00F87BCC">
        <w:trPr>
          <w:tblHeader/>
        </w:trPr>
        <w:tc>
          <w:tcPr>
            <w:tcW w:w="5000" w:type="pct"/>
            <w:tcBorders>
              <w:top w:val="single" w:sz="6" w:space="0" w:color="78A22F"/>
              <w:left w:val="nil"/>
              <w:bottom w:val="nil"/>
              <w:right w:val="nil"/>
            </w:tcBorders>
            <w:shd w:val="clear" w:color="auto" w:fill="F2F2F2"/>
          </w:tcPr>
          <w:p w14:paraId="1721961E" w14:textId="77777777" w:rsidR="00E93942" w:rsidRDefault="00E93942" w:rsidP="00F87BCC">
            <w:pPr>
              <w:pStyle w:val="BoxTitle"/>
            </w:pPr>
            <w:r>
              <w:rPr>
                <w:b w:val="0"/>
              </w:rPr>
              <w:t>Box 10.8</w:t>
            </w:r>
            <w:r>
              <w:tab/>
              <w:t>I</w:t>
            </w:r>
            <w:r w:rsidRPr="00CD66BC">
              <w:t>mmunisation coverage</w:t>
            </w:r>
          </w:p>
        </w:tc>
      </w:tr>
      <w:tr w:rsidR="00E93942" w14:paraId="23C85385" w14:textId="77777777" w:rsidTr="00F87BCC">
        <w:tc>
          <w:tcPr>
            <w:tcW w:w="5000" w:type="pct"/>
            <w:tcBorders>
              <w:top w:val="nil"/>
              <w:left w:val="nil"/>
              <w:bottom w:val="nil"/>
              <w:right w:val="nil"/>
            </w:tcBorders>
            <w:shd w:val="clear" w:color="auto" w:fill="F2F2F2"/>
          </w:tcPr>
          <w:p w14:paraId="5D7B7DB1" w14:textId="77777777" w:rsidR="00E93942" w:rsidRDefault="00E93942" w:rsidP="00F87BCC">
            <w:pPr>
              <w:pStyle w:val="Box"/>
            </w:pPr>
            <w:r>
              <w:t>‘Immunisation coverage’ is defined by four measures:</w:t>
            </w:r>
          </w:p>
          <w:p w14:paraId="6591D487" w14:textId="77777777" w:rsidR="00E93942" w:rsidRDefault="00E93942" w:rsidP="00F87BCC">
            <w:pPr>
              <w:pStyle w:val="BoxListBullet"/>
            </w:pPr>
            <w:r>
              <w:t>Proportion of children aged 12&lt;15 months who are fully immunised (at this age, a</w:t>
            </w:r>
            <w:r w:rsidRPr="007937C1">
              <w:t xml:space="preserve">gainst diphtheria, tetanus, pertussis (whooping cough), polio, hepatitis b, </w:t>
            </w:r>
            <w:r w:rsidRPr="002804C0">
              <w:rPr>
                <w:i/>
              </w:rPr>
              <w:t>Haemophilus influenzae</w:t>
            </w:r>
            <w:r w:rsidRPr="007937C1">
              <w:t xml:space="preserve"> type b and</w:t>
            </w:r>
            <w:r>
              <w:t xml:space="preserve"> pneumococcal)</w:t>
            </w:r>
          </w:p>
          <w:p w14:paraId="26932818" w14:textId="77777777" w:rsidR="00E93942" w:rsidRDefault="00E93942" w:rsidP="00F87BCC">
            <w:pPr>
              <w:pStyle w:val="BoxListBullet"/>
            </w:pPr>
            <w:r>
              <w:t xml:space="preserve">Proportion of children aged 24&lt;27 months who are fully immunised (at this age, against diphtheria, tetanus, </w:t>
            </w:r>
            <w:r w:rsidRPr="007937C1">
              <w:t xml:space="preserve">pertussis </w:t>
            </w:r>
            <w:r>
              <w:t xml:space="preserve">(whooping cough), polio, </w:t>
            </w:r>
            <w:r w:rsidRPr="00270B6F">
              <w:rPr>
                <w:i/>
              </w:rPr>
              <w:t>Haemophilus influenzae</w:t>
            </w:r>
            <w:r>
              <w:t xml:space="preserve"> type b, hepatitis B, measles, mumps and rubella (MMR), </w:t>
            </w:r>
            <w:r w:rsidRPr="00F72052">
              <w:t>meningococcal C</w:t>
            </w:r>
            <w:r>
              <w:t xml:space="preserve"> </w:t>
            </w:r>
            <w:r w:rsidRPr="00F72052">
              <w:t>and varicella</w:t>
            </w:r>
            <w:r>
              <w:t>)</w:t>
            </w:r>
          </w:p>
          <w:p w14:paraId="6C5BAE11" w14:textId="77777777" w:rsidR="00AC256B" w:rsidRDefault="00E93942" w:rsidP="00185849">
            <w:pPr>
              <w:pStyle w:val="BoxListBullet"/>
            </w:pPr>
            <w:r>
              <w:t xml:space="preserve">Proportion of children aged 60&lt;63 months who are fully immunised (at this age, against diphtheria, tetanus, pertussis (whooping cough), </w:t>
            </w:r>
            <w:r w:rsidRPr="002856CE">
              <w:t>polio</w:t>
            </w:r>
            <w:r>
              <w:t>, and to the quarter ending 31 December 2017, including measles, mumps and rubella (MMR</w:t>
            </w:r>
            <w:proofErr w:type="gramStart"/>
            <w:r>
              <w:t>))I</w:t>
            </w:r>
            <w:r w:rsidRPr="00A43770">
              <w:t>nfluenza</w:t>
            </w:r>
            <w:proofErr w:type="gramEnd"/>
            <w:r w:rsidRPr="00A43770">
              <w:t xml:space="preserve"> vaccin</w:t>
            </w:r>
            <w:r>
              <w:t>ation</w:t>
            </w:r>
          </w:p>
          <w:p w14:paraId="5A8C9F50" w14:textId="641D86E9" w:rsidR="007D691D" w:rsidRDefault="00AC256B" w:rsidP="00185849">
            <w:pPr>
              <w:pStyle w:val="BoxListBullet"/>
            </w:pPr>
            <w:r>
              <w:t>C</w:t>
            </w:r>
            <w:r w:rsidR="00E93942">
              <w:t>overage for older people,</w:t>
            </w:r>
            <w:r w:rsidR="00E93942" w:rsidRPr="00A43770">
              <w:t xml:space="preserve"> defined as the proportion of people aged 65</w:t>
            </w:r>
            <w:r w:rsidR="00E93942">
              <w:t> </w:t>
            </w:r>
            <w:r w:rsidR="00E93942" w:rsidRPr="00A43770">
              <w:t xml:space="preserve">years </w:t>
            </w:r>
            <w:r w:rsidR="00185849">
              <w:t>and</w:t>
            </w:r>
            <w:r w:rsidR="00E93942" w:rsidRPr="00A43770">
              <w:t xml:space="preserve"> over who have been vaccinated against seasonal influenza.</w:t>
            </w:r>
            <w:r w:rsidR="00E93942">
              <w:t xml:space="preserve"> </w:t>
            </w:r>
            <w:r w:rsidR="007D691D">
              <w:t>D</w:t>
            </w:r>
            <w:r w:rsidR="007D691D" w:rsidRPr="00D659CB">
              <w:t xml:space="preserve">ue to </w:t>
            </w:r>
            <w:r w:rsidR="007D691D">
              <w:t>provider underreporting of influenza vaccinations for older people to the Australian Immunisation Register (AIR), 2019</w:t>
            </w:r>
            <w:r w:rsidR="00E116D3">
              <w:noBreakHyphen/>
            </w:r>
            <w:r w:rsidR="007D691D">
              <w:t xml:space="preserve">20 data are reported as numbers rather than population coverage rates. This is an interim approach to be reviewed annually as provider reporting to the AIR improves. </w:t>
            </w:r>
            <w:r w:rsidR="003F1D73">
              <w:t>Data reported are</w:t>
            </w:r>
            <w:r w:rsidR="007D691D">
              <w:t>:</w:t>
            </w:r>
          </w:p>
          <w:p w14:paraId="5FC8B7B9" w14:textId="734D00D9" w:rsidR="007D691D" w:rsidRDefault="007D691D" w:rsidP="00185849">
            <w:pPr>
              <w:pStyle w:val="BoxListBullet"/>
              <w:ind w:left="1004"/>
            </w:pPr>
            <w:r>
              <w:t>the number of vaccines administered</w:t>
            </w:r>
            <w:r w:rsidR="00AC256B">
              <w:t xml:space="preserve"> and reported to the AIR for </w:t>
            </w:r>
            <w:r>
              <w:t>people aged 65 years and over</w:t>
            </w:r>
          </w:p>
          <w:p w14:paraId="2525E820" w14:textId="5FA5EDBC" w:rsidR="00E93942" w:rsidRDefault="007D691D" w:rsidP="00185849">
            <w:pPr>
              <w:pStyle w:val="BoxListBullet"/>
              <w:ind w:left="1004"/>
            </w:pPr>
            <w:r>
              <w:t xml:space="preserve">the number of vaccines distributed for people aged 65 years and over. </w:t>
            </w:r>
          </w:p>
          <w:p w14:paraId="3A46E12D" w14:textId="6E5CA411" w:rsidR="00E93942" w:rsidRDefault="00E93942" w:rsidP="00F87BCC">
            <w:pPr>
              <w:pStyle w:val="Box"/>
            </w:pPr>
            <w:r w:rsidRPr="00CD66BC">
              <w:t>A</w:t>
            </w:r>
            <w:r>
              <w:t xml:space="preserve"> high or</w:t>
            </w:r>
            <w:r w:rsidRPr="00CD66BC">
              <w:t xml:space="preserve"> increas</w:t>
            </w:r>
            <w:r>
              <w:t>ing</w:t>
            </w:r>
            <w:r w:rsidRPr="00CD66BC">
              <w:t xml:space="preserve"> proportion </w:t>
            </w:r>
            <w:r w:rsidR="003F1D73">
              <w:t xml:space="preserve">or number </w:t>
            </w:r>
            <w:r w:rsidRPr="00CD66BC">
              <w:t xml:space="preserve">of </w:t>
            </w:r>
            <w:r>
              <w:t>people immunised is desirable.</w:t>
            </w:r>
          </w:p>
          <w:p w14:paraId="4C39551D" w14:textId="77777777" w:rsidR="00E93942" w:rsidRDefault="00E93942" w:rsidP="00F87BCC">
            <w:pPr>
              <w:pStyle w:val="Box"/>
            </w:pPr>
            <w:r>
              <w:t xml:space="preserve">Data reported for the three measures concerning childhood immunisations are: </w:t>
            </w:r>
          </w:p>
          <w:p w14:paraId="4E83043D" w14:textId="77777777" w:rsidR="00E93942" w:rsidRDefault="00E93942" w:rsidP="00F87BCC">
            <w:pPr>
              <w:pStyle w:val="Box"/>
              <w:ind w:left="284"/>
            </w:pPr>
            <w:r w:rsidRPr="001B3B2F">
              <w:rPr>
                <w:shd w:val="clear" w:color="auto" w:fill="F15A25"/>
              </w:rPr>
              <w:t xml:space="preserve">    </w:t>
            </w:r>
            <w:r>
              <w:t xml:space="preserve"> comparable (subject to caveats) across jurisdictions and over time</w:t>
            </w:r>
          </w:p>
          <w:p w14:paraId="134675AC" w14:textId="230EC88A" w:rsidR="00E93942" w:rsidRDefault="00E93942" w:rsidP="00F87BCC">
            <w:pPr>
              <w:pStyle w:val="BoxListBullet"/>
              <w:numPr>
                <w:ilvl w:val="0"/>
                <w:numId w:val="0"/>
              </w:numPr>
              <w:ind w:left="284"/>
            </w:pPr>
            <w:r w:rsidRPr="001B3B2F">
              <w:rPr>
                <w:shd w:val="clear" w:color="auto" w:fill="F15A25"/>
              </w:rPr>
              <w:t xml:space="preserve">    </w:t>
            </w:r>
            <w:r>
              <w:t xml:space="preserve"> complete (subject to caveats) for the current reporting period. All required </w:t>
            </w:r>
            <w:r w:rsidR="00C07407">
              <w:t>2019</w:t>
            </w:r>
            <w:r w:rsidR="00C07407">
              <w:noBreakHyphen/>
              <w:t>20</w:t>
            </w:r>
            <w:r>
              <w:t xml:space="preserve"> data are available for all jurisdictions.</w:t>
            </w:r>
          </w:p>
          <w:p w14:paraId="563301B3" w14:textId="17B9197F" w:rsidR="00091D81" w:rsidRDefault="00E93942" w:rsidP="00F87BCC">
            <w:pPr>
              <w:pStyle w:val="BoxListBullet"/>
              <w:numPr>
                <w:ilvl w:val="0"/>
                <w:numId w:val="0"/>
              </w:numPr>
            </w:pPr>
            <w:r>
              <w:t xml:space="preserve">Data </w:t>
            </w:r>
            <w:r w:rsidR="00091D81">
              <w:t xml:space="preserve">reported for the </w:t>
            </w:r>
            <w:r w:rsidR="00AA0029">
              <w:t xml:space="preserve">influenza </w:t>
            </w:r>
            <w:r w:rsidR="00091D81">
              <w:t xml:space="preserve">vaccination coverage for older people measure </w:t>
            </w:r>
            <w:r>
              <w:t>are</w:t>
            </w:r>
            <w:r w:rsidR="00091D81">
              <w:t>:</w:t>
            </w:r>
          </w:p>
          <w:p w14:paraId="53FB0CC5" w14:textId="41E572A9" w:rsidR="00232AF6" w:rsidRDefault="00091D81" w:rsidP="00232AF6">
            <w:pPr>
              <w:pStyle w:val="Box"/>
              <w:ind w:left="284"/>
            </w:pPr>
            <w:r w:rsidRPr="001B3B2F">
              <w:rPr>
                <w:shd w:val="clear" w:color="auto" w:fill="F15A25"/>
              </w:rPr>
              <w:t xml:space="preserve">    </w:t>
            </w:r>
            <w:r w:rsidRPr="00232AF6">
              <w:t xml:space="preserve"> comparable (subject to caveats) across jurisdictions</w:t>
            </w:r>
          </w:p>
          <w:p w14:paraId="111D1557" w14:textId="09300B30" w:rsidR="0003454C" w:rsidRPr="00D21BEC" w:rsidRDefault="00091D81" w:rsidP="00185849">
            <w:pPr>
              <w:pStyle w:val="Box"/>
              <w:ind w:left="284"/>
            </w:pPr>
            <w:r w:rsidRPr="00D659CB">
              <w:rPr>
                <w:shd w:val="clear" w:color="auto" w:fill="FCDED3"/>
              </w:rPr>
              <w:t xml:space="preserve">    </w:t>
            </w:r>
            <w:r w:rsidRPr="00D659CB">
              <w:t xml:space="preserve"> incomplete for the current reporting period.</w:t>
            </w:r>
            <w:r w:rsidR="000138DB">
              <w:t xml:space="preserve"> Due to provider underreporting of influenza vaccinations for older people to the AIR, data are reported as numbers rather than population coverage rates.</w:t>
            </w:r>
            <w:r w:rsidR="0003454C">
              <w:t xml:space="preserve"> </w:t>
            </w:r>
          </w:p>
        </w:tc>
      </w:tr>
      <w:tr w:rsidR="00E93942" w14:paraId="397E99C8" w14:textId="77777777" w:rsidTr="00F87BCC">
        <w:tc>
          <w:tcPr>
            <w:tcW w:w="5000" w:type="pct"/>
            <w:tcBorders>
              <w:top w:val="nil"/>
              <w:left w:val="nil"/>
              <w:bottom w:val="single" w:sz="6" w:space="0" w:color="78A22F"/>
              <w:right w:val="nil"/>
            </w:tcBorders>
            <w:shd w:val="clear" w:color="auto" w:fill="F2F2F2"/>
          </w:tcPr>
          <w:p w14:paraId="5738CF89" w14:textId="77777777" w:rsidR="00E93942" w:rsidRDefault="00E93942" w:rsidP="00F87BCC">
            <w:pPr>
              <w:pStyle w:val="Box"/>
              <w:spacing w:before="0" w:line="120" w:lineRule="exact"/>
            </w:pPr>
          </w:p>
        </w:tc>
      </w:tr>
      <w:tr w:rsidR="00E93942" w:rsidRPr="000863A5" w14:paraId="134CF1D1" w14:textId="77777777" w:rsidTr="00F87BCC">
        <w:tc>
          <w:tcPr>
            <w:tcW w:w="5000" w:type="pct"/>
            <w:tcBorders>
              <w:top w:val="single" w:sz="6" w:space="0" w:color="78A22F"/>
              <w:left w:val="nil"/>
              <w:bottom w:val="nil"/>
              <w:right w:val="nil"/>
            </w:tcBorders>
          </w:tcPr>
          <w:p w14:paraId="48DE4D6C" w14:textId="77777777" w:rsidR="00E93942" w:rsidRPr="00626D32" w:rsidRDefault="00E93942" w:rsidP="00F87BCC">
            <w:pPr>
              <w:pStyle w:val="BoxSpaceBelow"/>
            </w:pPr>
          </w:p>
        </w:tc>
      </w:tr>
    </w:tbl>
    <w:p w14:paraId="09E5A0A4" w14:textId="7262E302" w:rsidR="00E93942" w:rsidRDefault="00E93942" w:rsidP="00E93942">
      <w:pPr>
        <w:pStyle w:val="Heading4"/>
      </w:pPr>
      <w:bookmarkStart w:id="25" w:name="_Toc34311765"/>
      <w:r w:rsidRPr="00597C24">
        <w:lastRenderedPageBreak/>
        <w:t xml:space="preserve">Appropriateness </w:t>
      </w:r>
      <w:r w:rsidR="00BB371E" w:rsidRPr="00BB371E">
        <w:t>—</w:t>
      </w:r>
      <w:r w:rsidRPr="00597C24">
        <w:t xml:space="preserve"> Cancer screening</w:t>
      </w:r>
      <w:bookmarkEnd w:id="25"/>
      <w:r>
        <w:t xml:space="preserve"> </w:t>
      </w:r>
    </w:p>
    <w:p w14:paraId="49507285" w14:textId="77777777" w:rsidR="00E93942" w:rsidRDefault="00E93942" w:rsidP="00E93942">
      <w:pPr>
        <w:pStyle w:val="BodyText"/>
      </w:pPr>
      <w:r>
        <w:t xml:space="preserve">‘Cancer </w:t>
      </w:r>
      <w:r w:rsidRPr="00701FDC">
        <w:t xml:space="preserve">screening’ is an indicator of </w:t>
      </w:r>
      <w:r>
        <w:t>governments’ objective to ensure primary and community health services are appropriate and responsive to meet the needs of individuals throughout their lifespan and communities (</w:t>
      </w:r>
      <w:r w:rsidRPr="007C7EA6">
        <w:t>box 10.</w:t>
      </w:r>
      <w:r>
        <w:t>9).</w:t>
      </w:r>
    </w:p>
    <w:p w14:paraId="2E4621F9" w14:textId="77777777" w:rsidR="00E93942" w:rsidRDefault="00E93942" w:rsidP="00E93942">
      <w:pPr>
        <w:pStyle w:val="BoxSpaceAbove"/>
      </w:pPr>
    </w:p>
    <w:tbl>
      <w:tblPr>
        <w:tblW w:w="8793" w:type="dxa"/>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E93942" w14:paraId="26681DE6" w14:textId="77777777" w:rsidTr="00F87BCC">
        <w:tc>
          <w:tcPr>
            <w:tcW w:w="8793" w:type="dxa"/>
            <w:tcBorders>
              <w:top w:val="single" w:sz="6" w:space="0" w:color="78A22F"/>
              <w:left w:val="nil"/>
              <w:bottom w:val="nil"/>
              <w:right w:val="nil"/>
            </w:tcBorders>
            <w:shd w:val="clear" w:color="auto" w:fill="F2F2F2"/>
          </w:tcPr>
          <w:p w14:paraId="53921623" w14:textId="77777777" w:rsidR="00E93942" w:rsidRPr="00D659CB" w:rsidRDefault="00E93942" w:rsidP="00F87BCC">
            <w:pPr>
              <w:pStyle w:val="BoxTitle"/>
            </w:pPr>
            <w:r w:rsidRPr="00D659CB">
              <w:rPr>
                <w:b w:val="0"/>
              </w:rPr>
              <w:t>Box 10.</w:t>
            </w:r>
            <w:r>
              <w:rPr>
                <w:b w:val="0"/>
                <w:noProof/>
              </w:rPr>
              <w:t>9</w:t>
            </w:r>
            <w:r w:rsidRPr="00D659CB">
              <w:tab/>
              <w:t>Cancer screening</w:t>
            </w:r>
          </w:p>
        </w:tc>
      </w:tr>
      <w:tr w:rsidR="00E93942" w14:paraId="769B1733" w14:textId="77777777" w:rsidTr="00F87BCC">
        <w:trPr>
          <w:cantSplit/>
        </w:trPr>
        <w:tc>
          <w:tcPr>
            <w:tcW w:w="8793" w:type="dxa"/>
            <w:tcBorders>
              <w:top w:val="nil"/>
              <w:left w:val="nil"/>
              <w:bottom w:val="nil"/>
              <w:right w:val="nil"/>
            </w:tcBorders>
            <w:shd w:val="clear" w:color="auto" w:fill="F2F2F2"/>
          </w:tcPr>
          <w:p w14:paraId="034FCA96" w14:textId="77777777" w:rsidR="00E93942" w:rsidRPr="00D659CB" w:rsidRDefault="00E93942" w:rsidP="00F87BCC">
            <w:pPr>
              <w:pStyle w:val="Box"/>
            </w:pPr>
            <w:r w:rsidRPr="00D659CB">
              <w:t>‘Cancer screening’ is defined by three measures:</w:t>
            </w:r>
          </w:p>
          <w:p w14:paraId="271BA1A7" w14:textId="77777777" w:rsidR="00E93942" w:rsidRPr="00D659CB" w:rsidRDefault="00E93942" w:rsidP="00F87BCC">
            <w:pPr>
              <w:pStyle w:val="BoxListBullet"/>
              <w:rPr>
                <w:sz w:val="24"/>
              </w:rPr>
            </w:pPr>
            <w:r w:rsidRPr="00D659CB">
              <w:t xml:space="preserve">Participation for women in breast cancer screening, defined as the proportion of women aged 50–74 years who are screened in the </w:t>
            </w:r>
            <w:proofErr w:type="spellStart"/>
            <w:r w:rsidRPr="00D659CB">
              <w:t>BreastScreen</w:t>
            </w:r>
            <w:proofErr w:type="spellEnd"/>
            <w:r w:rsidRPr="00D659CB">
              <w:t xml:space="preserve"> Australia Program over a 24</w:t>
            </w:r>
            <w:r w:rsidRPr="00D659CB">
              <w:noBreakHyphen/>
              <w:t>month period, reported as a rate</w:t>
            </w:r>
          </w:p>
          <w:p w14:paraId="6A15503F" w14:textId="77777777" w:rsidR="00E93942" w:rsidRPr="00D659CB" w:rsidRDefault="00E93942" w:rsidP="00F87BCC">
            <w:pPr>
              <w:pStyle w:val="BoxListBullet"/>
              <w:rPr>
                <w:sz w:val="24"/>
              </w:rPr>
            </w:pPr>
            <w:r w:rsidRPr="00D659CB">
              <w:t xml:space="preserve">Participation for women in cervical screening, defined as the proportion of the estimated eligible population of women (not had a hysterectomy) aged </w:t>
            </w:r>
            <w:r>
              <w:t>25</w:t>
            </w:r>
            <w:r w:rsidRPr="00D659CB">
              <w:t>–</w:t>
            </w:r>
            <w:r>
              <w:t>74</w:t>
            </w:r>
            <w:r w:rsidRPr="00D659CB">
              <w:t xml:space="preserve"> years who are screened over a </w:t>
            </w:r>
            <w:r>
              <w:t xml:space="preserve">5-year </w:t>
            </w:r>
            <w:r w:rsidRPr="00D659CB">
              <w:t xml:space="preserve">period, reported as a rate </w:t>
            </w:r>
          </w:p>
          <w:p w14:paraId="4EB463CB" w14:textId="77777777" w:rsidR="00E93942" w:rsidRPr="00D659CB" w:rsidRDefault="00E93942" w:rsidP="00F87BCC">
            <w:pPr>
              <w:pStyle w:val="BoxListBullet"/>
              <w:rPr>
                <w:sz w:val="24"/>
              </w:rPr>
            </w:pPr>
            <w:r w:rsidRPr="00D659CB">
              <w:t>Participation of persons in bowel cancer screening, defined as persons aged 50–74 years who were invited to participate in the National Bowel Cancer Screening Program over a 24</w:t>
            </w:r>
            <w:r w:rsidRPr="00D659CB">
              <w:noBreakHyphen/>
              <w:t>month period and returned a completed test kit within 6 months of the end of that period, divided by the number of invitations issued minus those people who opted out or suspended without completing their screening test.</w:t>
            </w:r>
          </w:p>
          <w:p w14:paraId="79653397" w14:textId="77777777" w:rsidR="00E93942" w:rsidRPr="00D659CB" w:rsidRDefault="00E93942" w:rsidP="00F87BCC">
            <w:pPr>
              <w:pStyle w:val="Box"/>
            </w:pPr>
            <w:r w:rsidRPr="00D659CB">
              <w:t>High or increasing participation rates are desirable.</w:t>
            </w:r>
          </w:p>
          <w:p w14:paraId="3A7927AF" w14:textId="77777777" w:rsidR="00E93942" w:rsidRPr="00D659CB" w:rsidRDefault="00E93942" w:rsidP="00F87BCC">
            <w:pPr>
              <w:pStyle w:val="Box"/>
            </w:pPr>
            <w:r w:rsidRPr="00D659CB">
              <w:t>Data reported for the breast and bowel cancer screening measures are:</w:t>
            </w:r>
          </w:p>
          <w:p w14:paraId="54F439EB" w14:textId="77777777" w:rsidR="00E93942" w:rsidRPr="00D659CB" w:rsidRDefault="00E93942" w:rsidP="00F87BCC">
            <w:pPr>
              <w:pStyle w:val="Box"/>
              <w:ind w:left="284"/>
            </w:pPr>
            <w:r w:rsidRPr="00D659CB">
              <w:rPr>
                <w:shd w:val="clear" w:color="auto" w:fill="F15A25"/>
              </w:rPr>
              <w:t xml:space="preserve">    </w:t>
            </w:r>
            <w:r w:rsidRPr="00D659CB">
              <w:t xml:space="preserve"> comparable (subject to caveats) across jurisdictions and over time. A break in series with the change of target age group for breast cancer screening from 50–69 years to 50–74 years means that data from 2014–2015 onwards are not comparable to earlier time periods</w:t>
            </w:r>
          </w:p>
          <w:p w14:paraId="385EC1F1" w14:textId="46CEF410" w:rsidR="00E93942" w:rsidRPr="00D659CB" w:rsidRDefault="00E93942" w:rsidP="00F87BCC">
            <w:pPr>
              <w:pStyle w:val="Box"/>
              <w:ind w:left="284"/>
            </w:pPr>
            <w:r w:rsidRPr="00D659CB">
              <w:rPr>
                <w:shd w:val="clear" w:color="auto" w:fill="F15A25"/>
              </w:rPr>
              <w:t xml:space="preserve">    </w:t>
            </w:r>
            <w:r w:rsidRPr="00D659CB">
              <w:t xml:space="preserve"> </w:t>
            </w:r>
            <w:r w:rsidRPr="0042151F">
              <w:t>complete (subject to caveats) for the current reporting period. All required data for the 24</w:t>
            </w:r>
            <w:r w:rsidRPr="0042151F">
              <w:noBreakHyphen/>
              <w:t>month period 201</w:t>
            </w:r>
            <w:r w:rsidR="00FD3FDE">
              <w:t>8</w:t>
            </w:r>
            <w:r w:rsidRPr="0042151F">
              <w:t>–201</w:t>
            </w:r>
            <w:r w:rsidR="00FD3FDE">
              <w:t>9</w:t>
            </w:r>
            <w:r w:rsidRPr="0042151F">
              <w:t xml:space="preserve"> are available for all jurisdictions for both breast and bowel cancer screening programs. </w:t>
            </w:r>
          </w:p>
          <w:p w14:paraId="2642FEAA" w14:textId="77777777" w:rsidR="00E93942" w:rsidRPr="00D659CB" w:rsidRDefault="00E93942" w:rsidP="00F87BCC">
            <w:pPr>
              <w:pStyle w:val="Box"/>
            </w:pPr>
            <w:r w:rsidRPr="00D659CB">
              <w:t>Data reported for the cervical cancer screening measure are:</w:t>
            </w:r>
          </w:p>
          <w:p w14:paraId="73307780" w14:textId="20984094" w:rsidR="00E93942" w:rsidRPr="00D659CB" w:rsidRDefault="00E93942" w:rsidP="00F87BCC">
            <w:pPr>
              <w:pStyle w:val="Box"/>
              <w:ind w:left="284"/>
            </w:pPr>
            <w:r w:rsidRPr="00D659CB">
              <w:rPr>
                <w:shd w:val="clear" w:color="auto" w:fill="FCDED3"/>
              </w:rPr>
              <w:t xml:space="preserve">    </w:t>
            </w:r>
            <w:r w:rsidRPr="00D659CB">
              <w:t xml:space="preserve"> comparable (subject to caveats) across jurisdictions</w:t>
            </w:r>
            <w:r>
              <w:t>, but not</w:t>
            </w:r>
            <w:r w:rsidRPr="00D659CB">
              <w:t xml:space="preserve"> over time</w:t>
            </w:r>
            <w:r>
              <w:t xml:space="preserve"> </w:t>
            </w:r>
            <w:r w:rsidRPr="00D659CB">
              <w:t>due to a change in the national cervical cancer screening program from December 2017.</w:t>
            </w:r>
            <w:r>
              <w:t xml:space="preserve"> Data for </w:t>
            </w:r>
            <w:r w:rsidR="007114A8">
              <w:t>2018</w:t>
            </w:r>
            <w:r w:rsidR="007114A8" w:rsidRPr="0042151F">
              <w:t>–</w:t>
            </w:r>
            <w:r w:rsidR="007114A8">
              <w:t xml:space="preserve">2019 </w:t>
            </w:r>
            <w:r>
              <w:t xml:space="preserve">onwards are not comparable with data for earlier years. </w:t>
            </w:r>
          </w:p>
          <w:p w14:paraId="25656F19" w14:textId="42CE9645" w:rsidR="00E93942" w:rsidRDefault="00E93942" w:rsidP="00F87BCC">
            <w:pPr>
              <w:pStyle w:val="BoxListBullet"/>
              <w:numPr>
                <w:ilvl w:val="0"/>
                <w:numId w:val="0"/>
              </w:numPr>
              <w:ind w:left="284"/>
            </w:pPr>
            <w:r w:rsidRPr="00D659CB">
              <w:rPr>
                <w:shd w:val="clear" w:color="auto" w:fill="FCDED3"/>
              </w:rPr>
              <w:t xml:space="preserve">    </w:t>
            </w:r>
            <w:r w:rsidRPr="00D659CB">
              <w:t xml:space="preserve"> incomplete for the current reporting period. </w:t>
            </w:r>
            <w:r>
              <w:t>D</w:t>
            </w:r>
            <w:r w:rsidRPr="00D659CB">
              <w:t>ue to a change in the national cervical cancer screening program from December 2017</w:t>
            </w:r>
            <w:r>
              <w:t>, p</w:t>
            </w:r>
            <w:r w:rsidRPr="007E044D">
              <w:t>articipation data are only available for 2018</w:t>
            </w:r>
            <w:r w:rsidR="00FD3FDE" w:rsidRPr="0042151F">
              <w:t>–</w:t>
            </w:r>
            <w:r w:rsidR="00FD3FDE">
              <w:t>2019</w:t>
            </w:r>
            <w:r>
              <w:t>.</w:t>
            </w:r>
          </w:p>
          <w:p w14:paraId="3F63E6D4" w14:textId="77777777" w:rsidR="00E93942" w:rsidRPr="00D659CB" w:rsidRDefault="00E93942" w:rsidP="00F87BCC">
            <w:pPr>
              <w:pStyle w:val="BoxListBullet"/>
              <w:numPr>
                <w:ilvl w:val="0"/>
                <w:numId w:val="0"/>
              </w:numPr>
              <w:ind w:left="284"/>
            </w:pPr>
            <w:r w:rsidRPr="00CC4027">
              <w:t xml:space="preserve">A new National Cervical Screening Program commenced in December 2017, at which time cervical screening changed from 2-yearly pap tests to 5-yearly cervical screening tests. As such, national reporting on cervical screening participation rates is in a period of transition. Under the new National Cervical Screening Program, program participation rates cannot be calculated until 5 years of data are available from program commencement. </w:t>
            </w:r>
          </w:p>
        </w:tc>
      </w:tr>
      <w:tr w:rsidR="00E93942" w14:paraId="46AFE97F" w14:textId="77777777" w:rsidTr="00F87BCC">
        <w:trPr>
          <w:cantSplit/>
        </w:trPr>
        <w:tc>
          <w:tcPr>
            <w:tcW w:w="8793" w:type="dxa"/>
            <w:tcBorders>
              <w:top w:val="nil"/>
              <w:left w:val="nil"/>
              <w:bottom w:val="single" w:sz="6" w:space="0" w:color="78A22F"/>
              <w:right w:val="nil"/>
            </w:tcBorders>
            <w:shd w:val="clear" w:color="auto" w:fill="F2F2F2"/>
          </w:tcPr>
          <w:p w14:paraId="36D5E49B" w14:textId="77777777" w:rsidR="00E93942" w:rsidRDefault="00E93942" w:rsidP="00F87BCC">
            <w:pPr>
              <w:pStyle w:val="Box"/>
              <w:spacing w:before="0" w:line="120" w:lineRule="exact"/>
            </w:pPr>
          </w:p>
        </w:tc>
      </w:tr>
      <w:tr w:rsidR="00E93942" w:rsidRPr="000863A5" w14:paraId="67A352BD" w14:textId="77777777" w:rsidTr="00F87BCC">
        <w:tc>
          <w:tcPr>
            <w:tcW w:w="8793" w:type="dxa"/>
            <w:tcBorders>
              <w:top w:val="single" w:sz="6" w:space="0" w:color="78A22F"/>
              <w:left w:val="nil"/>
              <w:bottom w:val="nil"/>
              <w:right w:val="nil"/>
            </w:tcBorders>
          </w:tcPr>
          <w:p w14:paraId="659D8926" w14:textId="77777777" w:rsidR="00E93942" w:rsidRPr="00626D32" w:rsidRDefault="00E93942" w:rsidP="00F87BCC">
            <w:pPr>
              <w:pStyle w:val="BoxSpaceBelow"/>
            </w:pPr>
          </w:p>
        </w:tc>
      </w:tr>
    </w:tbl>
    <w:p w14:paraId="7FAA17FD" w14:textId="77777777" w:rsidR="00E93942" w:rsidRDefault="00E93942" w:rsidP="00E93942">
      <w:pPr>
        <w:pStyle w:val="Heading4"/>
      </w:pPr>
      <w:bookmarkStart w:id="26" w:name="_Toc34311766"/>
      <w:r w:rsidRPr="00564C02">
        <w:lastRenderedPageBreak/>
        <w:t>Quality — Safety — General practices with accreditation</w:t>
      </w:r>
      <w:bookmarkEnd w:id="26"/>
    </w:p>
    <w:p w14:paraId="3B67445D" w14:textId="77777777" w:rsidR="00E93942" w:rsidRDefault="00E93942" w:rsidP="00E93942">
      <w:pPr>
        <w:pStyle w:val="BodyText"/>
      </w:pPr>
      <w:r>
        <w:t>‘</w:t>
      </w:r>
      <w:r w:rsidRPr="009D1F2C">
        <w:t>General practices with accreditation</w:t>
      </w:r>
      <w:r>
        <w:t xml:space="preserve">’ </w:t>
      </w:r>
      <w:proofErr w:type="gramStart"/>
      <w:r>
        <w:t>is</w:t>
      </w:r>
      <w:proofErr w:type="gramEnd"/>
      <w:r>
        <w:t xml:space="preserve"> an indicator of governments’ objective to ensure primary and community health services are high quality and safe (</w:t>
      </w:r>
      <w:r w:rsidRPr="00AA3CFC">
        <w:t>box 10.1</w:t>
      </w:r>
      <w:r>
        <w:t>0).</w:t>
      </w:r>
    </w:p>
    <w:p w14:paraId="03B67C94" w14:textId="77777777" w:rsidR="00E93942" w:rsidRDefault="00E93942" w:rsidP="00E93942">
      <w:pPr>
        <w:pStyle w:val="BoxSpaceAbove"/>
      </w:pPr>
    </w:p>
    <w:tbl>
      <w:tblPr>
        <w:tblW w:w="8793" w:type="dxa"/>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93"/>
      </w:tblGrid>
      <w:tr w:rsidR="00E93942" w14:paraId="4D628507" w14:textId="77777777" w:rsidTr="00F87BCC">
        <w:tc>
          <w:tcPr>
            <w:tcW w:w="8793" w:type="dxa"/>
            <w:tcBorders>
              <w:top w:val="single" w:sz="6" w:space="0" w:color="78A22F"/>
              <w:left w:val="nil"/>
              <w:bottom w:val="nil"/>
              <w:right w:val="nil"/>
            </w:tcBorders>
            <w:shd w:val="clear" w:color="auto" w:fill="F2F2F2"/>
          </w:tcPr>
          <w:p w14:paraId="0AD5F69C" w14:textId="77777777" w:rsidR="00E93942" w:rsidRDefault="00E93942" w:rsidP="00F87BCC">
            <w:pPr>
              <w:pStyle w:val="BoxTitle"/>
            </w:pPr>
            <w:r>
              <w:rPr>
                <w:b w:val="0"/>
              </w:rPr>
              <w:t>Box 10.</w:t>
            </w:r>
            <w:r>
              <w:rPr>
                <w:b w:val="0"/>
                <w:noProof/>
              </w:rPr>
              <w:t>10</w:t>
            </w:r>
            <w:r>
              <w:tab/>
            </w:r>
            <w:r w:rsidRPr="00B245AB">
              <w:t>General practices with accreditation</w:t>
            </w:r>
          </w:p>
        </w:tc>
      </w:tr>
      <w:tr w:rsidR="00E93942" w14:paraId="755A34E0" w14:textId="77777777" w:rsidTr="00F87BCC">
        <w:tc>
          <w:tcPr>
            <w:tcW w:w="8793" w:type="dxa"/>
            <w:tcBorders>
              <w:top w:val="nil"/>
              <w:left w:val="nil"/>
              <w:bottom w:val="nil"/>
              <w:right w:val="nil"/>
            </w:tcBorders>
            <w:shd w:val="clear" w:color="auto" w:fill="F2F2F2"/>
          </w:tcPr>
          <w:p w14:paraId="57964CE3" w14:textId="77777777" w:rsidR="00E93942" w:rsidRDefault="00E93942" w:rsidP="00F87BCC">
            <w:pPr>
              <w:pStyle w:val="Box"/>
            </w:pPr>
            <w:r>
              <w:t>‘</w:t>
            </w:r>
            <w:r w:rsidRPr="009D1F2C">
              <w:t>General practices with accreditation</w:t>
            </w:r>
            <w:r>
              <w:t xml:space="preserve">’ </w:t>
            </w:r>
            <w:proofErr w:type="gramStart"/>
            <w:r>
              <w:t>is</w:t>
            </w:r>
            <w:proofErr w:type="gramEnd"/>
            <w:r>
              <w:t xml:space="preserve"> defined as the number of general practices in Australia that are accredited as a rate per 100 general practices</w:t>
            </w:r>
            <w:r w:rsidRPr="00CD48F3">
              <w:t>.</w:t>
            </w:r>
            <w:r>
              <w:t xml:space="preserve"> </w:t>
            </w:r>
            <w:r w:rsidRPr="00FC52FD">
              <w:t xml:space="preserve">Accreditation is a voluntary </w:t>
            </w:r>
            <w:r w:rsidRPr="0052184D">
              <w:t>process of independent third</w:t>
            </w:r>
            <w:r>
              <w:noBreakHyphen/>
            </w:r>
            <w:r w:rsidRPr="0052184D">
              <w:t>party peer review tha</w:t>
            </w:r>
            <w:r w:rsidRPr="00FC52FD">
              <w:t>t assess</w:t>
            </w:r>
            <w:r>
              <w:t>es</w:t>
            </w:r>
            <w:r w:rsidRPr="00FC52FD">
              <w:t xml:space="preserve"> general practices against a set of st</w:t>
            </w:r>
            <w:r>
              <w:t>andards developed by the Royal Australasian College of General Practitioners.</w:t>
            </w:r>
          </w:p>
          <w:p w14:paraId="3C107728" w14:textId="77777777" w:rsidR="00E93942" w:rsidRDefault="00E93942" w:rsidP="00F87BCC">
            <w:pPr>
              <w:pStyle w:val="Box"/>
            </w:pPr>
            <w:r>
              <w:t xml:space="preserve">A high or increasing rate of practices with accreditation can indicate an improvement in the capability of general practice to deliver high quality services. However, general practices without accreditation may deliver services of equally high quality. For a </w:t>
            </w:r>
            <w:proofErr w:type="gramStart"/>
            <w:r>
              <w:t>particular general</w:t>
            </w:r>
            <w:proofErr w:type="gramEnd"/>
            <w:r>
              <w:t xml:space="preserve"> practice, the decision to seek accreditation might be influenced by perceived costs and benefits unrelated to its quality standards.</w:t>
            </w:r>
          </w:p>
          <w:p w14:paraId="5EB81970" w14:textId="77777777" w:rsidR="00E93942" w:rsidRDefault="00E93942" w:rsidP="00F87BCC">
            <w:pPr>
              <w:pStyle w:val="Box"/>
            </w:pPr>
            <w:r>
              <w:t>Data reported for this indicator are:</w:t>
            </w:r>
          </w:p>
          <w:p w14:paraId="57B4CAB5" w14:textId="0D4F11B5" w:rsidR="00E93942" w:rsidRDefault="00E93942" w:rsidP="00F87BCC">
            <w:pPr>
              <w:pStyle w:val="Box"/>
              <w:ind w:left="284"/>
            </w:pPr>
            <w:r w:rsidRPr="001B3B2F">
              <w:rPr>
                <w:shd w:val="clear" w:color="auto" w:fill="F15A25"/>
              </w:rPr>
              <w:t xml:space="preserve">    </w:t>
            </w:r>
            <w:r>
              <w:t xml:space="preserve"> </w:t>
            </w:r>
            <w:r w:rsidRPr="00E907ED">
              <w:t xml:space="preserve">comparable </w:t>
            </w:r>
            <w:r>
              <w:t xml:space="preserve">(subject to caveats) across jurisdictions and </w:t>
            </w:r>
            <w:r w:rsidRPr="00E907ED">
              <w:t>over time</w:t>
            </w:r>
            <w:r w:rsidR="005B53C3">
              <w:t>.</w:t>
            </w:r>
          </w:p>
          <w:p w14:paraId="4DD1669B" w14:textId="1EBA5779" w:rsidR="00E93942" w:rsidRPr="006B1409" w:rsidRDefault="005B53C3" w:rsidP="005B53C3">
            <w:pPr>
              <w:pStyle w:val="Box"/>
              <w:ind w:left="284"/>
            </w:pPr>
            <w:r w:rsidRPr="00344676">
              <w:rPr>
                <w:shd w:val="clear" w:color="auto" w:fill="FCDED3"/>
              </w:rPr>
              <w:t xml:space="preserve">    </w:t>
            </w:r>
            <w:r>
              <w:t xml:space="preserve"> </w:t>
            </w:r>
            <w:r w:rsidRPr="00AC2399">
              <w:t>incomplete for the c</w:t>
            </w:r>
            <w:r>
              <w:t>urrent reporting period (2020)</w:t>
            </w:r>
            <w:r w:rsidR="00E061DB">
              <w:t xml:space="preserve">. All required </w:t>
            </w:r>
            <w:r>
              <w:t xml:space="preserve">data for the number of general practices </w:t>
            </w:r>
            <w:r w:rsidR="00964A40">
              <w:t xml:space="preserve">(denominator) </w:t>
            </w:r>
            <w:r>
              <w:t>are not available</w:t>
            </w:r>
            <w:r w:rsidR="00E061DB">
              <w:t xml:space="preserve"> and therefore an accreditation rate cannot be calculated</w:t>
            </w:r>
            <w:r w:rsidRPr="00AC2399">
              <w:t>.</w:t>
            </w:r>
          </w:p>
        </w:tc>
      </w:tr>
      <w:tr w:rsidR="00E93942" w14:paraId="6DECD360" w14:textId="77777777" w:rsidTr="00F87BCC">
        <w:tc>
          <w:tcPr>
            <w:tcW w:w="8793" w:type="dxa"/>
            <w:tcBorders>
              <w:top w:val="nil"/>
              <w:left w:val="nil"/>
              <w:bottom w:val="single" w:sz="6" w:space="0" w:color="78A22F"/>
              <w:right w:val="nil"/>
            </w:tcBorders>
            <w:shd w:val="clear" w:color="auto" w:fill="F2F2F2"/>
          </w:tcPr>
          <w:p w14:paraId="20AB7D26" w14:textId="77777777" w:rsidR="00E93942" w:rsidRDefault="00E93942" w:rsidP="00F87BCC">
            <w:pPr>
              <w:pStyle w:val="Box"/>
              <w:spacing w:before="0" w:line="120" w:lineRule="exact"/>
            </w:pPr>
          </w:p>
        </w:tc>
      </w:tr>
      <w:tr w:rsidR="00E93942" w:rsidRPr="000863A5" w14:paraId="1379CC20" w14:textId="77777777" w:rsidTr="00F87BCC">
        <w:tc>
          <w:tcPr>
            <w:tcW w:w="8793" w:type="dxa"/>
            <w:tcBorders>
              <w:top w:val="single" w:sz="6" w:space="0" w:color="78A22F"/>
              <w:left w:val="nil"/>
              <w:bottom w:val="nil"/>
              <w:right w:val="nil"/>
            </w:tcBorders>
          </w:tcPr>
          <w:p w14:paraId="3175E909" w14:textId="77777777" w:rsidR="00E93942" w:rsidRPr="00626D32" w:rsidRDefault="00E93942" w:rsidP="00F87BCC">
            <w:pPr>
              <w:pStyle w:val="BoxSpaceBelow"/>
            </w:pPr>
          </w:p>
        </w:tc>
      </w:tr>
    </w:tbl>
    <w:p w14:paraId="26075694" w14:textId="77777777" w:rsidR="002D1F9D" w:rsidRDefault="002D1F9D" w:rsidP="00E93942">
      <w:pPr>
        <w:pStyle w:val="Heading4"/>
      </w:pPr>
      <w:bookmarkStart w:id="27" w:name="_Toc34311767"/>
    </w:p>
    <w:p w14:paraId="14A1DC9D" w14:textId="77777777" w:rsidR="002D1F9D" w:rsidRDefault="002D1F9D">
      <w:pPr>
        <w:spacing w:after="200" w:line="276" w:lineRule="auto"/>
        <w:rPr>
          <w:rFonts w:ascii="Arial" w:hAnsi="Arial"/>
          <w:szCs w:val="20"/>
        </w:rPr>
      </w:pPr>
      <w:r>
        <w:br w:type="page"/>
      </w:r>
    </w:p>
    <w:p w14:paraId="42989089" w14:textId="029120BE" w:rsidR="00E93942" w:rsidRDefault="00E93942" w:rsidP="00E93942">
      <w:pPr>
        <w:pStyle w:val="Heading4"/>
      </w:pPr>
      <w:r>
        <w:lastRenderedPageBreak/>
        <w:t>Quality — Responsiveness — Patient satisfaction</w:t>
      </w:r>
      <w:bookmarkEnd w:id="27"/>
    </w:p>
    <w:p w14:paraId="71EDB859" w14:textId="77777777" w:rsidR="00E93942" w:rsidRDefault="00E93942" w:rsidP="00E93942">
      <w:pPr>
        <w:pStyle w:val="BodyText"/>
      </w:pPr>
      <w:r>
        <w:t xml:space="preserve">‘Patient satisfaction’ is an indicator of governments’ objective that primary and community health services </w:t>
      </w:r>
      <w:r w:rsidRPr="00AE5D3F">
        <w:t>are high quality</w:t>
      </w:r>
      <w:r>
        <w:t xml:space="preserve"> (</w:t>
      </w:r>
      <w:r w:rsidRPr="00AA3CFC">
        <w:t>box 10.1</w:t>
      </w:r>
      <w:r>
        <w:t>1).</w:t>
      </w:r>
    </w:p>
    <w:p w14:paraId="47C633B4" w14:textId="77777777" w:rsidR="00E93942" w:rsidRDefault="00E93942" w:rsidP="00E93942">
      <w:pPr>
        <w:pStyle w:val="BoxSpaceAbove"/>
      </w:pPr>
    </w:p>
    <w:tbl>
      <w:tblPr>
        <w:tblW w:w="8793" w:type="dxa"/>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E93942" w14:paraId="1EFBC5E6" w14:textId="77777777" w:rsidTr="00F87BCC">
        <w:tc>
          <w:tcPr>
            <w:tcW w:w="8793" w:type="dxa"/>
            <w:tcBorders>
              <w:top w:val="single" w:sz="6" w:space="0" w:color="78A22F"/>
              <w:left w:val="nil"/>
              <w:bottom w:val="nil"/>
              <w:right w:val="nil"/>
            </w:tcBorders>
            <w:shd w:val="clear" w:color="auto" w:fill="F2F2F2"/>
          </w:tcPr>
          <w:p w14:paraId="19BA6685" w14:textId="77777777" w:rsidR="00E93942" w:rsidRDefault="00E93942" w:rsidP="00F87BCC">
            <w:pPr>
              <w:pStyle w:val="BoxTitle"/>
            </w:pPr>
            <w:r>
              <w:rPr>
                <w:b w:val="0"/>
              </w:rPr>
              <w:t>Box 10.</w:t>
            </w:r>
            <w:r>
              <w:rPr>
                <w:b w:val="0"/>
                <w:noProof/>
              </w:rPr>
              <w:t>11</w:t>
            </w:r>
            <w:r>
              <w:tab/>
            </w:r>
            <w:r w:rsidRPr="00B934AF">
              <w:t>Patient satisfaction</w:t>
            </w:r>
          </w:p>
        </w:tc>
      </w:tr>
      <w:tr w:rsidR="00E93942" w14:paraId="2AA55332" w14:textId="77777777" w:rsidTr="00F87BCC">
        <w:trPr>
          <w:cantSplit/>
        </w:trPr>
        <w:tc>
          <w:tcPr>
            <w:tcW w:w="8793" w:type="dxa"/>
            <w:tcBorders>
              <w:top w:val="nil"/>
              <w:left w:val="nil"/>
              <w:bottom w:val="nil"/>
              <w:right w:val="nil"/>
            </w:tcBorders>
            <w:shd w:val="clear" w:color="auto" w:fill="F2F2F2"/>
          </w:tcPr>
          <w:p w14:paraId="3BE3CA44" w14:textId="1154DA0F" w:rsidR="00E93942" w:rsidRPr="00DD2794" w:rsidRDefault="00E93942" w:rsidP="00F87BCC">
            <w:pPr>
              <w:pStyle w:val="Box"/>
            </w:pPr>
            <w:r w:rsidRPr="00DD2794">
              <w:t>‘Patient satisfaction’ is defined as the quality of care as perceived by the patient. It is mea</w:t>
            </w:r>
            <w:r>
              <w:t xml:space="preserve">sured as patient experience of </w:t>
            </w:r>
            <w:r w:rsidRPr="00DD2794">
              <w:t xml:space="preserve">aspects of care that are key factors in patient outcomes and can be readily modified. </w:t>
            </w:r>
            <w:r w:rsidR="00295CA6">
              <w:t>Six</w:t>
            </w:r>
            <w:r w:rsidRPr="00DD2794">
              <w:t xml:space="preserve"> measures of patient experience of communication with health professionals — a key aspect of care — are reported</w:t>
            </w:r>
            <w:r>
              <w:t>:</w:t>
            </w:r>
          </w:p>
          <w:p w14:paraId="0E3B085A" w14:textId="77777777" w:rsidR="00295CA6" w:rsidRDefault="00E93942" w:rsidP="00F87BCC">
            <w:pPr>
              <w:pStyle w:val="BoxListBullet"/>
            </w:pPr>
            <w:r w:rsidRPr="00DD2794">
              <w:t xml:space="preserve">the </w:t>
            </w:r>
            <w:r>
              <w:t>proportion</w:t>
            </w:r>
            <w:r w:rsidRPr="00DD2794">
              <w:t xml:space="preserve"> of people who saw a GP in the previous 12 months </w:t>
            </w:r>
            <w:r>
              <w:t>who reported</w:t>
            </w:r>
            <w:r w:rsidRPr="00DD2794">
              <w:t xml:space="preserve"> the GP always or often: </w:t>
            </w:r>
          </w:p>
          <w:p w14:paraId="32C96097" w14:textId="77777777" w:rsidR="00295CA6" w:rsidRDefault="00E93942" w:rsidP="00295CA6">
            <w:pPr>
              <w:pStyle w:val="BoxListBullet"/>
              <w:ind w:left="1004"/>
            </w:pPr>
            <w:r w:rsidRPr="00DD2794">
              <w:t>listened carefully to them</w:t>
            </w:r>
          </w:p>
          <w:p w14:paraId="6C51D505" w14:textId="77777777" w:rsidR="00295CA6" w:rsidRDefault="00E93942" w:rsidP="00295CA6">
            <w:pPr>
              <w:pStyle w:val="BoxListBullet"/>
              <w:ind w:left="1004"/>
            </w:pPr>
            <w:r w:rsidRPr="00DD2794">
              <w:t>showed respect</w:t>
            </w:r>
          </w:p>
          <w:p w14:paraId="2CD37802" w14:textId="5AD41126" w:rsidR="00E93942" w:rsidRPr="00DD2794" w:rsidRDefault="00E93942" w:rsidP="00295CA6">
            <w:pPr>
              <w:pStyle w:val="BoxListBullet"/>
              <w:ind w:left="1004"/>
            </w:pPr>
            <w:r>
              <w:t>spent enough time with them</w:t>
            </w:r>
          </w:p>
          <w:p w14:paraId="4366EE89" w14:textId="77777777" w:rsidR="00295CA6" w:rsidRDefault="00E93942" w:rsidP="00F87BCC">
            <w:pPr>
              <w:pStyle w:val="BoxListBullet"/>
            </w:pPr>
            <w:r w:rsidRPr="00DD2794">
              <w:t xml:space="preserve">the </w:t>
            </w:r>
            <w:r>
              <w:t xml:space="preserve">proportion </w:t>
            </w:r>
            <w:r w:rsidRPr="00DD2794">
              <w:t xml:space="preserve">of people who saw a dental professional in the previous 12 months </w:t>
            </w:r>
            <w:r>
              <w:t>who reported</w:t>
            </w:r>
            <w:r w:rsidRPr="00DD2794">
              <w:t xml:space="preserve"> the dental pr</w:t>
            </w:r>
            <w:r>
              <w:t>ofessional</w:t>
            </w:r>
            <w:r w:rsidRPr="00DD2794">
              <w:t xml:space="preserve"> always or often: </w:t>
            </w:r>
          </w:p>
          <w:p w14:paraId="75DCAB81" w14:textId="77777777" w:rsidR="00295CA6" w:rsidRDefault="00E93942" w:rsidP="00295CA6">
            <w:pPr>
              <w:pStyle w:val="BoxListBullet"/>
              <w:ind w:left="1004"/>
            </w:pPr>
            <w:r w:rsidRPr="00DD2794">
              <w:t>listened carefully to them</w:t>
            </w:r>
          </w:p>
          <w:p w14:paraId="79DF412F" w14:textId="77777777" w:rsidR="00295CA6" w:rsidRDefault="00E93942" w:rsidP="00295CA6">
            <w:pPr>
              <w:pStyle w:val="BoxListBullet"/>
              <w:ind w:left="1004"/>
            </w:pPr>
            <w:r w:rsidRPr="00DD2794">
              <w:t>showed respect</w:t>
            </w:r>
          </w:p>
          <w:p w14:paraId="47AFAE62" w14:textId="31B7F92F" w:rsidR="00E93942" w:rsidRPr="00DD2794" w:rsidRDefault="00E93942" w:rsidP="00295CA6">
            <w:pPr>
              <w:pStyle w:val="BoxListBullet"/>
              <w:ind w:left="1004"/>
            </w:pPr>
            <w:r w:rsidRPr="00DD2794">
              <w:t>spent enough time with them.</w:t>
            </w:r>
          </w:p>
          <w:p w14:paraId="39C1AE48" w14:textId="77777777" w:rsidR="00E93942" w:rsidRDefault="00E93942" w:rsidP="00F87BCC">
            <w:pPr>
              <w:pStyle w:val="Box"/>
            </w:pPr>
            <w:r w:rsidRPr="00DD2794">
              <w:t xml:space="preserve">High or increasing proportions can indicate </w:t>
            </w:r>
            <w:r>
              <w:t>improved satisfaction from the patient’s perspective with</w:t>
            </w:r>
            <w:r w:rsidRPr="00DD2794">
              <w:t xml:space="preserve"> </w:t>
            </w:r>
            <w:r>
              <w:t>the quality of care</w:t>
            </w:r>
            <w:r w:rsidRPr="00DD2794">
              <w:t>.</w:t>
            </w:r>
          </w:p>
          <w:p w14:paraId="5647E156" w14:textId="77777777" w:rsidR="00E93942" w:rsidRDefault="00E93942" w:rsidP="00F87BCC">
            <w:pPr>
              <w:pStyle w:val="Box"/>
            </w:pPr>
            <w:r>
              <w:t>Data reported against this indicator are:</w:t>
            </w:r>
          </w:p>
          <w:p w14:paraId="1E9C90A3" w14:textId="77777777" w:rsidR="00E93942" w:rsidRDefault="00E93942" w:rsidP="00F87BCC">
            <w:pPr>
              <w:pStyle w:val="Box"/>
              <w:ind w:left="284"/>
            </w:pPr>
            <w:r w:rsidRPr="001B3B2F">
              <w:rPr>
                <w:shd w:val="clear" w:color="auto" w:fill="F15A25"/>
              </w:rPr>
              <w:t xml:space="preserve">    </w:t>
            </w:r>
            <w:r>
              <w:t xml:space="preserve"> comparable (subject to caveats) across jurisdictions and over time</w:t>
            </w:r>
          </w:p>
          <w:p w14:paraId="7765825F" w14:textId="0C75DFE9" w:rsidR="00E93942" w:rsidRDefault="00E93942" w:rsidP="00F87BCC">
            <w:pPr>
              <w:pStyle w:val="Box"/>
              <w:ind w:left="284"/>
            </w:pPr>
            <w:r w:rsidRPr="001B3B2F">
              <w:rPr>
                <w:shd w:val="clear" w:color="auto" w:fill="F15A25"/>
              </w:rPr>
              <w:t xml:space="preserve">    </w:t>
            </w:r>
            <w:r>
              <w:t xml:space="preserve"> complete (subject to caveats) for the current reporting period. All required </w:t>
            </w:r>
            <w:r w:rsidR="00B706B4">
              <w:t>2019</w:t>
            </w:r>
            <w:r w:rsidR="00B706B4">
              <w:noBreakHyphen/>
              <w:t>20</w:t>
            </w:r>
            <w:r>
              <w:t xml:space="preserve"> data are available for all jurisdictions. </w:t>
            </w:r>
          </w:p>
          <w:p w14:paraId="0C476975" w14:textId="4E6E7FCC" w:rsidR="00E93942" w:rsidRPr="00944E91" w:rsidRDefault="00E93942" w:rsidP="00F87BCC">
            <w:pPr>
              <w:pStyle w:val="Box"/>
            </w:pPr>
            <w:r>
              <w:t>Data are sourced from t</w:t>
            </w:r>
            <w:r w:rsidRPr="005372AA">
              <w:t xml:space="preserve">he </w:t>
            </w:r>
            <w:r>
              <w:t>ABS Patient Experience Survey</w:t>
            </w:r>
            <w:r w:rsidR="004D58B5">
              <w:t xml:space="preserve"> (</w:t>
            </w:r>
            <w:proofErr w:type="spellStart"/>
            <w:r w:rsidR="004D58B5">
              <w:t>PExS</w:t>
            </w:r>
            <w:proofErr w:type="spellEnd"/>
            <w:r w:rsidR="004D58B5">
              <w:t xml:space="preserve">) of people aged 15 years and over. The </w:t>
            </w:r>
            <w:proofErr w:type="spellStart"/>
            <w:r w:rsidR="004D58B5">
              <w:t>PExS</w:t>
            </w:r>
            <w:proofErr w:type="spellEnd"/>
            <w:r>
              <w:t xml:space="preserve"> </w:t>
            </w:r>
            <w:r w:rsidRPr="005372AA">
              <w:t>does not include people living in discrete Aboriginal and Torres Strait Islander communities</w:t>
            </w:r>
            <w:r>
              <w:t>. This</w:t>
            </w:r>
            <w:r w:rsidRPr="005372AA">
              <w:t xml:space="preserve"> affects the </w:t>
            </w:r>
            <w:r>
              <w:t>representativeness</w:t>
            </w:r>
            <w:r w:rsidRPr="005372AA">
              <w:t xml:space="preserve"> of the NT results</w:t>
            </w:r>
            <w:r>
              <w:t>. Approximately 20 per cent of the estimated resident population of the NT live in discrete Indigenous communities</w:t>
            </w:r>
            <w:r w:rsidRPr="00E1291A">
              <w:t>.</w:t>
            </w:r>
          </w:p>
        </w:tc>
      </w:tr>
      <w:tr w:rsidR="00E93942" w14:paraId="69EFE510" w14:textId="77777777" w:rsidTr="00F87BCC">
        <w:trPr>
          <w:cantSplit/>
        </w:trPr>
        <w:tc>
          <w:tcPr>
            <w:tcW w:w="8793" w:type="dxa"/>
            <w:tcBorders>
              <w:top w:val="nil"/>
              <w:left w:val="nil"/>
              <w:bottom w:val="single" w:sz="6" w:space="0" w:color="78A22F"/>
              <w:right w:val="nil"/>
            </w:tcBorders>
            <w:shd w:val="clear" w:color="auto" w:fill="F2F2F2"/>
          </w:tcPr>
          <w:p w14:paraId="237566A7" w14:textId="77777777" w:rsidR="00E93942" w:rsidRDefault="00E93942" w:rsidP="00F87BCC">
            <w:pPr>
              <w:pStyle w:val="Box"/>
              <w:spacing w:before="0" w:line="120" w:lineRule="exact"/>
            </w:pPr>
          </w:p>
        </w:tc>
      </w:tr>
      <w:tr w:rsidR="00E93942" w:rsidRPr="000863A5" w14:paraId="5CA2ACB8" w14:textId="77777777" w:rsidTr="00F87BCC">
        <w:tc>
          <w:tcPr>
            <w:tcW w:w="8793" w:type="dxa"/>
            <w:tcBorders>
              <w:top w:val="single" w:sz="6" w:space="0" w:color="78A22F"/>
              <w:left w:val="nil"/>
              <w:bottom w:val="nil"/>
              <w:right w:val="nil"/>
            </w:tcBorders>
          </w:tcPr>
          <w:p w14:paraId="33339332" w14:textId="77777777" w:rsidR="00E93942" w:rsidRPr="00626D32" w:rsidRDefault="00E93942" w:rsidP="00F87BCC">
            <w:pPr>
              <w:pStyle w:val="BoxSpaceBelow"/>
            </w:pPr>
          </w:p>
        </w:tc>
      </w:tr>
    </w:tbl>
    <w:p w14:paraId="2D7BA2DF" w14:textId="77777777" w:rsidR="002D1F9D" w:rsidRDefault="002D1F9D" w:rsidP="00E93942">
      <w:pPr>
        <w:pStyle w:val="Heading4"/>
      </w:pPr>
      <w:bookmarkStart w:id="28" w:name="_Toc34311768"/>
    </w:p>
    <w:p w14:paraId="31399FF7" w14:textId="77777777" w:rsidR="002D1F9D" w:rsidRDefault="002D1F9D">
      <w:pPr>
        <w:spacing w:after="200" w:line="276" w:lineRule="auto"/>
        <w:rPr>
          <w:rFonts w:ascii="Arial" w:hAnsi="Arial"/>
          <w:szCs w:val="20"/>
        </w:rPr>
      </w:pPr>
      <w:r>
        <w:br w:type="page"/>
      </w:r>
    </w:p>
    <w:p w14:paraId="67C8FA97" w14:textId="7B240DFD" w:rsidR="00E93942" w:rsidRDefault="00E93942" w:rsidP="00E93942">
      <w:pPr>
        <w:pStyle w:val="Heading4"/>
      </w:pPr>
      <w:r>
        <w:lastRenderedPageBreak/>
        <w:t xml:space="preserve">Quality — Continuity </w:t>
      </w:r>
      <w:r w:rsidRPr="00DE2795">
        <w:t xml:space="preserve">— Continuity of </w:t>
      </w:r>
      <w:r>
        <w:t>care</w:t>
      </w:r>
      <w:bookmarkEnd w:id="28"/>
    </w:p>
    <w:p w14:paraId="24425457" w14:textId="77777777" w:rsidR="00E93942" w:rsidRDefault="00E93942" w:rsidP="00E93942">
      <w:pPr>
        <w:pStyle w:val="BodyText"/>
      </w:pPr>
      <w:r>
        <w:t>‘Continuity of</w:t>
      </w:r>
      <w:r w:rsidRPr="00C51085">
        <w:t xml:space="preserve"> </w:t>
      </w:r>
      <w:r>
        <w:t xml:space="preserve">care’ is an indicator of governments’ objective to ensure that services are </w:t>
      </w:r>
      <w:r w:rsidRPr="00484BA3">
        <w:t xml:space="preserve">well co-ordinated to ensure continuity of care where more than one service type, and/or ongoing service provision is required </w:t>
      </w:r>
      <w:r>
        <w:t>(box 10.12).</w:t>
      </w:r>
    </w:p>
    <w:p w14:paraId="1FAA4D26" w14:textId="77777777" w:rsidR="00E93942" w:rsidRDefault="00E93942" w:rsidP="00E93942">
      <w:pPr>
        <w:pStyle w:val="BoxSpaceAbove"/>
      </w:pPr>
    </w:p>
    <w:tbl>
      <w:tblPr>
        <w:tblW w:w="4843" w:type="pct"/>
        <w:tblInd w:w="142"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513"/>
      </w:tblGrid>
      <w:tr w:rsidR="00E93942" w14:paraId="3681BFC3" w14:textId="77777777" w:rsidTr="00F87BCC">
        <w:trPr>
          <w:tblHeader/>
        </w:trPr>
        <w:tc>
          <w:tcPr>
            <w:tcW w:w="5000" w:type="pct"/>
            <w:tcBorders>
              <w:top w:val="single" w:sz="6" w:space="0" w:color="78A22F"/>
              <w:left w:val="nil"/>
              <w:bottom w:val="nil"/>
              <w:right w:val="nil"/>
            </w:tcBorders>
            <w:shd w:val="clear" w:color="auto" w:fill="F2F2F2" w:themeFill="background1" w:themeFillShade="F2"/>
          </w:tcPr>
          <w:p w14:paraId="635E5F7A" w14:textId="77777777" w:rsidR="00E93942" w:rsidRPr="004F33E6" w:rsidRDefault="00E93942" w:rsidP="00F87BCC">
            <w:pPr>
              <w:pStyle w:val="BoxTitle"/>
            </w:pPr>
            <w:r w:rsidRPr="004F33E6">
              <w:rPr>
                <w:b w:val="0"/>
              </w:rPr>
              <w:t>Box 10.</w:t>
            </w:r>
            <w:r>
              <w:rPr>
                <w:b w:val="0"/>
                <w:noProof/>
              </w:rPr>
              <w:t>12</w:t>
            </w:r>
            <w:r w:rsidRPr="004F33E6">
              <w:tab/>
              <w:t>Continuity of care</w:t>
            </w:r>
          </w:p>
        </w:tc>
      </w:tr>
      <w:tr w:rsidR="00E93942" w14:paraId="4401E583" w14:textId="77777777" w:rsidTr="00F87BCC">
        <w:tc>
          <w:tcPr>
            <w:tcW w:w="5000" w:type="pct"/>
            <w:tcBorders>
              <w:top w:val="nil"/>
              <w:left w:val="nil"/>
              <w:bottom w:val="nil"/>
              <w:right w:val="nil"/>
            </w:tcBorders>
            <w:shd w:val="clear" w:color="auto" w:fill="F2F2F2" w:themeFill="background1" w:themeFillShade="F2"/>
          </w:tcPr>
          <w:p w14:paraId="2025C0F2" w14:textId="77777777" w:rsidR="00416F2E" w:rsidRDefault="00E93942" w:rsidP="00F87BCC">
            <w:pPr>
              <w:pStyle w:val="Box"/>
            </w:pPr>
            <w:r w:rsidRPr="004F33E6">
              <w:t xml:space="preserve">‘Continuity of care’ is defined </w:t>
            </w:r>
            <w:r w:rsidR="00416F2E">
              <w:t>by three measures:</w:t>
            </w:r>
          </w:p>
          <w:p w14:paraId="0F561DBA" w14:textId="6C311177" w:rsidR="00416F2E" w:rsidRDefault="00E93942" w:rsidP="00416F2E">
            <w:pPr>
              <w:pStyle w:val="BoxListBullet"/>
            </w:pPr>
            <w:r w:rsidRPr="004F33E6">
              <w:t>the proportion of GP management plans and team care assessment plans that have been reviewed in the past 12 months</w:t>
            </w:r>
          </w:p>
          <w:p w14:paraId="181BA748" w14:textId="31418682" w:rsidR="00416F2E" w:rsidRDefault="00416F2E" w:rsidP="00416F2E">
            <w:pPr>
              <w:pStyle w:val="BoxListBullet"/>
            </w:pPr>
            <w:r>
              <w:t xml:space="preserve">the proportion of </w:t>
            </w:r>
            <w:r w:rsidR="00DD2D91">
              <w:t>people</w:t>
            </w:r>
            <w:r>
              <w:t xml:space="preserve"> who saw three or more health professionals in the </w:t>
            </w:r>
            <w:r w:rsidR="00DD2D91">
              <w:t>l</w:t>
            </w:r>
            <w:r>
              <w:t>ast 12 months for the same condition and who reported that a health professional helped coordinate their care and that this coordination of care helped to a large extent</w:t>
            </w:r>
          </w:p>
          <w:p w14:paraId="2AA659A8" w14:textId="5AA724AA" w:rsidR="00E93942" w:rsidRPr="004F33E6" w:rsidRDefault="00416F2E" w:rsidP="0019316B">
            <w:pPr>
              <w:pStyle w:val="BoxListBullet"/>
            </w:pPr>
            <w:r>
              <w:t xml:space="preserve">the proportion of </w:t>
            </w:r>
            <w:r w:rsidR="00DD2D91">
              <w:t>people</w:t>
            </w:r>
            <w:r>
              <w:t xml:space="preserve"> who saw three or more health professionals in the </w:t>
            </w:r>
            <w:r w:rsidR="00DD2D91">
              <w:t>l</w:t>
            </w:r>
            <w:r>
              <w:t xml:space="preserve">ast 12 months for the same condition and who reported that issues were caused by a lack of communication </w:t>
            </w:r>
            <w:r w:rsidR="00DD2D91">
              <w:t xml:space="preserve">between </w:t>
            </w:r>
            <w:r>
              <w:t>the health professionals</w:t>
            </w:r>
            <w:r w:rsidR="00E93942" w:rsidRPr="004F33E6">
              <w:t xml:space="preserve">. </w:t>
            </w:r>
          </w:p>
          <w:p w14:paraId="4ACA5640" w14:textId="60AB0323" w:rsidR="00E93942" w:rsidRPr="004F33E6" w:rsidRDefault="008B02DD" w:rsidP="00F87BCC">
            <w:pPr>
              <w:pStyle w:val="Box"/>
            </w:pPr>
            <w:r>
              <w:t>For</w:t>
            </w:r>
            <w:r w:rsidR="00F359B1">
              <w:t xml:space="preserve"> the first</w:t>
            </w:r>
            <w:r w:rsidR="004B6608">
              <w:t xml:space="preserve"> measure</w:t>
            </w:r>
            <w:r w:rsidR="0019316B">
              <w:t>,</w:t>
            </w:r>
            <w:r w:rsidR="004B6608">
              <w:t xml:space="preserve"> </w:t>
            </w:r>
            <w:r>
              <w:t>p</w:t>
            </w:r>
            <w:r w:rsidR="00E93942" w:rsidRPr="004F33E6">
              <w:t>roportions are calculated by dividing the number of MBS subsidised GP management plans and team care assessment plans reviewed (Medicare item no. 732), by the total number of MBS subsidised GP management plans (Medicare item no. 721) and team care assessment plans (Medicare item no. 723), multiplied by 100.</w:t>
            </w:r>
            <w:r w:rsidR="00F359B1">
              <w:t xml:space="preserve"> </w:t>
            </w:r>
          </w:p>
          <w:p w14:paraId="4F5BB562" w14:textId="77777777" w:rsidR="00E93942" w:rsidRDefault="00E93942" w:rsidP="00F87BCC">
            <w:pPr>
              <w:pStyle w:val="Box"/>
            </w:pPr>
            <w:r>
              <w:t>A high or increasing proportion</w:t>
            </w:r>
            <w:r w:rsidRPr="004F33E6">
              <w:t xml:space="preserve"> of GP management and team care assessment plans reviewed is desirable.</w:t>
            </w:r>
          </w:p>
          <w:p w14:paraId="448DE2DA" w14:textId="6BAFE5C9" w:rsidR="0019316B" w:rsidRDefault="0019316B" w:rsidP="0019316B">
            <w:pPr>
              <w:pStyle w:val="Box"/>
            </w:pPr>
            <w:r>
              <w:t>The second and third measures are enumerated using data from the ABS Patient Experience Survey (</w:t>
            </w:r>
            <w:proofErr w:type="spellStart"/>
            <w:r>
              <w:t>PExS</w:t>
            </w:r>
            <w:proofErr w:type="spellEnd"/>
            <w:r>
              <w:t>)</w:t>
            </w:r>
            <w:r w:rsidR="004D58B5">
              <w:t xml:space="preserve"> of people aged 15 years and over</w:t>
            </w:r>
            <w:r>
              <w:t xml:space="preserve">. </w:t>
            </w:r>
            <w:r w:rsidRPr="00A4297C">
              <w:t xml:space="preserve">The </w:t>
            </w:r>
            <w:proofErr w:type="spellStart"/>
            <w:r>
              <w:t>PExS</w:t>
            </w:r>
            <w:proofErr w:type="spellEnd"/>
            <w:r>
              <w:t xml:space="preserve"> </w:t>
            </w:r>
            <w:r w:rsidRPr="00E1291A">
              <w:t xml:space="preserve">does not include people living in discrete </w:t>
            </w:r>
            <w:r>
              <w:t xml:space="preserve">Indigenous </w:t>
            </w:r>
            <w:r w:rsidRPr="00E1291A">
              <w:t xml:space="preserve">communities, which affects the </w:t>
            </w:r>
            <w:r>
              <w:t>representativeness</w:t>
            </w:r>
            <w:r w:rsidRPr="00E1291A">
              <w:t xml:space="preserve"> of the NT results</w:t>
            </w:r>
            <w:r>
              <w:t xml:space="preserve"> for both measures. Approximately 20 per cent of the estimated resident population of the NT live in discrete Indigenous communities</w:t>
            </w:r>
            <w:r w:rsidRPr="00E1291A">
              <w:t>.</w:t>
            </w:r>
          </w:p>
          <w:p w14:paraId="12448F01" w14:textId="77777777" w:rsidR="0019316B" w:rsidRDefault="0019316B" w:rsidP="0019316B">
            <w:pPr>
              <w:pStyle w:val="Box"/>
            </w:pPr>
            <w:r>
              <w:t xml:space="preserve">For the second measure, a high or increasing proportion of patients who saw </w:t>
            </w:r>
            <w:r w:rsidRPr="00A65C13">
              <w:t>three or more different health professionals in the past 12 months for the same condition and who reported that a health professional helped coordinate their care and that this coordination of care helped to a large extent</w:t>
            </w:r>
            <w:r>
              <w:t xml:space="preserve"> is desirable.</w:t>
            </w:r>
          </w:p>
          <w:p w14:paraId="6B2EC99D" w14:textId="77777777" w:rsidR="0019316B" w:rsidRDefault="0019316B" w:rsidP="0019316B">
            <w:pPr>
              <w:pStyle w:val="Box"/>
            </w:pPr>
            <w:r>
              <w:t xml:space="preserve">For the third measure a low or decreasing </w:t>
            </w:r>
            <w:r w:rsidRPr="00A65C13">
              <w:t>proportion of patients who saw three or more different health professionals in the past 12 months for the same condition and who reported that issues were caused by a lack of communication or coordination among the health professionals</w:t>
            </w:r>
            <w:r>
              <w:t xml:space="preserve"> is desirable. </w:t>
            </w:r>
          </w:p>
          <w:p w14:paraId="1958BFC0" w14:textId="77777777" w:rsidR="00E93942" w:rsidRDefault="00E93942" w:rsidP="00F87BCC">
            <w:pPr>
              <w:keepNext/>
              <w:spacing w:before="120" w:line="260" w:lineRule="atLeast"/>
              <w:jc w:val="both"/>
              <w:rPr>
                <w:rFonts w:ascii="Arial" w:hAnsi="Arial"/>
                <w:sz w:val="20"/>
              </w:rPr>
            </w:pPr>
            <w:r w:rsidRPr="004F33E6">
              <w:rPr>
                <w:rFonts w:ascii="Arial" w:hAnsi="Arial"/>
                <w:sz w:val="20"/>
              </w:rPr>
              <w:t>Data reported for this indicator are:</w:t>
            </w:r>
          </w:p>
          <w:p w14:paraId="7CC0F014" w14:textId="77777777" w:rsidR="00E93942" w:rsidRDefault="00E93942" w:rsidP="00F87BCC">
            <w:pPr>
              <w:pStyle w:val="Box"/>
              <w:ind w:left="284"/>
            </w:pPr>
            <w:r w:rsidRPr="001B3B2F">
              <w:rPr>
                <w:shd w:val="clear" w:color="auto" w:fill="F15A25"/>
              </w:rPr>
              <w:t xml:space="preserve">    </w:t>
            </w:r>
            <w:r>
              <w:t xml:space="preserve"> comparable (subject to caveats) across jurisdictions and over time</w:t>
            </w:r>
          </w:p>
          <w:p w14:paraId="10C72C79" w14:textId="60214A96" w:rsidR="00E93942" w:rsidRPr="004F33E6" w:rsidRDefault="00E93942" w:rsidP="00F87BCC">
            <w:pPr>
              <w:keepNext/>
              <w:spacing w:before="120" w:line="260" w:lineRule="atLeast"/>
              <w:ind w:left="284"/>
              <w:jc w:val="both"/>
            </w:pPr>
            <w:r w:rsidRPr="001B3B2F">
              <w:rPr>
                <w:shd w:val="clear" w:color="auto" w:fill="F15A25"/>
              </w:rPr>
              <w:t xml:space="preserve">    </w:t>
            </w:r>
            <w:r>
              <w:t xml:space="preserve"> </w:t>
            </w:r>
            <w:r w:rsidRPr="00C648AD">
              <w:rPr>
                <w:rFonts w:ascii="Arial" w:hAnsi="Arial"/>
                <w:sz w:val="20"/>
                <w:szCs w:val="20"/>
              </w:rPr>
              <w:t xml:space="preserve">complete (subject to caveats) for the current reporting period. All required </w:t>
            </w:r>
            <w:r w:rsidR="00503EA3">
              <w:rPr>
                <w:rFonts w:ascii="Arial" w:hAnsi="Arial"/>
                <w:sz w:val="20"/>
                <w:szCs w:val="20"/>
              </w:rPr>
              <w:t>2019</w:t>
            </w:r>
            <w:r w:rsidR="00503EA3">
              <w:rPr>
                <w:rFonts w:ascii="Arial" w:hAnsi="Arial"/>
                <w:sz w:val="20"/>
                <w:szCs w:val="20"/>
              </w:rPr>
              <w:noBreakHyphen/>
              <w:t>20</w:t>
            </w:r>
            <w:r w:rsidRPr="00C648AD">
              <w:rPr>
                <w:rFonts w:ascii="Arial" w:hAnsi="Arial"/>
                <w:sz w:val="20"/>
                <w:szCs w:val="20"/>
              </w:rPr>
              <w:t xml:space="preserve"> data are available for all jurisdictions.</w:t>
            </w:r>
            <w:r w:rsidRPr="004F33E6">
              <w:t xml:space="preserve"> </w:t>
            </w:r>
          </w:p>
        </w:tc>
      </w:tr>
      <w:tr w:rsidR="00E93942" w14:paraId="7168CAB9" w14:textId="77777777" w:rsidTr="00F87BCC">
        <w:tc>
          <w:tcPr>
            <w:tcW w:w="5000" w:type="pct"/>
            <w:tcBorders>
              <w:top w:val="nil"/>
              <w:left w:val="nil"/>
              <w:bottom w:val="single" w:sz="6" w:space="0" w:color="78A22F"/>
              <w:right w:val="nil"/>
            </w:tcBorders>
            <w:shd w:val="clear" w:color="auto" w:fill="F2F2F2"/>
          </w:tcPr>
          <w:p w14:paraId="17CEBE57" w14:textId="77777777" w:rsidR="00E93942" w:rsidRDefault="00E93942" w:rsidP="00F87BCC">
            <w:pPr>
              <w:pStyle w:val="Box"/>
              <w:spacing w:before="0" w:line="120" w:lineRule="exact"/>
            </w:pPr>
          </w:p>
        </w:tc>
      </w:tr>
      <w:tr w:rsidR="00E93942" w:rsidRPr="000863A5" w14:paraId="1ED56A36" w14:textId="77777777" w:rsidTr="00F87BCC">
        <w:tc>
          <w:tcPr>
            <w:tcW w:w="5000" w:type="pct"/>
            <w:tcBorders>
              <w:top w:val="single" w:sz="6" w:space="0" w:color="78A22F"/>
              <w:left w:val="nil"/>
              <w:bottom w:val="nil"/>
              <w:right w:val="nil"/>
            </w:tcBorders>
          </w:tcPr>
          <w:p w14:paraId="5C36011C" w14:textId="77777777" w:rsidR="00E93942" w:rsidRPr="00626D32" w:rsidRDefault="00E93942" w:rsidP="00F87BCC">
            <w:pPr>
              <w:pStyle w:val="BoxSpaceBelow"/>
            </w:pPr>
          </w:p>
        </w:tc>
      </w:tr>
    </w:tbl>
    <w:p w14:paraId="7C5867B0" w14:textId="77777777" w:rsidR="00E93942" w:rsidRDefault="00E93942" w:rsidP="00E93942">
      <w:pPr>
        <w:pStyle w:val="Heading4"/>
      </w:pPr>
      <w:bookmarkStart w:id="29" w:name="_Toc34311769"/>
      <w:r w:rsidRPr="0001197C">
        <w:lastRenderedPageBreak/>
        <w:t>Sustainability</w:t>
      </w:r>
      <w:r>
        <w:t xml:space="preserve"> — Workforce sustainability</w:t>
      </w:r>
      <w:bookmarkEnd w:id="29"/>
      <w:r>
        <w:t xml:space="preserve"> </w:t>
      </w:r>
    </w:p>
    <w:p w14:paraId="668ED57A" w14:textId="77777777" w:rsidR="00E93942" w:rsidRDefault="00E93942" w:rsidP="00E93942">
      <w:pPr>
        <w:pStyle w:val="BodyText"/>
      </w:pPr>
      <w:r w:rsidRPr="00EB4479">
        <w:t>‘Workforce sustainability’ is an indicator of governments</w:t>
      </w:r>
      <w:r>
        <w:t>’</w:t>
      </w:r>
      <w:r w:rsidRPr="00EB4479">
        <w:t xml:space="preserve"> objective to provide sustainable primary and community healthcare services</w:t>
      </w:r>
      <w:r>
        <w:t xml:space="preserve"> (box 10.13).</w:t>
      </w:r>
    </w:p>
    <w:p w14:paraId="10A0A3FB" w14:textId="77777777" w:rsidR="00E93942" w:rsidRDefault="00E93942" w:rsidP="00F87BCC">
      <w:pPr>
        <w:pStyle w:val="BoxSpaceAbove"/>
      </w:pPr>
    </w:p>
    <w:tbl>
      <w:tblPr>
        <w:tblW w:w="8789" w:type="dxa"/>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E93942" w14:paraId="39C0F92D" w14:textId="77777777" w:rsidTr="00F87BCC">
        <w:tc>
          <w:tcPr>
            <w:tcW w:w="8789" w:type="dxa"/>
            <w:tcBorders>
              <w:top w:val="single" w:sz="6" w:space="0" w:color="78A22F"/>
              <w:left w:val="nil"/>
              <w:bottom w:val="nil"/>
              <w:right w:val="nil"/>
            </w:tcBorders>
            <w:shd w:val="clear" w:color="auto" w:fill="F2F2F2"/>
          </w:tcPr>
          <w:p w14:paraId="7DBF94EB" w14:textId="77777777" w:rsidR="00E93942" w:rsidRPr="008925CD" w:rsidRDefault="00E93942" w:rsidP="00F87BCC">
            <w:pPr>
              <w:pStyle w:val="BoxTitle"/>
            </w:pPr>
            <w:r w:rsidRPr="008925CD">
              <w:rPr>
                <w:b w:val="0"/>
              </w:rPr>
              <w:t>Box 10.</w:t>
            </w:r>
            <w:r>
              <w:rPr>
                <w:b w:val="0"/>
                <w:noProof/>
              </w:rPr>
              <w:t>13</w:t>
            </w:r>
            <w:r w:rsidRPr="008925CD">
              <w:tab/>
            </w:r>
            <w:r w:rsidRPr="008925CD">
              <w:rPr>
                <w:sz w:val="26"/>
                <w:szCs w:val="26"/>
              </w:rPr>
              <w:t>Workforce sustainability</w:t>
            </w:r>
          </w:p>
        </w:tc>
      </w:tr>
      <w:tr w:rsidR="00E93942" w:rsidRPr="00E907ED" w14:paraId="30CAB278" w14:textId="77777777" w:rsidTr="00F87BCC">
        <w:trPr>
          <w:cantSplit/>
        </w:trPr>
        <w:tc>
          <w:tcPr>
            <w:tcW w:w="8789" w:type="dxa"/>
            <w:tcBorders>
              <w:top w:val="nil"/>
              <w:left w:val="nil"/>
              <w:bottom w:val="nil"/>
              <w:right w:val="nil"/>
            </w:tcBorders>
            <w:shd w:val="clear" w:color="auto" w:fill="F2F2F2"/>
          </w:tcPr>
          <w:p w14:paraId="3B240C4A" w14:textId="77777777" w:rsidR="00E93942" w:rsidRPr="00186CE1" w:rsidRDefault="00E93942" w:rsidP="00F87BCC">
            <w:pPr>
              <w:pStyle w:val="Box"/>
            </w:pPr>
            <w:r w:rsidRPr="00186CE1">
              <w:t>‘Workforce sustainability’ is defined by two measures:</w:t>
            </w:r>
          </w:p>
          <w:p w14:paraId="70F83DA9" w14:textId="77777777" w:rsidR="00E93942" w:rsidRPr="00186CE1" w:rsidRDefault="00E93942" w:rsidP="00F87BCC">
            <w:pPr>
              <w:pStyle w:val="BoxListBullet"/>
            </w:pPr>
            <w:r w:rsidRPr="00186CE1">
              <w:t xml:space="preserve">the proportion of full time equivalent (FTE) GPs in </w:t>
            </w:r>
            <w:proofErr w:type="gramStart"/>
            <w:r w:rsidRPr="00186CE1">
              <w:t>ten year</w:t>
            </w:r>
            <w:proofErr w:type="gramEnd"/>
            <w:r w:rsidRPr="00186CE1">
              <w:t xml:space="preserve"> age brackets</w:t>
            </w:r>
          </w:p>
          <w:p w14:paraId="7E6260DF" w14:textId="77777777" w:rsidR="00E93942" w:rsidRPr="00186CE1" w:rsidRDefault="00E93942" w:rsidP="00F87BCC">
            <w:pPr>
              <w:pStyle w:val="BoxListBullet"/>
            </w:pPr>
            <w:r w:rsidRPr="00186CE1">
              <w:t>the attrition rate of FTE GPs who exit the workforce as a proportion of the number of FTE GPs by age bracket.</w:t>
            </w:r>
          </w:p>
          <w:p w14:paraId="1F2B3B2F" w14:textId="77777777" w:rsidR="00E93942" w:rsidRPr="00186CE1" w:rsidRDefault="00E93942" w:rsidP="00F87BCC">
            <w:pPr>
              <w:pStyle w:val="Box"/>
            </w:pPr>
            <w:r w:rsidRPr="00186CE1">
              <w:t>A high or increasing percentage of the workforce that are new entrants and/or low or decreasing proportions of the workforce that are close to retirement is desirable. A low or decreasing rate of workforce attrition is desirable.</w:t>
            </w:r>
          </w:p>
          <w:p w14:paraId="588A2A67" w14:textId="1C426367" w:rsidR="00E93942" w:rsidRPr="00186CE1" w:rsidRDefault="00E93942" w:rsidP="00F87BCC">
            <w:pPr>
              <w:pStyle w:val="Box"/>
            </w:pPr>
            <w:r w:rsidRPr="00186CE1">
              <w:t>Th</w:t>
            </w:r>
            <w:r w:rsidR="002D1F9D">
              <w:t>ese</w:t>
            </w:r>
            <w:r w:rsidRPr="00186CE1">
              <w:t xml:space="preserve"> measure</w:t>
            </w:r>
            <w:r w:rsidR="002D1F9D">
              <w:t>s</w:t>
            </w:r>
            <w:r w:rsidRPr="00186CE1">
              <w:t xml:space="preserve"> </w:t>
            </w:r>
            <w:r w:rsidR="002D1F9D">
              <w:t>are</w:t>
            </w:r>
            <w:r w:rsidRPr="00186CE1">
              <w:t xml:space="preserve"> not a substitute for a full workforce analysis that allows for migration, trends in full-time work and expected demand increases. They can, however, indicate that further attention should be given to workforce sustainability for GPs.</w:t>
            </w:r>
          </w:p>
          <w:p w14:paraId="47899153" w14:textId="39EC170C" w:rsidR="00E93942" w:rsidRPr="00186CE1" w:rsidRDefault="00E93942" w:rsidP="00F87BCC">
            <w:pPr>
              <w:keepNext/>
              <w:spacing w:before="120" w:line="260" w:lineRule="atLeast"/>
              <w:jc w:val="both"/>
              <w:rPr>
                <w:rFonts w:ascii="Arial" w:hAnsi="Arial"/>
                <w:sz w:val="20"/>
              </w:rPr>
            </w:pPr>
            <w:r w:rsidRPr="00186CE1">
              <w:rPr>
                <w:rFonts w:ascii="Arial" w:hAnsi="Arial"/>
                <w:sz w:val="20"/>
              </w:rPr>
              <w:t>Data reported for the proportion of FTE GPs in ten</w:t>
            </w:r>
            <w:r w:rsidR="002D1F9D">
              <w:rPr>
                <w:rFonts w:ascii="Arial" w:hAnsi="Arial"/>
                <w:sz w:val="20"/>
              </w:rPr>
              <w:t>-</w:t>
            </w:r>
            <w:r w:rsidRPr="00186CE1">
              <w:rPr>
                <w:rFonts w:ascii="Arial" w:hAnsi="Arial"/>
                <w:sz w:val="20"/>
              </w:rPr>
              <w:t>year age brackets are:</w:t>
            </w:r>
          </w:p>
          <w:p w14:paraId="03990A2D" w14:textId="637EF2DB" w:rsidR="00E93942" w:rsidRPr="00186CE1" w:rsidRDefault="00E93942" w:rsidP="00F87BCC">
            <w:pPr>
              <w:pStyle w:val="Box"/>
              <w:ind w:left="284"/>
            </w:pPr>
            <w:r w:rsidRPr="00186CE1">
              <w:rPr>
                <w:shd w:val="clear" w:color="auto" w:fill="FCDED3"/>
              </w:rPr>
              <w:t xml:space="preserve">    </w:t>
            </w:r>
            <w:r w:rsidRPr="00186CE1">
              <w:t xml:space="preserve"> not comparable over time (data for 2018</w:t>
            </w:r>
            <w:r w:rsidR="001361EE" w:rsidRPr="00186CE1">
              <w:t xml:space="preserve"> </w:t>
            </w:r>
            <w:r w:rsidR="00F14B03" w:rsidRPr="00186CE1">
              <w:t xml:space="preserve">and 2019 </w:t>
            </w:r>
            <w:r w:rsidRPr="00186CE1">
              <w:t>are not comparable to earlier years), but are comparable across jurisdictions (subject to caveats)</w:t>
            </w:r>
          </w:p>
          <w:p w14:paraId="21281ED7" w14:textId="1837B133" w:rsidR="00E93942" w:rsidRPr="00186CE1" w:rsidRDefault="00E93942" w:rsidP="00F87BCC">
            <w:pPr>
              <w:pStyle w:val="Box"/>
              <w:ind w:left="284"/>
            </w:pPr>
            <w:r w:rsidRPr="00186CE1">
              <w:rPr>
                <w:shd w:val="clear" w:color="auto" w:fill="F15A25"/>
              </w:rPr>
              <w:t xml:space="preserve">    </w:t>
            </w:r>
            <w:r w:rsidRPr="00186CE1">
              <w:t xml:space="preserve"> complete (subject to caveats) for the current reporting period. All required </w:t>
            </w:r>
            <w:r w:rsidR="00411ED2" w:rsidRPr="00186CE1">
              <w:t>2019</w:t>
            </w:r>
            <w:r w:rsidRPr="00186CE1">
              <w:t xml:space="preserve"> data are available for all jurisdictions.</w:t>
            </w:r>
          </w:p>
          <w:p w14:paraId="6911BBCF" w14:textId="77777777" w:rsidR="00BC67BD" w:rsidRPr="00186CE1" w:rsidRDefault="00DA2CD5" w:rsidP="00F87BCC">
            <w:pPr>
              <w:pStyle w:val="Box"/>
            </w:pPr>
            <w:r w:rsidRPr="00186CE1">
              <w:t xml:space="preserve">For the </w:t>
            </w:r>
            <w:r w:rsidR="00F7415B" w:rsidRPr="00186CE1">
              <w:t>measure ‘</w:t>
            </w:r>
            <w:r w:rsidRPr="00186CE1">
              <w:t>attrition rate of FTE GPs who exit the workforce as a proportion of the number of FTE GPs by age bracket</w:t>
            </w:r>
            <w:r w:rsidR="00F7415B" w:rsidRPr="00186CE1">
              <w:t>’</w:t>
            </w:r>
            <w:r w:rsidRPr="00186CE1">
              <w:t>, only national data for the 2019 period are available</w:t>
            </w:r>
            <w:r w:rsidR="00F14B03" w:rsidRPr="00186CE1">
              <w:t xml:space="preserve"> for publication for the first time in </w:t>
            </w:r>
            <w:r w:rsidR="00085503" w:rsidRPr="00186CE1">
              <w:t>this</w:t>
            </w:r>
            <w:r w:rsidR="00F14B03" w:rsidRPr="00186CE1">
              <w:t xml:space="preserve"> Report. </w:t>
            </w:r>
            <w:r w:rsidRPr="00186CE1">
              <w:t xml:space="preserve">It is expected that state and territory data will be available </w:t>
            </w:r>
            <w:r w:rsidR="00F14B03" w:rsidRPr="00186CE1">
              <w:t xml:space="preserve">for </w:t>
            </w:r>
            <w:r w:rsidR="00085503" w:rsidRPr="00186CE1">
              <w:t>future Reports</w:t>
            </w:r>
            <w:r w:rsidRPr="00186CE1">
              <w:t>.</w:t>
            </w:r>
          </w:p>
          <w:p w14:paraId="1B33E451" w14:textId="233757D6" w:rsidR="00BC67BD" w:rsidRPr="00186CE1" w:rsidRDefault="00186CE1" w:rsidP="00F87BCC">
            <w:pPr>
              <w:pStyle w:val="Box"/>
            </w:pPr>
            <w:r w:rsidRPr="00186CE1">
              <w:t>T</w:t>
            </w:r>
            <w:r w:rsidR="00BC67BD" w:rsidRPr="00186CE1">
              <w:t xml:space="preserve">he national attrition rate </w:t>
            </w:r>
            <w:r w:rsidR="00CB0CA8" w:rsidRPr="00186CE1">
              <w:t>wa</w:t>
            </w:r>
            <w:r w:rsidR="00D70485" w:rsidRPr="00186CE1">
              <w:t xml:space="preserve">s measured as the proportion of GPs who were in scope </w:t>
            </w:r>
            <w:r w:rsidR="00CB0CA8" w:rsidRPr="00186CE1">
              <w:t xml:space="preserve">in 2018, but not in scope in 2019. </w:t>
            </w:r>
            <w:r w:rsidR="00BC67BD" w:rsidRPr="00186CE1">
              <w:t>In</w:t>
            </w:r>
            <w:r w:rsidR="00D70485" w:rsidRPr="00186CE1">
              <w:t xml:space="preserve"> </w:t>
            </w:r>
            <w:r w:rsidR="00BC67BD" w:rsidRPr="00186CE1">
              <w:t xml:space="preserve">scope </w:t>
            </w:r>
            <w:r w:rsidR="00D70485" w:rsidRPr="00186CE1">
              <w:t xml:space="preserve">is defined as </w:t>
            </w:r>
            <w:r w:rsidR="00BC67BD" w:rsidRPr="00186CE1">
              <w:t>Primary Care GP</w:t>
            </w:r>
            <w:r w:rsidR="00D70485" w:rsidRPr="00186CE1">
              <w:t>s</w:t>
            </w:r>
            <w:r w:rsidR="004A272C" w:rsidRPr="00186CE1">
              <w:t>, being GPs working in the treatment of non</w:t>
            </w:r>
            <w:r w:rsidR="004A272C" w:rsidRPr="00186CE1">
              <w:noBreakHyphen/>
              <w:t>admitted patients in the community</w:t>
            </w:r>
            <w:r w:rsidR="00BC67BD" w:rsidRPr="00186CE1">
              <w:t>. GPs who ‘exited’ (</w:t>
            </w:r>
            <w:r w:rsidR="00D70485" w:rsidRPr="00186CE1">
              <w:t xml:space="preserve">i.e., </w:t>
            </w:r>
            <w:r w:rsidR="00CB0CA8" w:rsidRPr="00186CE1">
              <w:t>were</w:t>
            </w:r>
            <w:r w:rsidR="00BC67BD" w:rsidRPr="00186CE1">
              <w:t xml:space="preserve"> no longer in-scope) </w:t>
            </w:r>
            <w:r w:rsidR="00CB0CA8" w:rsidRPr="00186CE1">
              <w:t xml:space="preserve">in 2019 </w:t>
            </w:r>
            <w:r w:rsidR="00D70485" w:rsidRPr="00186CE1">
              <w:t xml:space="preserve">might </w:t>
            </w:r>
            <w:r w:rsidR="00BC67BD" w:rsidRPr="00186CE1">
              <w:t xml:space="preserve">still be in the medical workforce and practicing as a GP but are classified as an exit as they </w:t>
            </w:r>
            <w:r w:rsidR="00042045" w:rsidRPr="00186CE1">
              <w:t xml:space="preserve">are </w:t>
            </w:r>
            <w:r w:rsidR="00BC67BD" w:rsidRPr="00186CE1">
              <w:t>no longer Primary Care GP</w:t>
            </w:r>
            <w:r w:rsidR="00D70485" w:rsidRPr="00186CE1">
              <w:t>s.</w:t>
            </w:r>
            <w:r w:rsidR="00D70485" w:rsidRPr="00186CE1">
              <w:rPr>
                <w:shd w:val="clear" w:color="auto" w:fill="FFFF00"/>
              </w:rPr>
              <w:t xml:space="preserve"> </w:t>
            </w:r>
          </w:p>
        </w:tc>
      </w:tr>
      <w:tr w:rsidR="00E93942" w:rsidRPr="00E907ED" w14:paraId="4C420E34" w14:textId="77777777" w:rsidTr="00F87BCC">
        <w:trPr>
          <w:cantSplit/>
        </w:trPr>
        <w:tc>
          <w:tcPr>
            <w:tcW w:w="8789" w:type="dxa"/>
            <w:tcBorders>
              <w:top w:val="nil"/>
              <w:left w:val="nil"/>
              <w:bottom w:val="single" w:sz="6" w:space="0" w:color="78A22F"/>
              <w:right w:val="nil"/>
            </w:tcBorders>
            <w:shd w:val="clear" w:color="auto" w:fill="F2F2F2"/>
          </w:tcPr>
          <w:p w14:paraId="6B2D8487" w14:textId="77777777" w:rsidR="00E93942" w:rsidRPr="00E907ED" w:rsidRDefault="00E93942" w:rsidP="00F87BCC">
            <w:pPr>
              <w:pStyle w:val="Box"/>
              <w:spacing w:before="0" w:line="120" w:lineRule="exact"/>
            </w:pPr>
          </w:p>
        </w:tc>
      </w:tr>
      <w:tr w:rsidR="00E93942" w:rsidRPr="00E907ED" w14:paraId="16677E4D" w14:textId="77777777" w:rsidTr="00F87BCC">
        <w:tc>
          <w:tcPr>
            <w:tcW w:w="8789" w:type="dxa"/>
            <w:tcBorders>
              <w:top w:val="single" w:sz="6" w:space="0" w:color="78A22F"/>
              <w:left w:val="nil"/>
              <w:bottom w:val="nil"/>
              <w:right w:val="nil"/>
            </w:tcBorders>
          </w:tcPr>
          <w:p w14:paraId="1D27AEBE" w14:textId="77777777" w:rsidR="00E93942" w:rsidRPr="00E907ED" w:rsidRDefault="00E93942" w:rsidP="00F87BCC">
            <w:pPr>
              <w:pStyle w:val="BoxSpaceBelow"/>
            </w:pPr>
          </w:p>
        </w:tc>
      </w:tr>
    </w:tbl>
    <w:p w14:paraId="0CC2EAF4" w14:textId="77777777" w:rsidR="002D1F9D" w:rsidRDefault="002D1F9D" w:rsidP="00E93942">
      <w:pPr>
        <w:pStyle w:val="Heading3"/>
      </w:pPr>
      <w:bookmarkStart w:id="30" w:name="_Toc34311770"/>
    </w:p>
    <w:p w14:paraId="4CD24A78" w14:textId="77777777" w:rsidR="002D1F9D" w:rsidRDefault="002D1F9D">
      <w:pPr>
        <w:spacing w:after="200" w:line="276" w:lineRule="auto"/>
        <w:rPr>
          <w:rFonts w:ascii="Arial" w:hAnsi="Arial"/>
          <w:b/>
          <w:sz w:val="26"/>
          <w:szCs w:val="20"/>
        </w:rPr>
      </w:pPr>
      <w:r>
        <w:br w:type="page"/>
      </w:r>
    </w:p>
    <w:p w14:paraId="1B650A32" w14:textId="2CBC3F39" w:rsidR="00E93942" w:rsidRDefault="00E93942" w:rsidP="00E93942">
      <w:pPr>
        <w:pStyle w:val="Heading3"/>
      </w:pPr>
      <w:r w:rsidRPr="0001197C">
        <w:lastRenderedPageBreak/>
        <w:t>Efficiency</w:t>
      </w:r>
      <w:bookmarkEnd w:id="30"/>
    </w:p>
    <w:p w14:paraId="0E44D8D0" w14:textId="77777777" w:rsidR="00E93942" w:rsidRDefault="00E93942" w:rsidP="00E93942">
      <w:pPr>
        <w:pStyle w:val="Heading4"/>
      </w:pPr>
      <w:bookmarkStart w:id="31" w:name="_Toc34311771"/>
      <w:r w:rsidRPr="0001197C">
        <w:t>Cost to government of general practice per person</w:t>
      </w:r>
      <w:bookmarkEnd w:id="31"/>
    </w:p>
    <w:p w14:paraId="023E6355" w14:textId="77777777" w:rsidR="00E93942" w:rsidRDefault="00E93942" w:rsidP="00E93942">
      <w:pPr>
        <w:pStyle w:val="BodyText"/>
      </w:pPr>
      <w:r>
        <w:t>‘C</w:t>
      </w:r>
      <w:r w:rsidRPr="0001197C">
        <w:t xml:space="preserve">ost to government of general practice per person’ is </w:t>
      </w:r>
      <w:r>
        <w:t>an</w:t>
      </w:r>
      <w:r w:rsidRPr="0001197C">
        <w:t xml:space="preserve"> indicator of </w:t>
      </w:r>
      <w:r>
        <w:t>governments’ objective to provide primary and community health services in an</w:t>
      </w:r>
      <w:r w:rsidRPr="0001197C">
        <w:t xml:space="preserve"> efficien</w:t>
      </w:r>
      <w:r>
        <w:t>t manner</w:t>
      </w:r>
      <w:r w:rsidRPr="0001197C">
        <w:t xml:space="preserve"> (</w:t>
      </w:r>
      <w:r w:rsidRPr="00AA3CFC">
        <w:t>box</w:t>
      </w:r>
      <w:r>
        <w:t> </w:t>
      </w:r>
      <w:r w:rsidRPr="00AA3CFC">
        <w:t>10.1</w:t>
      </w:r>
      <w:r>
        <w:t>4).</w:t>
      </w:r>
    </w:p>
    <w:p w14:paraId="2E755719" w14:textId="77777777" w:rsidR="00E93942" w:rsidRDefault="00E93942" w:rsidP="00E93942">
      <w:pPr>
        <w:pStyle w:val="BoxSpaceAbove"/>
        <w:spacing w:before="120"/>
      </w:pPr>
    </w:p>
    <w:tbl>
      <w:tblPr>
        <w:tblW w:w="8793" w:type="dxa"/>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E93942" w14:paraId="6786370D" w14:textId="77777777" w:rsidTr="00F87BCC">
        <w:tc>
          <w:tcPr>
            <w:tcW w:w="8793" w:type="dxa"/>
            <w:tcBorders>
              <w:top w:val="single" w:sz="6" w:space="0" w:color="78A22F"/>
              <w:left w:val="nil"/>
              <w:bottom w:val="nil"/>
              <w:right w:val="nil"/>
            </w:tcBorders>
            <w:shd w:val="clear" w:color="auto" w:fill="F2F2F2"/>
          </w:tcPr>
          <w:p w14:paraId="669B1BCB" w14:textId="77777777" w:rsidR="00E93942" w:rsidRDefault="00E93942" w:rsidP="00F87BCC">
            <w:pPr>
              <w:pStyle w:val="BoxTitle"/>
            </w:pPr>
            <w:r>
              <w:rPr>
                <w:b w:val="0"/>
              </w:rPr>
              <w:t>Box 10.</w:t>
            </w:r>
            <w:r>
              <w:rPr>
                <w:b w:val="0"/>
                <w:noProof/>
              </w:rPr>
              <w:t>14</w:t>
            </w:r>
            <w:r>
              <w:tab/>
            </w:r>
            <w:r w:rsidRPr="0001197C">
              <w:t>Cost to government of general practice per person</w:t>
            </w:r>
          </w:p>
        </w:tc>
      </w:tr>
      <w:tr w:rsidR="00E93942" w14:paraId="697AA014" w14:textId="77777777" w:rsidTr="00F87BCC">
        <w:trPr>
          <w:cantSplit/>
        </w:trPr>
        <w:tc>
          <w:tcPr>
            <w:tcW w:w="8793" w:type="dxa"/>
            <w:tcBorders>
              <w:top w:val="nil"/>
              <w:left w:val="nil"/>
              <w:bottom w:val="nil"/>
              <w:right w:val="nil"/>
            </w:tcBorders>
            <w:shd w:val="clear" w:color="auto" w:fill="F2F2F2"/>
          </w:tcPr>
          <w:p w14:paraId="22FAD4AD" w14:textId="77777777" w:rsidR="00E93942" w:rsidRDefault="00E93942" w:rsidP="00F87BCC">
            <w:pPr>
              <w:pStyle w:val="Box"/>
            </w:pPr>
            <w:r>
              <w:t>‘Cost to government of general practice per person’ is defined as the cost to government of general practice per person in the population.</w:t>
            </w:r>
          </w:p>
          <w:p w14:paraId="0BBDBA5B" w14:textId="77777777" w:rsidR="00E93942" w:rsidRDefault="00E93942" w:rsidP="00F87BCC">
            <w:pPr>
              <w:pStyle w:val="Box"/>
            </w:pPr>
            <w:r w:rsidRPr="00A73D31">
              <w:t xml:space="preserve">This indicator </w:t>
            </w:r>
            <w:r>
              <w:t>should</w:t>
            </w:r>
            <w:r w:rsidRPr="00A73D31">
              <w:t xml:space="preserve"> be interpreted with care. A low or decreasing cost per person can indicate higher efficiency, provided services are equally or more effective.</w:t>
            </w:r>
            <w:r>
              <w:t xml:space="preserve"> It can also reflect service substitution between primary healthcare and hospital or specialist services — potentially at greater expense.</w:t>
            </w:r>
          </w:p>
          <w:p w14:paraId="08A2EFCE" w14:textId="77777777" w:rsidR="00E93942" w:rsidRDefault="00E93942" w:rsidP="00F87BCC">
            <w:pPr>
              <w:pStyle w:val="Box"/>
            </w:pPr>
            <w:r>
              <w:t xml:space="preserve">Cost to government of general practice </w:t>
            </w:r>
            <w:r w:rsidRPr="00222501">
              <w:t xml:space="preserve">does not </w:t>
            </w:r>
            <w:r>
              <w:t>capture</w:t>
            </w:r>
            <w:r w:rsidRPr="00222501">
              <w:t xml:space="preserve"> costs </w:t>
            </w:r>
            <w:r>
              <w:t xml:space="preserve">of salaried GP service delivery models, used </w:t>
            </w:r>
            <w:r w:rsidRPr="00222501">
              <w:t>particularly in rural</w:t>
            </w:r>
            <w:r>
              <w:t>/</w:t>
            </w:r>
            <w:r w:rsidRPr="00222501">
              <w:t>remote areas</w:t>
            </w:r>
            <w:r>
              <w:t xml:space="preserve">, where </w:t>
            </w:r>
            <w:r w:rsidRPr="00222501">
              <w:t xml:space="preserve">primary healthcare </w:t>
            </w:r>
            <w:r>
              <w:t xml:space="preserve">services are provided </w:t>
            </w:r>
            <w:r w:rsidRPr="00222501">
              <w:t xml:space="preserve">by salaried GPs in community health settings, </w:t>
            </w:r>
            <w:r>
              <w:t xml:space="preserve">through </w:t>
            </w:r>
            <w:r w:rsidRPr="00222501">
              <w:t>emergency d</w:t>
            </w:r>
            <w:r>
              <w:t>epartments, and Aboriginal and Torres Strait Islander</w:t>
            </w:r>
            <w:r w:rsidRPr="00222501">
              <w:t xml:space="preserve"> primary healthcare services. </w:t>
            </w:r>
            <w:r>
              <w:t>Therefore</w:t>
            </w:r>
            <w:r w:rsidRPr="00222501">
              <w:t xml:space="preserve">, costs </w:t>
            </w:r>
            <w:r>
              <w:t>are understated for</w:t>
            </w:r>
            <w:r w:rsidRPr="00222501">
              <w:t xml:space="preserve"> jurisdictions </w:t>
            </w:r>
            <w:r>
              <w:t>where a</w:t>
            </w:r>
            <w:r w:rsidRPr="00222501">
              <w:t xml:space="preserve"> large proportion of </w:t>
            </w:r>
            <w:r>
              <w:t xml:space="preserve">the </w:t>
            </w:r>
            <w:r w:rsidRPr="00222501">
              <w:t>population</w:t>
            </w:r>
            <w:r>
              <w:t xml:space="preserve"> live in</w:t>
            </w:r>
            <w:r w:rsidRPr="00222501">
              <w:t xml:space="preserve"> rural and remote</w:t>
            </w:r>
            <w:r>
              <w:t xml:space="preserve"> areas.</w:t>
            </w:r>
          </w:p>
          <w:p w14:paraId="6DD674E5" w14:textId="77777777" w:rsidR="00E93942" w:rsidRDefault="00E93942" w:rsidP="00F87BCC">
            <w:pPr>
              <w:keepNext/>
              <w:spacing w:before="120" w:line="260" w:lineRule="atLeast"/>
              <w:jc w:val="both"/>
              <w:rPr>
                <w:rFonts w:ascii="Arial" w:hAnsi="Arial"/>
                <w:sz w:val="20"/>
              </w:rPr>
            </w:pPr>
            <w:r w:rsidRPr="004F33E6">
              <w:rPr>
                <w:rFonts w:ascii="Arial" w:hAnsi="Arial"/>
                <w:sz w:val="20"/>
              </w:rPr>
              <w:t>Data reported for this indicator are:</w:t>
            </w:r>
          </w:p>
          <w:p w14:paraId="574F64D5" w14:textId="77777777" w:rsidR="00E93942" w:rsidRDefault="00E93942" w:rsidP="00F87BCC">
            <w:pPr>
              <w:pStyle w:val="Box"/>
              <w:ind w:left="284"/>
            </w:pPr>
            <w:r w:rsidRPr="001B3B2F">
              <w:rPr>
                <w:shd w:val="clear" w:color="auto" w:fill="F15A25"/>
              </w:rPr>
              <w:t xml:space="preserve">    </w:t>
            </w:r>
            <w:r>
              <w:t xml:space="preserve"> comparable (subject to caveats) across jurisdictions, and over time from 2012-</w:t>
            </w:r>
            <w:r w:rsidRPr="001B0082">
              <w:t xml:space="preserve">13 </w:t>
            </w:r>
          </w:p>
          <w:p w14:paraId="1BDC3219" w14:textId="07D94B70" w:rsidR="00E93942" w:rsidRDefault="00E93942" w:rsidP="00F87BCC">
            <w:pPr>
              <w:pStyle w:val="Box"/>
              <w:ind w:left="284"/>
            </w:pPr>
            <w:r w:rsidRPr="001B3B2F">
              <w:rPr>
                <w:shd w:val="clear" w:color="auto" w:fill="F15A25"/>
              </w:rPr>
              <w:t xml:space="preserve">    </w:t>
            </w:r>
            <w:r>
              <w:t xml:space="preserve"> </w:t>
            </w:r>
            <w:r w:rsidRPr="00C648AD">
              <w:t xml:space="preserve">complete (subject to caveats) for the current reporting period. All required </w:t>
            </w:r>
            <w:r w:rsidR="00B706B4">
              <w:t>2019</w:t>
            </w:r>
            <w:r w:rsidR="00B706B4">
              <w:noBreakHyphen/>
              <w:t>20</w:t>
            </w:r>
            <w:r w:rsidRPr="00C648AD">
              <w:t xml:space="preserve"> data are available for all jurisdictions.</w:t>
            </w:r>
          </w:p>
        </w:tc>
      </w:tr>
      <w:tr w:rsidR="00E93942" w14:paraId="054D7D04" w14:textId="77777777" w:rsidTr="00F87BCC">
        <w:trPr>
          <w:cantSplit/>
        </w:trPr>
        <w:tc>
          <w:tcPr>
            <w:tcW w:w="8793" w:type="dxa"/>
            <w:tcBorders>
              <w:top w:val="nil"/>
              <w:left w:val="nil"/>
              <w:bottom w:val="single" w:sz="6" w:space="0" w:color="78A22F"/>
              <w:right w:val="nil"/>
            </w:tcBorders>
            <w:shd w:val="clear" w:color="auto" w:fill="F2F2F2"/>
          </w:tcPr>
          <w:p w14:paraId="205C058C" w14:textId="77777777" w:rsidR="00E93942" w:rsidRDefault="00E93942" w:rsidP="00F87BCC">
            <w:pPr>
              <w:pStyle w:val="Box"/>
              <w:spacing w:before="0" w:line="120" w:lineRule="exact"/>
            </w:pPr>
          </w:p>
        </w:tc>
      </w:tr>
      <w:tr w:rsidR="00E93942" w:rsidRPr="002409DF" w14:paraId="0B5332CA" w14:textId="77777777" w:rsidTr="00F87BCC">
        <w:tc>
          <w:tcPr>
            <w:tcW w:w="8793" w:type="dxa"/>
            <w:tcBorders>
              <w:top w:val="single" w:sz="6" w:space="0" w:color="78A22F"/>
              <w:left w:val="nil"/>
              <w:bottom w:val="nil"/>
              <w:right w:val="nil"/>
            </w:tcBorders>
          </w:tcPr>
          <w:p w14:paraId="08C1BBED" w14:textId="77777777" w:rsidR="00E93942" w:rsidRPr="002409DF" w:rsidRDefault="00E93942" w:rsidP="00F87BCC">
            <w:pPr>
              <w:pStyle w:val="BoxSpaceBelow"/>
              <w:spacing w:before="0" w:after="0"/>
              <w:rPr>
                <w:sz w:val="6"/>
                <w:szCs w:val="6"/>
              </w:rPr>
            </w:pPr>
          </w:p>
        </w:tc>
      </w:tr>
    </w:tbl>
    <w:p w14:paraId="71BB090E" w14:textId="77777777" w:rsidR="00881F40" w:rsidRDefault="00881F40" w:rsidP="00E93942">
      <w:pPr>
        <w:pStyle w:val="Heading3"/>
        <w:widowControl w:val="0"/>
      </w:pPr>
      <w:bookmarkStart w:id="32" w:name="_Toc34311772"/>
    </w:p>
    <w:p w14:paraId="43C97130" w14:textId="77777777" w:rsidR="00881F40" w:rsidRDefault="00881F40">
      <w:pPr>
        <w:spacing w:after="200" w:line="276" w:lineRule="auto"/>
        <w:rPr>
          <w:rFonts w:ascii="Arial" w:hAnsi="Arial"/>
          <w:b/>
          <w:sz w:val="26"/>
          <w:szCs w:val="20"/>
        </w:rPr>
      </w:pPr>
      <w:r>
        <w:br w:type="page"/>
      </w:r>
    </w:p>
    <w:p w14:paraId="11D031FF" w14:textId="2F5750F4" w:rsidR="00E93942" w:rsidRPr="00944E91" w:rsidRDefault="00E93942" w:rsidP="00E93942">
      <w:pPr>
        <w:pStyle w:val="Heading3"/>
        <w:widowControl w:val="0"/>
      </w:pPr>
      <w:r w:rsidRPr="00CD66BC">
        <w:lastRenderedPageBreak/>
        <w:t>Outcomes</w:t>
      </w:r>
      <w:bookmarkEnd w:id="32"/>
    </w:p>
    <w:p w14:paraId="7B1AC977" w14:textId="77777777" w:rsidR="00E93942" w:rsidRPr="00097C57" w:rsidRDefault="00E93942" w:rsidP="00E93942">
      <w:pPr>
        <w:pStyle w:val="BodyText"/>
      </w:pPr>
      <w:r>
        <w:t>Outcomes are the impact of services on the status of an individual or group (see section 1</w:t>
      </w:r>
      <w:r w:rsidRPr="009F4F9C">
        <w:t>).</w:t>
      </w:r>
      <w:r>
        <w:t xml:space="preserve"> </w:t>
      </w:r>
    </w:p>
    <w:p w14:paraId="4DAFE586" w14:textId="77777777" w:rsidR="00E93942" w:rsidRDefault="00E93942" w:rsidP="00E93942">
      <w:pPr>
        <w:pStyle w:val="Heading4"/>
      </w:pPr>
      <w:bookmarkStart w:id="33" w:name="_Toc34311773"/>
      <w:r w:rsidRPr="002F579B">
        <w:t>Notifications of selected childhood diseases</w:t>
      </w:r>
      <w:bookmarkEnd w:id="33"/>
    </w:p>
    <w:p w14:paraId="700512EE" w14:textId="77777777" w:rsidR="00E93942" w:rsidRDefault="00E93942" w:rsidP="00E93942">
      <w:pPr>
        <w:pStyle w:val="BodyText"/>
      </w:pPr>
      <w:r>
        <w:t>‘</w:t>
      </w:r>
      <w:r w:rsidRPr="00F43A55">
        <w:t>Notifications of selected childhood diseases</w:t>
      </w:r>
      <w:r>
        <w:t>’ is an indicator of governments’ objective for primary and community health services to promote health and prevent illness (</w:t>
      </w:r>
      <w:r w:rsidRPr="007C7EA6">
        <w:t>box 10.</w:t>
      </w:r>
      <w:r>
        <w:t>15</w:t>
      </w:r>
      <w:r w:rsidRPr="008E4541">
        <w:t>).</w:t>
      </w:r>
      <w:r>
        <w:t xml:space="preserve"> </w:t>
      </w:r>
    </w:p>
    <w:p w14:paraId="0DB418B8" w14:textId="77777777" w:rsidR="00E93942" w:rsidRDefault="00E93942" w:rsidP="00E93942">
      <w:pPr>
        <w:pStyle w:val="BoxSpaceAbove"/>
      </w:pPr>
    </w:p>
    <w:tbl>
      <w:tblPr>
        <w:tblW w:w="4843" w:type="pct"/>
        <w:tblInd w:w="142"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513"/>
      </w:tblGrid>
      <w:tr w:rsidR="00E93942" w14:paraId="1376DEE1" w14:textId="77777777" w:rsidTr="00F87BCC">
        <w:trPr>
          <w:tblHeader/>
        </w:trPr>
        <w:tc>
          <w:tcPr>
            <w:tcW w:w="5000" w:type="pct"/>
            <w:tcBorders>
              <w:top w:val="single" w:sz="6" w:space="0" w:color="78A22F"/>
              <w:left w:val="nil"/>
              <w:bottom w:val="nil"/>
              <w:right w:val="nil"/>
            </w:tcBorders>
            <w:shd w:val="clear" w:color="auto" w:fill="F2F2F2"/>
          </w:tcPr>
          <w:p w14:paraId="5124FFD1" w14:textId="77777777" w:rsidR="00E93942" w:rsidRDefault="00E93942" w:rsidP="00F87BCC">
            <w:pPr>
              <w:pStyle w:val="BoxTitle"/>
            </w:pPr>
            <w:r>
              <w:rPr>
                <w:b w:val="0"/>
              </w:rPr>
              <w:t>Box 10.</w:t>
            </w:r>
            <w:r>
              <w:rPr>
                <w:b w:val="0"/>
                <w:noProof/>
              </w:rPr>
              <w:t>15</w:t>
            </w:r>
            <w:r>
              <w:tab/>
            </w:r>
            <w:r w:rsidRPr="002F579B">
              <w:t>Notifications of selected childhood diseases</w:t>
            </w:r>
          </w:p>
        </w:tc>
      </w:tr>
      <w:tr w:rsidR="00E93942" w14:paraId="6CAAB9D2" w14:textId="77777777" w:rsidTr="00F87BCC">
        <w:tc>
          <w:tcPr>
            <w:tcW w:w="5000" w:type="pct"/>
            <w:tcBorders>
              <w:top w:val="nil"/>
              <w:left w:val="nil"/>
              <w:bottom w:val="nil"/>
              <w:right w:val="nil"/>
            </w:tcBorders>
            <w:shd w:val="clear" w:color="auto" w:fill="F2F2F2"/>
          </w:tcPr>
          <w:p w14:paraId="52510B12" w14:textId="77777777" w:rsidR="00E93942" w:rsidRDefault="00E93942" w:rsidP="00F87BCC">
            <w:pPr>
              <w:pStyle w:val="Box"/>
            </w:pPr>
            <w:r>
              <w:t>‘</w:t>
            </w:r>
            <w:r w:rsidRPr="00F2021D">
              <w:t xml:space="preserve">Notifications of selected childhood diseases’ </w:t>
            </w:r>
            <w:r>
              <w:t xml:space="preserve">is defined as the number of notifications </w:t>
            </w:r>
            <w:r w:rsidRPr="008A1890">
              <w:t>of measles, pertussis and</w:t>
            </w:r>
            <w:r>
              <w:t xml:space="preserve"> </w:t>
            </w:r>
            <w:r w:rsidRPr="006E5535">
              <w:t>invasive</w:t>
            </w:r>
            <w:r w:rsidRPr="008A1890">
              <w:t xml:space="preserve"> </w:t>
            </w:r>
            <w:r w:rsidRPr="008A1890">
              <w:rPr>
                <w:i/>
              </w:rPr>
              <w:t>Haemophilus influenzae</w:t>
            </w:r>
            <w:r w:rsidRPr="008A1890">
              <w:t xml:space="preserve"> type b reported to the National Notifiable Diseases Surveillance System by </w:t>
            </w:r>
            <w:r>
              <w:t>S</w:t>
            </w:r>
            <w:r w:rsidRPr="008A1890">
              <w:t xml:space="preserve">tate and </w:t>
            </w:r>
            <w:r>
              <w:t>T</w:t>
            </w:r>
            <w:r w:rsidRPr="008A1890">
              <w:t>erritory health authorities</w:t>
            </w:r>
            <w:r>
              <w:t xml:space="preserve"> for children aged 0–14 years, per 100 000 children in that age group.</w:t>
            </w:r>
          </w:p>
          <w:p w14:paraId="0A228743" w14:textId="77777777" w:rsidR="00E93942" w:rsidRDefault="00E93942" w:rsidP="00F87BCC">
            <w:pPr>
              <w:pStyle w:val="Box"/>
            </w:pPr>
            <w:r>
              <w:t>A low or reducing notification rate for the selected diseases indicates that the immunisation program is more effective.</w:t>
            </w:r>
          </w:p>
          <w:p w14:paraId="69ABC105" w14:textId="77777777" w:rsidR="00E93942" w:rsidRDefault="00E93942" w:rsidP="00F87BCC">
            <w:pPr>
              <w:pStyle w:val="Box"/>
            </w:pPr>
            <w:r w:rsidRPr="0089594F">
              <w:t xml:space="preserve">Measles, pertussis (whooping cough) and </w:t>
            </w:r>
            <w:r w:rsidRPr="006E5535">
              <w:t>invasive</w:t>
            </w:r>
            <w:r w:rsidRPr="008A1890">
              <w:t xml:space="preserve"> </w:t>
            </w:r>
            <w:r w:rsidRPr="0089594F">
              <w:rPr>
                <w:i/>
              </w:rPr>
              <w:t>Haemophilus influenzae</w:t>
            </w:r>
            <w:r w:rsidRPr="0089594F">
              <w:t xml:space="preserve"> type b are nationally notifiable vaccine preventable diseases</w:t>
            </w:r>
            <w:r>
              <w:t>, and notification to</w:t>
            </w:r>
            <w:r w:rsidRPr="0089594F">
              <w:t xml:space="preserve"> the relevant State or Territory authority </w:t>
            </w:r>
            <w:r>
              <w:t>is required on diagnosis.</w:t>
            </w:r>
          </w:p>
          <w:p w14:paraId="7D18D90B" w14:textId="77777777" w:rsidR="00E93942" w:rsidRDefault="00E93942" w:rsidP="00F87BCC">
            <w:pPr>
              <w:pStyle w:val="Box"/>
            </w:pPr>
            <w:r>
              <w:t>Data reported against this indicator are:</w:t>
            </w:r>
          </w:p>
          <w:p w14:paraId="3D4B8158" w14:textId="77777777" w:rsidR="00E93942" w:rsidRDefault="00E93942" w:rsidP="00F87BCC">
            <w:pPr>
              <w:pStyle w:val="Box"/>
              <w:ind w:left="284"/>
            </w:pPr>
            <w:r w:rsidRPr="001B3B2F">
              <w:rPr>
                <w:shd w:val="clear" w:color="auto" w:fill="F15A25"/>
              </w:rPr>
              <w:t xml:space="preserve">    </w:t>
            </w:r>
            <w:r>
              <w:t xml:space="preserve"> comparable (subject to caveats) across jurisdictions and over time</w:t>
            </w:r>
          </w:p>
          <w:p w14:paraId="14ADDAAC" w14:textId="22BD7766" w:rsidR="00E93942" w:rsidRDefault="00E93942" w:rsidP="00F87BCC">
            <w:pPr>
              <w:pStyle w:val="Box"/>
              <w:ind w:left="284"/>
            </w:pPr>
            <w:r w:rsidRPr="001B3B2F">
              <w:rPr>
                <w:shd w:val="clear" w:color="auto" w:fill="F15A25"/>
              </w:rPr>
              <w:t xml:space="preserve">    </w:t>
            </w:r>
            <w:r>
              <w:t xml:space="preserve"> </w:t>
            </w:r>
            <w:r w:rsidRPr="00C648AD">
              <w:t xml:space="preserve">complete (subject to caveats) for the current reporting period. All required </w:t>
            </w:r>
            <w:r w:rsidR="00B706B4">
              <w:t>2019</w:t>
            </w:r>
            <w:r w:rsidR="00B706B4">
              <w:noBreakHyphen/>
              <w:t>20</w:t>
            </w:r>
            <w:r w:rsidR="00B706B4" w:rsidRPr="00C648AD">
              <w:t xml:space="preserve"> </w:t>
            </w:r>
            <w:r w:rsidRPr="00C648AD">
              <w:t>data are available for all jurisdictions.</w:t>
            </w:r>
          </w:p>
        </w:tc>
      </w:tr>
      <w:tr w:rsidR="00E93942" w14:paraId="7436B4DE" w14:textId="77777777" w:rsidTr="00F87BCC">
        <w:tc>
          <w:tcPr>
            <w:tcW w:w="5000" w:type="pct"/>
            <w:tcBorders>
              <w:top w:val="nil"/>
              <w:left w:val="nil"/>
              <w:bottom w:val="single" w:sz="6" w:space="0" w:color="78A22F"/>
              <w:right w:val="nil"/>
            </w:tcBorders>
            <w:shd w:val="clear" w:color="auto" w:fill="F2F2F2"/>
          </w:tcPr>
          <w:p w14:paraId="6CA7961D" w14:textId="77777777" w:rsidR="00E93942" w:rsidRDefault="00E93942" w:rsidP="00F87BCC">
            <w:pPr>
              <w:pStyle w:val="Box"/>
              <w:spacing w:before="0" w:line="120" w:lineRule="exact"/>
            </w:pPr>
          </w:p>
        </w:tc>
      </w:tr>
      <w:tr w:rsidR="00E93942" w:rsidRPr="000863A5" w14:paraId="451F99A2" w14:textId="77777777" w:rsidTr="00F87BCC">
        <w:tc>
          <w:tcPr>
            <w:tcW w:w="5000" w:type="pct"/>
            <w:tcBorders>
              <w:top w:val="single" w:sz="6" w:space="0" w:color="78A22F"/>
              <w:left w:val="nil"/>
              <w:bottom w:val="nil"/>
              <w:right w:val="nil"/>
            </w:tcBorders>
          </w:tcPr>
          <w:p w14:paraId="71C59CDC" w14:textId="77777777" w:rsidR="00E93942" w:rsidRPr="00626D32" w:rsidRDefault="00E93942" w:rsidP="00F87BCC">
            <w:pPr>
              <w:pStyle w:val="BoxSpaceBelow"/>
            </w:pPr>
          </w:p>
        </w:tc>
      </w:tr>
    </w:tbl>
    <w:p w14:paraId="6855C37A" w14:textId="77777777" w:rsidR="00E93942" w:rsidRPr="00944E91" w:rsidRDefault="00E93942" w:rsidP="00E93942">
      <w:pPr>
        <w:pStyle w:val="Heading4"/>
      </w:pPr>
      <w:bookmarkStart w:id="34" w:name="_Toc34311774"/>
      <w:r w:rsidRPr="006C74C6">
        <w:t>Selected potentially preventable hospitalisations</w:t>
      </w:r>
      <w:bookmarkEnd w:id="34"/>
    </w:p>
    <w:p w14:paraId="3D39012D" w14:textId="77777777" w:rsidR="00E93942" w:rsidRDefault="00E93942" w:rsidP="00E93942">
      <w:pPr>
        <w:pStyle w:val="BodyText"/>
      </w:pPr>
      <w:r>
        <w:t>‘</w:t>
      </w:r>
      <w:r w:rsidRPr="00B90CA0">
        <w:t xml:space="preserve">Selected </w:t>
      </w:r>
      <w:r>
        <w:t xml:space="preserve">potentially preventable hospitalisations’ </w:t>
      </w:r>
      <w:r w:rsidRPr="00B90CA0">
        <w:t xml:space="preserve">is an indicator of governments’ objective </w:t>
      </w:r>
      <w:r>
        <w:t xml:space="preserve">for primary and community health services </w:t>
      </w:r>
      <w:r w:rsidRPr="00B90CA0">
        <w:t xml:space="preserve">to </w:t>
      </w:r>
      <w:r>
        <w:t xml:space="preserve">promote health, </w:t>
      </w:r>
      <w:r w:rsidRPr="00B90CA0">
        <w:t xml:space="preserve">prevent </w:t>
      </w:r>
      <w:r>
        <w:t>illness and to support people to manage their health issues in the community (box 10.16).</w:t>
      </w:r>
    </w:p>
    <w:p w14:paraId="4EEEFDBA" w14:textId="77777777" w:rsidR="00E93942" w:rsidRDefault="00E93942" w:rsidP="00E93942">
      <w:pPr>
        <w:pStyle w:val="BoxSpaceAbove"/>
      </w:pPr>
    </w:p>
    <w:tbl>
      <w:tblPr>
        <w:tblW w:w="8793" w:type="dxa"/>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E93942" w14:paraId="34A2A719" w14:textId="77777777" w:rsidTr="00F87BCC">
        <w:tc>
          <w:tcPr>
            <w:tcW w:w="8793" w:type="dxa"/>
            <w:tcBorders>
              <w:top w:val="single" w:sz="6" w:space="0" w:color="78A22F"/>
              <w:left w:val="nil"/>
              <w:bottom w:val="nil"/>
              <w:right w:val="nil"/>
            </w:tcBorders>
            <w:shd w:val="clear" w:color="auto" w:fill="F2F2F2"/>
          </w:tcPr>
          <w:p w14:paraId="4188B55E" w14:textId="77777777" w:rsidR="00E93942" w:rsidRDefault="00E93942" w:rsidP="00F87BCC">
            <w:pPr>
              <w:pStyle w:val="BoxTitle"/>
            </w:pPr>
            <w:r>
              <w:rPr>
                <w:b w:val="0"/>
              </w:rPr>
              <w:t>Box 10.</w:t>
            </w:r>
            <w:r>
              <w:rPr>
                <w:b w:val="0"/>
                <w:noProof/>
              </w:rPr>
              <w:t>16</w:t>
            </w:r>
            <w:r>
              <w:tab/>
            </w:r>
            <w:r w:rsidRPr="00B90CA0">
              <w:t xml:space="preserve">Selected </w:t>
            </w:r>
            <w:r>
              <w:t>p</w:t>
            </w:r>
            <w:r w:rsidRPr="000D0082">
              <w:t>otentially preventable hospitalisation</w:t>
            </w:r>
            <w:r>
              <w:t>s</w:t>
            </w:r>
          </w:p>
        </w:tc>
      </w:tr>
      <w:tr w:rsidR="00E93942" w14:paraId="0C40B0A2" w14:textId="77777777" w:rsidTr="00F87BCC">
        <w:trPr>
          <w:cantSplit/>
        </w:trPr>
        <w:tc>
          <w:tcPr>
            <w:tcW w:w="8793" w:type="dxa"/>
            <w:tcBorders>
              <w:top w:val="nil"/>
              <w:left w:val="nil"/>
              <w:bottom w:val="nil"/>
              <w:right w:val="nil"/>
            </w:tcBorders>
            <w:shd w:val="clear" w:color="auto" w:fill="F2F2F2"/>
          </w:tcPr>
          <w:p w14:paraId="5EF13CA7" w14:textId="77777777" w:rsidR="00E93942" w:rsidRPr="00704DD3" w:rsidRDefault="00E93942" w:rsidP="00F87BCC">
            <w:pPr>
              <w:pStyle w:val="Box"/>
            </w:pPr>
            <w:r w:rsidRPr="00704DD3">
              <w:t>‘Selected potentially preventable hospitalisations’ is defined as hospital admissions that may be avoided by effective management of illness and injury in the primary and community healthcare sector or, in some cases, by preventing illness and injury altogether. Two measures of selected potentially preventable hospitalisations are reported by jurisdiction of residence:</w:t>
            </w:r>
          </w:p>
          <w:p w14:paraId="67B0B2F3" w14:textId="77777777" w:rsidR="00E93942" w:rsidRDefault="00E93942" w:rsidP="00F87BCC">
            <w:pPr>
              <w:pStyle w:val="BoxListBullet"/>
            </w:pPr>
            <w:r w:rsidRPr="00704DD3">
              <w:t>Potentially preventable hospitalisations for selected vaccine preventable, acute and chronic conditions</w:t>
            </w:r>
          </w:p>
          <w:p w14:paraId="00CDFDC8" w14:textId="77777777" w:rsidR="00E93942" w:rsidRDefault="00E93942" w:rsidP="00F87BCC">
            <w:pPr>
              <w:pStyle w:val="BoxListBullet"/>
              <w:numPr>
                <w:ilvl w:val="0"/>
                <w:numId w:val="0"/>
              </w:numPr>
              <w:ind w:left="284"/>
            </w:pPr>
            <w:r w:rsidRPr="00704DD3">
              <w:t>Data reported for th</w:t>
            </w:r>
            <w:r>
              <w:t>is measure a</w:t>
            </w:r>
            <w:r w:rsidRPr="00704DD3">
              <w:t>re:</w:t>
            </w:r>
          </w:p>
          <w:p w14:paraId="798D8B8A" w14:textId="77777777" w:rsidR="00E93942" w:rsidRDefault="00E93942" w:rsidP="00F87BCC">
            <w:pPr>
              <w:pStyle w:val="BoxListBullet2"/>
              <w:numPr>
                <w:ilvl w:val="0"/>
                <w:numId w:val="0"/>
              </w:numPr>
              <w:ind w:left="568"/>
            </w:pPr>
            <w:r w:rsidRPr="001B3B2F">
              <w:rPr>
                <w:shd w:val="clear" w:color="auto" w:fill="F15A25"/>
              </w:rPr>
              <w:t xml:space="preserve">    </w:t>
            </w:r>
            <w:r>
              <w:t xml:space="preserve"> comparable (subject to caveats) across jurisdictions and over time</w:t>
            </w:r>
          </w:p>
          <w:p w14:paraId="462F1B94" w14:textId="599A532E" w:rsidR="00E93942" w:rsidRPr="00704DD3" w:rsidRDefault="00E93942" w:rsidP="00F87BCC">
            <w:pPr>
              <w:pStyle w:val="BoxListBullet2"/>
              <w:numPr>
                <w:ilvl w:val="0"/>
                <w:numId w:val="0"/>
              </w:numPr>
              <w:ind w:left="568"/>
            </w:pPr>
            <w:r w:rsidRPr="001B3B2F">
              <w:rPr>
                <w:shd w:val="clear" w:color="auto" w:fill="F15A25"/>
              </w:rPr>
              <w:t xml:space="preserve">    </w:t>
            </w:r>
            <w:r>
              <w:t xml:space="preserve"> </w:t>
            </w:r>
            <w:r w:rsidRPr="00C648AD">
              <w:t>complete (subject to caveats) for the current reporting period</w:t>
            </w:r>
            <w:r>
              <w:t xml:space="preserve">. </w:t>
            </w:r>
            <w:r w:rsidRPr="00C648AD">
              <w:t xml:space="preserve">All required </w:t>
            </w:r>
            <w:r w:rsidR="00B706B4">
              <w:t>2018</w:t>
            </w:r>
            <w:r w:rsidR="00B706B4">
              <w:noBreakHyphen/>
              <w:t>19</w:t>
            </w:r>
            <w:r w:rsidRPr="00C648AD">
              <w:t xml:space="preserve"> data are available for all jurisdictions.</w:t>
            </w:r>
          </w:p>
          <w:p w14:paraId="1841D81B" w14:textId="77777777" w:rsidR="00E93942" w:rsidRDefault="00E93942" w:rsidP="00F87BCC">
            <w:pPr>
              <w:pStyle w:val="BoxListBullet"/>
            </w:pPr>
            <w:r w:rsidRPr="00704DD3">
              <w:t>Potentially preventable hospitalisations for diabetes (Type 2 diabetes mellitus as principal diagnosis).</w:t>
            </w:r>
          </w:p>
          <w:p w14:paraId="310C4765" w14:textId="1CEAF239" w:rsidR="00E93942" w:rsidRPr="00704DD3" w:rsidRDefault="00E93942" w:rsidP="00074E1D">
            <w:pPr>
              <w:pStyle w:val="BoxListBullet"/>
              <w:numPr>
                <w:ilvl w:val="0"/>
                <w:numId w:val="0"/>
              </w:numPr>
              <w:ind w:left="283"/>
            </w:pPr>
            <w:r w:rsidRPr="00704DD3">
              <w:t>Data reported for th</w:t>
            </w:r>
            <w:r>
              <w:t>is measure</w:t>
            </w:r>
            <w:r w:rsidRPr="00704DD3">
              <w:t>:</w:t>
            </w:r>
            <w:r w:rsidR="00CE54D4">
              <w:tab/>
            </w:r>
          </w:p>
          <w:p w14:paraId="3F1BC163" w14:textId="2C6060D8" w:rsidR="00E93942" w:rsidRDefault="00E93942" w:rsidP="00F87BCC">
            <w:pPr>
              <w:pStyle w:val="Box"/>
              <w:ind w:left="567"/>
            </w:pPr>
            <w:r w:rsidRPr="00B664EA">
              <w:rPr>
                <w:shd w:val="clear" w:color="auto" w:fill="FCDED3"/>
              </w:rPr>
              <w:t xml:space="preserve">    </w:t>
            </w:r>
            <w:r>
              <w:t xml:space="preserve"> </w:t>
            </w:r>
            <w:r w:rsidR="00954246" w:rsidRPr="00954246">
              <w:t>Data are not comparable across jurisdictions or within some jurisdictions over time (see footnotes for specific jurisdictions)</w:t>
            </w:r>
          </w:p>
          <w:p w14:paraId="26D6C8AF" w14:textId="1075ECBF" w:rsidR="00E93942" w:rsidRPr="00704DD3" w:rsidRDefault="00E93942" w:rsidP="00F87BCC">
            <w:pPr>
              <w:pStyle w:val="BoxListBullet2"/>
              <w:numPr>
                <w:ilvl w:val="0"/>
                <w:numId w:val="0"/>
              </w:numPr>
              <w:ind w:left="568"/>
            </w:pPr>
            <w:r w:rsidRPr="001B3B2F">
              <w:rPr>
                <w:shd w:val="clear" w:color="auto" w:fill="F15A25"/>
              </w:rPr>
              <w:t xml:space="preserve">    </w:t>
            </w:r>
            <w:r>
              <w:t xml:space="preserve"> </w:t>
            </w:r>
            <w:r w:rsidRPr="00C648AD">
              <w:t>complete (subject to caveats) for the current reporting period</w:t>
            </w:r>
            <w:r>
              <w:t xml:space="preserve">. </w:t>
            </w:r>
            <w:r w:rsidRPr="00C648AD">
              <w:t xml:space="preserve">All required </w:t>
            </w:r>
            <w:r w:rsidR="00B706B4">
              <w:t>2018</w:t>
            </w:r>
            <w:r w:rsidR="00B706B4">
              <w:noBreakHyphen/>
              <w:t>19</w:t>
            </w:r>
            <w:r w:rsidRPr="00C648AD">
              <w:t xml:space="preserve"> data are available for all jurisdictions.</w:t>
            </w:r>
          </w:p>
          <w:p w14:paraId="18DDB3A0" w14:textId="77777777" w:rsidR="00E93942" w:rsidRPr="00704DD3" w:rsidRDefault="00E93942" w:rsidP="00F87BCC">
            <w:pPr>
              <w:pStyle w:val="Box"/>
            </w:pPr>
            <w:r w:rsidRPr="00704DD3">
              <w:t>Low or decreasing separation rates for selected potentially preventable hospitalisations can indicate more effective management of selected conditions in the primary and community healthcare sector and/or more effective preventative programs. Factors outside the control of the primary and community healthcare sector also influence hospitalisation rates for these conditions. For example, the underlying prevalence of conditions, patient compliance with management and older people’s access to aged care services and other support.</w:t>
            </w:r>
          </w:p>
        </w:tc>
      </w:tr>
      <w:tr w:rsidR="00E93942" w14:paraId="264A1F96" w14:textId="77777777" w:rsidTr="00F87BCC">
        <w:trPr>
          <w:cantSplit/>
        </w:trPr>
        <w:tc>
          <w:tcPr>
            <w:tcW w:w="8793" w:type="dxa"/>
            <w:tcBorders>
              <w:top w:val="nil"/>
              <w:left w:val="nil"/>
              <w:bottom w:val="single" w:sz="6" w:space="0" w:color="78A22F"/>
              <w:right w:val="nil"/>
            </w:tcBorders>
            <w:shd w:val="clear" w:color="auto" w:fill="F2F2F2"/>
          </w:tcPr>
          <w:p w14:paraId="28C4F079" w14:textId="77777777" w:rsidR="00E93942" w:rsidRDefault="00E93942" w:rsidP="00F87BCC">
            <w:pPr>
              <w:pStyle w:val="Box"/>
              <w:spacing w:before="0" w:line="120" w:lineRule="exact"/>
            </w:pPr>
          </w:p>
        </w:tc>
      </w:tr>
      <w:tr w:rsidR="00E93942" w:rsidRPr="000863A5" w14:paraId="1AC51FDF" w14:textId="77777777" w:rsidTr="00F87BCC">
        <w:tc>
          <w:tcPr>
            <w:tcW w:w="8793" w:type="dxa"/>
            <w:tcBorders>
              <w:top w:val="single" w:sz="6" w:space="0" w:color="78A22F"/>
              <w:left w:val="nil"/>
              <w:bottom w:val="nil"/>
              <w:right w:val="nil"/>
            </w:tcBorders>
          </w:tcPr>
          <w:p w14:paraId="04AA77DE" w14:textId="77777777" w:rsidR="00E93942" w:rsidRPr="00626D32" w:rsidRDefault="00E93942" w:rsidP="00F87BCC">
            <w:pPr>
              <w:pStyle w:val="BoxSpaceBelow"/>
            </w:pPr>
          </w:p>
        </w:tc>
      </w:tr>
    </w:tbl>
    <w:p w14:paraId="17646589" w14:textId="77777777" w:rsidR="00E93942" w:rsidRDefault="00E93942" w:rsidP="00E93942">
      <w:pPr>
        <w:pStyle w:val="Heading2"/>
        <w:keepNext w:val="0"/>
        <w:widowControl w:val="0"/>
        <w:spacing w:after="240"/>
      </w:pPr>
      <w:bookmarkStart w:id="35" w:name="_Toc526867547"/>
      <w:bookmarkStart w:id="36" w:name="_Toc34311775"/>
      <w:r>
        <w:t>10.</w:t>
      </w:r>
      <w:r>
        <w:rPr>
          <w:noProof/>
        </w:rPr>
        <w:t>2</w:t>
      </w:r>
      <w:r>
        <w:tab/>
      </w:r>
      <w:r w:rsidRPr="00BC1CC1">
        <w:t>Definitions of key terms</w:t>
      </w:r>
      <w:bookmarkEnd w:id="35"/>
      <w:bookmarkEnd w:id="36"/>
    </w:p>
    <w:tbl>
      <w:tblPr>
        <w:tblW w:w="0" w:type="auto"/>
        <w:tblLook w:val="01E0" w:firstRow="1" w:lastRow="1" w:firstColumn="1" w:lastColumn="1" w:noHBand="0" w:noVBand="0"/>
      </w:tblPr>
      <w:tblGrid>
        <w:gridCol w:w="2410"/>
        <w:gridCol w:w="6379"/>
      </w:tblGrid>
      <w:tr w:rsidR="00E93942" w:rsidRPr="00CD50C4" w14:paraId="1F6CB5FF" w14:textId="77777777" w:rsidTr="00F87BCC">
        <w:trPr>
          <w:trHeight w:val="517"/>
        </w:trPr>
        <w:tc>
          <w:tcPr>
            <w:tcW w:w="2410" w:type="dxa"/>
            <w:shd w:val="clear" w:color="auto" w:fill="auto"/>
            <w:tcMar>
              <w:left w:w="0" w:type="dxa"/>
            </w:tcMar>
          </w:tcPr>
          <w:p w14:paraId="0198031A" w14:textId="77777777" w:rsidR="00E93942" w:rsidRPr="002E00E7" w:rsidRDefault="00E93942" w:rsidP="00F87BCC">
            <w:pPr>
              <w:pStyle w:val="TableBodyText"/>
              <w:keepNext w:val="0"/>
              <w:keepLines w:val="0"/>
              <w:widowControl w:val="0"/>
              <w:spacing w:before="60" w:after="60"/>
              <w:ind w:left="0"/>
              <w:jc w:val="left"/>
            </w:pPr>
            <w:r w:rsidRPr="00F459BD">
              <w:t>Age standardised</w:t>
            </w:r>
          </w:p>
        </w:tc>
        <w:tc>
          <w:tcPr>
            <w:tcW w:w="6379" w:type="dxa"/>
            <w:shd w:val="clear" w:color="auto" w:fill="auto"/>
          </w:tcPr>
          <w:p w14:paraId="3FBBB71D" w14:textId="77777777" w:rsidR="00E93942" w:rsidRPr="00841571" w:rsidRDefault="00E93942" w:rsidP="00F87BCC">
            <w:pPr>
              <w:pStyle w:val="TableBodyText"/>
              <w:keepNext w:val="0"/>
              <w:keepLines w:val="0"/>
              <w:widowControl w:val="0"/>
              <w:spacing w:before="60" w:after="60"/>
              <w:ind w:left="0"/>
              <w:jc w:val="left"/>
            </w:pPr>
            <w:r w:rsidRPr="00F459BD">
              <w:t>Removing the effect of different age distributions (across jurisdictions or over time) when making comparisons, by weighting the age</w:t>
            </w:r>
            <w:r>
              <w:noBreakHyphen/>
            </w:r>
            <w:r w:rsidRPr="00F459BD">
              <w:t>specific rates for each jurisdiction by the national age distribution.</w:t>
            </w:r>
          </w:p>
        </w:tc>
      </w:tr>
      <w:tr w:rsidR="00E93942" w:rsidRPr="00CD50C4" w14:paraId="50AC2888" w14:textId="77777777" w:rsidTr="00F87BCC">
        <w:trPr>
          <w:trHeight w:val="517"/>
        </w:trPr>
        <w:tc>
          <w:tcPr>
            <w:tcW w:w="2410" w:type="dxa"/>
            <w:shd w:val="clear" w:color="auto" w:fill="auto"/>
            <w:tcMar>
              <w:left w:w="0" w:type="dxa"/>
            </w:tcMar>
          </w:tcPr>
          <w:p w14:paraId="288EAA24" w14:textId="77777777" w:rsidR="00E93942" w:rsidRPr="002E00E7" w:rsidRDefault="00E93942" w:rsidP="00F87BCC">
            <w:pPr>
              <w:pStyle w:val="TableBodyText"/>
              <w:keepNext w:val="0"/>
              <w:keepLines w:val="0"/>
              <w:widowControl w:val="0"/>
              <w:spacing w:before="60" w:after="60"/>
              <w:ind w:left="0"/>
              <w:jc w:val="left"/>
            </w:pPr>
            <w:r w:rsidRPr="00F459BD">
              <w:t>Annual cycle of care for people with diabetes mellitus within general practice</w:t>
            </w:r>
          </w:p>
        </w:tc>
        <w:tc>
          <w:tcPr>
            <w:tcW w:w="6379" w:type="dxa"/>
            <w:shd w:val="clear" w:color="auto" w:fill="auto"/>
          </w:tcPr>
          <w:p w14:paraId="0421EAE4" w14:textId="77777777" w:rsidR="00E93942" w:rsidRPr="00F459BD" w:rsidRDefault="00E93942" w:rsidP="00F87BCC">
            <w:pPr>
              <w:pStyle w:val="TableBodyText"/>
              <w:keepNext w:val="0"/>
              <w:keepLines w:val="0"/>
              <w:widowControl w:val="0"/>
              <w:spacing w:before="60" w:after="60"/>
              <w:ind w:left="0"/>
              <w:jc w:val="left"/>
            </w:pPr>
            <w:r w:rsidRPr="00F459BD">
              <w:t>The annual cycle of care comprises the components of care, delivered over the course of a year, that are minimum requirements for the appropriate management of diabetes in general practice based on RACGP guidelines.</w:t>
            </w:r>
          </w:p>
          <w:p w14:paraId="243CEF11" w14:textId="77777777" w:rsidR="00E93942" w:rsidRPr="00841571" w:rsidRDefault="00E93942" w:rsidP="00F87BCC">
            <w:pPr>
              <w:pStyle w:val="TableBodyText"/>
              <w:keepNext w:val="0"/>
              <w:keepLines w:val="0"/>
              <w:widowControl w:val="0"/>
              <w:spacing w:before="60" w:after="60"/>
              <w:ind w:left="0"/>
              <w:jc w:val="left"/>
            </w:pPr>
            <w:r w:rsidRPr="00F459BD">
              <w:t>MBS items can be claimed on completion of the annual cycle of care according to MBS requirements for management, which are based on but not identical to the RACGP guidelines.</w:t>
            </w:r>
          </w:p>
        </w:tc>
      </w:tr>
      <w:tr w:rsidR="00E93942" w:rsidRPr="00CD50C4" w14:paraId="182941A8" w14:textId="77777777" w:rsidTr="00F87BCC">
        <w:trPr>
          <w:trHeight w:val="517"/>
        </w:trPr>
        <w:tc>
          <w:tcPr>
            <w:tcW w:w="2410" w:type="dxa"/>
            <w:shd w:val="clear" w:color="auto" w:fill="auto"/>
            <w:tcMar>
              <w:left w:w="0" w:type="dxa"/>
            </w:tcMar>
          </w:tcPr>
          <w:p w14:paraId="779BBC93" w14:textId="77777777" w:rsidR="00E93942" w:rsidRPr="002E00E7" w:rsidRDefault="00E93942" w:rsidP="00F87BCC">
            <w:pPr>
              <w:pStyle w:val="TableBodyText"/>
              <w:keepNext w:val="0"/>
              <w:keepLines w:val="0"/>
              <w:widowControl w:val="0"/>
              <w:spacing w:before="60" w:after="60"/>
              <w:ind w:left="0"/>
              <w:jc w:val="left"/>
            </w:pPr>
            <w:r w:rsidRPr="00F459BD">
              <w:t>Asthma Action Plan</w:t>
            </w:r>
          </w:p>
        </w:tc>
        <w:tc>
          <w:tcPr>
            <w:tcW w:w="6379" w:type="dxa"/>
            <w:shd w:val="clear" w:color="auto" w:fill="auto"/>
          </w:tcPr>
          <w:p w14:paraId="2C9E4512" w14:textId="77777777" w:rsidR="00E93942" w:rsidRPr="00F459BD" w:rsidRDefault="00E93942" w:rsidP="00F87BCC">
            <w:pPr>
              <w:pStyle w:val="TableBodyText"/>
              <w:keepNext w:val="0"/>
              <w:keepLines w:val="0"/>
              <w:widowControl w:val="0"/>
              <w:spacing w:before="60" w:after="60"/>
              <w:ind w:left="0"/>
              <w:jc w:val="left"/>
            </w:pPr>
            <w:r w:rsidRPr="00F459BD">
              <w:t>An asthma action plan is an individualised, written asthma action plan incorporating information on how to recognise the onset of an exacerbation of asthma and information on what action to take in response to that exacerbation, developed in consultation with a health professional.</w:t>
            </w:r>
          </w:p>
          <w:p w14:paraId="4ECC8C25" w14:textId="1708177B" w:rsidR="00E93942" w:rsidRPr="00841571" w:rsidRDefault="00E93942" w:rsidP="00F87BCC">
            <w:pPr>
              <w:pStyle w:val="TableBodyText"/>
              <w:keepNext w:val="0"/>
              <w:keepLines w:val="0"/>
              <w:widowControl w:val="0"/>
              <w:spacing w:before="60" w:after="60"/>
              <w:ind w:left="0"/>
              <w:jc w:val="left"/>
            </w:pPr>
            <w:r w:rsidRPr="00680DF9">
              <w:t xml:space="preserve">Source: </w:t>
            </w:r>
            <w:r>
              <w:t xml:space="preserve">National Asthma Council Australia, 2019 </w:t>
            </w:r>
            <w:r w:rsidRPr="00680DF9">
              <w:rPr>
                <w:i/>
              </w:rPr>
              <w:t>Australian Asthma Handbook</w:t>
            </w:r>
            <w:r>
              <w:t xml:space="preserve">, Version 2.0. National Asthma Council Australia, Melbourne, accessed 18 October 2019: </w:t>
            </w:r>
            <w:r w:rsidRPr="00493D82">
              <w:t>https://www.nationalasthma.org.au/health-professionals/asthma-action-plans</w:t>
            </w:r>
          </w:p>
        </w:tc>
      </w:tr>
      <w:tr w:rsidR="00E93942" w:rsidRPr="00CD50C4" w14:paraId="48D15306" w14:textId="77777777" w:rsidTr="00F87BCC">
        <w:trPr>
          <w:trHeight w:val="517"/>
        </w:trPr>
        <w:tc>
          <w:tcPr>
            <w:tcW w:w="2410" w:type="dxa"/>
            <w:shd w:val="clear" w:color="auto" w:fill="auto"/>
            <w:tcMar>
              <w:left w:w="0" w:type="dxa"/>
            </w:tcMar>
          </w:tcPr>
          <w:p w14:paraId="01C89830" w14:textId="77777777" w:rsidR="00E93942" w:rsidRPr="006611B1" w:rsidRDefault="00E93942" w:rsidP="00F87BCC">
            <w:pPr>
              <w:pStyle w:val="TableBodyText"/>
              <w:keepNext w:val="0"/>
              <w:keepLines w:val="0"/>
              <w:widowControl w:val="0"/>
              <w:spacing w:before="60" w:after="60"/>
              <w:ind w:left="0"/>
              <w:jc w:val="left"/>
            </w:pPr>
            <w:r>
              <w:lastRenderedPageBreak/>
              <w:t>Cervical Screening Test</w:t>
            </w:r>
          </w:p>
        </w:tc>
        <w:tc>
          <w:tcPr>
            <w:tcW w:w="6379" w:type="dxa"/>
            <w:shd w:val="clear" w:color="auto" w:fill="auto"/>
          </w:tcPr>
          <w:p w14:paraId="078307DD" w14:textId="77777777" w:rsidR="00E93942" w:rsidRPr="006611B1" w:rsidRDefault="00E93942" w:rsidP="00F87BCC">
            <w:pPr>
              <w:pStyle w:val="TableBodyText"/>
              <w:keepNext w:val="0"/>
              <w:keepLines w:val="0"/>
              <w:widowControl w:val="0"/>
              <w:spacing w:before="60" w:after="60"/>
              <w:ind w:left="0"/>
              <w:jc w:val="left"/>
            </w:pPr>
            <w:r>
              <w:t xml:space="preserve">A Cervical Screening Test consists of a human papillomavirus (HPV) test with partial genotyping and, if the HPV test detects oncogenic HPV, liquid based cytology (LBC). </w:t>
            </w:r>
          </w:p>
        </w:tc>
      </w:tr>
      <w:tr w:rsidR="00E93942" w:rsidRPr="00CD50C4" w14:paraId="6F5BC44B" w14:textId="77777777" w:rsidTr="00F87BCC">
        <w:trPr>
          <w:trHeight w:val="517"/>
        </w:trPr>
        <w:tc>
          <w:tcPr>
            <w:tcW w:w="2410" w:type="dxa"/>
            <w:shd w:val="clear" w:color="auto" w:fill="auto"/>
            <w:tcMar>
              <w:left w:w="0" w:type="dxa"/>
            </w:tcMar>
          </w:tcPr>
          <w:p w14:paraId="216ADE52" w14:textId="77777777" w:rsidR="00E93942" w:rsidRPr="002E00E7" w:rsidRDefault="00E93942" w:rsidP="00F87BCC">
            <w:pPr>
              <w:pStyle w:val="TableBodyText"/>
              <w:keepNext w:val="0"/>
              <w:keepLines w:val="0"/>
              <w:widowControl w:val="0"/>
              <w:spacing w:before="60" w:after="60"/>
              <w:ind w:left="0"/>
              <w:jc w:val="left"/>
            </w:pPr>
            <w:r w:rsidRPr="006611B1">
              <w:t>Closed treatment episode</w:t>
            </w:r>
          </w:p>
        </w:tc>
        <w:tc>
          <w:tcPr>
            <w:tcW w:w="6379" w:type="dxa"/>
            <w:shd w:val="clear" w:color="auto" w:fill="auto"/>
          </w:tcPr>
          <w:p w14:paraId="1BDFAF7B" w14:textId="77777777" w:rsidR="00E93942" w:rsidRPr="00841571" w:rsidRDefault="00E93942" w:rsidP="00F87BCC">
            <w:pPr>
              <w:pStyle w:val="TableBodyText"/>
              <w:keepNext w:val="0"/>
              <w:keepLines w:val="0"/>
              <w:widowControl w:val="0"/>
              <w:spacing w:before="60" w:after="60"/>
              <w:ind w:left="0"/>
              <w:jc w:val="left"/>
            </w:pPr>
            <w:r w:rsidRPr="006611B1">
              <w:t xml:space="preserve">A closed treatment episode is a period of contact between a client and an alcohol and other drug treatment agency. It has defined dates of commencement and cessation, during which the principal drug of concern, treatment delivery </w:t>
            </w:r>
            <w:proofErr w:type="gramStart"/>
            <w:r w:rsidRPr="006611B1">
              <w:t>setting</w:t>
            </w:r>
            <w:proofErr w:type="gramEnd"/>
            <w:r w:rsidRPr="006611B1">
              <w:t xml:space="preserve"> and main treatment type did not change. Reasons for cessation of a treatment episode include treatment completion, and client non</w:t>
            </w:r>
            <w:r w:rsidRPr="006611B1">
              <w:noBreakHyphen/>
              <w:t>participation in treatment for 3 months or more. Clients may have more than one closed treatment episode in a data collection period.</w:t>
            </w:r>
          </w:p>
        </w:tc>
      </w:tr>
      <w:tr w:rsidR="00E93942" w:rsidRPr="00CD50C4" w14:paraId="7F82165B" w14:textId="77777777" w:rsidTr="00F87BCC">
        <w:trPr>
          <w:trHeight w:val="517"/>
        </w:trPr>
        <w:tc>
          <w:tcPr>
            <w:tcW w:w="2410" w:type="dxa"/>
            <w:shd w:val="clear" w:color="auto" w:fill="auto"/>
            <w:tcMar>
              <w:left w:w="0" w:type="dxa"/>
            </w:tcMar>
          </w:tcPr>
          <w:p w14:paraId="2E865D72" w14:textId="77777777" w:rsidR="00E93942" w:rsidRPr="002E00E7" w:rsidRDefault="00E93942" w:rsidP="00F87BCC">
            <w:pPr>
              <w:pStyle w:val="TableBodyText"/>
              <w:keepNext w:val="0"/>
              <w:keepLines w:val="0"/>
              <w:widowControl w:val="0"/>
              <w:spacing w:before="60" w:after="60"/>
              <w:ind w:left="0"/>
              <w:jc w:val="left"/>
            </w:pPr>
            <w:r w:rsidRPr="00F459BD">
              <w:t>Community health services</w:t>
            </w:r>
          </w:p>
        </w:tc>
        <w:tc>
          <w:tcPr>
            <w:tcW w:w="6379" w:type="dxa"/>
            <w:shd w:val="clear" w:color="auto" w:fill="auto"/>
          </w:tcPr>
          <w:p w14:paraId="73BB9CFA" w14:textId="77777777" w:rsidR="00E93942" w:rsidRPr="00841571" w:rsidRDefault="00E93942" w:rsidP="00F87BCC">
            <w:pPr>
              <w:pStyle w:val="TableBodyText"/>
              <w:keepNext w:val="0"/>
              <w:keepLines w:val="0"/>
              <w:widowControl w:val="0"/>
              <w:spacing w:before="60" w:after="60"/>
              <w:ind w:left="0"/>
              <w:jc w:val="left"/>
            </w:pPr>
            <w:r w:rsidRPr="00F459BD">
              <w:t>Health services for individuals and groups delivered in a community setting, rather than via hospitals or private facilities.</w:t>
            </w:r>
          </w:p>
        </w:tc>
      </w:tr>
      <w:tr w:rsidR="00E93942" w:rsidRPr="00CD50C4" w14:paraId="54355C1A" w14:textId="77777777" w:rsidTr="00F87BCC">
        <w:trPr>
          <w:trHeight w:val="517"/>
        </w:trPr>
        <w:tc>
          <w:tcPr>
            <w:tcW w:w="2410" w:type="dxa"/>
            <w:shd w:val="clear" w:color="auto" w:fill="auto"/>
            <w:tcMar>
              <w:left w:w="0" w:type="dxa"/>
            </w:tcMar>
          </w:tcPr>
          <w:p w14:paraId="3CA0A4DC" w14:textId="77777777" w:rsidR="00E93942" w:rsidRPr="002E00E7" w:rsidRDefault="00E93942" w:rsidP="00F87BCC">
            <w:pPr>
              <w:pStyle w:val="TableBodyText"/>
              <w:keepNext w:val="0"/>
              <w:keepLines w:val="0"/>
              <w:widowControl w:val="0"/>
              <w:spacing w:before="60" w:after="60"/>
              <w:ind w:left="0"/>
              <w:jc w:val="left"/>
            </w:pPr>
            <w:r w:rsidRPr="002E00E7">
              <w:t>Comparability</w:t>
            </w:r>
          </w:p>
        </w:tc>
        <w:tc>
          <w:tcPr>
            <w:tcW w:w="6379" w:type="dxa"/>
            <w:shd w:val="clear" w:color="auto" w:fill="auto"/>
          </w:tcPr>
          <w:p w14:paraId="79E152E0" w14:textId="77777777" w:rsidR="00E93942" w:rsidRPr="00CD50C4" w:rsidRDefault="00E93942" w:rsidP="00F87BCC">
            <w:pPr>
              <w:pStyle w:val="TableBodyText"/>
              <w:keepNext w:val="0"/>
              <w:keepLines w:val="0"/>
              <w:widowControl w:val="0"/>
              <w:spacing w:before="60" w:after="60"/>
              <w:ind w:left="0"/>
              <w:jc w:val="left"/>
            </w:pPr>
            <w:r w:rsidRPr="00841571">
              <w:t>Data are considered comparable if (subject to caveats) they can be used to inform an assessment of comparative performance. Typically, data are considered comparable when they are collected in the same way and in accordance with the same definitions. For comparable indicators or measures, significant differences in reported results allow an assessment of differences in performance, rather than being the result of anomalies in the data</w:t>
            </w:r>
            <w:r>
              <w:t>.</w:t>
            </w:r>
          </w:p>
        </w:tc>
      </w:tr>
      <w:tr w:rsidR="00E93942" w:rsidRPr="00CD50C4" w14:paraId="0962AAB2" w14:textId="77777777" w:rsidTr="00F87BCC">
        <w:trPr>
          <w:trHeight w:val="517"/>
        </w:trPr>
        <w:tc>
          <w:tcPr>
            <w:tcW w:w="2410" w:type="dxa"/>
            <w:shd w:val="clear" w:color="auto" w:fill="auto"/>
            <w:tcMar>
              <w:left w:w="0" w:type="dxa"/>
            </w:tcMar>
          </w:tcPr>
          <w:p w14:paraId="1E1B2DAF" w14:textId="77777777" w:rsidR="00E93942" w:rsidRPr="002E00E7" w:rsidRDefault="00E93942" w:rsidP="00F87BCC">
            <w:pPr>
              <w:pStyle w:val="TableBodyText"/>
              <w:keepNext w:val="0"/>
              <w:keepLines w:val="0"/>
              <w:widowControl w:val="0"/>
              <w:spacing w:before="60" w:after="60"/>
              <w:ind w:left="0"/>
              <w:jc w:val="left"/>
            </w:pPr>
            <w:r w:rsidRPr="002E00E7">
              <w:t>Completeness</w:t>
            </w:r>
          </w:p>
        </w:tc>
        <w:tc>
          <w:tcPr>
            <w:tcW w:w="6379" w:type="dxa"/>
            <w:shd w:val="clear" w:color="auto" w:fill="auto"/>
          </w:tcPr>
          <w:p w14:paraId="13B45D0E" w14:textId="77777777" w:rsidR="00E93942" w:rsidRPr="00CD50C4" w:rsidRDefault="00E93942" w:rsidP="00F87BCC">
            <w:pPr>
              <w:pStyle w:val="TableBodyText"/>
              <w:keepNext w:val="0"/>
              <w:keepLines w:val="0"/>
              <w:widowControl w:val="0"/>
              <w:spacing w:before="60" w:after="60"/>
              <w:ind w:left="0"/>
              <w:jc w:val="left"/>
            </w:pPr>
            <w:r w:rsidRPr="005228B2">
              <w:t>Data are considered complete if all required data are available for all jurisdictions that provide the service</w:t>
            </w:r>
            <w:r w:rsidRPr="00CD50C4">
              <w:t>.</w:t>
            </w:r>
          </w:p>
        </w:tc>
      </w:tr>
      <w:tr w:rsidR="00E93942" w:rsidRPr="00F459BD" w14:paraId="31B30098" w14:textId="77777777" w:rsidTr="00F87BCC">
        <w:tc>
          <w:tcPr>
            <w:tcW w:w="2410" w:type="dxa"/>
            <w:shd w:val="clear" w:color="auto" w:fill="auto"/>
            <w:tcMar>
              <w:left w:w="0" w:type="dxa"/>
            </w:tcMar>
          </w:tcPr>
          <w:p w14:paraId="293B2284" w14:textId="77777777" w:rsidR="00E93942" w:rsidRPr="00F459BD" w:rsidRDefault="00E93942" w:rsidP="00F87BCC">
            <w:pPr>
              <w:pStyle w:val="TableBodyText"/>
              <w:keepNext w:val="0"/>
              <w:keepLines w:val="0"/>
              <w:widowControl w:val="0"/>
              <w:spacing w:before="60" w:after="60"/>
              <w:ind w:left="0"/>
              <w:jc w:val="left"/>
            </w:pPr>
            <w:r w:rsidRPr="00F459BD">
              <w:t>Consultations</w:t>
            </w:r>
          </w:p>
        </w:tc>
        <w:tc>
          <w:tcPr>
            <w:tcW w:w="6379" w:type="dxa"/>
            <w:shd w:val="clear" w:color="auto" w:fill="auto"/>
          </w:tcPr>
          <w:p w14:paraId="5CA7F01A" w14:textId="77777777" w:rsidR="00E93942" w:rsidRPr="00F459BD" w:rsidRDefault="00E93942" w:rsidP="00F87BCC">
            <w:pPr>
              <w:pStyle w:val="TableBodyText"/>
              <w:keepNext w:val="0"/>
              <w:keepLines w:val="0"/>
              <w:widowControl w:val="0"/>
              <w:spacing w:before="60" w:after="60"/>
              <w:ind w:left="0"/>
              <w:jc w:val="left"/>
            </w:pPr>
            <w:r w:rsidRPr="00F459BD">
              <w:t>The different types of services provided by GPs.</w:t>
            </w:r>
          </w:p>
        </w:tc>
      </w:tr>
      <w:tr w:rsidR="00E93942" w:rsidRPr="00F459BD" w14:paraId="38A44EDE" w14:textId="77777777" w:rsidTr="00F87BCC">
        <w:tc>
          <w:tcPr>
            <w:tcW w:w="2410" w:type="dxa"/>
            <w:shd w:val="clear" w:color="auto" w:fill="auto"/>
            <w:tcMar>
              <w:left w:w="0" w:type="dxa"/>
            </w:tcMar>
          </w:tcPr>
          <w:p w14:paraId="3B2A9751" w14:textId="77777777" w:rsidR="00E93942" w:rsidRPr="00F459BD" w:rsidRDefault="00E93942" w:rsidP="00F87BCC">
            <w:pPr>
              <w:pStyle w:val="TableBodyText"/>
              <w:keepNext w:val="0"/>
              <w:keepLines w:val="0"/>
              <w:widowControl w:val="0"/>
              <w:spacing w:before="60" w:after="60"/>
              <w:ind w:left="0"/>
              <w:jc w:val="left"/>
            </w:pPr>
            <w:r w:rsidRPr="00F459BD">
              <w:t>Cost to government of general practice per person</w:t>
            </w:r>
          </w:p>
        </w:tc>
        <w:tc>
          <w:tcPr>
            <w:tcW w:w="6379" w:type="dxa"/>
            <w:shd w:val="clear" w:color="auto" w:fill="auto"/>
          </w:tcPr>
          <w:p w14:paraId="6BFBDEEE" w14:textId="77777777" w:rsidR="00E93942" w:rsidRPr="00F459BD" w:rsidRDefault="00E93942" w:rsidP="00F87BCC">
            <w:pPr>
              <w:pStyle w:val="TableBodyText"/>
              <w:keepNext w:val="0"/>
              <w:keepLines w:val="0"/>
              <w:widowControl w:val="0"/>
              <w:spacing w:before="60" w:after="60"/>
              <w:ind w:left="0"/>
              <w:jc w:val="left"/>
            </w:pPr>
            <w:r w:rsidRPr="00F459BD">
              <w:t>Cost to the Australian Government of total non</w:t>
            </w:r>
            <w:r>
              <w:noBreakHyphen/>
            </w:r>
            <w:r w:rsidRPr="00F459BD">
              <w:t>referred attendances by non</w:t>
            </w:r>
            <w:r>
              <w:noBreakHyphen/>
            </w:r>
            <w:r w:rsidRPr="00F459BD">
              <w:t>specialist medical practitioners per person.</w:t>
            </w:r>
          </w:p>
        </w:tc>
      </w:tr>
      <w:tr w:rsidR="00E93942" w:rsidRPr="00F459BD" w14:paraId="63A483F1" w14:textId="77777777" w:rsidTr="00F87BCC">
        <w:tc>
          <w:tcPr>
            <w:tcW w:w="2410" w:type="dxa"/>
            <w:shd w:val="clear" w:color="auto" w:fill="auto"/>
            <w:tcMar>
              <w:left w:w="0" w:type="dxa"/>
            </w:tcMar>
          </w:tcPr>
          <w:p w14:paraId="12725E9D" w14:textId="77777777" w:rsidR="00E93942" w:rsidRPr="00345C57" w:rsidRDefault="00E93942" w:rsidP="00F87BCC">
            <w:pPr>
              <w:pStyle w:val="TableBodyText"/>
              <w:keepNext w:val="0"/>
              <w:keepLines w:val="0"/>
              <w:widowControl w:val="0"/>
              <w:spacing w:before="60" w:after="60"/>
              <w:ind w:left="0"/>
              <w:jc w:val="left"/>
            </w:pPr>
            <w:r w:rsidRPr="00345C57">
              <w:t>Full time equivalent (FTE)</w:t>
            </w:r>
          </w:p>
        </w:tc>
        <w:tc>
          <w:tcPr>
            <w:tcW w:w="6379" w:type="dxa"/>
            <w:shd w:val="clear" w:color="auto" w:fill="auto"/>
          </w:tcPr>
          <w:p w14:paraId="48A456D8" w14:textId="77777777" w:rsidR="00E93942" w:rsidRPr="002974E8" w:rsidRDefault="00E93942" w:rsidP="00F87BCC">
            <w:pPr>
              <w:pStyle w:val="TableBodyText"/>
              <w:keepNext w:val="0"/>
              <w:keepLines w:val="0"/>
              <w:widowControl w:val="0"/>
              <w:spacing w:before="60" w:after="0"/>
              <w:ind w:left="0"/>
              <w:jc w:val="left"/>
            </w:pPr>
            <w:r w:rsidRPr="002974E8">
              <w:t xml:space="preserve">FTE (Full Time Equivalent) is a workforce specific method to estimate the workload of GPs. The method calculates a GP’s workload based on the MBS services claimed as well as patient and doctor factors that affect the duration of a consultation. One GPFTE represents a </w:t>
            </w:r>
            <w:proofErr w:type="gramStart"/>
            <w:r w:rsidRPr="002974E8">
              <w:t>40 hour</w:t>
            </w:r>
            <w:proofErr w:type="gramEnd"/>
            <w:r w:rsidRPr="002974E8">
              <w:t xml:space="preserve"> week per week for 46 weeks of the year. For each Medicare provider, the measure attributes an estimate of the amount of time they have spent on their claims compared to what would be worked by a full-time GP, including billable time, non-billable time, and non-clinical time.</w:t>
            </w:r>
          </w:p>
        </w:tc>
      </w:tr>
      <w:tr w:rsidR="00E93942" w:rsidRPr="00F459BD" w14:paraId="542F480C" w14:textId="77777777" w:rsidTr="00F87BCC">
        <w:tc>
          <w:tcPr>
            <w:tcW w:w="2410" w:type="dxa"/>
            <w:shd w:val="clear" w:color="auto" w:fill="auto"/>
            <w:tcMar>
              <w:left w:w="0" w:type="dxa"/>
            </w:tcMar>
          </w:tcPr>
          <w:p w14:paraId="3966AED6" w14:textId="77777777" w:rsidR="00E93942" w:rsidRPr="00F459BD" w:rsidRDefault="00E93942" w:rsidP="00F87BCC">
            <w:pPr>
              <w:pStyle w:val="TableBodyText"/>
              <w:keepNext w:val="0"/>
              <w:keepLines w:val="0"/>
              <w:widowControl w:val="0"/>
              <w:spacing w:before="60" w:after="60"/>
              <w:ind w:left="0"/>
              <w:jc w:val="left"/>
            </w:pPr>
            <w:r w:rsidRPr="00F459BD">
              <w:t>General practice</w:t>
            </w:r>
          </w:p>
        </w:tc>
        <w:tc>
          <w:tcPr>
            <w:tcW w:w="6379" w:type="dxa"/>
            <w:shd w:val="clear" w:color="auto" w:fill="auto"/>
          </w:tcPr>
          <w:p w14:paraId="334E0C01" w14:textId="77777777" w:rsidR="00E93942" w:rsidRPr="00F459BD" w:rsidRDefault="00E93942" w:rsidP="00F87BCC">
            <w:pPr>
              <w:pStyle w:val="TableBodyText"/>
              <w:keepNext w:val="0"/>
              <w:keepLines w:val="0"/>
              <w:widowControl w:val="0"/>
              <w:spacing w:before="60" w:after="60"/>
              <w:ind w:left="0"/>
              <w:jc w:val="left"/>
            </w:pPr>
            <w:r w:rsidRPr="00F459BD">
              <w:t>The organisational structure with one or more GPs and other staff such as practice nurses. A general practice provides and supervises healthcare for a ‘population’ of patients and may include services for specific populations, such as women</w:t>
            </w:r>
            <w:r>
              <w:t>’</w:t>
            </w:r>
            <w:r w:rsidRPr="00F459BD">
              <w:t xml:space="preserve">s health or </w:t>
            </w:r>
            <w:r>
              <w:t>Aboriginal and Torres Strait Islander</w:t>
            </w:r>
            <w:r w:rsidRPr="00F459BD">
              <w:t xml:space="preserve"> health.</w:t>
            </w:r>
          </w:p>
        </w:tc>
      </w:tr>
      <w:tr w:rsidR="00E93942" w:rsidRPr="00F459BD" w14:paraId="729532E3" w14:textId="77777777" w:rsidTr="00F87BCC">
        <w:tc>
          <w:tcPr>
            <w:tcW w:w="2410" w:type="dxa"/>
            <w:shd w:val="clear" w:color="auto" w:fill="auto"/>
            <w:tcMar>
              <w:left w:w="0" w:type="dxa"/>
            </w:tcMar>
          </w:tcPr>
          <w:p w14:paraId="34EBCB5A" w14:textId="77777777" w:rsidR="00E93942" w:rsidRPr="00F459BD" w:rsidRDefault="00E93942" w:rsidP="00F87BCC">
            <w:pPr>
              <w:pStyle w:val="TableBodyText"/>
              <w:keepNext w:val="0"/>
              <w:keepLines w:val="0"/>
              <w:widowControl w:val="0"/>
              <w:spacing w:before="60" w:after="60"/>
              <w:ind w:left="0"/>
              <w:jc w:val="left"/>
            </w:pPr>
            <w:r w:rsidRPr="00F459BD">
              <w:t>General practitioner (GP)</w:t>
            </w:r>
          </w:p>
        </w:tc>
        <w:tc>
          <w:tcPr>
            <w:tcW w:w="6379" w:type="dxa"/>
            <w:shd w:val="clear" w:color="auto" w:fill="auto"/>
          </w:tcPr>
          <w:p w14:paraId="54E5111D" w14:textId="77777777" w:rsidR="00E93942" w:rsidRPr="00F459BD" w:rsidRDefault="00E93942" w:rsidP="00F87BCC">
            <w:pPr>
              <w:pStyle w:val="TableBodyText"/>
              <w:keepNext w:val="0"/>
              <w:keepLines w:val="0"/>
              <w:widowControl w:val="0"/>
              <w:spacing w:before="60" w:after="60"/>
              <w:ind w:left="0"/>
              <w:jc w:val="left"/>
            </w:pPr>
            <w:r w:rsidRPr="00F459BD">
              <w:t xml:space="preserve">Vocationally </w:t>
            </w:r>
            <w:r w:rsidRPr="000B2487">
              <w:t>registered</w:t>
            </w:r>
            <w:r w:rsidRPr="000465F0">
              <w:t xml:space="preserve"> </w:t>
            </w:r>
            <w:r w:rsidRPr="00F459BD">
              <w:t xml:space="preserve">GPs — </w:t>
            </w:r>
            <w:r w:rsidRPr="00931CC9">
              <w:t xml:space="preserve">medical practitioners who are vocationally </w:t>
            </w:r>
            <w:r w:rsidRPr="000B2487">
              <w:t xml:space="preserve">registered </w:t>
            </w:r>
            <w:r w:rsidRPr="00931CC9">
              <w:t xml:space="preserve">under s.3F of the </w:t>
            </w:r>
            <w:r w:rsidRPr="00931CC9">
              <w:rPr>
                <w:i/>
              </w:rPr>
              <w:t>Health Insurance Act 1973</w:t>
            </w:r>
            <w:r w:rsidRPr="00931CC9">
              <w:t xml:space="preserve"> (Cwlth), hold Fellowship of the RACGP or the Australian College of Rural and Remote Medicine (ACRRM) or equivalent, or hold a recognised training placement.</w:t>
            </w:r>
            <w:r w:rsidRPr="00F459BD">
              <w:t xml:space="preserve"> </w:t>
            </w:r>
            <w:r>
              <w:t>F</w:t>
            </w:r>
            <w:r w:rsidRPr="00F459BD">
              <w:t xml:space="preserve">rom 1996 vocational registration </w:t>
            </w:r>
            <w:r>
              <w:t>is</w:t>
            </w:r>
            <w:r w:rsidRPr="00F459BD">
              <w:t xml:space="preserve"> available only to GPs who attain</w:t>
            </w:r>
            <w:r>
              <w:t xml:space="preserve"> Fellowship of the RACGP or (from April 2007)</w:t>
            </w:r>
            <w:r w:rsidRPr="00F459BD">
              <w:t xml:space="preserve"> the </w:t>
            </w:r>
            <w:proofErr w:type="gramStart"/>
            <w:r w:rsidRPr="00F459BD">
              <w:t>ACRRM</w:t>
            </w:r>
            <w:r>
              <w:t>, or</w:t>
            </w:r>
            <w:proofErr w:type="gramEnd"/>
            <w:r w:rsidRPr="00F87DE2">
              <w:t xml:space="preserve"> hold a recognised training placement</w:t>
            </w:r>
            <w:r w:rsidRPr="00F459BD">
              <w:t>.</w:t>
            </w:r>
          </w:p>
          <w:p w14:paraId="72CE6212" w14:textId="77777777" w:rsidR="00E93942" w:rsidRPr="00F459BD" w:rsidRDefault="00E93942" w:rsidP="00F87BCC">
            <w:pPr>
              <w:pStyle w:val="TableBodyText"/>
              <w:keepNext w:val="0"/>
              <w:keepLines w:val="0"/>
              <w:widowControl w:val="0"/>
              <w:spacing w:before="60" w:after="60"/>
              <w:ind w:left="0"/>
              <w:jc w:val="left"/>
            </w:pPr>
            <w:r w:rsidRPr="00F459BD">
              <w:t xml:space="preserve">Other medical practitioners (OMP) — medical practitioners who are not vocationally </w:t>
            </w:r>
            <w:r w:rsidRPr="000B2487">
              <w:t xml:space="preserve">registered </w:t>
            </w:r>
            <w:r w:rsidRPr="00F459BD">
              <w:t>GPs.</w:t>
            </w:r>
          </w:p>
        </w:tc>
      </w:tr>
      <w:tr w:rsidR="00E93942" w:rsidRPr="00F459BD" w14:paraId="4A5DC902" w14:textId="77777777" w:rsidTr="00F87BCC">
        <w:tc>
          <w:tcPr>
            <w:tcW w:w="2410" w:type="dxa"/>
            <w:shd w:val="clear" w:color="auto" w:fill="auto"/>
            <w:tcMar>
              <w:left w:w="0" w:type="dxa"/>
            </w:tcMar>
          </w:tcPr>
          <w:p w14:paraId="60CE3376" w14:textId="77777777" w:rsidR="00E93942" w:rsidRPr="00F459BD" w:rsidRDefault="00E93942" w:rsidP="00F87BCC">
            <w:pPr>
              <w:pStyle w:val="TableBodyText"/>
              <w:keepNext w:val="0"/>
              <w:keepLines w:val="0"/>
              <w:widowControl w:val="0"/>
              <w:spacing w:before="60" w:after="60"/>
              <w:ind w:left="0"/>
              <w:jc w:val="left"/>
            </w:pPr>
            <w:r w:rsidRPr="00F459BD">
              <w:t>GP</w:t>
            </w:r>
            <w:r w:rsidRPr="00F459BD">
              <w:noBreakHyphen/>
              <w:t>type services</w:t>
            </w:r>
          </w:p>
        </w:tc>
        <w:tc>
          <w:tcPr>
            <w:tcW w:w="6379" w:type="dxa"/>
            <w:shd w:val="clear" w:color="auto" w:fill="auto"/>
          </w:tcPr>
          <w:p w14:paraId="61991F97" w14:textId="77777777" w:rsidR="00E93942" w:rsidRPr="00F459BD" w:rsidRDefault="00E93942" w:rsidP="00F87BCC">
            <w:pPr>
              <w:pStyle w:val="TableBodyText"/>
              <w:keepNext w:val="0"/>
              <w:keepLines w:val="0"/>
              <w:widowControl w:val="0"/>
              <w:spacing w:before="60" w:after="60"/>
              <w:ind w:left="0"/>
              <w:jc w:val="left"/>
            </w:pPr>
            <w:r w:rsidRPr="00F459BD">
              <w:t>Non</w:t>
            </w:r>
            <w:r w:rsidRPr="00F459BD">
              <w:noBreakHyphen/>
              <w:t xml:space="preserve">referred attendances by vocationally </w:t>
            </w:r>
            <w:r w:rsidRPr="000B2487">
              <w:t xml:space="preserve">registered </w:t>
            </w:r>
            <w:r w:rsidRPr="00F459BD">
              <w:t>GPs and OMPs, and practice nurses.</w:t>
            </w:r>
          </w:p>
        </w:tc>
      </w:tr>
      <w:tr w:rsidR="00E93942" w:rsidRPr="00F459BD" w14:paraId="29EE4EB2" w14:textId="77777777" w:rsidTr="00F87BCC">
        <w:tc>
          <w:tcPr>
            <w:tcW w:w="2410" w:type="dxa"/>
            <w:shd w:val="clear" w:color="auto" w:fill="auto"/>
            <w:tcMar>
              <w:left w:w="0" w:type="dxa"/>
            </w:tcMar>
          </w:tcPr>
          <w:p w14:paraId="0AF533D0" w14:textId="77777777" w:rsidR="00E93942" w:rsidRPr="00F459BD" w:rsidRDefault="00E93942" w:rsidP="00F87BCC">
            <w:pPr>
              <w:pStyle w:val="TableBodyText"/>
              <w:keepNext w:val="0"/>
              <w:keepLines w:val="0"/>
              <w:widowControl w:val="0"/>
              <w:spacing w:before="60" w:after="60"/>
              <w:ind w:left="0"/>
              <w:jc w:val="left"/>
            </w:pPr>
            <w:r w:rsidRPr="00E51597">
              <w:rPr>
                <w:i/>
              </w:rPr>
              <w:t>Haemophilus influenzae</w:t>
            </w:r>
            <w:r w:rsidRPr="00F459BD">
              <w:t xml:space="preserve"> type b</w:t>
            </w:r>
          </w:p>
        </w:tc>
        <w:tc>
          <w:tcPr>
            <w:tcW w:w="6379" w:type="dxa"/>
            <w:shd w:val="clear" w:color="auto" w:fill="auto"/>
          </w:tcPr>
          <w:p w14:paraId="7BD15D1E" w14:textId="77777777" w:rsidR="00E93942" w:rsidRPr="00F459BD" w:rsidRDefault="00E93942" w:rsidP="00F87BCC">
            <w:pPr>
              <w:pStyle w:val="TableBodyText"/>
              <w:keepNext w:val="0"/>
              <w:keepLines w:val="0"/>
              <w:widowControl w:val="0"/>
              <w:spacing w:before="60" w:after="60"/>
              <w:ind w:left="0"/>
              <w:jc w:val="left"/>
            </w:pPr>
            <w:r w:rsidRPr="00F459BD">
              <w:t>A bacterium which causes bloodstream infection, meningitis, epiglottitis, and pneumonia (</w:t>
            </w:r>
            <w:r>
              <w:t>Department of Health</w:t>
            </w:r>
            <w:r w:rsidRPr="00F459BD">
              <w:t xml:space="preserve"> </w:t>
            </w:r>
            <w:r>
              <w:t>2018</w:t>
            </w:r>
            <w:r w:rsidRPr="00F459BD">
              <w:t>).</w:t>
            </w:r>
          </w:p>
        </w:tc>
      </w:tr>
      <w:tr w:rsidR="00E93942" w:rsidRPr="00F459BD" w14:paraId="315BA436" w14:textId="77777777" w:rsidTr="00F87BCC">
        <w:tc>
          <w:tcPr>
            <w:tcW w:w="2410" w:type="dxa"/>
            <w:shd w:val="clear" w:color="auto" w:fill="auto"/>
            <w:tcMar>
              <w:left w:w="0" w:type="dxa"/>
            </w:tcMar>
          </w:tcPr>
          <w:p w14:paraId="364DD3D0" w14:textId="77777777" w:rsidR="00E93942" w:rsidRDefault="00E93942" w:rsidP="00F87BCC">
            <w:pPr>
              <w:pStyle w:val="TableBodyText"/>
              <w:keepNext w:val="0"/>
              <w:keepLines w:val="0"/>
              <w:widowControl w:val="0"/>
              <w:spacing w:before="60" w:after="60"/>
              <w:ind w:left="0"/>
              <w:jc w:val="left"/>
            </w:pPr>
            <w:r w:rsidRPr="00F459BD">
              <w:t>Non</w:t>
            </w:r>
            <w:r>
              <w:noBreakHyphen/>
            </w:r>
            <w:r w:rsidRPr="00F459BD">
              <w:t>referred attendances</w:t>
            </w:r>
          </w:p>
          <w:p w14:paraId="62C3A189" w14:textId="77777777" w:rsidR="00E93942" w:rsidRDefault="00E93942" w:rsidP="00F87BCC">
            <w:pPr>
              <w:widowControl w:val="0"/>
            </w:pPr>
          </w:p>
          <w:p w14:paraId="0618EFD9" w14:textId="77777777" w:rsidR="00E93942" w:rsidRPr="00127AD7" w:rsidRDefault="00E93942" w:rsidP="00F87BCC">
            <w:pPr>
              <w:widowControl w:val="0"/>
              <w:jc w:val="right"/>
            </w:pPr>
          </w:p>
        </w:tc>
        <w:tc>
          <w:tcPr>
            <w:tcW w:w="6379" w:type="dxa"/>
            <w:shd w:val="clear" w:color="auto" w:fill="auto"/>
          </w:tcPr>
          <w:p w14:paraId="05B5FA9A" w14:textId="6EA511D1" w:rsidR="00E93942" w:rsidRPr="00F459BD" w:rsidRDefault="00E93942" w:rsidP="00F87BCC">
            <w:pPr>
              <w:pStyle w:val="TableBodyText"/>
              <w:keepNext w:val="0"/>
              <w:keepLines w:val="0"/>
              <w:widowControl w:val="0"/>
              <w:spacing w:before="60" w:after="60"/>
              <w:ind w:left="0"/>
              <w:jc w:val="left"/>
            </w:pPr>
            <w:r w:rsidRPr="00F459BD">
              <w:t xml:space="preserve">GP services, emergency attendances after hours, other prolonged attendances, group therapy and acupuncture. All attendances for specialist services are excluded because these must be ‘referred’ to receive </w:t>
            </w:r>
            <w:r w:rsidR="00CF506F">
              <w:t xml:space="preserve">Services Australia </w:t>
            </w:r>
            <w:r w:rsidRPr="002D7882">
              <w:t xml:space="preserve">Medicare </w:t>
            </w:r>
            <w:r w:rsidRPr="00F459BD">
              <w:t>reimbursement.</w:t>
            </w:r>
          </w:p>
        </w:tc>
      </w:tr>
      <w:tr w:rsidR="00E93942" w:rsidRPr="00F459BD" w14:paraId="3BC4B7E9" w14:textId="77777777" w:rsidTr="00F87BCC">
        <w:tc>
          <w:tcPr>
            <w:tcW w:w="2410" w:type="dxa"/>
            <w:shd w:val="clear" w:color="auto" w:fill="auto"/>
            <w:tcMar>
              <w:left w:w="0" w:type="dxa"/>
            </w:tcMar>
          </w:tcPr>
          <w:p w14:paraId="23B78349" w14:textId="77777777" w:rsidR="00E93942" w:rsidRPr="00F459BD" w:rsidRDefault="00E93942" w:rsidP="00F87BCC">
            <w:pPr>
              <w:pStyle w:val="TableBodyText"/>
              <w:keepNext w:val="0"/>
              <w:keepLines w:val="0"/>
              <w:widowControl w:val="0"/>
              <w:spacing w:before="60" w:after="60"/>
              <w:ind w:left="0"/>
              <w:jc w:val="left"/>
            </w:pPr>
            <w:r w:rsidRPr="00F459BD">
              <w:t xml:space="preserve">Nationally notifiable disease </w:t>
            </w:r>
          </w:p>
        </w:tc>
        <w:tc>
          <w:tcPr>
            <w:tcW w:w="6379" w:type="dxa"/>
            <w:shd w:val="clear" w:color="auto" w:fill="auto"/>
          </w:tcPr>
          <w:p w14:paraId="52344EED" w14:textId="77777777" w:rsidR="00E93942" w:rsidRPr="00F459BD" w:rsidRDefault="00E93942" w:rsidP="00F87BCC">
            <w:pPr>
              <w:pStyle w:val="TableBodyText"/>
              <w:keepNext w:val="0"/>
              <w:keepLines w:val="0"/>
              <w:widowControl w:val="0"/>
              <w:spacing w:before="60" w:after="60"/>
              <w:ind w:left="0"/>
              <w:jc w:val="left"/>
            </w:pPr>
            <w:r w:rsidRPr="00F459BD">
              <w:t>A communicable disease that is on the Communicable Diseases Network Australia’s endorsed list of diseases to be notified nationally (</w:t>
            </w:r>
            <w:r>
              <w:t>Department of Health 2013</w:t>
            </w:r>
            <w:r w:rsidRPr="00F459BD">
              <w:t xml:space="preserve">). On diagnosis of these diseases, there is a requirement to </w:t>
            </w:r>
            <w:r w:rsidRPr="00F459BD">
              <w:lastRenderedPageBreak/>
              <w:t>notify the relevant State or Territory health authority.</w:t>
            </w:r>
          </w:p>
        </w:tc>
      </w:tr>
      <w:tr w:rsidR="00E93942" w:rsidRPr="00F459BD" w14:paraId="6B34DA08" w14:textId="77777777" w:rsidTr="00F87BCC">
        <w:tc>
          <w:tcPr>
            <w:tcW w:w="2410" w:type="dxa"/>
            <w:shd w:val="clear" w:color="auto" w:fill="auto"/>
            <w:tcMar>
              <w:left w:w="0" w:type="dxa"/>
            </w:tcMar>
          </w:tcPr>
          <w:p w14:paraId="04D02902" w14:textId="77777777" w:rsidR="00E93942" w:rsidRPr="00F459BD" w:rsidRDefault="00E93942" w:rsidP="00F87BCC">
            <w:pPr>
              <w:pStyle w:val="TableBodyText"/>
              <w:keepNext w:val="0"/>
              <w:keepLines w:val="0"/>
              <w:widowControl w:val="0"/>
              <w:tabs>
                <w:tab w:val="left" w:pos="585"/>
              </w:tabs>
              <w:spacing w:before="60" w:after="60"/>
              <w:ind w:left="0"/>
              <w:jc w:val="left"/>
            </w:pPr>
            <w:proofErr w:type="gramStart"/>
            <w:r w:rsidRPr="00F459BD">
              <w:lastRenderedPageBreak/>
              <w:t>Other</w:t>
            </w:r>
            <w:proofErr w:type="gramEnd"/>
            <w:r w:rsidRPr="00F459BD">
              <w:t xml:space="preserve"> medical practitioner (OMP)</w:t>
            </w:r>
          </w:p>
        </w:tc>
        <w:tc>
          <w:tcPr>
            <w:tcW w:w="6379" w:type="dxa"/>
            <w:shd w:val="clear" w:color="auto" w:fill="auto"/>
          </w:tcPr>
          <w:p w14:paraId="40C1F084" w14:textId="780F22DF" w:rsidR="00E93942" w:rsidRPr="00F459BD" w:rsidRDefault="00E93942" w:rsidP="00F87BCC">
            <w:pPr>
              <w:pStyle w:val="TableBodyText"/>
              <w:keepNext w:val="0"/>
              <w:keepLines w:val="0"/>
              <w:widowControl w:val="0"/>
              <w:spacing w:before="60" w:after="60"/>
              <w:ind w:left="0"/>
              <w:jc w:val="left"/>
            </w:pPr>
            <w:r w:rsidRPr="00F459BD">
              <w:t xml:space="preserve">A medical practitioner other than a vocationally </w:t>
            </w:r>
            <w:r w:rsidRPr="000B2487">
              <w:t>registered</w:t>
            </w:r>
            <w:r w:rsidRPr="00F459BD">
              <w:t xml:space="preserve"> GP who has at least half of the schedule fee value of his/her </w:t>
            </w:r>
            <w:r w:rsidR="00CF506F">
              <w:t xml:space="preserve">Services Australia </w:t>
            </w:r>
            <w:r w:rsidRPr="002D7882">
              <w:t xml:space="preserve">Medicare </w:t>
            </w:r>
            <w:r w:rsidRPr="00F459BD">
              <w:t>billing from non</w:t>
            </w:r>
            <w:r>
              <w:noBreakHyphen/>
            </w:r>
            <w:r w:rsidRPr="00F459BD">
              <w:t xml:space="preserve">referred attendances. These practitioners </w:t>
            </w:r>
            <w:proofErr w:type="gramStart"/>
            <w:r w:rsidRPr="00F459BD">
              <w:t>are able to</w:t>
            </w:r>
            <w:proofErr w:type="gramEnd"/>
            <w:r w:rsidRPr="00F459BD">
              <w:t xml:space="preserve"> access only the lower A2 </w:t>
            </w:r>
            <w:r w:rsidR="00CF506F">
              <w:t xml:space="preserve">Services Australia </w:t>
            </w:r>
            <w:r w:rsidRPr="002D7882">
              <w:t xml:space="preserve">Medicare </w:t>
            </w:r>
            <w:r w:rsidRPr="00F459BD">
              <w:t>rebate for general practice services they provide, unless the services are provided through certain Departmental incen</w:t>
            </w:r>
            <w:r>
              <w:t>tive programs.</w:t>
            </w:r>
          </w:p>
        </w:tc>
      </w:tr>
      <w:tr w:rsidR="00E93942" w:rsidRPr="00F459BD" w14:paraId="0B3762DF" w14:textId="77777777" w:rsidTr="00F87BCC">
        <w:tc>
          <w:tcPr>
            <w:tcW w:w="2410" w:type="dxa"/>
            <w:shd w:val="clear" w:color="auto" w:fill="auto"/>
            <w:tcMar>
              <w:left w:w="0" w:type="dxa"/>
            </w:tcMar>
          </w:tcPr>
          <w:p w14:paraId="659D5C31" w14:textId="77777777" w:rsidR="00E93942" w:rsidRPr="00F459BD" w:rsidRDefault="00E93942" w:rsidP="00F87BCC">
            <w:pPr>
              <w:pStyle w:val="TableBodyText"/>
              <w:keepNext w:val="0"/>
              <w:keepLines w:val="0"/>
              <w:widowControl w:val="0"/>
              <w:spacing w:before="60" w:after="60"/>
              <w:ind w:left="0"/>
              <w:jc w:val="left"/>
            </w:pPr>
            <w:r w:rsidRPr="00F459BD">
              <w:t>Pap smear</w:t>
            </w:r>
          </w:p>
        </w:tc>
        <w:tc>
          <w:tcPr>
            <w:tcW w:w="6379" w:type="dxa"/>
            <w:shd w:val="clear" w:color="auto" w:fill="auto"/>
          </w:tcPr>
          <w:p w14:paraId="60E6A43B" w14:textId="77777777" w:rsidR="00E93942" w:rsidRPr="00F459BD" w:rsidRDefault="00E93942" w:rsidP="00F87BCC">
            <w:pPr>
              <w:pStyle w:val="TableBodyText"/>
              <w:keepNext w:val="0"/>
              <w:keepLines w:val="0"/>
              <w:widowControl w:val="0"/>
              <w:spacing w:before="60" w:after="60"/>
              <w:ind w:left="0"/>
              <w:jc w:val="left"/>
            </w:pPr>
            <w:r w:rsidRPr="00F459BD">
              <w:t xml:space="preserve">A procedure </w:t>
            </w:r>
            <w:r>
              <w:t xml:space="preserve">used to detect pre-cancerous abnormalities of the cervix. </w:t>
            </w:r>
          </w:p>
        </w:tc>
      </w:tr>
      <w:tr w:rsidR="00E93942" w:rsidRPr="00E51597" w14:paraId="33D20610" w14:textId="77777777" w:rsidTr="00F87BCC">
        <w:tc>
          <w:tcPr>
            <w:tcW w:w="2410" w:type="dxa"/>
            <w:shd w:val="clear" w:color="auto" w:fill="auto"/>
            <w:tcMar>
              <w:left w:w="0" w:type="dxa"/>
            </w:tcMar>
          </w:tcPr>
          <w:p w14:paraId="66D8CD04" w14:textId="77777777" w:rsidR="00E93942" w:rsidRPr="00F459BD" w:rsidRDefault="00E93942" w:rsidP="00F87BCC">
            <w:pPr>
              <w:pStyle w:val="TableBodyText"/>
              <w:keepNext w:val="0"/>
              <w:keepLines w:val="0"/>
              <w:widowControl w:val="0"/>
              <w:spacing w:before="60" w:after="60"/>
              <w:ind w:left="0"/>
              <w:jc w:val="left"/>
            </w:pPr>
            <w:r w:rsidRPr="00AF3FA5">
              <w:t>PBS doctor’s bag</w:t>
            </w:r>
          </w:p>
        </w:tc>
        <w:tc>
          <w:tcPr>
            <w:tcW w:w="6379" w:type="dxa"/>
            <w:shd w:val="clear" w:color="auto" w:fill="auto"/>
          </w:tcPr>
          <w:p w14:paraId="263E01A6" w14:textId="128D66B5" w:rsidR="00E93942" w:rsidRPr="00F459BD" w:rsidRDefault="00E93942" w:rsidP="00F87BCC">
            <w:pPr>
              <w:pStyle w:val="TableBodyText"/>
              <w:keepNext w:val="0"/>
              <w:keepLines w:val="0"/>
              <w:widowControl w:val="0"/>
              <w:spacing w:before="60" w:after="60"/>
              <w:jc w:val="left"/>
            </w:pPr>
            <w:r>
              <w:t xml:space="preserve">Emergency drug supplies provided without charge to prescribers for use in </w:t>
            </w:r>
            <w:r w:rsidRPr="00AF3FA5">
              <w:t>medical emergencies in the clinic or community</w:t>
            </w:r>
            <w:r>
              <w:t xml:space="preserve"> at no charge to the patient.</w:t>
            </w:r>
          </w:p>
        </w:tc>
      </w:tr>
      <w:tr w:rsidR="00E93942" w:rsidRPr="00E51597" w14:paraId="5AE42917" w14:textId="77777777" w:rsidTr="00F87BCC">
        <w:tc>
          <w:tcPr>
            <w:tcW w:w="2410" w:type="dxa"/>
            <w:shd w:val="clear" w:color="auto" w:fill="auto"/>
            <w:tcMar>
              <w:left w:w="0" w:type="dxa"/>
            </w:tcMar>
          </w:tcPr>
          <w:p w14:paraId="1B3F559A" w14:textId="77777777" w:rsidR="00E93942" w:rsidRPr="00F459BD" w:rsidRDefault="00E93942" w:rsidP="00F87BCC">
            <w:pPr>
              <w:pStyle w:val="TableBodyText"/>
              <w:keepNext w:val="0"/>
              <w:keepLines w:val="0"/>
              <w:widowControl w:val="0"/>
              <w:spacing w:before="60" w:after="60"/>
              <w:ind w:left="0"/>
              <w:jc w:val="left"/>
            </w:pPr>
            <w:r w:rsidRPr="00F459BD">
              <w:t xml:space="preserve">Per person benefits paid for GP ordered pathology </w:t>
            </w:r>
          </w:p>
        </w:tc>
        <w:tc>
          <w:tcPr>
            <w:tcW w:w="6379" w:type="dxa"/>
            <w:shd w:val="clear" w:color="auto" w:fill="auto"/>
          </w:tcPr>
          <w:p w14:paraId="67C3BADA" w14:textId="77B9B840" w:rsidR="00E93942" w:rsidRPr="00F459BD" w:rsidRDefault="00E93942" w:rsidP="00F87BCC">
            <w:pPr>
              <w:pStyle w:val="TableBodyText"/>
              <w:keepNext w:val="0"/>
              <w:keepLines w:val="0"/>
              <w:widowControl w:val="0"/>
              <w:spacing w:before="60" w:after="60"/>
              <w:ind w:left="0"/>
              <w:jc w:val="left"/>
            </w:pPr>
            <w:r w:rsidRPr="00F459BD">
              <w:t xml:space="preserve">Total benefits paid </w:t>
            </w:r>
            <w:r>
              <w:t xml:space="preserve">under </w:t>
            </w:r>
            <w:r w:rsidR="00CF506F">
              <w:t xml:space="preserve">Services Australia </w:t>
            </w:r>
            <w:r w:rsidRPr="002D7882">
              <w:t xml:space="preserve">Medicare </w:t>
            </w:r>
            <w:r w:rsidRPr="00F459BD">
              <w:t xml:space="preserve">for pathology tests </w:t>
            </w:r>
            <w:r>
              <w:t>requested</w:t>
            </w:r>
            <w:r w:rsidRPr="00F459BD">
              <w:t xml:space="preserve"> by GPs, divided by the population.</w:t>
            </w:r>
          </w:p>
        </w:tc>
      </w:tr>
      <w:tr w:rsidR="00E93942" w:rsidRPr="00E51597" w14:paraId="51E337CB" w14:textId="77777777" w:rsidTr="00F87BCC">
        <w:tc>
          <w:tcPr>
            <w:tcW w:w="2410" w:type="dxa"/>
            <w:shd w:val="clear" w:color="auto" w:fill="auto"/>
            <w:tcMar>
              <w:left w:w="0" w:type="dxa"/>
            </w:tcMar>
          </w:tcPr>
          <w:p w14:paraId="7E0946C5" w14:textId="77777777" w:rsidR="00E93942" w:rsidRPr="00F459BD" w:rsidRDefault="00E93942" w:rsidP="00F87BCC">
            <w:pPr>
              <w:pStyle w:val="TableBodyText"/>
              <w:keepNext w:val="0"/>
              <w:keepLines w:val="0"/>
              <w:widowControl w:val="0"/>
              <w:spacing w:before="60" w:after="60"/>
              <w:ind w:left="0"/>
              <w:jc w:val="left"/>
            </w:pPr>
            <w:r w:rsidRPr="00F459BD">
              <w:t>Per person benefits paid for GP referred diagnostic imaging</w:t>
            </w:r>
          </w:p>
        </w:tc>
        <w:tc>
          <w:tcPr>
            <w:tcW w:w="6379" w:type="dxa"/>
            <w:shd w:val="clear" w:color="auto" w:fill="auto"/>
          </w:tcPr>
          <w:p w14:paraId="44ECF797" w14:textId="77777777" w:rsidR="00E93942" w:rsidRPr="00F459BD" w:rsidRDefault="00E93942" w:rsidP="00F87BCC">
            <w:pPr>
              <w:pStyle w:val="TableBodyText"/>
              <w:keepNext w:val="0"/>
              <w:keepLines w:val="0"/>
              <w:widowControl w:val="0"/>
              <w:spacing w:before="60" w:after="60"/>
              <w:ind w:left="0"/>
              <w:jc w:val="left"/>
            </w:pPr>
            <w:r w:rsidRPr="00F459BD">
              <w:t xml:space="preserve">Total benefits paid for diagnostic imaging </w:t>
            </w:r>
            <w:r>
              <w:t>services performed on ref</w:t>
            </w:r>
            <w:r w:rsidRPr="00F459BD">
              <w:t>err</w:t>
            </w:r>
            <w:r>
              <w:t>al</w:t>
            </w:r>
            <w:r w:rsidRPr="00F459BD">
              <w:t xml:space="preserve"> by GPs, divided by the population.</w:t>
            </w:r>
          </w:p>
        </w:tc>
      </w:tr>
      <w:tr w:rsidR="00E93942" w:rsidRPr="00E51597" w14:paraId="7A62EAF3" w14:textId="77777777" w:rsidTr="00F87BCC">
        <w:tc>
          <w:tcPr>
            <w:tcW w:w="2410" w:type="dxa"/>
            <w:shd w:val="clear" w:color="auto" w:fill="auto"/>
            <w:tcMar>
              <w:left w:w="0" w:type="dxa"/>
            </w:tcMar>
          </w:tcPr>
          <w:p w14:paraId="14E03BB8" w14:textId="77777777" w:rsidR="00E93942" w:rsidRPr="00F459BD" w:rsidRDefault="00E93942" w:rsidP="00F87BCC">
            <w:pPr>
              <w:pStyle w:val="TableBodyText"/>
              <w:keepNext w:val="0"/>
              <w:keepLines w:val="0"/>
              <w:widowControl w:val="0"/>
              <w:spacing w:before="60" w:after="60"/>
              <w:ind w:left="0"/>
              <w:jc w:val="left"/>
            </w:pPr>
            <w:r w:rsidRPr="00F459BD">
              <w:t>Primary healthcare</w:t>
            </w:r>
          </w:p>
        </w:tc>
        <w:tc>
          <w:tcPr>
            <w:tcW w:w="6379" w:type="dxa"/>
            <w:shd w:val="clear" w:color="auto" w:fill="auto"/>
          </w:tcPr>
          <w:p w14:paraId="795FB491" w14:textId="77777777" w:rsidR="00E93942" w:rsidRPr="00F459BD" w:rsidRDefault="00E93942" w:rsidP="00F87BCC">
            <w:pPr>
              <w:pStyle w:val="TableBodyText"/>
              <w:keepNext w:val="0"/>
              <w:keepLines w:val="0"/>
              <w:widowControl w:val="0"/>
              <w:spacing w:before="60" w:after="60"/>
              <w:ind w:left="0"/>
              <w:jc w:val="left"/>
            </w:pPr>
            <w:r w:rsidRPr="00F459BD">
              <w:t>The primary and community healthcare sector includes services that:</w:t>
            </w:r>
          </w:p>
          <w:p w14:paraId="679F1DC1" w14:textId="77777777" w:rsidR="00E93942" w:rsidRPr="00F459BD" w:rsidRDefault="00E93942" w:rsidP="00F87BCC">
            <w:pPr>
              <w:pStyle w:val="TableBullet0"/>
              <w:keepNext w:val="0"/>
              <w:keepLines w:val="0"/>
              <w:widowControl w:val="0"/>
            </w:pPr>
            <w:r w:rsidRPr="00F459BD">
              <w:t>provide the first point of contact with the health system</w:t>
            </w:r>
          </w:p>
          <w:p w14:paraId="5E455159" w14:textId="77777777" w:rsidR="00E93942" w:rsidRPr="00F459BD" w:rsidRDefault="00E93942" w:rsidP="00F87BCC">
            <w:pPr>
              <w:pStyle w:val="TableBullet0"/>
              <w:keepNext w:val="0"/>
              <w:keepLines w:val="0"/>
              <w:widowControl w:val="0"/>
            </w:pPr>
            <w:r w:rsidRPr="00F459BD">
              <w:t xml:space="preserve">have a </w:t>
            </w:r>
            <w:proofErr w:type="gramStart"/>
            <w:r w:rsidRPr="00F459BD">
              <w:t>particular focus</w:t>
            </w:r>
            <w:proofErr w:type="gramEnd"/>
            <w:r w:rsidRPr="00F459BD">
              <w:t xml:space="preserve"> on illness prevention or early intervention</w:t>
            </w:r>
          </w:p>
          <w:p w14:paraId="244EB42D" w14:textId="77777777" w:rsidR="00E93942" w:rsidRPr="00F459BD" w:rsidRDefault="00E93942" w:rsidP="00F87BCC">
            <w:pPr>
              <w:pStyle w:val="TableBullet0"/>
              <w:keepNext w:val="0"/>
              <w:keepLines w:val="0"/>
              <w:widowControl w:val="0"/>
            </w:pPr>
            <w:r w:rsidRPr="00F459BD">
              <w:t>are intended to maintain people’s independence and maximise their quality of life through care and support at home or in local community settings.</w:t>
            </w:r>
          </w:p>
        </w:tc>
      </w:tr>
      <w:tr w:rsidR="00E93942" w:rsidRPr="00E51597" w14:paraId="342199E7" w14:textId="77777777" w:rsidTr="00F87BCC">
        <w:trPr>
          <w:trHeight w:val="282"/>
        </w:trPr>
        <w:tc>
          <w:tcPr>
            <w:tcW w:w="2410" w:type="dxa"/>
            <w:shd w:val="clear" w:color="auto" w:fill="auto"/>
            <w:tcMar>
              <w:left w:w="0" w:type="dxa"/>
            </w:tcMar>
          </w:tcPr>
          <w:p w14:paraId="3FDC6CDB" w14:textId="77777777" w:rsidR="00E93942" w:rsidRPr="00F459BD" w:rsidRDefault="00E93942" w:rsidP="00F87BCC">
            <w:pPr>
              <w:pStyle w:val="TableBodyText"/>
              <w:keepNext w:val="0"/>
              <w:keepLines w:val="0"/>
              <w:widowControl w:val="0"/>
              <w:spacing w:before="60" w:after="60"/>
              <w:ind w:left="0"/>
              <w:jc w:val="left"/>
            </w:pPr>
            <w:r>
              <w:t>Primary Health Networks</w:t>
            </w:r>
          </w:p>
        </w:tc>
        <w:tc>
          <w:tcPr>
            <w:tcW w:w="6379" w:type="dxa"/>
            <w:shd w:val="clear" w:color="auto" w:fill="auto"/>
          </w:tcPr>
          <w:p w14:paraId="0648DBB6" w14:textId="77777777" w:rsidR="00E93942" w:rsidRPr="00F459BD" w:rsidRDefault="00E93942" w:rsidP="00F87BCC">
            <w:pPr>
              <w:pStyle w:val="TableBodyText"/>
              <w:keepNext w:val="0"/>
              <w:keepLines w:val="0"/>
              <w:widowControl w:val="0"/>
              <w:spacing w:before="60" w:after="60"/>
              <w:ind w:left="0"/>
              <w:jc w:val="left"/>
            </w:pPr>
            <w:r w:rsidRPr="002D68B6">
              <w:t xml:space="preserve">Primary Health Networks </w:t>
            </w:r>
            <w:r>
              <w:t xml:space="preserve">(PHNs) are a national network of </w:t>
            </w:r>
            <w:r w:rsidRPr="00A73D31">
              <w:t>independent</w:t>
            </w:r>
            <w:r>
              <w:t xml:space="preserve"> </w:t>
            </w:r>
            <w:r w:rsidRPr="00F97661">
              <w:t>primary health care organisations</w:t>
            </w:r>
            <w:r>
              <w:t xml:space="preserve"> (replacing Medicare Locals from 1 July 2015) designed </w:t>
            </w:r>
            <w:r w:rsidRPr="00AE3D4B">
              <w:t>to improve the efficiency and effectiveness of medical services for patients at risk of poor health outcomes and improve</w:t>
            </w:r>
            <w:r>
              <w:t xml:space="preserve"> care</w:t>
            </w:r>
            <w:r w:rsidRPr="00AE3D4B">
              <w:t xml:space="preserve"> coordination, particularly for those with chronic and complex conditions</w:t>
            </w:r>
            <w:r>
              <w:t>.</w:t>
            </w:r>
          </w:p>
        </w:tc>
      </w:tr>
      <w:tr w:rsidR="00E93942" w:rsidRPr="00E51597" w14:paraId="3CB00569" w14:textId="77777777" w:rsidTr="00F87BCC">
        <w:trPr>
          <w:trHeight w:val="282"/>
        </w:trPr>
        <w:tc>
          <w:tcPr>
            <w:tcW w:w="2410" w:type="dxa"/>
            <w:shd w:val="clear" w:color="auto" w:fill="auto"/>
            <w:tcMar>
              <w:left w:w="0" w:type="dxa"/>
            </w:tcMar>
          </w:tcPr>
          <w:p w14:paraId="081A0305" w14:textId="77777777" w:rsidR="00E93942" w:rsidRPr="00F459BD" w:rsidRDefault="00E93942" w:rsidP="00F87BCC">
            <w:pPr>
              <w:pStyle w:val="TableBodyText"/>
              <w:keepNext w:val="0"/>
              <w:keepLines w:val="0"/>
              <w:widowControl w:val="0"/>
              <w:spacing w:before="60" w:after="60"/>
              <w:ind w:left="0"/>
              <w:jc w:val="left"/>
            </w:pPr>
            <w:r w:rsidRPr="00F459BD">
              <w:t>Prevalence</w:t>
            </w:r>
          </w:p>
        </w:tc>
        <w:tc>
          <w:tcPr>
            <w:tcW w:w="6379" w:type="dxa"/>
            <w:shd w:val="clear" w:color="auto" w:fill="auto"/>
          </w:tcPr>
          <w:p w14:paraId="68F290F5" w14:textId="77777777" w:rsidR="00E93942" w:rsidRPr="00F459BD" w:rsidRDefault="00E93942" w:rsidP="00F87BCC">
            <w:pPr>
              <w:pStyle w:val="TableBodyText"/>
              <w:keepNext w:val="0"/>
              <w:keepLines w:val="0"/>
              <w:widowControl w:val="0"/>
              <w:spacing w:before="60" w:after="60"/>
              <w:ind w:left="0"/>
              <w:jc w:val="left"/>
            </w:pPr>
            <w:r w:rsidRPr="00F459BD">
              <w:t>The proportion of the population suffering from a disorder at a given point in time (point prevalence) or given period (period prevalence).</w:t>
            </w:r>
          </w:p>
        </w:tc>
      </w:tr>
      <w:tr w:rsidR="00E93942" w:rsidRPr="00E51597" w14:paraId="28C642C5" w14:textId="77777777" w:rsidTr="00F87BCC">
        <w:tc>
          <w:tcPr>
            <w:tcW w:w="2410" w:type="dxa"/>
            <w:shd w:val="clear" w:color="auto" w:fill="auto"/>
            <w:tcMar>
              <w:left w:w="0" w:type="dxa"/>
            </w:tcMar>
          </w:tcPr>
          <w:p w14:paraId="47CC5108" w14:textId="77777777" w:rsidR="00E93942" w:rsidRPr="00F459BD" w:rsidRDefault="00E93942" w:rsidP="00F87BCC">
            <w:pPr>
              <w:pStyle w:val="TableBodyText"/>
              <w:keepNext w:val="0"/>
              <w:keepLines w:val="0"/>
              <w:widowControl w:val="0"/>
              <w:spacing w:before="60" w:after="60"/>
              <w:ind w:left="0"/>
              <w:jc w:val="left"/>
            </w:pPr>
            <w:r w:rsidRPr="00F459BD">
              <w:t>Public health</w:t>
            </w:r>
          </w:p>
        </w:tc>
        <w:tc>
          <w:tcPr>
            <w:tcW w:w="6379" w:type="dxa"/>
            <w:shd w:val="clear" w:color="auto" w:fill="auto"/>
          </w:tcPr>
          <w:p w14:paraId="044D691D" w14:textId="77777777" w:rsidR="00E93942" w:rsidRPr="00F459BD" w:rsidRDefault="00E93942" w:rsidP="00F87BCC">
            <w:pPr>
              <w:pStyle w:val="TableBodyText"/>
              <w:keepNext w:val="0"/>
              <w:keepLines w:val="0"/>
              <w:widowControl w:val="0"/>
              <w:spacing w:before="60" w:after="60"/>
              <w:ind w:left="0"/>
              <w:jc w:val="left"/>
            </w:pPr>
            <w:r w:rsidRPr="00F459BD">
              <w:t xml:space="preserve">The organised, social response to protect and promote health and to prevent illness, injury and disability. The starting point for identifying public health issues, problems and priorities, and for designing and implementing interventions, is the population as a whole or population subgroups. Public health is characterised by a focus on the health of the population (and </w:t>
            </w:r>
            <w:proofErr w:type="gramStart"/>
            <w:r w:rsidRPr="00F459BD">
              <w:t>particular at</w:t>
            </w:r>
            <w:proofErr w:type="gramEnd"/>
            <w:r>
              <w:noBreakHyphen/>
            </w:r>
            <w:r w:rsidRPr="00F459BD">
              <w:t>risk groups) and complements clinical provision of healthcare services.</w:t>
            </w:r>
          </w:p>
        </w:tc>
      </w:tr>
      <w:tr w:rsidR="00E93942" w:rsidRPr="00E51597" w14:paraId="0F75C8B8" w14:textId="77777777" w:rsidTr="00F87BCC">
        <w:tc>
          <w:tcPr>
            <w:tcW w:w="2410" w:type="dxa"/>
            <w:shd w:val="clear" w:color="auto" w:fill="auto"/>
            <w:tcMar>
              <w:left w:w="0" w:type="dxa"/>
            </w:tcMar>
          </w:tcPr>
          <w:p w14:paraId="58FC531C" w14:textId="77777777" w:rsidR="00E93942" w:rsidRPr="00F459BD" w:rsidRDefault="00E93942" w:rsidP="00F87BCC">
            <w:pPr>
              <w:pStyle w:val="TableBodyText"/>
              <w:keepNext w:val="0"/>
              <w:keepLines w:val="0"/>
              <w:widowControl w:val="0"/>
              <w:spacing w:before="60" w:after="60"/>
              <w:ind w:left="0"/>
              <w:jc w:val="left"/>
            </w:pPr>
            <w:r w:rsidRPr="00F459BD">
              <w:t>Recognised immunisation provider</w:t>
            </w:r>
          </w:p>
        </w:tc>
        <w:tc>
          <w:tcPr>
            <w:tcW w:w="6379" w:type="dxa"/>
            <w:shd w:val="clear" w:color="auto" w:fill="auto"/>
          </w:tcPr>
          <w:p w14:paraId="630D4751" w14:textId="43BFC044" w:rsidR="00E93942" w:rsidRPr="00F459BD" w:rsidRDefault="00F61587" w:rsidP="00F87BCC">
            <w:pPr>
              <w:pStyle w:val="TableBodyText"/>
              <w:keepNext w:val="0"/>
              <w:keepLines w:val="0"/>
              <w:widowControl w:val="0"/>
              <w:spacing w:before="60" w:after="60"/>
              <w:ind w:left="0"/>
              <w:jc w:val="left"/>
            </w:pPr>
            <w:r w:rsidRPr="00F61587">
              <w:t xml:space="preserve">A general practitioner or an individual, or body, endorsed </w:t>
            </w:r>
            <w:r w:rsidR="00B87886">
              <w:t>by the Commonwealth, a</w:t>
            </w:r>
            <w:r w:rsidRPr="00F61587">
              <w:t xml:space="preserve"> </w:t>
            </w:r>
            <w:r w:rsidR="00B87886">
              <w:t>S</w:t>
            </w:r>
            <w:r w:rsidRPr="00F61587">
              <w:t xml:space="preserve">tate or </w:t>
            </w:r>
            <w:r w:rsidR="00B87886">
              <w:t>T</w:t>
            </w:r>
            <w:r w:rsidRPr="00F61587">
              <w:t>erritory to administer vaccines in Australia</w:t>
            </w:r>
            <w:r w:rsidR="00E93942" w:rsidRPr="00F459BD">
              <w:t>.</w:t>
            </w:r>
          </w:p>
        </w:tc>
      </w:tr>
      <w:tr w:rsidR="00E93942" w:rsidRPr="00E51597" w14:paraId="7BC52624" w14:textId="77777777" w:rsidTr="00F87BCC">
        <w:tc>
          <w:tcPr>
            <w:tcW w:w="2410" w:type="dxa"/>
            <w:shd w:val="clear" w:color="auto" w:fill="auto"/>
            <w:tcMar>
              <w:left w:w="0" w:type="dxa"/>
            </w:tcMar>
          </w:tcPr>
          <w:p w14:paraId="34A1E99A" w14:textId="77777777" w:rsidR="00E93942" w:rsidRPr="00F459BD" w:rsidRDefault="00E93942" w:rsidP="00F87BCC">
            <w:pPr>
              <w:pStyle w:val="TableBodyText"/>
              <w:keepNext w:val="0"/>
              <w:keepLines w:val="0"/>
              <w:widowControl w:val="0"/>
              <w:spacing w:before="60" w:after="60"/>
              <w:ind w:left="0"/>
              <w:jc w:val="left"/>
            </w:pPr>
            <w:r w:rsidRPr="00F459BD">
              <w:t>Recognised specialist</w:t>
            </w:r>
          </w:p>
        </w:tc>
        <w:tc>
          <w:tcPr>
            <w:tcW w:w="6379" w:type="dxa"/>
            <w:shd w:val="clear" w:color="auto" w:fill="auto"/>
          </w:tcPr>
          <w:p w14:paraId="428B799C" w14:textId="012E7D15" w:rsidR="00E93942" w:rsidRPr="006764BC" w:rsidRDefault="00E93942" w:rsidP="00F87BCC">
            <w:pPr>
              <w:pStyle w:val="TableBodyText"/>
              <w:keepNext w:val="0"/>
              <w:keepLines w:val="0"/>
              <w:widowControl w:val="0"/>
              <w:spacing w:before="60" w:after="60"/>
              <w:ind w:left="0"/>
              <w:jc w:val="left"/>
              <w:rPr>
                <w:highlight w:val="yellow"/>
              </w:rPr>
            </w:pPr>
            <w:r w:rsidRPr="00931CC9">
              <w:t xml:space="preserve">A medical practitioner classified as a specialist by the Medical Board of Australia and on the </w:t>
            </w:r>
            <w:proofErr w:type="gramStart"/>
            <w:r w:rsidR="008778FB">
              <w:t xml:space="preserve">Services Australia </w:t>
            </w:r>
            <w:r w:rsidRPr="00931CC9">
              <w:t>Medicare</w:t>
            </w:r>
            <w:proofErr w:type="gramEnd"/>
            <w:r w:rsidRPr="00931CC9">
              <w:t xml:space="preserve"> database earning at least half of his or her income from relevant specialist items in the schedule, having regard to the practitioner’s field of specialist recognition.</w:t>
            </w:r>
          </w:p>
        </w:tc>
      </w:tr>
      <w:tr w:rsidR="00E93942" w:rsidRPr="00E51597" w14:paraId="7EDE37AE" w14:textId="77777777" w:rsidTr="00F87BCC">
        <w:trPr>
          <w:trHeight w:val="266"/>
        </w:trPr>
        <w:tc>
          <w:tcPr>
            <w:tcW w:w="2410" w:type="dxa"/>
            <w:shd w:val="clear" w:color="auto" w:fill="auto"/>
            <w:tcMar>
              <w:left w:w="0" w:type="dxa"/>
            </w:tcMar>
          </w:tcPr>
          <w:p w14:paraId="5555366D" w14:textId="77777777" w:rsidR="00E93942" w:rsidRPr="00F459BD" w:rsidRDefault="00E93942" w:rsidP="00F87BCC">
            <w:pPr>
              <w:pStyle w:val="TableBodyText"/>
              <w:keepNext w:val="0"/>
              <w:keepLines w:val="0"/>
              <w:widowControl w:val="0"/>
              <w:spacing w:before="60" w:after="60"/>
              <w:ind w:left="0"/>
              <w:jc w:val="left"/>
            </w:pPr>
            <w:r w:rsidRPr="00F459BD">
              <w:t>Screening</w:t>
            </w:r>
          </w:p>
        </w:tc>
        <w:tc>
          <w:tcPr>
            <w:tcW w:w="6379" w:type="dxa"/>
            <w:shd w:val="clear" w:color="auto" w:fill="auto"/>
          </w:tcPr>
          <w:p w14:paraId="4115DD79" w14:textId="77777777" w:rsidR="00E93942" w:rsidRPr="00F459BD" w:rsidRDefault="00E93942" w:rsidP="00F87BCC">
            <w:pPr>
              <w:pStyle w:val="TableBodyText"/>
              <w:keepNext w:val="0"/>
              <w:keepLines w:val="0"/>
              <w:widowControl w:val="0"/>
              <w:spacing w:before="60" w:after="60"/>
              <w:ind w:left="0"/>
              <w:jc w:val="left"/>
            </w:pPr>
            <w:r w:rsidRPr="00F459BD">
              <w:t>The performance of tests on apparently well people to detect a medical condition earlier than would otherwise be possible.</w:t>
            </w:r>
          </w:p>
        </w:tc>
      </w:tr>
      <w:tr w:rsidR="009A2063" w:rsidRPr="00E51597" w14:paraId="2715660C" w14:textId="77777777" w:rsidTr="00F87BCC">
        <w:trPr>
          <w:trHeight w:val="266"/>
        </w:trPr>
        <w:tc>
          <w:tcPr>
            <w:tcW w:w="2410" w:type="dxa"/>
            <w:shd w:val="clear" w:color="auto" w:fill="auto"/>
            <w:tcMar>
              <w:left w:w="0" w:type="dxa"/>
            </w:tcMar>
          </w:tcPr>
          <w:p w14:paraId="1DB67ED4" w14:textId="5D52BC5E" w:rsidR="009A2063" w:rsidRPr="00F459BD" w:rsidRDefault="009A2063" w:rsidP="009A2063">
            <w:pPr>
              <w:pStyle w:val="TableBodyText"/>
              <w:keepNext w:val="0"/>
              <w:keepLines w:val="0"/>
              <w:widowControl w:val="0"/>
              <w:spacing w:before="60" w:after="60"/>
              <w:ind w:left="0"/>
              <w:jc w:val="left"/>
            </w:pPr>
            <w:r w:rsidRPr="009A2063">
              <w:t>Socio-Economic Indexes for Areas (SEIFA)</w:t>
            </w:r>
          </w:p>
        </w:tc>
        <w:tc>
          <w:tcPr>
            <w:tcW w:w="6379" w:type="dxa"/>
            <w:shd w:val="clear" w:color="auto" w:fill="auto"/>
          </w:tcPr>
          <w:p w14:paraId="7D2C49BA" w14:textId="4A113E3C" w:rsidR="009A2063" w:rsidRPr="00F459BD" w:rsidRDefault="009A2063" w:rsidP="009A2063">
            <w:pPr>
              <w:pStyle w:val="TableBodyText"/>
              <w:keepNext w:val="0"/>
              <w:keepLines w:val="0"/>
              <w:widowControl w:val="0"/>
              <w:spacing w:before="60" w:after="60"/>
              <w:ind w:left="0"/>
              <w:jc w:val="left"/>
            </w:pPr>
            <w:r w:rsidRPr="009A2063">
              <w:t xml:space="preserve">Socio-Economic Indexes for Areas (SEIFA) quintiles are based on the ABS Index of Relative Socio-Economic Disadvantage (IRSD), with quintile 1 being the most disadvantaged and quintile 5 being the least disadvantaged. Each SEIFA quintile represents approximately 20 per cent of the national </w:t>
            </w:r>
            <w:proofErr w:type="gramStart"/>
            <w:r w:rsidRPr="009A2063">
              <w:t>population, but</w:t>
            </w:r>
            <w:proofErr w:type="gramEnd"/>
            <w:r w:rsidRPr="009A2063">
              <w:t xml:space="preserve"> does not necessarily represent 20 per cent of the population in each state or territory.</w:t>
            </w:r>
          </w:p>
        </w:tc>
      </w:tr>
      <w:tr w:rsidR="00E93942" w:rsidRPr="00F459BD" w14:paraId="44EDD132" w14:textId="77777777" w:rsidTr="00F87BCC">
        <w:tc>
          <w:tcPr>
            <w:tcW w:w="2410" w:type="dxa"/>
            <w:shd w:val="clear" w:color="auto" w:fill="auto"/>
            <w:tcMar>
              <w:left w:w="0" w:type="dxa"/>
            </w:tcMar>
          </w:tcPr>
          <w:p w14:paraId="2E0B0E6A" w14:textId="77777777" w:rsidR="00E93942" w:rsidRPr="00F459BD" w:rsidRDefault="00E93942" w:rsidP="00F87BCC">
            <w:pPr>
              <w:pStyle w:val="TableBodyText"/>
              <w:keepNext w:val="0"/>
              <w:keepLines w:val="0"/>
              <w:widowControl w:val="0"/>
              <w:jc w:val="left"/>
            </w:pPr>
            <w:r w:rsidRPr="00F459BD">
              <w:t>Triage category</w:t>
            </w:r>
          </w:p>
        </w:tc>
        <w:tc>
          <w:tcPr>
            <w:tcW w:w="6379" w:type="dxa"/>
            <w:shd w:val="clear" w:color="auto" w:fill="auto"/>
          </w:tcPr>
          <w:p w14:paraId="7934CA40" w14:textId="77777777" w:rsidR="00E93942" w:rsidRPr="00F459BD" w:rsidRDefault="00E93942" w:rsidP="00F87BCC">
            <w:pPr>
              <w:pStyle w:val="TableBodyText"/>
              <w:keepNext w:val="0"/>
              <w:keepLines w:val="0"/>
              <w:widowControl w:val="0"/>
              <w:jc w:val="left"/>
            </w:pPr>
            <w:r w:rsidRPr="00F459BD">
              <w:t xml:space="preserve">The urgency of the patient’s </w:t>
            </w:r>
            <w:proofErr w:type="gramStart"/>
            <w:r w:rsidRPr="00F459BD">
              <w:t>need</w:t>
            </w:r>
            <w:proofErr w:type="gramEnd"/>
            <w:r w:rsidRPr="00F459BD">
              <w:t xml:space="preserve"> for medical and nursing care:</w:t>
            </w:r>
          </w:p>
          <w:p w14:paraId="793FFFF8" w14:textId="77777777" w:rsidR="00E93942" w:rsidRPr="00F459BD" w:rsidRDefault="00E93942" w:rsidP="00F87BCC">
            <w:pPr>
              <w:pStyle w:val="TableBullet0"/>
              <w:keepNext w:val="0"/>
              <w:keepLines w:val="0"/>
              <w:widowControl w:val="0"/>
            </w:pPr>
            <w:r w:rsidRPr="00F459BD">
              <w:t>category 1 — resuscitation (immediate within seconds)</w:t>
            </w:r>
          </w:p>
          <w:p w14:paraId="274BBDB6" w14:textId="77777777" w:rsidR="00E93942" w:rsidRPr="00F459BD" w:rsidRDefault="00E93942" w:rsidP="00F87BCC">
            <w:pPr>
              <w:pStyle w:val="TableBullet0"/>
              <w:keepNext w:val="0"/>
              <w:keepLines w:val="0"/>
              <w:widowControl w:val="0"/>
            </w:pPr>
            <w:r w:rsidRPr="00F459BD">
              <w:t>category 2 — emergency (within 10 minutes)</w:t>
            </w:r>
          </w:p>
          <w:p w14:paraId="1FB9C942" w14:textId="77777777" w:rsidR="00E93942" w:rsidRPr="00F459BD" w:rsidRDefault="00E93942" w:rsidP="00F87BCC">
            <w:pPr>
              <w:pStyle w:val="TableBullet0"/>
              <w:keepNext w:val="0"/>
              <w:keepLines w:val="0"/>
              <w:widowControl w:val="0"/>
            </w:pPr>
            <w:r w:rsidRPr="00F459BD">
              <w:t>category 3 — urgent (within 30 minutes)</w:t>
            </w:r>
          </w:p>
          <w:p w14:paraId="356AB029" w14:textId="77777777" w:rsidR="00E93942" w:rsidRPr="00F459BD" w:rsidRDefault="00E93942" w:rsidP="00F87BCC">
            <w:pPr>
              <w:pStyle w:val="TableBullet0"/>
              <w:keepNext w:val="0"/>
              <w:keepLines w:val="0"/>
              <w:widowControl w:val="0"/>
            </w:pPr>
            <w:r w:rsidRPr="00F459BD">
              <w:t>category 4 — semi</w:t>
            </w:r>
            <w:r>
              <w:noBreakHyphen/>
            </w:r>
            <w:r w:rsidRPr="00F459BD">
              <w:t>urgent (within 60 minutes)</w:t>
            </w:r>
          </w:p>
          <w:p w14:paraId="58F4DDCC" w14:textId="77777777" w:rsidR="00E93942" w:rsidRPr="00F459BD" w:rsidRDefault="00E93942" w:rsidP="00F87BCC">
            <w:pPr>
              <w:pStyle w:val="TableBullet0"/>
              <w:keepNext w:val="0"/>
              <w:keepLines w:val="0"/>
              <w:widowControl w:val="0"/>
            </w:pPr>
            <w:r w:rsidRPr="00F459BD">
              <w:t>category 5 — non</w:t>
            </w:r>
            <w:r>
              <w:noBreakHyphen/>
            </w:r>
            <w:r w:rsidRPr="00F459BD">
              <w:t>urgent (within 120 minutes).</w:t>
            </w:r>
          </w:p>
        </w:tc>
      </w:tr>
    </w:tbl>
    <w:p w14:paraId="727F4F31" w14:textId="77777777" w:rsidR="00E93942" w:rsidRDefault="00E93942" w:rsidP="00E93942">
      <w:pPr>
        <w:pStyle w:val="Heading2"/>
      </w:pPr>
      <w:bookmarkStart w:id="37" w:name="_Toc34311776"/>
      <w:r>
        <w:lastRenderedPageBreak/>
        <w:t>10.3 References</w:t>
      </w:r>
      <w:bookmarkEnd w:id="37"/>
    </w:p>
    <w:p w14:paraId="190DF773" w14:textId="77777777" w:rsidR="00E93942" w:rsidRPr="001E5797" w:rsidRDefault="00E93942" w:rsidP="00E93942">
      <w:pPr>
        <w:pStyle w:val="Reference"/>
      </w:pPr>
      <w:r w:rsidRPr="001E5797">
        <w:t xml:space="preserve">Department of Health </w:t>
      </w:r>
      <w:r>
        <w:t>2018</w:t>
      </w:r>
      <w:r w:rsidRPr="001E5797">
        <w:t xml:space="preserve">, </w:t>
      </w:r>
      <w:r>
        <w:t xml:space="preserve">Questions about vaccination. </w:t>
      </w:r>
      <w:r w:rsidRPr="00D842F0">
        <w:t>https://beta.health.gov.au/</w:t>
      </w:r>
      <w:r>
        <w:t xml:space="preserve"> </w:t>
      </w:r>
      <w:r w:rsidRPr="00D842F0">
        <w:t>resources/publications/questions-about-vaccination</w:t>
      </w:r>
      <w:r w:rsidRPr="001E5797">
        <w:t xml:space="preserve"> (accessed </w:t>
      </w:r>
      <w:r>
        <w:t>16 November 2018</w:t>
      </w:r>
      <w:r w:rsidRPr="001E5797">
        <w:t>).</w:t>
      </w:r>
    </w:p>
    <w:p w14:paraId="47DAB8F0" w14:textId="77777777" w:rsidR="00E93942" w:rsidRPr="00802936" w:rsidRDefault="00E93942" w:rsidP="00E93942">
      <w:pPr>
        <w:pStyle w:val="Reference"/>
      </w:pPr>
      <w:r>
        <w:t xml:space="preserve">—— </w:t>
      </w:r>
      <w:r w:rsidRPr="001E5797">
        <w:t>2013, Australian national notifiable diseases list and case definitions, www.</w:t>
      </w:r>
      <w:r w:rsidRPr="00802936">
        <w:t>health.gov.au/internet/main/publishing.nsf/Content/cda_surveil</w:t>
      </w:r>
      <w:r w:rsidRPr="00802936">
        <w:noBreakHyphen/>
        <w:t>nndss</w:t>
      </w:r>
      <w:r w:rsidRPr="00802936">
        <w:noBreakHyphen/>
        <w:t>dislist.htm (accessed 8 January 2014).</w:t>
      </w:r>
    </w:p>
    <w:sectPr w:rsidR="00E93942" w:rsidRPr="00802936" w:rsidSect="00154BCD">
      <w:headerReference w:type="even" r:id="rId8"/>
      <w:headerReference w:type="default" r:id="rId9"/>
      <w:footerReference w:type="even" r:id="rId10"/>
      <w:footerReference w:type="default" r:id="rId11"/>
      <w:pgSz w:w="11907" w:h="16840" w:code="9"/>
      <w:pgMar w:top="1985" w:right="1304" w:bottom="1247" w:left="1814" w:header="1701" w:footer="397" w:gutter="0"/>
      <w:pgNumType w:chapStyle="1" w:chapSep="period"/>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31028F" w14:textId="77777777" w:rsidR="004D58B5" w:rsidRDefault="004D58B5">
      <w:r>
        <w:separator/>
      </w:r>
    </w:p>
  </w:endnote>
  <w:endnote w:type="continuationSeparator" w:id="0">
    <w:p w14:paraId="0E6E72F8" w14:textId="77777777" w:rsidR="004D58B5" w:rsidRDefault="004D5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931" w:type="dxa"/>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654"/>
    </w:tblGrid>
    <w:tr w:rsidR="004D58B5" w14:paraId="60D95500" w14:textId="77777777" w:rsidTr="00F87BCC">
      <w:trPr>
        <w:trHeight w:hRule="exact" w:val="567"/>
      </w:trPr>
      <w:tc>
        <w:tcPr>
          <w:tcW w:w="510" w:type="dxa"/>
        </w:tcPr>
        <w:p w14:paraId="63105DEE" w14:textId="77777777" w:rsidR="004D58B5" w:rsidRPr="00A24443" w:rsidRDefault="004D58B5" w:rsidP="00F87BCC">
          <w:pPr>
            <w:pStyle w:val="Footer"/>
            <w:tabs>
              <w:tab w:val="left" w:pos="0"/>
            </w:tabs>
            <w:ind w:right="0"/>
            <w:rPr>
              <w:rStyle w:val="PageNumber"/>
              <w:caps w:val="0"/>
            </w:rPr>
          </w:pPr>
          <w:r>
            <w:rPr>
              <w:rStyle w:val="PageNumber"/>
              <w:caps w:val="0"/>
            </w:rPr>
            <w:t>10.</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881F40">
            <w:rPr>
              <w:rStyle w:val="PageNumber"/>
              <w:caps w:val="0"/>
              <w:noProof/>
            </w:rPr>
            <w:t>4</w:t>
          </w:r>
          <w:r w:rsidRPr="00A24443">
            <w:rPr>
              <w:rStyle w:val="PageNumber"/>
              <w:caps w:val="0"/>
            </w:rPr>
            <w:fldChar w:fldCharType="end"/>
          </w:r>
        </w:p>
      </w:tc>
      <w:tc>
        <w:tcPr>
          <w:tcW w:w="7767" w:type="dxa"/>
        </w:tcPr>
        <w:p w14:paraId="05F04D87" w14:textId="3A295734" w:rsidR="004D58B5" w:rsidRPr="0013739A" w:rsidRDefault="004D58B5" w:rsidP="00F87BCC">
          <w:pPr>
            <w:pStyle w:val="Footer"/>
            <w:rPr>
              <w:rFonts w:cs="Arial"/>
            </w:rPr>
          </w:pPr>
          <w:r>
            <w:rPr>
              <w:rFonts w:cs="Arial"/>
            </w:rPr>
            <w:t>report on government services 202</w:t>
          </w:r>
          <w:bookmarkStart w:id="38" w:name="DraftReportEven"/>
          <w:bookmarkEnd w:id="38"/>
          <w:r>
            <w:rPr>
              <w:rFonts w:cs="Arial"/>
            </w:rPr>
            <w:t>1</w:t>
          </w:r>
        </w:p>
      </w:tc>
      <w:tc>
        <w:tcPr>
          <w:tcW w:w="654" w:type="dxa"/>
        </w:tcPr>
        <w:p w14:paraId="6EDAF441" w14:textId="77777777" w:rsidR="004D58B5" w:rsidRDefault="004D58B5" w:rsidP="00F87BCC">
          <w:pPr>
            <w:pStyle w:val="Footer"/>
          </w:pPr>
        </w:p>
      </w:tc>
    </w:tr>
  </w:tbl>
  <w:p w14:paraId="0C9ED6B7" w14:textId="77777777" w:rsidR="004D58B5" w:rsidRDefault="004D58B5" w:rsidP="00F87B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787" w:type="dxa"/>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4D58B5" w14:paraId="67400B51" w14:textId="77777777" w:rsidTr="00F87BCC">
      <w:trPr>
        <w:trHeight w:hRule="exact" w:val="567"/>
      </w:trPr>
      <w:tc>
        <w:tcPr>
          <w:tcW w:w="510" w:type="dxa"/>
        </w:tcPr>
        <w:p w14:paraId="4620DA02" w14:textId="77777777" w:rsidR="004D58B5" w:rsidRDefault="004D58B5" w:rsidP="00F87BCC">
          <w:pPr>
            <w:pStyle w:val="Footer"/>
            <w:ind w:right="360" w:firstLine="360"/>
          </w:pPr>
        </w:p>
      </w:tc>
      <w:tc>
        <w:tcPr>
          <w:tcW w:w="7767" w:type="dxa"/>
        </w:tcPr>
        <w:p w14:paraId="7558653A" w14:textId="4A3C033C" w:rsidR="004D58B5" w:rsidRPr="00BA5B14" w:rsidRDefault="004D58B5" w:rsidP="00F87BCC">
          <w:pPr>
            <w:pStyle w:val="Footer"/>
            <w:jc w:val="right"/>
            <w:rPr>
              <w:rFonts w:cs="Arial"/>
            </w:rPr>
          </w:pPr>
          <w:r>
            <w:rPr>
              <w:rFonts w:cs="Arial"/>
            </w:rPr>
            <w:t>PRIMARY AND COMMUNITY HEALTH INTERPRETATIVE MATERIAL</w:t>
          </w:r>
        </w:p>
      </w:tc>
      <w:tc>
        <w:tcPr>
          <w:tcW w:w="510" w:type="dxa"/>
        </w:tcPr>
        <w:p w14:paraId="5B304E7D" w14:textId="77777777" w:rsidR="004D58B5" w:rsidRPr="00A24443" w:rsidRDefault="004D58B5" w:rsidP="00F87BCC">
          <w:pPr>
            <w:pStyle w:val="Footer"/>
            <w:jc w:val="right"/>
            <w:rPr>
              <w:caps w:val="0"/>
            </w:rPr>
          </w:pPr>
          <w:r>
            <w:rPr>
              <w:rStyle w:val="PageNumber"/>
              <w:caps w:val="0"/>
            </w:rPr>
            <w:t>10.</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881F40">
            <w:rPr>
              <w:rStyle w:val="PageNumber"/>
              <w:caps w:val="0"/>
              <w:noProof/>
            </w:rPr>
            <w:t>3</w:t>
          </w:r>
          <w:r w:rsidRPr="00A24443">
            <w:rPr>
              <w:rStyle w:val="PageNumber"/>
              <w:caps w:val="0"/>
            </w:rPr>
            <w:fldChar w:fldCharType="end"/>
          </w:r>
        </w:p>
      </w:tc>
    </w:tr>
  </w:tbl>
  <w:p w14:paraId="1EFF1093" w14:textId="77777777" w:rsidR="004D58B5" w:rsidRDefault="004D58B5">
    <w:pPr>
      <w:pStyle w:val="FooterEnd"/>
    </w:pPr>
  </w:p>
  <w:p w14:paraId="3A2B8B54" w14:textId="77777777" w:rsidR="004D58B5" w:rsidRDefault="004D58B5">
    <w:pPr>
      <w:pStyle w:val="FooterEn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75BE9C" w14:textId="77777777" w:rsidR="004D58B5" w:rsidRDefault="004D58B5">
      <w:r>
        <w:separator/>
      </w:r>
    </w:p>
  </w:footnote>
  <w:footnote w:type="continuationSeparator" w:id="0">
    <w:p w14:paraId="1F4C88EC" w14:textId="77777777" w:rsidR="004D58B5" w:rsidRDefault="004D58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000" w:firstRow="0" w:lastRow="0" w:firstColumn="0" w:lastColumn="0" w:noHBand="0" w:noVBand="0"/>
    </w:tblPr>
    <w:tblGrid>
      <w:gridCol w:w="2155"/>
      <w:gridCol w:w="6634"/>
    </w:tblGrid>
    <w:tr w:rsidR="004D58B5" w14:paraId="080D7E60" w14:textId="77777777" w:rsidTr="00F87BCC">
      <w:tc>
        <w:tcPr>
          <w:tcW w:w="2155" w:type="dxa"/>
          <w:tcBorders>
            <w:top w:val="single" w:sz="24" w:space="0" w:color="auto"/>
          </w:tcBorders>
        </w:tcPr>
        <w:p w14:paraId="4DFE3415" w14:textId="77777777" w:rsidR="004D58B5" w:rsidRDefault="004D58B5" w:rsidP="00F87BCC">
          <w:pPr>
            <w:pStyle w:val="HeaderEven"/>
            <w:spacing w:line="240" w:lineRule="auto"/>
          </w:pPr>
        </w:p>
      </w:tc>
      <w:tc>
        <w:tcPr>
          <w:tcW w:w="6634" w:type="dxa"/>
          <w:tcBorders>
            <w:top w:val="single" w:sz="6" w:space="0" w:color="auto"/>
          </w:tcBorders>
        </w:tcPr>
        <w:p w14:paraId="2C20F96C" w14:textId="1DEFBA77" w:rsidR="004D58B5" w:rsidRDefault="004D58B5" w:rsidP="00F87BCC">
          <w:pPr>
            <w:pStyle w:val="Header"/>
            <w:jc w:val="right"/>
          </w:pPr>
        </w:p>
      </w:tc>
    </w:tr>
  </w:tbl>
  <w:p w14:paraId="08B5F010" w14:textId="77777777" w:rsidR="004D58B5" w:rsidRPr="00154BCD" w:rsidRDefault="004D58B5" w:rsidP="00F87BCC">
    <w:pPr>
      <w:pStyle w:val="HeaderEn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789" w:type="dxa"/>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4D58B5" w14:paraId="5FF2AC38" w14:textId="77777777" w:rsidTr="00F87BCC">
      <w:tc>
        <w:tcPr>
          <w:tcW w:w="6634" w:type="dxa"/>
          <w:tcBorders>
            <w:top w:val="single" w:sz="6" w:space="0" w:color="auto"/>
          </w:tcBorders>
        </w:tcPr>
        <w:p w14:paraId="63C9CAC8" w14:textId="09C49DED" w:rsidR="004D58B5" w:rsidRPr="00921570" w:rsidRDefault="004D58B5" w:rsidP="00F87BCC">
          <w:pPr>
            <w:pStyle w:val="Header"/>
            <w:rPr>
              <w:rFonts w:cs="Arial"/>
            </w:rPr>
          </w:pPr>
        </w:p>
      </w:tc>
      <w:tc>
        <w:tcPr>
          <w:tcW w:w="2155" w:type="dxa"/>
          <w:tcBorders>
            <w:top w:val="single" w:sz="24" w:space="0" w:color="auto"/>
          </w:tcBorders>
        </w:tcPr>
        <w:p w14:paraId="4F753EAF" w14:textId="77777777" w:rsidR="004D58B5" w:rsidRDefault="004D58B5" w:rsidP="00F87BCC">
          <w:pPr>
            <w:pStyle w:val="HeaderOdd"/>
          </w:pPr>
        </w:p>
      </w:tc>
    </w:tr>
  </w:tbl>
  <w:p w14:paraId="7BC5C8B7" w14:textId="77777777" w:rsidR="004D58B5" w:rsidRDefault="004D58B5" w:rsidP="00F87BCC">
    <w:pPr>
      <w:pStyle w:val="HeaderEnd"/>
    </w:pPr>
  </w:p>
  <w:p w14:paraId="6DB215A8" w14:textId="77777777" w:rsidR="004D58B5" w:rsidRDefault="004D58B5">
    <w:pPr>
      <w:pStyle w:val="HeaderEn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15:restartNumberingAfterBreak="0">
    <w:nsid w:val="05857165"/>
    <w:multiLevelType w:val="multilevel"/>
    <w:tmpl w:val="253832BA"/>
    <w:lvl w:ilvl="0">
      <w:start w:val="7"/>
      <w:numFmt w:val="decimal"/>
      <w:lvlText w:val="%1"/>
      <w:lvlJc w:val="left"/>
      <w:pPr>
        <w:ind w:left="456" w:hanging="45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6"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9"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1A560AAB"/>
    <w:multiLevelType w:val="multilevel"/>
    <w:tmpl w:val="E1C6E668"/>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2" w15:restartNumberingAfterBreak="0">
    <w:nsid w:val="24A91364"/>
    <w:multiLevelType w:val="hybridMultilevel"/>
    <w:tmpl w:val="D6ECD60E"/>
    <w:lvl w:ilvl="0" w:tplc="E9783366">
      <w:start w:val="1"/>
      <w:numFmt w:val="bullet"/>
      <w:pStyle w:val="Table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5"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7" w15:restartNumberingAfterBreak="0">
    <w:nsid w:val="543E1FD6"/>
    <w:multiLevelType w:val="singleLevel"/>
    <w:tmpl w:val="039AA380"/>
    <w:lvl w:ilvl="0">
      <w:start w:val="1"/>
      <w:numFmt w:val="bullet"/>
      <w:pStyle w:val="TableBullet0"/>
      <w:lvlText w:val=""/>
      <w:lvlJc w:val="left"/>
      <w:pPr>
        <w:tabs>
          <w:tab w:val="num" w:pos="170"/>
        </w:tabs>
        <w:ind w:left="170" w:hanging="170"/>
      </w:pPr>
      <w:rPr>
        <w:rFonts w:ascii="Symbol" w:hAnsi="Symbol" w:hint="default"/>
        <w:b w:val="0"/>
        <w:i w:val="0"/>
        <w:sz w:val="18"/>
      </w:rPr>
    </w:lvl>
  </w:abstractNum>
  <w:abstractNum w:abstractNumId="18"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9"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2" w15:restartNumberingAfterBreak="0">
    <w:nsid w:val="64782D6F"/>
    <w:multiLevelType w:val="multilevel"/>
    <w:tmpl w:val="80A48F50"/>
    <w:lvl w:ilvl="0">
      <w:start w:val="12"/>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4"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21"/>
  </w:num>
  <w:num w:numId="2">
    <w:abstractNumId w:val="3"/>
  </w:num>
  <w:num w:numId="3">
    <w:abstractNumId w:val="5"/>
  </w:num>
  <w:num w:numId="4">
    <w:abstractNumId w:val="8"/>
  </w:num>
  <w:num w:numId="5">
    <w:abstractNumId w:val="16"/>
  </w:num>
  <w:num w:numId="6">
    <w:abstractNumId w:val="14"/>
  </w:num>
  <w:num w:numId="7">
    <w:abstractNumId w:val="23"/>
  </w:num>
  <w:num w:numId="8">
    <w:abstractNumId w:val="24"/>
  </w:num>
  <w:num w:numId="9">
    <w:abstractNumId w:val="11"/>
  </w:num>
  <w:num w:numId="10">
    <w:abstractNumId w:val="17"/>
  </w:num>
  <w:num w:numId="11">
    <w:abstractNumId w:val="18"/>
  </w:num>
  <w:num w:numId="12">
    <w:abstractNumId w:val="2"/>
  </w:num>
  <w:num w:numId="13">
    <w:abstractNumId w:val="7"/>
  </w:num>
  <w:num w:numId="14">
    <w:abstractNumId w:val="6"/>
  </w:num>
  <w:num w:numId="15">
    <w:abstractNumId w:val="13"/>
  </w:num>
  <w:num w:numId="16">
    <w:abstractNumId w:val="15"/>
  </w:num>
  <w:num w:numId="17">
    <w:abstractNumId w:val="19"/>
  </w:num>
  <w:num w:numId="18">
    <w:abstractNumId w:val="20"/>
  </w:num>
  <w:num w:numId="19">
    <w:abstractNumId w:val="9"/>
  </w:num>
  <w:num w:numId="20">
    <w:abstractNumId w:val="12"/>
  </w:num>
  <w:num w:numId="21">
    <w:abstractNumId w:val="4"/>
  </w:num>
  <w:num w:numId="22">
    <w:abstractNumId w:val="0"/>
  </w:num>
  <w:num w:numId="23">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4">
    <w:abstractNumId w:val="22"/>
  </w:num>
  <w:num w:numId="25">
    <w:abstractNumId w:val="10"/>
  </w:num>
  <w:num w:numId="26">
    <w:abstractNumId w:val="14"/>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evenAndOddHeaders/>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942"/>
    <w:rsid w:val="000138DB"/>
    <w:rsid w:val="000208FE"/>
    <w:rsid w:val="00033979"/>
    <w:rsid w:val="0003454C"/>
    <w:rsid w:val="00040348"/>
    <w:rsid w:val="00042045"/>
    <w:rsid w:val="00044D35"/>
    <w:rsid w:val="00054780"/>
    <w:rsid w:val="0006118A"/>
    <w:rsid w:val="00074E1D"/>
    <w:rsid w:val="00085503"/>
    <w:rsid w:val="00091D81"/>
    <w:rsid w:val="000F4CDD"/>
    <w:rsid w:val="001361EE"/>
    <w:rsid w:val="00154BCD"/>
    <w:rsid w:val="00185849"/>
    <w:rsid w:val="00186CE1"/>
    <w:rsid w:val="001906DD"/>
    <w:rsid w:val="00192482"/>
    <w:rsid w:val="0019316B"/>
    <w:rsid w:val="001E613E"/>
    <w:rsid w:val="00232AF6"/>
    <w:rsid w:val="00247E08"/>
    <w:rsid w:val="00262A81"/>
    <w:rsid w:val="00295CA6"/>
    <w:rsid w:val="002D1F9D"/>
    <w:rsid w:val="002F2012"/>
    <w:rsid w:val="00327BDC"/>
    <w:rsid w:val="003850CD"/>
    <w:rsid w:val="003A3FB4"/>
    <w:rsid w:val="003C2321"/>
    <w:rsid w:val="003E0DC8"/>
    <w:rsid w:val="003F1D73"/>
    <w:rsid w:val="003F599B"/>
    <w:rsid w:val="00401017"/>
    <w:rsid w:val="00404B69"/>
    <w:rsid w:val="00411ED2"/>
    <w:rsid w:val="00416F2E"/>
    <w:rsid w:val="004455EC"/>
    <w:rsid w:val="00446758"/>
    <w:rsid w:val="00456318"/>
    <w:rsid w:val="004713C4"/>
    <w:rsid w:val="0048329D"/>
    <w:rsid w:val="004A272C"/>
    <w:rsid w:val="004B6608"/>
    <w:rsid w:val="004D58B5"/>
    <w:rsid w:val="00503EA3"/>
    <w:rsid w:val="00552073"/>
    <w:rsid w:val="00556C46"/>
    <w:rsid w:val="00562A35"/>
    <w:rsid w:val="005845CA"/>
    <w:rsid w:val="00587109"/>
    <w:rsid w:val="00595D3E"/>
    <w:rsid w:val="005B3D59"/>
    <w:rsid w:val="005B53C3"/>
    <w:rsid w:val="005E4D4C"/>
    <w:rsid w:val="00602843"/>
    <w:rsid w:val="00635AB7"/>
    <w:rsid w:val="0064453A"/>
    <w:rsid w:val="006508C9"/>
    <w:rsid w:val="00653D69"/>
    <w:rsid w:val="006662FF"/>
    <w:rsid w:val="00676E4F"/>
    <w:rsid w:val="00686E0F"/>
    <w:rsid w:val="006C6A28"/>
    <w:rsid w:val="006F13C0"/>
    <w:rsid w:val="006F30D1"/>
    <w:rsid w:val="007114A8"/>
    <w:rsid w:val="00757BE2"/>
    <w:rsid w:val="00794EC8"/>
    <w:rsid w:val="007B4889"/>
    <w:rsid w:val="007D691D"/>
    <w:rsid w:val="007E6BEE"/>
    <w:rsid w:val="007E749D"/>
    <w:rsid w:val="007F4593"/>
    <w:rsid w:val="008326F4"/>
    <w:rsid w:val="008522C8"/>
    <w:rsid w:val="00861D3B"/>
    <w:rsid w:val="008778FB"/>
    <w:rsid w:val="00881F40"/>
    <w:rsid w:val="008B02DD"/>
    <w:rsid w:val="008B048D"/>
    <w:rsid w:val="008B222B"/>
    <w:rsid w:val="008B4233"/>
    <w:rsid w:val="008F6D9F"/>
    <w:rsid w:val="00914021"/>
    <w:rsid w:val="00915ECE"/>
    <w:rsid w:val="009162F6"/>
    <w:rsid w:val="00932504"/>
    <w:rsid w:val="00935923"/>
    <w:rsid w:val="00954246"/>
    <w:rsid w:val="00964A40"/>
    <w:rsid w:val="00965D19"/>
    <w:rsid w:val="009A08F9"/>
    <w:rsid w:val="009A2063"/>
    <w:rsid w:val="009C14C4"/>
    <w:rsid w:val="009E6952"/>
    <w:rsid w:val="009F6DB4"/>
    <w:rsid w:val="00A53390"/>
    <w:rsid w:val="00A56EEB"/>
    <w:rsid w:val="00A65C13"/>
    <w:rsid w:val="00AA0029"/>
    <w:rsid w:val="00AA6238"/>
    <w:rsid w:val="00AA7D1E"/>
    <w:rsid w:val="00AC142E"/>
    <w:rsid w:val="00AC161C"/>
    <w:rsid w:val="00AC256B"/>
    <w:rsid w:val="00AC3E22"/>
    <w:rsid w:val="00AC72DF"/>
    <w:rsid w:val="00AD0D4F"/>
    <w:rsid w:val="00AE1DE1"/>
    <w:rsid w:val="00AF2A20"/>
    <w:rsid w:val="00AF6079"/>
    <w:rsid w:val="00B06270"/>
    <w:rsid w:val="00B07F96"/>
    <w:rsid w:val="00B23CC0"/>
    <w:rsid w:val="00B36146"/>
    <w:rsid w:val="00B4642F"/>
    <w:rsid w:val="00B62D3E"/>
    <w:rsid w:val="00B706B4"/>
    <w:rsid w:val="00B72B6D"/>
    <w:rsid w:val="00B8164C"/>
    <w:rsid w:val="00B87886"/>
    <w:rsid w:val="00BB371E"/>
    <w:rsid w:val="00BB439E"/>
    <w:rsid w:val="00BC4D7C"/>
    <w:rsid w:val="00BC67BD"/>
    <w:rsid w:val="00BD6D50"/>
    <w:rsid w:val="00BE7ED6"/>
    <w:rsid w:val="00C07407"/>
    <w:rsid w:val="00C16771"/>
    <w:rsid w:val="00C23F93"/>
    <w:rsid w:val="00C3056D"/>
    <w:rsid w:val="00C37DDB"/>
    <w:rsid w:val="00C616FD"/>
    <w:rsid w:val="00C764C1"/>
    <w:rsid w:val="00C874BF"/>
    <w:rsid w:val="00CB0CA8"/>
    <w:rsid w:val="00CE44B0"/>
    <w:rsid w:val="00CE54D4"/>
    <w:rsid w:val="00CF09E1"/>
    <w:rsid w:val="00CF506F"/>
    <w:rsid w:val="00D70485"/>
    <w:rsid w:val="00D964E5"/>
    <w:rsid w:val="00DA2CD5"/>
    <w:rsid w:val="00DD2D91"/>
    <w:rsid w:val="00DF24CE"/>
    <w:rsid w:val="00E0323F"/>
    <w:rsid w:val="00E061DB"/>
    <w:rsid w:val="00E116D3"/>
    <w:rsid w:val="00E47E66"/>
    <w:rsid w:val="00E93942"/>
    <w:rsid w:val="00EA494E"/>
    <w:rsid w:val="00EE435F"/>
    <w:rsid w:val="00EE45D4"/>
    <w:rsid w:val="00EF09C6"/>
    <w:rsid w:val="00F1108F"/>
    <w:rsid w:val="00F14B03"/>
    <w:rsid w:val="00F359B1"/>
    <w:rsid w:val="00F60D2D"/>
    <w:rsid w:val="00F61587"/>
    <w:rsid w:val="00F7041A"/>
    <w:rsid w:val="00F7415B"/>
    <w:rsid w:val="00F87BCC"/>
    <w:rsid w:val="00F9137B"/>
    <w:rsid w:val="00FD3FDE"/>
    <w:rsid w:val="00FE1A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2F26439B"/>
  <w15:chartTrackingRefBased/>
  <w15:docId w15:val="{3FA1B8D2-56ED-43F0-8A9A-8EE977477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E93942"/>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BodyText"/>
    <w:next w:val="BodyText"/>
    <w:link w:val="Heading1Char"/>
    <w:rsid w:val="00E93942"/>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E93942"/>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E93942"/>
    <w:pPr>
      <w:spacing w:before="560" w:line="320" w:lineRule="exact"/>
      <w:ind w:left="0" w:firstLine="0"/>
      <w:outlineLvl w:val="2"/>
    </w:pPr>
    <w:rPr>
      <w:sz w:val="26"/>
    </w:rPr>
  </w:style>
  <w:style w:type="paragraph" w:styleId="Heading4">
    <w:name w:val="heading 4"/>
    <w:basedOn w:val="Heading3"/>
    <w:next w:val="BodyText"/>
    <w:link w:val="Heading4Char"/>
    <w:qFormat/>
    <w:rsid w:val="00E93942"/>
    <w:pPr>
      <w:spacing w:before="480"/>
      <w:outlineLvl w:val="3"/>
    </w:pPr>
    <w:rPr>
      <w:b w:val="0"/>
      <w:sz w:val="24"/>
    </w:rPr>
  </w:style>
  <w:style w:type="paragraph" w:styleId="Heading5">
    <w:name w:val="heading 5"/>
    <w:basedOn w:val="Heading4"/>
    <w:next w:val="BodyText"/>
    <w:link w:val="Heading5Char"/>
    <w:qFormat/>
    <w:rsid w:val="00E93942"/>
    <w:pPr>
      <w:outlineLvl w:val="4"/>
    </w:pPr>
    <w:rPr>
      <w:i/>
      <w:sz w:val="22"/>
    </w:rPr>
  </w:style>
  <w:style w:type="paragraph" w:styleId="Heading6">
    <w:name w:val="heading 6"/>
    <w:basedOn w:val="BodyText"/>
    <w:next w:val="BodyText"/>
    <w:link w:val="Heading6Char"/>
    <w:rsid w:val="00E93942"/>
    <w:pPr>
      <w:spacing w:after="60"/>
      <w:jc w:val="left"/>
      <w:outlineLvl w:val="5"/>
    </w:pPr>
    <w:rPr>
      <w:i/>
      <w:sz w:val="22"/>
    </w:rPr>
  </w:style>
  <w:style w:type="paragraph" w:styleId="Heading7">
    <w:name w:val="heading 7"/>
    <w:basedOn w:val="BodyText"/>
    <w:next w:val="BodyText"/>
    <w:link w:val="Heading7Char"/>
    <w:rsid w:val="00E93942"/>
    <w:pPr>
      <w:spacing w:after="60" w:line="240" w:lineRule="auto"/>
      <w:jc w:val="left"/>
      <w:outlineLvl w:val="6"/>
    </w:pPr>
    <w:rPr>
      <w:rFonts w:ascii="Arial" w:hAnsi="Arial"/>
      <w:sz w:val="20"/>
    </w:rPr>
  </w:style>
  <w:style w:type="paragraph" w:styleId="Heading8">
    <w:name w:val="heading 8"/>
    <w:basedOn w:val="BodyText"/>
    <w:next w:val="BodyText"/>
    <w:link w:val="Heading8Char"/>
    <w:rsid w:val="00E93942"/>
    <w:pPr>
      <w:spacing w:after="60" w:line="240" w:lineRule="auto"/>
      <w:jc w:val="left"/>
      <w:outlineLvl w:val="7"/>
    </w:pPr>
    <w:rPr>
      <w:rFonts w:ascii="Arial" w:hAnsi="Arial"/>
      <w:i/>
      <w:sz w:val="20"/>
    </w:rPr>
  </w:style>
  <w:style w:type="paragraph" w:styleId="Heading9">
    <w:name w:val="heading 9"/>
    <w:basedOn w:val="BodyText"/>
    <w:next w:val="BodyText"/>
    <w:link w:val="Heading9Char"/>
    <w:rsid w:val="00E93942"/>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3942"/>
    <w:rPr>
      <w:rFonts w:ascii="Times New Roman" w:eastAsia="Times New Roman" w:hAnsi="Times New Roman" w:cs="Times New Roman"/>
      <w:sz w:val="52"/>
      <w:szCs w:val="20"/>
      <w:lang w:eastAsia="en-AU"/>
    </w:rPr>
  </w:style>
  <w:style w:type="character" w:customStyle="1" w:styleId="Heading2Char">
    <w:name w:val="Heading 2 Char"/>
    <w:basedOn w:val="DefaultParagraphFont"/>
    <w:link w:val="Heading2"/>
    <w:rsid w:val="00E93942"/>
    <w:rPr>
      <w:rFonts w:ascii="Arial" w:eastAsia="Times New Roman" w:hAnsi="Arial" w:cs="Times New Roman"/>
      <w:b/>
      <w:sz w:val="32"/>
      <w:szCs w:val="20"/>
      <w:lang w:eastAsia="en-AU"/>
    </w:rPr>
  </w:style>
  <w:style w:type="character" w:customStyle="1" w:styleId="Heading3Char">
    <w:name w:val="Heading 3 Char"/>
    <w:basedOn w:val="DefaultParagraphFont"/>
    <w:link w:val="Heading3"/>
    <w:rsid w:val="00E93942"/>
    <w:rPr>
      <w:rFonts w:ascii="Arial" w:eastAsia="Times New Roman" w:hAnsi="Arial" w:cs="Times New Roman"/>
      <w:b/>
      <w:sz w:val="26"/>
      <w:szCs w:val="20"/>
      <w:lang w:eastAsia="en-AU"/>
    </w:rPr>
  </w:style>
  <w:style w:type="character" w:customStyle="1" w:styleId="Heading4Char">
    <w:name w:val="Heading 4 Char"/>
    <w:basedOn w:val="DefaultParagraphFont"/>
    <w:link w:val="Heading4"/>
    <w:rsid w:val="00E93942"/>
    <w:rPr>
      <w:rFonts w:ascii="Arial" w:eastAsia="Times New Roman" w:hAnsi="Arial" w:cs="Times New Roman"/>
      <w:sz w:val="24"/>
      <w:szCs w:val="20"/>
      <w:lang w:eastAsia="en-AU"/>
    </w:rPr>
  </w:style>
  <w:style w:type="character" w:customStyle="1" w:styleId="Heading5Char">
    <w:name w:val="Heading 5 Char"/>
    <w:basedOn w:val="DefaultParagraphFont"/>
    <w:link w:val="Heading5"/>
    <w:rsid w:val="00E93942"/>
    <w:rPr>
      <w:rFonts w:ascii="Arial" w:eastAsia="Times New Roman" w:hAnsi="Arial" w:cs="Times New Roman"/>
      <w:i/>
      <w:szCs w:val="20"/>
      <w:lang w:eastAsia="en-AU"/>
    </w:rPr>
  </w:style>
  <w:style w:type="character" w:customStyle="1" w:styleId="Heading6Char">
    <w:name w:val="Heading 6 Char"/>
    <w:basedOn w:val="DefaultParagraphFont"/>
    <w:link w:val="Heading6"/>
    <w:rsid w:val="00E93942"/>
    <w:rPr>
      <w:rFonts w:ascii="Times New Roman" w:eastAsia="Times New Roman" w:hAnsi="Times New Roman" w:cs="Times New Roman"/>
      <w:i/>
      <w:szCs w:val="20"/>
      <w:lang w:eastAsia="en-AU"/>
    </w:rPr>
  </w:style>
  <w:style w:type="character" w:customStyle="1" w:styleId="Heading7Char">
    <w:name w:val="Heading 7 Char"/>
    <w:basedOn w:val="DefaultParagraphFont"/>
    <w:link w:val="Heading7"/>
    <w:rsid w:val="00E93942"/>
    <w:rPr>
      <w:rFonts w:ascii="Arial" w:eastAsia="Times New Roman" w:hAnsi="Arial" w:cs="Times New Roman"/>
      <w:sz w:val="20"/>
      <w:szCs w:val="20"/>
      <w:lang w:eastAsia="en-AU"/>
    </w:rPr>
  </w:style>
  <w:style w:type="character" w:customStyle="1" w:styleId="Heading8Char">
    <w:name w:val="Heading 8 Char"/>
    <w:basedOn w:val="DefaultParagraphFont"/>
    <w:link w:val="Heading8"/>
    <w:rsid w:val="00E93942"/>
    <w:rPr>
      <w:rFonts w:ascii="Arial" w:eastAsia="Times New Roman" w:hAnsi="Arial" w:cs="Times New Roman"/>
      <w:i/>
      <w:sz w:val="20"/>
      <w:szCs w:val="20"/>
      <w:lang w:eastAsia="en-AU"/>
    </w:rPr>
  </w:style>
  <w:style w:type="character" w:customStyle="1" w:styleId="Heading9Char">
    <w:name w:val="Heading 9 Char"/>
    <w:basedOn w:val="DefaultParagraphFont"/>
    <w:link w:val="Heading9"/>
    <w:rsid w:val="00E93942"/>
    <w:rPr>
      <w:rFonts w:ascii="Arial" w:eastAsia="Times New Roman" w:hAnsi="Arial" w:cs="Times New Roman"/>
      <w:b/>
      <w:i/>
      <w:sz w:val="18"/>
      <w:szCs w:val="20"/>
      <w:lang w:eastAsia="en-AU"/>
    </w:rPr>
  </w:style>
  <w:style w:type="paragraph" w:styleId="BodyText">
    <w:name w:val="Body Text"/>
    <w:link w:val="BodyTextChar"/>
    <w:qFormat/>
    <w:rsid w:val="00E93942"/>
    <w:pPr>
      <w:spacing w:before="240" w:after="0" w:line="300" w:lineRule="atLeast"/>
      <w:jc w:val="both"/>
    </w:pPr>
    <w:rPr>
      <w:rFonts w:ascii="Times New Roman" w:eastAsia="Times New Roman" w:hAnsi="Times New Roman" w:cs="Times New Roman"/>
      <w:sz w:val="24"/>
      <w:szCs w:val="20"/>
      <w:lang w:eastAsia="en-AU"/>
    </w:rPr>
  </w:style>
  <w:style w:type="character" w:customStyle="1" w:styleId="BodyTextChar">
    <w:name w:val="Body Text Char"/>
    <w:basedOn w:val="DefaultParagraphFont"/>
    <w:link w:val="BodyText"/>
    <w:rsid w:val="00E93942"/>
    <w:rPr>
      <w:rFonts w:ascii="Times New Roman" w:eastAsia="Times New Roman" w:hAnsi="Times New Roman" w:cs="Times New Roman"/>
      <w:sz w:val="24"/>
      <w:szCs w:val="20"/>
      <w:lang w:eastAsia="en-AU"/>
    </w:rPr>
  </w:style>
  <w:style w:type="paragraph" w:customStyle="1" w:styleId="Chapter">
    <w:name w:val="Chapter"/>
    <w:basedOn w:val="Heading1"/>
    <w:next w:val="BodyText"/>
    <w:link w:val="ChapterChar"/>
    <w:semiHidden/>
    <w:rsid w:val="00E93942"/>
    <w:pPr>
      <w:ind w:left="0" w:firstLine="0"/>
      <w:outlineLvl w:val="9"/>
    </w:pPr>
  </w:style>
  <w:style w:type="paragraph" w:customStyle="1" w:styleId="SequenceInfo">
    <w:name w:val="Sequence Info"/>
    <w:basedOn w:val="BodyText"/>
    <w:semiHidden/>
    <w:rsid w:val="00E93942"/>
    <w:rPr>
      <w:vanish/>
      <w:sz w:val="16"/>
    </w:rPr>
  </w:style>
  <w:style w:type="character" w:styleId="CommentReference">
    <w:name w:val="annotation reference"/>
    <w:basedOn w:val="DefaultParagraphFont"/>
    <w:semiHidden/>
    <w:rsid w:val="00E93942"/>
    <w:rPr>
      <w:b/>
      <w:vanish/>
      <w:color w:val="FF00FF"/>
      <w:sz w:val="20"/>
    </w:rPr>
  </w:style>
  <w:style w:type="paragraph" w:styleId="CommentText">
    <w:name w:val="annotation text"/>
    <w:basedOn w:val="Normal"/>
    <w:link w:val="CommentTextChar"/>
    <w:semiHidden/>
    <w:rsid w:val="00E93942"/>
    <w:pPr>
      <w:spacing w:before="120" w:line="240" w:lineRule="atLeast"/>
      <w:ind w:left="567" w:hanging="567"/>
    </w:pPr>
    <w:rPr>
      <w:sz w:val="20"/>
    </w:rPr>
  </w:style>
  <w:style w:type="character" w:customStyle="1" w:styleId="CommentTextChar">
    <w:name w:val="Comment Text Char"/>
    <w:basedOn w:val="DefaultParagraphFont"/>
    <w:link w:val="CommentText"/>
    <w:semiHidden/>
    <w:rsid w:val="00E93942"/>
    <w:rPr>
      <w:rFonts w:ascii="Times New Roman" w:eastAsia="Times New Roman" w:hAnsi="Times New Roman" w:cs="Times New Roman"/>
      <w:sz w:val="20"/>
      <w:szCs w:val="24"/>
      <w:lang w:eastAsia="en-AU"/>
    </w:rPr>
  </w:style>
  <w:style w:type="paragraph" w:customStyle="1" w:styleId="Abbreviation">
    <w:name w:val="Abbreviation"/>
    <w:basedOn w:val="BodyText"/>
    <w:rsid w:val="00E93942"/>
    <w:pPr>
      <w:spacing w:before="120"/>
      <w:ind w:left="2381" w:hanging="2381"/>
      <w:jc w:val="left"/>
    </w:pPr>
  </w:style>
  <w:style w:type="paragraph" w:customStyle="1" w:styleId="Box">
    <w:name w:val="Box"/>
    <w:basedOn w:val="BodyText"/>
    <w:link w:val="BoxChar"/>
    <w:qFormat/>
    <w:rsid w:val="00E93942"/>
    <w:pPr>
      <w:keepNext/>
      <w:spacing w:before="120" w:line="260" w:lineRule="atLeast"/>
    </w:pPr>
    <w:rPr>
      <w:rFonts w:ascii="Arial" w:hAnsi="Arial"/>
      <w:sz w:val="20"/>
    </w:rPr>
  </w:style>
  <w:style w:type="paragraph" w:customStyle="1" w:styleId="QuoteBullet">
    <w:name w:val="Quote Bullet"/>
    <w:basedOn w:val="Quote"/>
    <w:rsid w:val="00E93942"/>
    <w:pPr>
      <w:numPr>
        <w:numId w:val="11"/>
      </w:numPr>
    </w:pPr>
  </w:style>
  <w:style w:type="paragraph" w:customStyle="1" w:styleId="BoxListBullet">
    <w:name w:val="Box List Bullet"/>
    <w:basedOn w:val="BodyText"/>
    <w:link w:val="BoxListBulletChar"/>
    <w:rsid w:val="00E93942"/>
    <w:pPr>
      <w:keepNext/>
      <w:numPr>
        <w:numId w:val="6"/>
      </w:numPr>
      <w:spacing w:before="100" w:line="260" w:lineRule="atLeast"/>
    </w:pPr>
    <w:rPr>
      <w:rFonts w:ascii="Arial" w:hAnsi="Arial"/>
      <w:sz w:val="20"/>
    </w:rPr>
  </w:style>
  <w:style w:type="paragraph" w:customStyle="1" w:styleId="BoxListBullet2">
    <w:name w:val="Box List Bullet 2"/>
    <w:basedOn w:val="BoxListBullet"/>
    <w:link w:val="BoxListBullet2Char"/>
    <w:rsid w:val="00E93942"/>
    <w:pPr>
      <w:numPr>
        <w:numId w:val="3"/>
      </w:numPr>
      <w:ind w:left="568" w:hanging="284"/>
    </w:pPr>
  </w:style>
  <w:style w:type="paragraph" w:customStyle="1" w:styleId="BoxListNumber">
    <w:name w:val="Box List Number"/>
    <w:basedOn w:val="BodyText"/>
    <w:rsid w:val="00E93942"/>
    <w:pPr>
      <w:keepNext/>
      <w:numPr>
        <w:numId w:val="14"/>
      </w:numPr>
      <w:spacing w:before="100" w:line="260" w:lineRule="atLeast"/>
    </w:pPr>
    <w:rPr>
      <w:rFonts w:ascii="Arial" w:hAnsi="Arial"/>
      <w:sz w:val="20"/>
    </w:rPr>
  </w:style>
  <w:style w:type="paragraph" w:customStyle="1" w:styleId="BoxListNumber2">
    <w:name w:val="Box List Number 2"/>
    <w:basedOn w:val="BoxListNumber"/>
    <w:rsid w:val="00E93942"/>
    <w:pPr>
      <w:numPr>
        <w:ilvl w:val="1"/>
      </w:numPr>
      <w:ind w:left="681" w:hanging="397"/>
    </w:pPr>
  </w:style>
  <w:style w:type="paragraph" w:customStyle="1" w:styleId="BoxQuote">
    <w:name w:val="Box Quote"/>
    <w:basedOn w:val="BodyText"/>
    <w:next w:val="Box"/>
    <w:qFormat/>
    <w:rsid w:val="00E93942"/>
    <w:pPr>
      <w:keepNext/>
      <w:spacing w:before="60" w:line="240" w:lineRule="exact"/>
      <w:ind w:left="284"/>
    </w:pPr>
    <w:rPr>
      <w:rFonts w:ascii="Arial" w:hAnsi="Arial"/>
      <w:sz w:val="18"/>
    </w:rPr>
  </w:style>
  <w:style w:type="paragraph" w:customStyle="1" w:styleId="BoxSource">
    <w:name w:val="Box Source"/>
    <w:basedOn w:val="Source"/>
    <w:next w:val="BodyText"/>
    <w:rsid w:val="00E93942"/>
    <w:pPr>
      <w:spacing w:before="120"/>
    </w:pPr>
  </w:style>
  <w:style w:type="paragraph" w:customStyle="1" w:styleId="BoxSpace">
    <w:name w:val="Box Space"/>
    <w:basedOn w:val="BodyText"/>
    <w:rsid w:val="00E93942"/>
    <w:pPr>
      <w:keepNext/>
      <w:spacing w:before="360" w:line="80" w:lineRule="exact"/>
      <w:jc w:val="left"/>
    </w:pPr>
  </w:style>
  <w:style w:type="paragraph" w:customStyle="1" w:styleId="BoxSubtitle">
    <w:name w:val="Box Subtitle"/>
    <w:basedOn w:val="BoxTitle"/>
    <w:next w:val="Normal"/>
    <w:rsid w:val="00E93942"/>
    <w:pPr>
      <w:spacing w:after="80" w:line="200" w:lineRule="exact"/>
      <w:ind w:firstLine="0"/>
    </w:pPr>
    <w:rPr>
      <w:b w:val="0"/>
      <w:sz w:val="20"/>
    </w:rPr>
  </w:style>
  <w:style w:type="paragraph" w:customStyle="1" w:styleId="BoxTitle">
    <w:name w:val="Box Title"/>
    <w:basedOn w:val="Caption"/>
    <w:next w:val="BoxSubtitle"/>
    <w:link w:val="BoxTitleChar"/>
    <w:rsid w:val="00E93942"/>
    <w:pPr>
      <w:spacing w:before="120" w:after="0"/>
    </w:pPr>
  </w:style>
  <w:style w:type="paragraph" w:styleId="Caption">
    <w:name w:val="caption"/>
    <w:basedOn w:val="Normal"/>
    <w:next w:val="BodyText"/>
    <w:rsid w:val="00E93942"/>
    <w:pPr>
      <w:keepNext/>
      <w:keepLines/>
      <w:spacing w:before="360" w:after="80" w:line="280" w:lineRule="exact"/>
      <w:ind w:left="1474" w:hanging="1474"/>
    </w:pPr>
    <w:rPr>
      <w:rFonts w:ascii="Arial" w:hAnsi="Arial"/>
      <w:b/>
    </w:rPr>
  </w:style>
  <w:style w:type="paragraph" w:customStyle="1" w:styleId="ChapterSummary">
    <w:name w:val="Chapter Summary"/>
    <w:basedOn w:val="BodyText"/>
    <w:rsid w:val="00E93942"/>
    <w:pPr>
      <w:spacing w:line="280" w:lineRule="atLeast"/>
      <w:ind w:left="907"/>
    </w:pPr>
    <w:rPr>
      <w:rFonts w:ascii="Arial" w:hAnsi="Arial"/>
      <w:b/>
      <w:sz w:val="20"/>
    </w:rPr>
  </w:style>
  <w:style w:type="character" w:customStyle="1" w:styleId="DocumentInfo">
    <w:name w:val="Document Info"/>
    <w:basedOn w:val="DefaultParagraphFont"/>
    <w:semiHidden/>
    <w:rsid w:val="00E93942"/>
    <w:rPr>
      <w:rFonts w:ascii="Arial" w:hAnsi="Arial"/>
      <w:sz w:val="14"/>
    </w:rPr>
  </w:style>
  <w:style w:type="paragraph" w:styleId="Footer">
    <w:name w:val="footer"/>
    <w:basedOn w:val="BodyText"/>
    <w:link w:val="FooterChar"/>
    <w:rsid w:val="00E93942"/>
    <w:pPr>
      <w:spacing w:before="80" w:line="200" w:lineRule="exact"/>
      <w:ind w:right="6"/>
      <w:jc w:val="left"/>
    </w:pPr>
    <w:rPr>
      <w:rFonts w:ascii="Arial" w:hAnsi="Arial"/>
      <w:caps/>
      <w:spacing w:val="-4"/>
      <w:sz w:val="16"/>
    </w:rPr>
  </w:style>
  <w:style w:type="character" w:customStyle="1" w:styleId="FooterChar">
    <w:name w:val="Footer Char"/>
    <w:basedOn w:val="DefaultParagraphFont"/>
    <w:link w:val="Footer"/>
    <w:rsid w:val="00E93942"/>
    <w:rPr>
      <w:rFonts w:ascii="Arial" w:eastAsia="Times New Roman" w:hAnsi="Arial" w:cs="Times New Roman"/>
      <w:caps/>
      <w:spacing w:val="-4"/>
      <w:sz w:val="16"/>
      <w:szCs w:val="20"/>
      <w:lang w:eastAsia="en-AU"/>
    </w:rPr>
  </w:style>
  <w:style w:type="character" w:customStyle="1" w:styleId="DraftingNote">
    <w:name w:val="Drafting Note"/>
    <w:basedOn w:val="DefaultParagraphFont"/>
    <w:rsid w:val="00E93942"/>
    <w:rPr>
      <w:b/>
      <w:color w:val="FF0000"/>
      <w:sz w:val="24"/>
      <w:u w:val="dotted"/>
    </w:rPr>
  </w:style>
  <w:style w:type="paragraph" w:customStyle="1" w:styleId="Figure">
    <w:name w:val="Figure"/>
    <w:basedOn w:val="BodyText"/>
    <w:rsid w:val="00E93942"/>
    <w:pPr>
      <w:keepNext/>
      <w:spacing w:before="120" w:after="120" w:line="240" w:lineRule="atLeast"/>
      <w:jc w:val="center"/>
    </w:pPr>
  </w:style>
  <w:style w:type="paragraph" w:customStyle="1" w:styleId="FigureTitle">
    <w:name w:val="Figure Title"/>
    <w:basedOn w:val="Caption"/>
    <w:next w:val="Subtitle"/>
    <w:rsid w:val="00E93942"/>
    <w:pPr>
      <w:spacing w:before="120"/>
    </w:pPr>
  </w:style>
  <w:style w:type="paragraph" w:styleId="Subtitle">
    <w:name w:val="Subtitle"/>
    <w:basedOn w:val="Caption"/>
    <w:link w:val="SubtitleChar"/>
    <w:qFormat/>
    <w:rsid w:val="00E93942"/>
    <w:pPr>
      <w:spacing w:before="0" w:line="200" w:lineRule="exact"/>
      <w:ind w:firstLine="0"/>
    </w:pPr>
    <w:rPr>
      <w:b w:val="0"/>
      <w:sz w:val="20"/>
    </w:rPr>
  </w:style>
  <w:style w:type="character" w:customStyle="1" w:styleId="SubtitleChar">
    <w:name w:val="Subtitle Char"/>
    <w:basedOn w:val="DefaultParagraphFont"/>
    <w:link w:val="Subtitle"/>
    <w:rsid w:val="00E93942"/>
    <w:rPr>
      <w:rFonts w:ascii="Arial" w:eastAsia="Times New Roman" w:hAnsi="Arial" w:cs="Times New Roman"/>
      <w:sz w:val="20"/>
      <w:szCs w:val="24"/>
      <w:lang w:eastAsia="en-AU"/>
    </w:rPr>
  </w:style>
  <w:style w:type="paragraph" w:customStyle="1" w:styleId="Finding">
    <w:name w:val="Finding"/>
    <w:basedOn w:val="BodyText"/>
    <w:rsid w:val="00E93942"/>
    <w:pPr>
      <w:keepLines/>
      <w:spacing w:before="120" w:line="280" w:lineRule="atLeast"/>
    </w:pPr>
    <w:rPr>
      <w:rFonts w:ascii="Arial" w:hAnsi="Arial"/>
      <w:sz w:val="22"/>
    </w:rPr>
  </w:style>
  <w:style w:type="paragraph" w:customStyle="1" w:styleId="FindingBullet">
    <w:name w:val="Finding Bullet"/>
    <w:basedOn w:val="Finding"/>
    <w:rsid w:val="00E93942"/>
    <w:pPr>
      <w:numPr>
        <w:numId w:val="7"/>
      </w:numPr>
      <w:spacing w:before="80"/>
    </w:pPr>
  </w:style>
  <w:style w:type="paragraph" w:customStyle="1" w:styleId="FindingNoTitle">
    <w:name w:val="Finding NoTitle"/>
    <w:basedOn w:val="Finding"/>
    <w:rsid w:val="00E93942"/>
    <w:pPr>
      <w:spacing w:before="240"/>
    </w:pPr>
  </w:style>
  <w:style w:type="paragraph" w:customStyle="1" w:styleId="FindingTitle">
    <w:name w:val="Finding Title"/>
    <w:basedOn w:val="RecTitle"/>
    <w:next w:val="Finding"/>
    <w:rsid w:val="00E93942"/>
  </w:style>
  <w:style w:type="paragraph" w:customStyle="1" w:styleId="FooterEnd">
    <w:name w:val="Footer End"/>
    <w:basedOn w:val="Footer"/>
    <w:rsid w:val="00E93942"/>
    <w:pPr>
      <w:spacing w:before="0" w:line="20" w:lineRule="exact"/>
    </w:pPr>
  </w:style>
  <w:style w:type="character" w:styleId="FootnoteReference">
    <w:name w:val="footnote reference"/>
    <w:basedOn w:val="DefaultParagraphFont"/>
    <w:semiHidden/>
    <w:rsid w:val="00E93942"/>
    <w:rPr>
      <w:rFonts w:ascii="Times New Roman" w:hAnsi="Times New Roman"/>
      <w:position w:val="6"/>
      <w:sz w:val="20"/>
      <w:vertAlign w:val="baseline"/>
    </w:rPr>
  </w:style>
  <w:style w:type="paragraph" w:styleId="FootnoteText">
    <w:name w:val="footnote text"/>
    <w:basedOn w:val="BodyText"/>
    <w:link w:val="FootnoteTextChar"/>
    <w:rsid w:val="00E93942"/>
    <w:pPr>
      <w:tabs>
        <w:tab w:val="left" w:pos="284"/>
      </w:tabs>
      <w:spacing w:before="80" w:line="240" w:lineRule="exact"/>
      <w:ind w:left="284" w:hanging="284"/>
    </w:pPr>
    <w:rPr>
      <w:sz w:val="20"/>
    </w:rPr>
  </w:style>
  <w:style w:type="character" w:customStyle="1" w:styleId="FootnoteTextChar">
    <w:name w:val="Footnote Text Char"/>
    <w:basedOn w:val="DefaultParagraphFont"/>
    <w:link w:val="FootnoteText"/>
    <w:rsid w:val="00E93942"/>
    <w:rPr>
      <w:rFonts w:ascii="Times New Roman" w:eastAsia="Times New Roman" w:hAnsi="Times New Roman" w:cs="Times New Roman"/>
      <w:sz w:val="20"/>
      <w:szCs w:val="20"/>
      <w:lang w:eastAsia="en-AU"/>
    </w:rPr>
  </w:style>
  <w:style w:type="paragraph" w:styleId="Header">
    <w:name w:val="header"/>
    <w:basedOn w:val="BodyText"/>
    <w:link w:val="HeaderChar"/>
    <w:rsid w:val="00E93942"/>
    <w:pPr>
      <w:tabs>
        <w:tab w:val="center" w:pos="4394"/>
        <w:tab w:val="right" w:pos="8789"/>
      </w:tabs>
      <w:spacing w:before="0" w:line="240" w:lineRule="atLeast"/>
      <w:jc w:val="left"/>
    </w:pPr>
    <w:rPr>
      <w:rFonts w:ascii="Arial" w:hAnsi="Arial"/>
      <w:caps/>
    </w:rPr>
  </w:style>
  <w:style w:type="character" w:customStyle="1" w:styleId="HeaderChar">
    <w:name w:val="Header Char"/>
    <w:basedOn w:val="DefaultParagraphFont"/>
    <w:link w:val="Header"/>
    <w:rsid w:val="00E93942"/>
    <w:rPr>
      <w:rFonts w:ascii="Arial" w:eastAsia="Times New Roman" w:hAnsi="Arial" w:cs="Times New Roman"/>
      <w:caps/>
      <w:sz w:val="24"/>
      <w:szCs w:val="20"/>
      <w:lang w:eastAsia="en-AU"/>
    </w:rPr>
  </w:style>
  <w:style w:type="paragraph" w:customStyle="1" w:styleId="HeaderEnd">
    <w:name w:val="Header End"/>
    <w:basedOn w:val="Header"/>
    <w:autoRedefine/>
    <w:rsid w:val="00E93942"/>
    <w:pPr>
      <w:spacing w:line="20" w:lineRule="exact"/>
    </w:pPr>
    <w:rPr>
      <w:sz w:val="16"/>
    </w:rPr>
  </w:style>
  <w:style w:type="paragraph" w:customStyle="1" w:styleId="HeaderEven">
    <w:name w:val="Header Even"/>
    <w:basedOn w:val="Header"/>
    <w:rsid w:val="00E93942"/>
  </w:style>
  <w:style w:type="paragraph" w:customStyle="1" w:styleId="HeaderOdd">
    <w:name w:val="Header Odd"/>
    <w:basedOn w:val="Header"/>
    <w:rsid w:val="00E93942"/>
  </w:style>
  <w:style w:type="paragraph" w:customStyle="1" w:styleId="InformationRequest">
    <w:name w:val="Information Request"/>
    <w:basedOn w:val="Finding"/>
    <w:next w:val="BodyText"/>
    <w:rsid w:val="00E93942"/>
    <w:rPr>
      <w:i/>
    </w:rPr>
  </w:style>
  <w:style w:type="paragraph" w:styleId="ListBullet">
    <w:name w:val="List Bullet"/>
    <w:basedOn w:val="BodyText"/>
    <w:rsid w:val="00E93942"/>
    <w:pPr>
      <w:numPr>
        <w:numId w:val="5"/>
      </w:numPr>
      <w:spacing w:before="120"/>
    </w:pPr>
  </w:style>
  <w:style w:type="paragraph" w:styleId="ListBullet2">
    <w:name w:val="List Bullet 2"/>
    <w:basedOn w:val="BodyText"/>
    <w:rsid w:val="00E93942"/>
    <w:pPr>
      <w:numPr>
        <w:numId w:val="2"/>
      </w:numPr>
      <w:spacing w:before="120"/>
    </w:pPr>
  </w:style>
  <w:style w:type="paragraph" w:styleId="ListBullet3">
    <w:name w:val="List Bullet 3"/>
    <w:basedOn w:val="BodyText"/>
    <w:rsid w:val="00E93942"/>
    <w:pPr>
      <w:numPr>
        <w:numId w:val="1"/>
      </w:numPr>
      <w:spacing w:before="120"/>
      <w:ind w:left="1020" w:hanging="340"/>
    </w:pPr>
  </w:style>
  <w:style w:type="paragraph" w:styleId="ListNumber">
    <w:name w:val="List Number"/>
    <w:basedOn w:val="BodyText"/>
    <w:rsid w:val="00E93942"/>
    <w:pPr>
      <w:numPr>
        <w:numId w:val="13"/>
      </w:numPr>
      <w:spacing w:before="120"/>
    </w:pPr>
  </w:style>
  <w:style w:type="paragraph" w:styleId="ListNumber2">
    <w:name w:val="List Number 2"/>
    <w:basedOn w:val="ListNumber"/>
    <w:rsid w:val="00E93942"/>
    <w:pPr>
      <w:numPr>
        <w:ilvl w:val="1"/>
      </w:numPr>
    </w:pPr>
  </w:style>
  <w:style w:type="paragraph" w:styleId="ListNumber3">
    <w:name w:val="List Number 3"/>
    <w:basedOn w:val="ListNumber2"/>
    <w:rsid w:val="00E93942"/>
    <w:pPr>
      <w:numPr>
        <w:ilvl w:val="2"/>
      </w:numPr>
    </w:pPr>
  </w:style>
  <w:style w:type="paragraph" w:customStyle="1" w:styleId="Note">
    <w:name w:val="Note"/>
    <w:basedOn w:val="BodyText"/>
    <w:next w:val="BodyText"/>
    <w:link w:val="NoteChar"/>
    <w:rsid w:val="00E93942"/>
    <w:pPr>
      <w:keepLines/>
      <w:spacing w:before="80" w:line="220" w:lineRule="exact"/>
    </w:pPr>
    <w:rPr>
      <w:rFonts w:ascii="Arial" w:hAnsi="Arial"/>
      <w:sz w:val="18"/>
    </w:rPr>
  </w:style>
  <w:style w:type="character" w:customStyle="1" w:styleId="NoteLabel">
    <w:name w:val="Note Label"/>
    <w:basedOn w:val="DefaultParagraphFont"/>
    <w:rsid w:val="00E93942"/>
    <w:rPr>
      <w:rFonts w:ascii="Arial" w:hAnsi="Arial"/>
      <w:b/>
      <w:position w:val="6"/>
      <w:sz w:val="18"/>
    </w:rPr>
  </w:style>
  <w:style w:type="character" w:styleId="PageNumber">
    <w:name w:val="page number"/>
    <w:basedOn w:val="DefaultParagraphFont"/>
    <w:rsid w:val="00E93942"/>
    <w:rPr>
      <w:rFonts w:ascii="Arial" w:hAnsi="Arial"/>
      <w:b/>
      <w:sz w:val="16"/>
    </w:rPr>
  </w:style>
  <w:style w:type="paragraph" w:customStyle="1" w:styleId="PartDivider">
    <w:name w:val="Part Divider"/>
    <w:basedOn w:val="BodyText"/>
    <w:next w:val="BodyText"/>
    <w:semiHidden/>
    <w:rsid w:val="00E93942"/>
    <w:pPr>
      <w:spacing w:before="0" w:line="40" w:lineRule="exact"/>
      <w:jc w:val="right"/>
    </w:pPr>
    <w:rPr>
      <w:smallCaps/>
      <w:sz w:val="16"/>
    </w:rPr>
  </w:style>
  <w:style w:type="paragraph" w:customStyle="1" w:styleId="PartNumber">
    <w:name w:val="Part Number"/>
    <w:basedOn w:val="BodyText"/>
    <w:next w:val="BodyText"/>
    <w:semiHidden/>
    <w:rsid w:val="00E93942"/>
    <w:pPr>
      <w:spacing w:before="4000" w:line="320" w:lineRule="exact"/>
      <w:ind w:left="6634"/>
      <w:jc w:val="right"/>
    </w:pPr>
    <w:rPr>
      <w:smallCaps/>
      <w:spacing w:val="60"/>
      <w:sz w:val="32"/>
    </w:rPr>
  </w:style>
  <w:style w:type="paragraph" w:customStyle="1" w:styleId="PartTitle">
    <w:name w:val="Part Title"/>
    <w:basedOn w:val="BodyText"/>
    <w:semiHidden/>
    <w:rsid w:val="00E93942"/>
    <w:pPr>
      <w:spacing w:before="160" w:after="1360" w:line="520" w:lineRule="exact"/>
      <w:ind w:right="2381"/>
      <w:jc w:val="right"/>
    </w:pPr>
    <w:rPr>
      <w:smallCaps/>
      <w:sz w:val="52"/>
    </w:rPr>
  </w:style>
  <w:style w:type="paragraph" w:styleId="Quote">
    <w:name w:val="Quote"/>
    <w:basedOn w:val="BodyText"/>
    <w:next w:val="BodyText"/>
    <w:link w:val="QuoteChar"/>
    <w:qFormat/>
    <w:rsid w:val="00E93942"/>
    <w:pPr>
      <w:spacing w:before="120" w:line="280" w:lineRule="exact"/>
      <w:ind w:left="340"/>
    </w:pPr>
    <w:rPr>
      <w:sz w:val="22"/>
    </w:rPr>
  </w:style>
  <w:style w:type="character" w:customStyle="1" w:styleId="QuoteChar">
    <w:name w:val="Quote Char"/>
    <w:basedOn w:val="DefaultParagraphFont"/>
    <w:link w:val="Quote"/>
    <w:rsid w:val="00E93942"/>
    <w:rPr>
      <w:rFonts w:ascii="Times New Roman" w:eastAsia="Times New Roman" w:hAnsi="Times New Roman" w:cs="Times New Roman"/>
      <w:szCs w:val="20"/>
      <w:lang w:eastAsia="en-AU"/>
    </w:rPr>
  </w:style>
  <w:style w:type="paragraph" w:customStyle="1" w:styleId="Rec">
    <w:name w:val="Rec"/>
    <w:basedOn w:val="BodyText"/>
    <w:qFormat/>
    <w:rsid w:val="00E93942"/>
    <w:pPr>
      <w:keepLines/>
      <w:spacing w:before="120" w:line="280" w:lineRule="atLeast"/>
    </w:pPr>
    <w:rPr>
      <w:rFonts w:ascii="Arial" w:hAnsi="Arial"/>
      <w:sz w:val="22"/>
    </w:rPr>
  </w:style>
  <w:style w:type="paragraph" w:customStyle="1" w:styleId="RecBullet">
    <w:name w:val="Rec Bullet"/>
    <w:basedOn w:val="Rec"/>
    <w:rsid w:val="00E93942"/>
    <w:pPr>
      <w:numPr>
        <w:numId w:val="8"/>
      </w:numPr>
      <w:spacing w:before="80"/>
    </w:pPr>
  </w:style>
  <w:style w:type="paragraph" w:customStyle="1" w:styleId="RecTitle">
    <w:name w:val="Rec Title"/>
    <w:basedOn w:val="BodyText"/>
    <w:next w:val="Rec"/>
    <w:qFormat/>
    <w:rsid w:val="00E93942"/>
    <w:pPr>
      <w:keepNext/>
      <w:keepLines/>
      <w:spacing w:line="280" w:lineRule="atLeast"/>
    </w:pPr>
    <w:rPr>
      <w:rFonts w:ascii="Arial" w:hAnsi="Arial"/>
      <w:caps/>
      <w:sz w:val="18"/>
    </w:rPr>
  </w:style>
  <w:style w:type="paragraph" w:customStyle="1" w:styleId="RecB">
    <w:name w:val="RecB"/>
    <w:basedOn w:val="Normal"/>
    <w:rsid w:val="00E93942"/>
    <w:pPr>
      <w:keepLines/>
      <w:pBdr>
        <w:left w:val="single" w:sz="24" w:space="12" w:color="C0C0C0"/>
      </w:pBdr>
      <w:spacing w:before="180" w:line="320" w:lineRule="atLeast"/>
      <w:jc w:val="both"/>
    </w:pPr>
    <w:rPr>
      <w:b/>
      <w:i/>
      <w:szCs w:val="20"/>
    </w:rPr>
  </w:style>
  <w:style w:type="paragraph" w:customStyle="1" w:styleId="RecBBullet">
    <w:name w:val="RecB Bullet"/>
    <w:basedOn w:val="RecB"/>
    <w:rsid w:val="00E93942"/>
    <w:pPr>
      <w:numPr>
        <w:numId w:val="9"/>
      </w:numPr>
      <w:spacing w:before="80"/>
    </w:pPr>
  </w:style>
  <w:style w:type="paragraph" w:customStyle="1" w:styleId="RecBNoTitle">
    <w:name w:val="RecB NoTitle"/>
    <w:basedOn w:val="RecB"/>
    <w:rsid w:val="00E93942"/>
    <w:pPr>
      <w:spacing w:before="240"/>
    </w:pPr>
  </w:style>
  <w:style w:type="paragraph" w:customStyle="1" w:styleId="Reference">
    <w:name w:val="Reference"/>
    <w:basedOn w:val="BodyText"/>
    <w:rsid w:val="00E93942"/>
    <w:pPr>
      <w:spacing w:before="120"/>
      <w:ind w:left="340" w:hanging="340"/>
    </w:pPr>
  </w:style>
  <w:style w:type="paragraph" w:customStyle="1" w:styleId="SideNote">
    <w:name w:val="Side Note"/>
    <w:basedOn w:val="BodyText"/>
    <w:next w:val="BodyText"/>
    <w:semiHidden/>
    <w:rsid w:val="00E93942"/>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E93942"/>
    <w:pPr>
      <w:framePr w:wrap="around"/>
      <w:numPr>
        <w:numId w:val="4"/>
      </w:numPr>
      <w:tabs>
        <w:tab w:val="left" w:pos="227"/>
      </w:tabs>
    </w:pPr>
  </w:style>
  <w:style w:type="paragraph" w:customStyle="1" w:styleId="SideNoteGraphic">
    <w:name w:val="Side Note Graphic"/>
    <w:basedOn w:val="SideNote"/>
    <w:next w:val="BodyText"/>
    <w:semiHidden/>
    <w:rsid w:val="00E93942"/>
    <w:pPr>
      <w:framePr w:wrap="around"/>
    </w:pPr>
  </w:style>
  <w:style w:type="paragraph" w:customStyle="1" w:styleId="Source">
    <w:name w:val="Source"/>
    <w:basedOn w:val="Normal"/>
    <w:next w:val="BodyText"/>
    <w:rsid w:val="00E93942"/>
    <w:pPr>
      <w:keepLines/>
      <w:spacing w:before="80" w:line="220" w:lineRule="exact"/>
      <w:jc w:val="both"/>
    </w:pPr>
    <w:rPr>
      <w:rFonts w:ascii="Arial" w:hAnsi="Arial"/>
      <w:sz w:val="18"/>
      <w:szCs w:val="20"/>
    </w:rPr>
  </w:style>
  <w:style w:type="paragraph" w:customStyle="1" w:styleId="TableBodyText">
    <w:name w:val="Table Body Text"/>
    <w:basedOn w:val="BodyText"/>
    <w:link w:val="TableBodyTextChar"/>
    <w:rsid w:val="00E93942"/>
    <w:pPr>
      <w:keepNext/>
      <w:keepLines/>
      <w:spacing w:before="0" w:after="40" w:line="200" w:lineRule="atLeast"/>
      <w:ind w:left="6" w:right="113"/>
      <w:jc w:val="right"/>
    </w:pPr>
    <w:rPr>
      <w:rFonts w:ascii="Arial" w:hAnsi="Arial"/>
      <w:sz w:val="18"/>
    </w:rPr>
  </w:style>
  <w:style w:type="paragraph" w:customStyle="1" w:styleId="TableBullet0">
    <w:name w:val="Table Bullet"/>
    <w:basedOn w:val="TableBodyText"/>
    <w:rsid w:val="00E93942"/>
    <w:pPr>
      <w:numPr>
        <w:numId w:val="10"/>
      </w:numPr>
      <w:jc w:val="left"/>
    </w:pPr>
  </w:style>
  <w:style w:type="paragraph" w:customStyle="1" w:styleId="TableColumnHeading">
    <w:name w:val="Table Column Heading"/>
    <w:basedOn w:val="TableBodyText"/>
    <w:rsid w:val="00E93942"/>
    <w:pPr>
      <w:spacing w:before="80" w:after="80"/>
    </w:pPr>
    <w:rPr>
      <w:i/>
    </w:rPr>
  </w:style>
  <w:style w:type="paragraph" w:styleId="TableofFigures">
    <w:name w:val="table of figures"/>
    <w:basedOn w:val="TOC3"/>
    <w:next w:val="BodyText"/>
    <w:semiHidden/>
    <w:rsid w:val="00E93942"/>
    <w:pPr>
      <w:ind w:left="737" w:hanging="737"/>
    </w:pPr>
  </w:style>
  <w:style w:type="paragraph" w:styleId="TOC3">
    <w:name w:val="toc 3"/>
    <w:basedOn w:val="TOC2"/>
    <w:rsid w:val="00E93942"/>
    <w:pPr>
      <w:spacing w:before="60"/>
      <w:ind w:left="1190" w:hanging="680"/>
    </w:pPr>
  </w:style>
  <w:style w:type="paragraph" w:customStyle="1" w:styleId="TableTitle">
    <w:name w:val="Table Title"/>
    <w:basedOn w:val="Caption"/>
    <w:next w:val="Subtitle"/>
    <w:qFormat/>
    <w:rsid w:val="00E93942"/>
    <w:pPr>
      <w:spacing w:before="120"/>
    </w:pPr>
  </w:style>
  <w:style w:type="paragraph" w:customStyle="1" w:styleId="TableUnitsRow">
    <w:name w:val="Table Units Row"/>
    <w:basedOn w:val="TableBodyText"/>
    <w:rsid w:val="00E93942"/>
    <w:pPr>
      <w:spacing w:before="40"/>
    </w:pPr>
  </w:style>
  <w:style w:type="paragraph" w:styleId="TOC1">
    <w:name w:val="toc 1"/>
    <w:basedOn w:val="Normal"/>
    <w:next w:val="TOC2"/>
    <w:link w:val="TOC1Char"/>
    <w:rsid w:val="00E93942"/>
    <w:pPr>
      <w:tabs>
        <w:tab w:val="right" w:pos="8789"/>
      </w:tabs>
      <w:spacing w:before="120" w:line="320" w:lineRule="exact"/>
      <w:ind w:left="510" w:right="851" w:hanging="510"/>
    </w:pPr>
    <w:rPr>
      <w:rFonts w:ascii="Arial" w:hAnsi="Arial"/>
      <w:b/>
      <w:sz w:val="26"/>
      <w:szCs w:val="26"/>
      <w:lang w:eastAsia="en-US"/>
    </w:rPr>
  </w:style>
  <w:style w:type="paragraph" w:styleId="TOC2">
    <w:name w:val="toc 2"/>
    <w:basedOn w:val="TOC1"/>
    <w:rsid w:val="00E93942"/>
    <w:pPr>
      <w:ind w:left="1134" w:hanging="624"/>
    </w:pPr>
    <w:rPr>
      <w:b w:val="0"/>
    </w:rPr>
  </w:style>
  <w:style w:type="paragraph" w:styleId="TOC4">
    <w:name w:val="toc 4"/>
    <w:basedOn w:val="TOC3"/>
    <w:rsid w:val="00E93942"/>
    <w:pPr>
      <w:ind w:left="1191" w:firstLine="0"/>
    </w:pPr>
  </w:style>
  <w:style w:type="paragraph" w:customStyle="1" w:styleId="BoxContinued">
    <w:name w:val="Box Continued"/>
    <w:basedOn w:val="BodyText"/>
    <w:next w:val="BodyText"/>
    <w:link w:val="BoxContinuedChar"/>
    <w:semiHidden/>
    <w:rsid w:val="00E93942"/>
    <w:pPr>
      <w:spacing w:before="180" w:line="220" w:lineRule="exact"/>
      <w:jc w:val="right"/>
    </w:pPr>
    <w:rPr>
      <w:rFonts w:ascii="Arial" w:hAnsi="Arial"/>
      <w:sz w:val="18"/>
    </w:rPr>
  </w:style>
  <w:style w:type="paragraph" w:customStyle="1" w:styleId="Continued">
    <w:name w:val="Continued"/>
    <w:basedOn w:val="BoxContinued"/>
    <w:next w:val="BodyText"/>
    <w:link w:val="ContinuedChar"/>
    <w:rsid w:val="00E93942"/>
  </w:style>
  <w:style w:type="paragraph" w:customStyle="1" w:styleId="BoxHeading1">
    <w:name w:val="Box Heading 1"/>
    <w:basedOn w:val="BodyText"/>
    <w:next w:val="Box"/>
    <w:link w:val="BoxHeading1Char"/>
    <w:rsid w:val="00E93942"/>
    <w:pPr>
      <w:keepNext/>
      <w:spacing w:before="200" w:line="280" w:lineRule="atLeast"/>
    </w:pPr>
    <w:rPr>
      <w:rFonts w:ascii="Arial" w:hAnsi="Arial"/>
      <w:b/>
      <w:sz w:val="20"/>
    </w:rPr>
  </w:style>
  <w:style w:type="paragraph" w:customStyle="1" w:styleId="BoxHeading2">
    <w:name w:val="Box Heading 2"/>
    <w:basedOn w:val="BoxHeading1"/>
    <w:next w:val="Box"/>
    <w:link w:val="BoxHeading2Char"/>
    <w:rsid w:val="00E93942"/>
    <w:rPr>
      <w:b w:val="0"/>
      <w:i/>
    </w:rPr>
  </w:style>
  <w:style w:type="character" w:customStyle="1" w:styleId="BoxChar">
    <w:name w:val="Box Char"/>
    <w:basedOn w:val="BodyTextChar"/>
    <w:link w:val="Box"/>
    <w:rsid w:val="00E93942"/>
    <w:rPr>
      <w:rFonts w:ascii="Arial" w:eastAsia="Times New Roman" w:hAnsi="Arial" w:cs="Times New Roman"/>
      <w:sz w:val="20"/>
      <w:szCs w:val="20"/>
      <w:lang w:eastAsia="en-AU"/>
    </w:rPr>
  </w:style>
  <w:style w:type="character" w:customStyle="1" w:styleId="BoxHeading1Char">
    <w:name w:val="Box Heading 1 Char"/>
    <w:basedOn w:val="BoxChar"/>
    <w:link w:val="BoxHeading1"/>
    <w:rsid w:val="00E93942"/>
    <w:rPr>
      <w:rFonts w:ascii="Arial" w:eastAsia="Times New Roman" w:hAnsi="Arial" w:cs="Times New Roman"/>
      <w:b/>
      <w:sz w:val="20"/>
      <w:szCs w:val="20"/>
      <w:lang w:eastAsia="en-AU"/>
    </w:rPr>
  </w:style>
  <w:style w:type="character" w:customStyle="1" w:styleId="BoxHeading2Char">
    <w:name w:val="Box Heading 2 Char"/>
    <w:basedOn w:val="BoxHeading1Char"/>
    <w:link w:val="BoxHeading2"/>
    <w:rsid w:val="00E93942"/>
    <w:rPr>
      <w:rFonts w:ascii="Arial" w:eastAsia="Times New Roman" w:hAnsi="Arial" w:cs="Times New Roman"/>
      <w:b w:val="0"/>
      <w:i/>
      <w:sz w:val="20"/>
      <w:szCs w:val="20"/>
      <w:lang w:eastAsia="en-AU"/>
    </w:rPr>
  </w:style>
  <w:style w:type="character" w:customStyle="1" w:styleId="ChapterChar">
    <w:name w:val="Chapter Char"/>
    <w:basedOn w:val="Heading1Char"/>
    <w:link w:val="Chapter"/>
    <w:semiHidden/>
    <w:rsid w:val="00E93942"/>
    <w:rPr>
      <w:rFonts w:ascii="Times New Roman" w:eastAsia="Times New Roman" w:hAnsi="Times New Roman" w:cs="Times New Roman"/>
      <w:sz w:val="52"/>
      <w:szCs w:val="20"/>
      <w:lang w:eastAsia="en-AU"/>
    </w:rPr>
  </w:style>
  <w:style w:type="character" w:customStyle="1" w:styleId="BoxContinuedChar">
    <w:name w:val="Box Continued Char"/>
    <w:basedOn w:val="DefaultParagraphFont"/>
    <w:link w:val="BoxContinued"/>
    <w:semiHidden/>
    <w:rsid w:val="00E93942"/>
    <w:rPr>
      <w:rFonts w:ascii="Arial" w:eastAsia="Times New Roman" w:hAnsi="Arial" w:cs="Times New Roman"/>
      <w:sz w:val="18"/>
      <w:szCs w:val="20"/>
      <w:lang w:eastAsia="en-AU"/>
    </w:rPr>
  </w:style>
  <w:style w:type="character" w:customStyle="1" w:styleId="ContinuedChar">
    <w:name w:val="Continued Char"/>
    <w:basedOn w:val="BoxContinuedChar"/>
    <w:link w:val="Continued"/>
    <w:rsid w:val="00E93942"/>
    <w:rPr>
      <w:rFonts w:ascii="Arial" w:eastAsia="Times New Roman" w:hAnsi="Arial" w:cs="Times New Roman"/>
      <w:sz w:val="18"/>
      <w:szCs w:val="20"/>
      <w:lang w:eastAsia="en-AU"/>
    </w:rPr>
  </w:style>
  <w:style w:type="character" w:customStyle="1" w:styleId="NoteChar">
    <w:name w:val="Note Char"/>
    <w:basedOn w:val="DefaultParagraphFont"/>
    <w:link w:val="Note"/>
    <w:locked/>
    <w:rsid w:val="00E93942"/>
    <w:rPr>
      <w:rFonts w:ascii="Arial" w:eastAsia="Times New Roman" w:hAnsi="Arial" w:cs="Times New Roman"/>
      <w:sz w:val="18"/>
      <w:szCs w:val="20"/>
      <w:lang w:eastAsia="en-AU"/>
    </w:rPr>
  </w:style>
  <w:style w:type="paragraph" w:customStyle="1" w:styleId="Jurisdictioncommentsbodytext">
    <w:name w:val="Jurisdiction comments body text"/>
    <w:rsid w:val="00E93942"/>
    <w:pPr>
      <w:spacing w:after="140" w:line="240" w:lineRule="auto"/>
      <w:jc w:val="both"/>
    </w:pPr>
    <w:rPr>
      <w:rFonts w:ascii="Arial" w:eastAsia="Times New Roman" w:hAnsi="Arial" w:cs="Times New Roman"/>
      <w:sz w:val="24"/>
      <w:szCs w:val="20"/>
    </w:rPr>
  </w:style>
  <w:style w:type="paragraph" w:customStyle="1" w:styleId="Jurisdictioncommentsheading">
    <w:name w:val="Jurisdiction comments heading"/>
    <w:rsid w:val="00E93942"/>
    <w:pPr>
      <w:spacing w:after="140" w:line="320" w:lineRule="atLeast"/>
      <w:jc w:val="both"/>
    </w:pPr>
    <w:rPr>
      <w:rFonts w:ascii="Arial" w:eastAsia="Times New Roman" w:hAnsi="Arial" w:cs="Times New Roman"/>
      <w:b/>
      <w:sz w:val="24"/>
      <w:szCs w:val="20"/>
    </w:rPr>
  </w:style>
  <w:style w:type="paragraph" w:customStyle="1" w:styleId="Jurisdictioncommentslistbullet">
    <w:name w:val="Jurisdiction comments list bullet"/>
    <w:rsid w:val="00E93942"/>
    <w:pPr>
      <w:numPr>
        <w:numId w:val="12"/>
      </w:numPr>
      <w:spacing w:after="140" w:line="240" w:lineRule="auto"/>
      <w:jc w:val="both"/>
    </w:pPr>
    <w:rPr>
      <w:rFonts w:ascii="Arial" w:eastAsia="Times New Roman" w:hAnsi="Arial" w:cs="Times New Roman"/>
      <w:sz w:val="24"/>
      <w:szCs w:val="20"/>
    </w:rPr>
  </w:style>
  <w:style w:type="paragraph" w:customStyle="1" w:styleId="SOC">
    <w:name w:val="SOC"/>
    <w:basedOn w:val="BodyText"/>
    <w:rsid w:val="00E93942"/>
    <w:pPr>
      <w:spacing w:before="0" w:after="140" w:line="240" w:lineRule="auto"/>
    </w:pPr>
    <w:rPr>
      <w:rFonts w:ascii="Arial" w:hAnsi="Arial"/>
    </w:rPr>
  </w:style>
  <w:style w:type="character" w:styleId="Hyperlink">
    <w:name w:val="Hyperlink"/>
    <w:basedOn w:val="DefaultParagraphFont"/>
    <w:uiPriority w:val="99"/>
    <w:rsid w:val="00E93942"/>
    <w:rPr>
      <w:color w:val="0000FF"/>
      <w:u w:val="single"/>
    </w:rPr>
  </w:style>
  <w:style w:type="character" w:styleId="FollowedHyperlink">
    <w:name w:val="FollowedHyperlink"/>
    <w:basedOn w:val="DefaultParagraphFont"/>
    <w:rsid w:val="00E93942"/>
    <w:rPr>
      <w:color w:val="800080"/>
      <w:u w:val="single"/>
    </w:rPr>
  </w:style>
  <w:style w:type="table" w:styleId="TableGrid">
    <w:name w:val="Table Grid"/>
    <w:basedOn w:val="TableNormal"/>
    <w:rsid w:val="00E9394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19">
    <w:name w:val="emailstyle19"/>
    <w:basedOn w:val="DefaultParagraphFont"/>
    <w:semiHidden/>
    <w:rsid w:val="00E93942"/>
    <w:rPr>
      <w:rFonts w:ascii="Arial" w:hAnsi="Arial" w:cs="Arial" w:hint="default"/>
      <w:color w:val="000080"/>
      <w:sz w:val="20"/>
      <w:szCs w:val="20"/>
    </w:rPr>
  </w:style>
  <w:style w:type="paragraph" w:styleId="BalloonText">
    <w:name w:val="Balloon Text"/>
    <w:basedOn w:val="Normal"/>
    <w:link w:val="BalloonTextChar"/>
    <w:rsid w:val="00E93942"/>
    <w:rPr>
      <w:rFonts w:ascii="Tahoma" w:hAnsi="Tahoma" w:cs="Tahoma"/>
      <w:sz w:val="16"/>
      <w:szCs w:val="16"/>
    </w:rPr>
  </w:style>
  <w:style w:type="character" w:customStyle="1" w:styleId="BalloonTextChar">
    <w:name w:val="Balloon Text Char"/>
    <w:basedOn w:val="DefaultParagraphFont"/>
    <w:link w:val="BalloonText"/>
    <w:rsid w:val="00E93942"/>
    <w:rPr>
      <w:rFonts w:ascii="Tahoma" w:eastAsia="Times New Roman" w:hAnsi="Tahoma" w:cs="Tahoma"/>
      <w:sz w:val="16"/>
      <w:szCs w:val="16"/>
      <w:lang w:eastAsia="en-AU"/>
    </w:rPr>
  </w:style>
  <w:style w:type="paragraph" w:customStyle="1" w:styleId="DocInfo">
    <w:name w:val="Doc Info"/>
    <w:basedOn w:val="Normal"/>
    <w:next w:val="Normal"/>
    <w:rsid w:val="00E93942"/>
    <w:pPr>
      <w:jc w:val="center"/>
    </w:pPr>
    <w:rPr>
      <w:rFonts w:ascii="Arial" w:hAnsi="Arial"/>
      <w:sz w:val="14"/>
    </w:rPr>
  </w:style>
  <w:style w:type="paragraph" w:customStyle="1" w:styleId="Heading2NotTOC">
    <w:name w:val="Heading 2 Not TOC"/>
    <w:basedOn w:val="Heading2"/>
    <w:next w:val="BodyText"/>
    <w:rsid w:val="00E93942"/>
    <w:pPr>
      <w:outlineLvl w:val="9"/>
    </w:pPr>
  </w:style>
  <w:style w:type="paragraph" w:styleId="BodyText2">
    <w:name w:val="Body Text 2"/>
    <w:basedOn w:val="Normal"/>
    <w:link w:val="BodyText2Char"/>
    <w:uiPriority w:val="99"/>
    <w:rsid w:val="00E93942"/>
    <w:pPr>
      <w:spacing w:after="120" w:line="480" w:lineRule="auto"/>
    </w:pPr>
  </w:style>
  <w:style w:type="character" w:customStyle="1" w:styleId="BodyText2Char">
    <w:name w:val="Body Text 2 Char"/>
    <w:basedOn w:val="DefaultParagraphFont"/>
    <w:link w:val="BodyText2"/>
    <w:uiPriority w:val="99"/>
    <w:rsid w:val="00E93942"/>
    <w:rPr>
      <w:rFonts w:ascii="Times New Roman" w:eastAsia="Times New Roman" w:hAnsi="Times New Roman" w:cs="Times New Roman"/>
      <w:sz w:val="24"/>
      <w:szCs w:val="24"/>
      <w:lang w:eastAsia="en-AU"/>
    </w:rPr>
  </w:style>
  <w:style w:type="paragraph" w:styleId="CommentSubject">
    <w:name w:val="annotation subject"/>
    <w:basedOn w:val="CommentText"/>
    <w:next w:val="CommentText"/>
    <w:link w:val="CommentSubjectChar"/>
    <w:semiHidden/>
    <w:rsid w:val="00E93942"/>
    <w:pPr>
      <w:spacing w:before="0" w:line="240" w:lineRule="auto"/>
      <w:ind w:left="0" w:firstLine="0"/>
    </w:pPr>
    <w:rPr>
      <w:b/>
      <w:bCs/>
      <w:szCs w:val="20"/>
    </w:rPr>
  </w:style>
  <w:style w:type="character" w:customStyle="1" w:styleId="CommentSubjectChar">
    <w:name w:val="Comment Subject Char"/>
    <w:basedOn w:val="CommentTextChar"/>
    <w:link w:val="CommentSubject"/>
    <w:semiHidden/>
    <w:rsid w:val="00E93942"/>
    <w:rPr>
      <w:rFonts w:ascii="Times New Roman" w:eastAsia="Times New Roman" w:hAnsi="Times New Roman" w:cs="Times New Roman"/>
      <w:b/>
      <w:bCs/>
      <w:sz w:val="20"/>
      <w:szCs w:val="20"/>
      <w:lang w:eastAsia="en-AU"/>
    </w:rPr>
  </w:style>
  <w:style w:type="paragraph" w:styleId="ListParagraph">
    <w:name w:val="List Paragraph"/>
    <w:basedOn w:val="Normal"/>
    <w:uiPriority w:val="34"/>
    <w:qFormat/>
    <w:rsid w:val="00E93942"/>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BoxSpaceAbove">
    <w:name w:val="Box Space Above"/>
    <w:basedOn w:val="BodyText"/>
    <w:rsid w:val="00E93942"/>
    <w:pPr>
      <w:keepNext/>
      <w:spacing w:before="360" w:line="80" w:lineRule="exact"/>
      <w:jc w:val="left"/>
    </w:pPr>
  </w:style>
  <w:style w:type="paragraph" w:customStyle="1" w:styleId="RecBBullet2">
    <w:name w:val="RecB Bullet 2"/>
    <w:basedOn w:val="ListBullet2"/>
    <w:semiHidden/>
    <w:rsid w:val="00E93942"/>
    <w:pPr>
      <w:pBdr>
        <w:left w:val="single" w:sz="24" w:space="29" w:color="C0C0C0"/>
      </w:pBdr>
    </w:pPr>
    <w:rPr>
      <w:b/>
      <w:i/>
    </w:rPr>
  </w:style>
  <w:style w:type="paragraph" w:customStyle="1" w:styleId="BoxListBullet3">
    <w:name w:val="Box List Bullet 3"/>
    <w:basedOn w:val="ListBullet3"/>
    <w:rsid w:val="00E93942"/>
    <w:pPr>
      <w:numPr>
        <w:numId w:val="17"/>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E93942"/>
    <w:rPr>
      <w:i/>
      <w:iCs/>
    </w:rPr>
  </w:style>
  <w:style w:type="paragraph" w:customStyle="1" w:styleId="BoxQuoteBullet">
    <w:name w:val="Box Quote Bullet"/>
    <w:basedOn w:val="BoxQuote"/>
    <w:next w:val="Box"/>
    <w:rsid w:val="00E93942"/>
    <w:pPr>
      <w:numPr>
        <w:numId w:val="15"/>
      </w:numPr>
      <w:ind w:left="568" w:hanging="284"/>
    </w:pPr>
  </w:style>
  <w:style w:type="paragraph" w:customStyle="1" w:styleId="InformationRequestBullet">
    <w:name w:val="Information Request Bullet"/>
    <w:basedOn w:val="ListBullet"/>
    <w:next w:val="BodyText"/>
    <w:rsid w:val="00E9394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E93942"/>
    <w:pPr>
      <w:keepNext w:val="0"/>
      <w:spacing w:before="60" w:after="60" w:line="80" w:lineRule="exact"/>
    </w:pPr>
    <w:rPr>
      <w:sz w:val="14"/>
    </w:rPr>
  </w:style>
  <w:style w:type="paragraph" w:customStyle="1" w:styleId="NumberedPara">
    <w:name w:val="Numbered Para"/>
    <w:basedOn w:val="Normal"/>
    <w:autoRedefine/>
    <w:qFormat/>
    <w:rsid w:val="00E93942"/>
    <w:pPr>
      <w:widowControl w:val="0"/>
      <w:tabs>
        <w:tab w:val="left" w:pos="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40" w:line="280" w:lineRule="exact"/>
      <w:ind w:left="567"/>
      <w:jc w:val="both"/>
    </w:pPr>
    <w:rPr>
      <w:rFonts w:eastAsiaTheme="minorEastAsia"/>
      <w:iCs/>
      <w:sz w:val="22"/>
      <w:lang w:eastAsia="en-US"/>
    </w:rPr>
  </w:style>
  <w:style w:type="paragraph" w:customStyle="1" w:styleId="KeyPointsListBullet">
    <w:name w:val="Key Points List Bullet"/>
    <w:basedOn w:val="Normal"/>
    <w:qFormat/>
    <w:rsid w:val="00E93942"/>
    <w:pPr>
      <w:keepNext/>
      <w:numPr>
        <w:numId w:val="18"/>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E93942"/>
    <w:pPr>
      <w:numPr>
        <w:numId w:val="19"/>
      </w:numPr>
      <w:ind w:left="568" w:hanging="284"/>
    </w:pPr>
  </w:style>
  <w:style w:type="paragraph" w:customStyle="1" w:styleId="InformationRequestTitle">
    <w:name w:val="Information Request Title"/>
    <w:basedOn w:val="FindingTitle"/>
    <w:next w:val="InformationRequest"/>
    <w:rsid w:val="00E93942"/>
    <w:rPr>
      <w:i/>
    </w:rPr>
  </w:style>
  <w:style w:type="paragraph" w:customStyle="1" w:styleId="Space">
    <w:name w:val="Space"/>
    <w:basedOn w:val="Normal"/>
    <w:rsid w:val="00E93942"/>
    <w:pPr>
      <w:keepNext/>
      <w:spacing w:line="120" w:lineRule="exact"/>
      <w:jc w:val="both"/>
    </w:pPr>
    <w:rPr>
      <w:rFonts w:ascii="Arial" w:hAnsi="Arial"/>
      <w:sz w:val="20"/>
      <w:szCs w:val="20"/>
    </w:rPr>
  </w:style>
  <w:style w:type="paragraph" w:customStyle="1" w:styleId="Heading1nochapterno">
    <w:name w:val="Heading 1 (no chapter no.)"/>
    <w:basedOn w:val="Heading1"/>
    <w:rsid w:val="00E93942"/>
    <w:pPr>
      <w:spacing w:before="0"/>
      <w:ind w:left="0" w:firstLine="0"/>
    </w:pPr>
  </w:style>
  <w:style w:type="paragraph" w:customStyle="1" w:styleId="Heading2nosectionno">
    <w:name w:val="Heading 2 (no section no.)"/>
    <w:basedOn w:val="Heading2"/>
    <w:rsid w:val="00E93942"/>
    <w:pPr>
      <w:ind w:left="0" w:firstLine="0"/>
    </w:pPr>
  </w:style>
  <w:style w:type="paragraph" w:customStyle="1" w:styleId="Figurespace">
    <w:name w:val="Figure space"/>
    <w:basedOn w:val="Box"/>
    <w:rsid w:val="00E93942"/>
    <w:pPr>
      <w:spacing w:before="0" w:line="120" w:lineRule="exact"/>
    </w:pPr>
  </w:style>
  <w:style w:type="paragraph" w:customStyle="1" w:styleId="FooterDraftReport">
    <w:name w:val="FooterDraftReport"/>
    <w:basedOn w:val="Footer"/>
    <w:link w:val="FooterDraftReportChar"/>
    <w:rsid w:val="00E93942"/>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FooterDraftReportChar">
    <w:name w:val="FooterDraftReport Char"/>
    <w:basedOn w:val="FooterChar"/>
    <w:link w:val="FooterDraftReport"/>
    <w:rsid w:val="00E93942"/>
    <w:rPr>
      <w:rFonts w:ascii="Arial" w:eastAsia="Times New Roman" w:hAnsi="Arial" w:cs="Arial"/>
      <w:caps/>
      <w:color w:val="808080"/>
      <w:spacing w:val="-4"/>
      <w:sz w:val="16"/>
      <w:szCs w:val="20"/>
      <w:lang w:eastAsia="en-AU"/>
      <w14:textFill>
        <w14:solidFill>
          <w14:srgbClr w14:val="808080">
            <w14:lumMod w14:val="50000"/>
            <w14:lumOff w14:val="50000"/>
            <w14:lumMod w14:val="50000"/>
            <w14:lumOff w14:val="50000"/>
            <w14:lumMod w14:val="50000"/>
          </w14:srgbClr>
        </w14:solidFill>
      </w14:textFill>
    </w:rPr>
  </w:style>
  <w:style w:type="character" w:customStyle="1" w:styleId="TOC1Char">
    <w:name w:val="TOC 1 Char"/>
    <w:basedOn w:val="DefaultParagraphFont"/>
    <w:link w:val="TOC1"/>
    <w:rsid w:val="00E93942"/>
    <w:rPr>
      <w:rFonts w:ascii="Arial" w:eastAsia="Times New Roman" w:hAnsi="Arial" w:cs="Times New Roman"/>
      <w:b/>
      <w:sz w:val="26"/>
      <w:szCs w:val="26"/>
    </w:rPr>
  </w:style>
  <w:style w:type="paragraph" w:customStyle="1" w:styleId="Heading1NotTOC">
    <w:name w:val="Heading 1 Not TOC"/>
    <w:basedOn w:val="Heading1"/>
    <w:next w:val="BodyText"/>
    <w:rsid w:val="00E93942"/>
    <w:rPr>
      <w:kern w:val="28"/>
      <w:szCs w:val="26"/>
      <w:lang w:eastAsia="en-US"/>
    </w:rPr>
  </w:style>
  <w:style w:type="paragraph" w:styleId="NormalWeb">
    <w:name w:val="Normal (Web)"/>
    <w:basedOn w:val="Normal"/>
    <w:uiPriority w:val="99"/>
    <w:unhideWhenUsed/>
    <w:rsid w:val="00E93942"/>
    <w:pPr>
      <w:spacing w:after="150"/>
    </w:pPr>
  </w:style>
  <w:style w:type="paragraph" w:customStyle="1" w:styleId="Tablebullet">
    <w:name w:val="Table bullet"/>
    <w:basedOn w:val="Normal"/>
    <w:qFormat/>
    <w:rsid w:val="00E93942"/>
    <w:pPr>
      <w:numPr>
        <w:numId w:val="20"/>
      </w:numPr>
      <w:spacing w:line="240" w:lineRule="atLeast"/>
    </w:pPr>
    <w:rPr>
      <w:rFonts w:ascii="Arial" w:hAnsi="Arial" w:cs="Arial"/>
      <w:sz w:val="22"/>
      <w:lang w:eastAsia="en-US"/>
    </w:rPr>
  </w:style>
  <w:style w:type="paragraph" w:styleId="PlainText">
    <w:name w:val="Plain Text"/>
    <w:basedOn w:val="Normal"/>
    <w:link w:val="PlainTextChar"/>
    <w:uiPriority w:val="99"/>
    <w:unhideWhenUsed/>
    <w:rsid w:val="00E93942"/>
    <w:rPr>
      <w:rFonts w:ascii="Courier New" w:hAnsi="Courier New" w:cs="Courier New"/>
      <w:sz w:val="20"/>
      <w:szCs w:val="20"/>
    </w:rPr>
  </w:style>
  <w:style w:type="character" w:customStyle="1" w:styleId="PlainTextChar">
    <w:name w:val="Plain Text Char"/>
    <w:basedOn w:val="DefaultParagraphFont"/>
    <w:link w:val="PlainText"/>
    <w:uiPriority w:val="99"/>
    <w:rsid w:val="00E93942"/>
    <w:rPr>
      <w:rFonts w:ascii="Courier New" w:eastAsia="Times New Roman" w:hAnsi="Courier New" w:cs="Courier New"/>
      <w:sz w:val="20"/>
      <w:szCs w:val="20"/>
      <w:lang w:eastAsia="en-AU"/>
    </w:rPr>
  </w:style>
  <w:style w:type="paragraph" w:styleId="Revision">
    <w:name w:val="Revision"/>
    <w:hidden/>
    <w:uiPriority w:val="99"/>
    <w:semiHidden/>
    <w:rsid w:val="00E93942"/>
    <w:pPr>
      <w:spacing w:after="0" w:line="240" w:lineRule="auto"/>
    </w:pPr>
    <w:rPr>
      <w:rFonts w:ascii="Times New Roman" w:eastAsia="Times New Roman" w:hAnsi="Times New Roman" w:cs="Times New Roman"/>
      <w:sz w:val="24"/>
      <w:szCs w:val="24"/>
      <w:lang w:eastAsia="en-AU"/>
    </w:rPr>
  </w:style>
  <w:style w:type="character" w:customStyle="1" w:styleId="BoxListBulletChar">
    <w:name w:val="Box List Bullet Char"/>
    <w:basedOn w:val="BoxChar"/>
    <w:link w:val="BoxListBullet"/>
    <w:rsid w:val="00E93942"/>
    <w:rPr>
      <w:rFonts w:ascii="Arial" w:eastAsia="Times New Roman" w:hAnsi="Arial" w:cs="Times New Roman"/>
      <w:sz w:val="20"/>
      <w:szCs w:val="20"/>
      <w:lang w:eastAsia="en-AU"/>
    </w:rPr>
  </w:style>
  <w:style w:type="character" w:customStyle="1" w:styleId="TableBodyTextChar">
    <w:name w:val="Table Body Text Char"/>
    <w:link w:val="TableBodyText"/>
    <w:rsid w:val="00E93942"/>
    <w:rPr>
      <w:rFonts w:ascii="Arial" w:eastAsia="Times New Roman" w:hAnsi="Arial" w:cs="Times New Roman"/>
      <w:sz w:val="18"/>
      <w:szCs w:val="20"/>
      <w:lang w:eastAsia="en-AU"/>
    </w:rPr>
  </w:style>
  <w:style w:type="character" w:customStyle="1" w:styleId="Continuedintitle">
    <w:name w:val="Continued (in title)"/>
    <w:basedOn w:val="DefaultParagraphFont"/>
    <w:rsid w:val="00E93942"/>
    <w:rPr>
      <w:rFonts w:ascii="Arial" w:hAnsi="Arial"/>
      <w:b/>
      <w:sz w:val="18"/>
    </w:rPr>
  </w:style>
  <w:style w:type="character" w:customStyle="1" w:styleId="BoxTitleChar">
    <w:name w:val="Box Title Char"/>
    <w:basedOn w:val="DefaultParagraphFont"/>
    <w:link w:val="BoxTitle"/>
    <w:rsid w:val="00E93942"/>
    <w:rPr>
      <w:rFonts w:ascii="Arial" w:eastAsia="Times New Roman" w:hAnsi="Arial" w:cs="Times New Roman"/>
      <w:b/>
      <w:sz w:val="24"/>
      <w:szCs w:val="24"/>
      <w:lang w:eastAsia="en-AU"/>
    </w:rPr>
  </w:style>
  <w:style w:type="character" w:styleId="PlaceholderText">
    <w:name w:val="Placeholder Text"/>
    <w:basedOn w:val="DefaultParagraphFont"/>
    <w:uiPriority w:val="99"/>
    <w:semiHidden/>
    <w:rsid w:val="00E93942"/>
    <w:rPr>
      <w:color w:val="808080"/>
    </w:rPr>
  </w:style>
  <w:style w:type="paragraph" w:styleId="TOCHeading">
    <w:name w:val="TOC Heading"/>
    <w:basedOn w:val="Heading1"/>
    <w:next w:val="Normal"/>
    <w:uiPriority w:val="39"/>
    <w:unhideWhenUsed/>
    <w:qFormat/>
    <w:rsid w:val="00E93942"/>
    <w:pPr>
      <w:keepLines/>
      <w:spacing w:before="240" w:after="0" w:line="259" w:lineRule="auto"/>
      <w:ind w:left="0" w:firstLine="0"/>
      <w:outlineLvl w:val="9"/>
    </w:pPr>
    <w:rPr>
      <w:rFonts w:asciiTheme="majorHAnsi" w:eastAsiaTheme="majorEastAsia" w:hAnsiTheme="majorHAnsi" w:cstheme="majorBidi"/>
      <w:color w:val="365F91" w:themeColor="accent1" w:themeShade="BF"/>
      <w:sz w:val="32"/>
      <w:szCs w:val="32"/>
      <w:lang w:val="en-US" w:eastAsia="en-US"/>
    </w:rPr>
  </w:style>
  <w:style w:type="character" w:customStyle="1" w:styleId="BoxListBullet2Char">
    <w:name w:val="Box List Bullet 2 Char"/>
    <w:basedOn w:val="BoxChar"/>
    <w:link w:val="BoxListBullet2"/>
    <w:rsid w:val="00E93942"/>
    <w:rPr>
      <w:rFonts w:ascii="Arial" w:eastAsia="Times New Roman" w:hAnsi="Arial" w:cs="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E3E10-E9F7-4B03-92E2-653C5EB1B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20</Pages>
  <Words>6427</Words>
  <Characters>36634</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Section 10 Primary and community health - Report on Government Services 2021</vt:lpstr>
    </vt:vector>
  </TitlesOfParts>
  <Company>Productivity Commission</Company>
  <LinksUpToDate>false</LinksUpToDate>
  <CharactersWithSpaces>42976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 Primary and community health - Report on Government Services 2021</dc:title>
  <dc:subject/>
  <dc:creator>Steering Committee for the Review of Goverment Service Provision</dc:creator>
  <cp:keywords/>
  <dc:description/>
  <cp:lastModifiedBy>Munce, Melissa</cp:lastModifiedBy>
  <cp:revision>10</cp:revision>
  <cp:lastPrinted>2020-12-13T23:23:00Z</cp:lastPrinted>
  <dcterms:created xsi:type="dcterms:W3CDTF">2020-12-08T23:37:00Z</dcterms:created>
  <dcterms:modified xsi:type="dcterms:W3CDTF">2020-12-16T03:30:00Z</dcterms:modified>
</cp:coreProperties>
</file>