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D380D" w14:textId="594C711B" w:rsidR="002A0DF1" w:rsidRDefault="002A0DF1" w:rsidP="002A0DF1">
      <w:pPr>
        <w:pStyle w:val="Heading1"/>
      </w:pPr>
      <w:bookmarkStart w:id="0" w:name="_Toc338082263"/>
      <w:bookmarkStart w:id="1" w:name="_Toc340063209"/>
      <w:bookmarkStart w:id="2" w:name="_Toc401156652"/>
      <w:bookmarkStart w:id="3" w:name="_Toc430790758"/>
      <w:bookmarkStart w:id="4" w:name="_Toc458687988"/>
      <w:bookmarkStart w:id="5" w:name="_Toc21937635"/>
      <w:bookmarkStart w:id="6" w:name="_Toc41892757"/>
      <w:r>
        <w:t>11</w:t>
      </w:r>
      <w:r>
        <w:tab/>
      </w:r>
      <w:bookmarkEnd w:id="0"/>
      <w:bookmarkEnd w:id="1"/>
      <w:bookmarkEnd w:id="2"/>
      <w:bookmarkEnd w:id="3"/>
      <w:bookmarkEnd w:id="4"/>
      <w:r>
        <w:t>Ambulance services interpretative materia</w:t>
      </w:r>
      <w:bookmarkEnd w:id="5"/>
      <w:bookmarkEnd w:id="6"/>
      <w:r w:rsidR="00D76414">
        <w:t>l</w:t>
      </w:r>
    </w:p>
    <w:bookmarkStart w:id="7" w:name="begin" w:displacedByCustomXml="next"/>
    <w:bookmarkEnd w:id="7" w:displacedByCustomXml="next"/>
    <w:sdt>
      <w:sdtPr>
        <w:rPr>
          <w:rFonts w:ascii="Times New Roman" w:hAnsi="Times New Roman"/>
          <w:b w:val="0"/>
          <w:kern w:val="28"/>
          <w:sz w:val="52"/>
          <w:szCs w:val="20"/>
          <w:lang w:eastAsia="en-AU"/>
        </w:rPr>
        <w:id w:val="-1727060330"/>
        <w:docPartObj>
          <w:docPartGallery w:val="Table of Contents"/>
          <w:docPartUnique/>
        </w:docPartObj>
      </w:sdtPr>
      <w:sdtEndPr>
        <w:rPr>
          <w:rFonts w:ascii="Arial" w:hAnsi="Arial"/>
          <w:b/>
          <w:kern w:val="0"/>
          <w:sz w:val="26"/>
          <w:szCs w:val="26"/>
          <w:lang w:eastAsia="en-US"/>
        </w:rPr>
      </w:sdtEndPr>
      <w:sdtContent>
        <w:p w14:paraId="38752CA6" w14:textId="303773AA" w:rsidR="00E55138" w:rsidRPr="003868A8" w:rsidRDefault="00E55138">
          <w:pPr>
            <w:pStyle w:val="TOC1"/>
            <w:rPr>
              <w:rFonts w:asciiTheme="minorHAnsi" w:eastAsiaTheme="minorEastAsia" w:hAnsiTheme="minorHAnsi" w:cstheme="minorBidi"/>
              <w:b w:val="0"/>
              <w:noProof/>
              <w:sz w:val="22"/>
              <w:szCs w:val="22"/>
              <w:lang w:eastAsia="en-AU"/>
            </w:rPr>
          </w:pPr>
          <w:r w:rsidRPr="001E0B37">
            <w:rPr>
              <w:rStyle w:val="Hyperlink"/>
              <w:noProof/>
              <w:u w:val="none"/>
            </w:rPr>
            <w:t>11</w:t>
          </w:r>
          <w:r w:rsidRPr="003868A8">
            <w:rPr>
              <w:rFonts w:asciiTheme="minorHAnsi" w:eastAsiaTheme="minorEastAsia" w:hAnsiTheme="minorHAnsi" w:cstheme="minorBidi"/>
              <w:b w:val="0"/>
              <w:noProof/>
              <w:sz w:val="22"/>
              <w:szCs w:val="22"/>
              <w:lang w:eastAsia="en-AU"/>
            </w:rPr>
            <w:tab/>
          </w:r>
          <w:r w:rsidRPr="001E0B37">
            <w:rPr>
              <w:rStyle w:val="Hyperlink"/>
              <w:noProof/>
              <w:u w:val="none"/>
            </w:rPr>
            <w:t>Ambulance services interpretative material</w:t>
          </w:r>
          <w:r w:rsidRPr="003868A8">
            <w:rPr>
              <w:noProof/>
              <w:webHidden/>
            </w:rPr>
            <w:tab/>
            <w:t>11.</w:t>
          </w:r>
          <w:r w:rsidR="003868A8" w:rsidRPr="003868A8">
            <w:rPr>
              <w:noProof/>
              <w:webHidden/>
            </w:rPr>
            <w:t>1</w:t>
          </w:r>
        </w:p>
        <w:p w14:paraId="023E9C5F" w14:textId="6C87DE99" w:rsidR="00E55138" w:rsidRPr="003868A8" w:rsidRDefault="00E55138">
          <w:pPr>
            <w:pStyle w:val="TOC2"/>
            <w:rPr>
              <w:rFonts w:asciiTheme="minorHAnsi" w:eastAsiaTheme="minorEastAsia" w:hAnsiTheme="minorHAnsi" w:cstheme="minorBidi"/>
              <w:noProof/>
              <w:sz w:val="22"/>
              <w:szCs w:val="22"/>
              <w:lang w:eastAsia="en-AU"/>
            </w:rPr>
          </w:pPr>
          <w:r w:rsidRPr="001E0B37">
            <w:rPr>
              <w:rStyle w:val="Hyperlink"/>
              <w:noProof/>
              <w:u w:val="none"/>
            </w:rPr>
            <w:t>11.1   Indicators</w:t>
          </w:r>
          <w:r w:rsidRPr="003868A8">
            <w:rPr>
              <w:noProof/>
              <w:webHidden/>
            </w:rPr>
            <w:tab/>
            <w:t>11.</w:t>
          </w:r>
          <w:r w:rsidR="003868A8" w:rsidRPr="003868A8">
            <w:rPr>
              <w:noProof/>
              <w:webHidden/>
            </w:rPr>
            <w:t>2</w:t>
          </w:r>
        </w:p>
        <w:p w14:paraId="3701A79A" w14:textId="191794F3" w:rsidR="00E55138" w:rsidRPr="003868A8" w:rsidRDefault="00E55138">
          <w:pPr>
            <w:pStyle w:val="TOC3"/>
            <w:rPr>
              <w:rFonts w:asciiTheme="minorHAnsi" w:eastAsiaTheme="minorEastAsia" w:hAnsiTheme="minorHAnsi" w:cstheme="minorBidi"/>
              <w:noProof/>
              <w:sz w:val="22"/>
              <w:szCs w:val="22"/>
              <w:lang w:eastAsia="en-AU"/>
            </w:rPr>
          </w:pPr>
          <w:r w:rsidRPr="001E0B37">
            <w:rPr>
              <w:rStyle w:val="Hyperlink"/>
              <w:noProof/>
              <w:u w:val="none"/>
            </w:rPr>
            <w:t>Outputs</w:t>
          </w:r>
          <w:r w:rsidRPr="003868A8">
            <w:rPr>
              <w:noProof/>
              <w:webHidden/>
            </w:rPr>
            <w:tab/>
            <w:t>11.</w:t>
          </w:r>
          <w:r w:rsidR="003868A8" w:rsidRPr="003868A8">
            <w:rPr>
              <w:noProof/>
              <w:webHidden/>
            </w:rPr>
            <w:t>2</w:t>
          </w:r>
        </w:p>
        <w:p w14:paraId="5587968A" w14:textId="0ABAA624" w:rsidR="00E55138" w:rsidRPr="003868A8" w:rsidRDefault="00E55138">
          <w:pPr>
            <w:pStyle w:val="TOC3"/>
            <w:rPr>
              <w:rFonts w:asciiTheme="minorHAnsi" w:eastAsiaTheme="minorEastAsia" w:hAnsiTheme="minorHAnsi" w:cstheme="minorBidi"/>
              <w:noProof/>
              <w:sz w:val="22"/>
              <w:szCs w:val="22"/>
              <w:lang w:eastAsia="en-AU"/>
            </w:rPr>
          </w:pPr>
          <w:r w:rsidRPr="001E0B37">
            <w:rPr>
              <w:rStyle w:val="Hyperlink"/>
              <w:noProof/>
              <w:u w:val="none"/>
            </w:rPr>
            <w:t>Equity</w:t>
          </w:r>
          <w:r w:rsidRPr="003868A8">
            <w:rPr>
              <w:noProof/>
              <w:webHidden/>
            </w:rPr>
            <w:tab/>
            <w:t>11.</w:t>
          </w:r>
          <w:r w:rsidR="003868A8" w:rsidRPr="003868A8">
            <w:rPr>
              <w:noProof/>
              <w:webHidden/>
            </w:rPr>
            <w:t>2</w:t>
          </w:r>
        </w:p>
        <w:p w14:paraId="4DA70393" w14:textId="2FC6F236" w:rsidR="00E55138" w:rsidRPr="003868A8" w:rsidRDefault="00E55138">
          <w:pPr>
            <w:pStyle w:val="TOC4"/>
            <w:rPr>
              <w:rFonts w:asciiTheme="minorHAnsi" w:eastAsiaTheme="minorEastAsia" w:hAnsiTheme="minorHAnsi" w:cstheme="minorBidi"/>
              <w:noProof/>
              <w:sz w:val="22"/>
              <w:szCs w:val="22"/>
              <w:lang w:eastAsia="en-AU"/>
            </w:rPr>
          </w:pPr>
          <w:r w:rsidRPr="001E0B37">
            <w:rPr>
              <w:rStyle w:val="Hyperlink"/>
              <w:noProof/>
              <w:u w:val="none"/>
            </w:rPr>
            <w:t>Access — Response times by geographic location</w:t>
          </w:r>
          <w:r w:rsidRPr="003868A8">
            <w:rPr>
              <w:noProof/>
              <w:webHidden/>
            </w:rPr>
            <w:tab/>
            <w:t>11.</w:t>
          </w:r>
          <w:r w:rsidR="003868A8" w:rsidRPr="003868A8">
            <w:rPr>
              <w:noProof/>
              <w:webHidden/>
            </w:rPr>
            <w:t>2</w:t>
          </w:r>
        </w:p>
        <w:p w14:paraId="1B40F745" w14:textId="126430BA" w:rsidR="00E55138" w:rsidRPr="003868A8" w:rsidRDefault="00E55138">
          <w:pPr>
            <w:pStyle w:val="TOC4"/>
            <w:rPr>
              <w:rFonts w:asciiTheme="minorHAnsi" w:eastAsiaTheme="minorEastAsia" w:hAnsiTheme="minorHAnsi" w:cstheme="minorBidi"/>
              <w:noProof/>
              <w:sz w:val="22"/>
              <w:szCs w:val="22"/>
              <w:lang w:eastAsia="en-AU"/>
            </w:rPr>
          </w:pPr>
          <w:r w:rsidRPr="001E0B37">
            <w:rPr>
              <w:rStyle w:val="Hyperlink"/>
              <w:noProof/>
              <w:u w:val="none"/>
            </w:rPr>
            <w:t>Appropriateness — Clinical — Pain management</w:t>
          </w:r>
          <w:r w:rsidRPr="003868A8">
            <w:rPr>
              <w:noProof/>
              <w:webHidden/>
            </w:rPr>
            <w:tab/>
            <w:t>11.</w:t>
          </w:r>
          <w:r w:rsidR="003868A8" w:rsidRPr="003868A8">
            <w:rPr>
              <w:noProof/>
              <w:webHidden/>
            </w:rPr>
            <w:t>4</w:t>
          </w:r>
        </w:p>
        <w:p w14:paraId="265AD5E1" w14:textId="34AFA225" w:rsidR="00E55138" w:rsidRPr="003868A8" w:rsidRDefault="00E55138">
          <w:pPr>
            <w:pStyle w:val="TOC4"/>
            <w:rPr>
              <w:rFonts w:asciiTheme="minorHAnsi" w:eastAsiaTheme="minorEastAsia" w:hAnsiTheme="minorHAnsi" w:cstheme="minorBidi"/>
              <w:noProof/>
              <w:sz w:val="22"/>
              <w:szCs w:val="22"/>
              <w:lang w:eastAsia="en-AU"/>
            </w:rPr>
          </w:pPr>
          <w:r w:rsidRPr="001E0B37">
            <w:rPr>
              <w:rStyle w:val="Hyperlink"/>
              <w:noProof/>
              <w:u w:val="none"/>
            </w:rPr>
            <w:t>Quality — Safety — Sentinel events</w:t>
          </w:r>
          <w:r w:rsidRPr="003868A8">
            <w:rPr>
              <w:noProof/>
              <w:webHidden/>
            </w:rPr>
            <w:tab/>
            <w:t>11.</w:t>
          </w:r>
          <w:r w:rsidR="003868A8" w:rsidRPr="003868A8">
            <w:rPr>
              <w:noProof/>
              <w:webHidden/>
            </w:rPr>
            <w:t>5</w:t>
          </w:r>
        </w:p>
        <w:p w14:paraId="05CBDAFB" w14:textId="59AB84F9" w:rsidR="00E55138" w:rsidRPr="003868A8" w:rsidRDefault="00E55138">
          <w:pPr>
            <w:pStyle w:val="TOC4"/>
            <w:rPr>
              <w:rFonts w:asciiTheme="minorHAnsi" w:eastAsiaTheme="minorEastAsia" w:hAnsiTheme="minorHAnsi" w:cstheme="minorBidi"/>
              <w:noProof/>
              <w:sz w:val="22"/>
              <w:szCs w:val="22"/>
              <w:lang w:eastAsia="en-AU"/>
            </w:rPr>
          </w:pPr>
          <w:r w:rsidRPr="001E0B37">
            <w:rPr>
              <w:rStyle w:val="Hyperlink"/>
              <w:noProof/>
              <w:u w:val="none"/>
            </w:rPr>
            <w:t>Quality — Responsiveness — Patient satisfaction</w:t>
          </w:r>
          <w:r w:rsidRPr="003868A8">
            <w:rPr>
              <w:noProof/>
              <w:webHidden/>
            </w:rPr>
            <w:tab/>
            <w:t>11.</w:t>
          </w:r>
          <w:r w:rsidR="003868A8" w:rsidRPr="003868A8">
            <w:rPr>
              <w:noProof/>
              <w:webHidden/>
            </w:rPr>
            <w:t>5</w:t>
          </w:r>
        </w:p>
        <w:p w14:paraId="789C722C" w14:textId="33AAC00E" w:rsidR="00E55138" w:rsidRPr="003868A8" w:rsidRDefault="00E55138">
          <w:pPr>
            <w:pStyle w:val="TOC4"/>
            <w:rPr>
              <w:rFonts w:asciiTheme="minorHAnsi" w:eastAsiaTheme="minorEastAsia" w:hAnsiTheme="minorHAnsi" w:cstheme="minorBidi"/>
              <w:noProof/>
              <w:sz w:val="22"/>
              <w:szCs w:val="22"/>
              <w:lang w:eastAsia="en-AU"/>
            </w:rPr>
          </w:pPr>
          <w:r w:rsidRPr="001E0B37">
            <w:rPr>
              <w:rStyle w:val="Hyperlink"/>
              <w:noProof/>
              <w:u w:val="none"/>
            </w:rPr>
            <w:t>Sustainability — Ambulance workforce</w:t>
          </w:r>
          <w:r w:rsidRPr="003868A8">
            <w:rPr>
              <w:noProof/>
              <w:webHidden/>
            </w:rPr>
            <w:tab/>
            <w:t>11.</w:t>
          </w:r>
          <w:r w:rsidR="003868A8" w:rsidRPr="003868A8">
            <w:rPr>
              <w:noProof/>
              <w:webHidden/>
            </w:rPr>
            <w:t>7</w:t>
          </w:r>
        </w:p>
        <w:p w14:paraId="24D4FB85" w14:textId="2A173856" w:rsidR="00E55138" w:rsidRPr="003868A8" w:rsidRDefault="00E55138">
          <w:pPr>
            <w:pStyle w:val="TOC3"/>
            <w:rPr>
              <w:rFonts w:asciiTheme="minorHAnsi" w:eastAsiaTheme="minorEastAsia" w:hAnsiTheme="minorHAnsi" w:cstheme="minorBidi"/>
              <w:noProof/>
              <w:sz w:val="22"/>
              <w:szCs w:val="22"/>
              <w:lang w:eastAsia="en-AU"/>
            </w:rPr>
          </w:pPr>
          <w:r w:rsidRPr="001E0B37">
            <w:rPr>
              <w:rStyle w:val="Hyperlink"/>
              <w:noProof/>
              <w:u w:val="none"/>
            </w:rPr>
            <w:t>Efficiency</w:t>
          </w:r>
          <w:r w:rsidRPr="003868A8">
            <w:rPr>
              <w:noProof/>
              <w:webHidden/>
            </w:rPr>
            <w:tab/>
            <w:t>11.</w:t>
          </w:r>
          <w:r w:rsidR="003868A8" w:rsidRPr="003868A8">
            <w:rPr>
              <w:noProof/>
              <w:webHidden/>
            </w:rPr>
            <w:t>7</w:t>
          </w:r>
        </w:p>
        <w:p w14:paraId="19C1E8C6" w14:textId="309B7608" w:rsidR="00E55138" w:rsidRPr="003868A8" w:rsidRDefault="00E55138">
          <w:pPr>
            <w:pStyle w:val="TOC4"/>
            <w:rPr>
              <w:rFonts w:asciiTheme="minorHAnsi" w:eastAsiaTheme="minorEastAsia" w:hAnsiTheme="minorHAnsi" w:cstheme="minorBidi"/>
              <w:noProof/>
              <w:sz w:val="22"/>
              <w:szCs w:val="22"/>
              <w:lang w:eastAsia="en-AU"/>
            </w:rPr>
          </w:pPr>
          <w:r w:rsidRPr="001E0B37">
            <w:rPr>
              <w:rStyle w:val="Hyperlink"/>
              <w:noProof/>
              <w:u w:val="none"/>
            </w:rPr>
            <w:t>Ambulance services expenditure per person</w:t>
          </w:r>
          <w:r w:rsidRPr="003868A8">
            <w:rPr>
              <w:noProof/>
              <w:webHidden/>
            </w:rPr>
            <w:tab/>
            <w:t>11.</w:t>
          </w:r>
          <w:r w:rsidR="003868A8" w:rsidRPr="003868A8">
            <w:rPr>
              <w:noProof/>
              <w:webHidden/>
            </w:rPr>
            <w:t>7</w:t>
          </w:r>
        </w:p>
        <w:p w14:paraId="3F0BA409" w14:textId="43728DBB" w:rsidR="00E55138" w:rsidRPr="003868A8" w:rsidRDefault="00E55138">
          <w:pPr>
            <w:pStyle w:val="TOC3"/>
            <w:rPr>
              <w:rFonts w:asciiTheme="minorHAnsi" w:eastAsiaTheme="minorEastAsia" w:hAnsiTheme="minorHAnsi" w:cstheme="minorBidi"/>
              <w:noProof/>
              <w:sz w:val="22"/>
              <w:szCs w:val="22"/>
              <w:lang w:eastAsia="en-AU"/>
            </w:rPr>
          </w:pPr>
          <w:r w:rsidRPr="001E0B37">
            <w:rPr>
              <w:rStyle w:val="Hyperlink"/>
              <w:noProof/>
              <w:u w:val="none"/>
            </w:rPr>
            <w:t>Outcomes</w:t>
          </w:r>
          <w:r w:rsidRPr="003868A8">
            <w:rPr>
              <w:noProof/>
              <w:webHidden/>
            </w:rPr>
            <w:tab/>
            <w:t>11.</w:t>
          </w:r>
          <w:r w:rsidR="003868A8" w:rsidRPr="003868A8">
            <w:rPr>
              <w:noProof/>
              <w:webHidden/>
            </w:rPr>
            <w:t>8</w:t>
          </w:r>
        </w:p>
        <w:p w14:paraId="3CA0B846" w14:textId="0585BCBC" w:rsidR="00E55138" w:rsidRPr="003868A8" w:rsidRDefault="00E55138">
          <w:pPr>
            <w:pStyle w:val="TOC4"/>
            <w:rPr>
              <w:rFonts w:asciiTheme="minorHAnsi" w:eastAsiaTheme="minorEastAsia" w:hAnsiTheme="minorHAnsi" w:cstheme="minorBidi"/>
              <w:noProof/>
              <w:sz w:val="22"/>
              <w:szCs w:val="22"/>
              <w:lang w:eastAsia="en-AU"/>
            </w:rPr>
          </w:pPr>
          <w:r w:rsidRPr="001E0B37">
            <w:rPr>
              <w:rStyle w:val="Hyperlink"/>
              <w:noProof/>
              <w:u w:val="none"/>
            </w:rPr>
            <w:t>Cardiac arrest survived event rate</w:t>
          </w:r>
          <w:r w:rsidRPr="003868A8">
            <w:rPr>
              <w:noProof/>
              <w:webHidden/>
            </w:rPr>
            <w:tab/>
            <w:t>11.</w:t>
          </w:r>
          <w:r w:rsidR="003868A8" w:rsidRPr="003868A8">
            <w:rPr>
              <w:noProof/>
              <w:webHidden/>
            </w:rPr>
            <w:t>8</w:t>
          </w:r>
        </w:p>
        <w:p w14:paraId="7CCA2872" w14:textId="07FE8006" w:rsidR="00E55138" w:rsidRPr="003868A8" w:rsidRDefault="00E55138">
          <w:pPr>
            <w:pStyle w:val="TOC2"/>
            <w:tabs>
              <w:tab w:val="left" w:pos="1320"/>
            </w:tabs>
            <w:rPr>
              <w:rFonts w:asciiTheme="minorHAnsi" w:eastAsiaTheme="minorEastAsia" w:hAnsiTheme="minorHAnsi" w:cstheme="minorBidi"/>
              <w:noProof/>
              <w:sz w:val="22"/>
              <w:szCs w:val="22"/>
              <w:lang w:eastAsia="en-AU"/>
            </w:rPr>
          </w:pPr>
          <w:r w:rsidRPr="001E0B37">
            <w:rPr>
              <w:rStyle w:val="Hyperlink"/>
              <w:noProof/>
              <w:u w:val="none"/>
            </w:rPr>
            <w:t>11.2</w:t>
          </w:r>
          <w:r w:rsidRPr="003868A8">
            <w:rPr>
              <w:rFonts w:asciiTheme="minorHAnsi" w:eastAsiaTheme="minorEastAsia" w:hAnsiTheme="minorHAnsi" w:cstheme="minorBidi"/>
              <w:noProof/>
              <w:sz w:val="22"/>
              <w:szCs w:val="22"/>
              <w:lang w:eastAsia="en-AU"/>
            </w:rPr>
            <w:tab/>
          </w:r>
          <w:r w:rsidRPr="001E0B37">
            <w:rPr>
              <w:rStyle w:val="Hyperlink"/>
              <w:noProof/>
              <w:u w:val="none"/>
            </w:rPr>
            <w:t>Definitions of key terms</w:t>
          </w:r>
          <w:r w:rsidRPr="003868A8">
            <w:rPr>
              <w:noProof/>
              <w:webHidden/>
            </w:rPr>
            <w:tab/>
            <w:t>11.</w:t>
          </w:r>
          <w:r w:rsidR="003868A8" w:rsidRPr="003868A8">
            <w:rPr>
              <w:noProof/>
              <w:webHidden/>
            </w:rPr>
            <w:t>10</w:t>
          </w:r>
        </w:p>
        <w:p w14:paraId="727EA781" w14:textId="6DC6A3D3" w:rsidR="00E55138" w:rsidRPr="003868A8" w:rsidRDefault="00E55138">
          <w:pPr>
            <w:pStyle w:val="TOC2"/>
            <w:tabs>
              <w:tab w:val="left" w:pos="1320"/>
            </w:tabs>
            <w:rPr>
              <w:rFonts w:asciiTheme="minorHAnsi" w:eastAsiaTheme="minorEastAsia" w:hAnsiTheme="minorHAnsi" w:cstheme="minorBidi"/>
              <w:noProof/>
              <w:sz w:val="22"/>
              <w:szCs w:val="22"/>
              <w:lang w:eastAsia="en-AU"/>
            </w:rPr>
          </w:pPr>
          <w:r w:rsidRPr="001E0B37">
            <w:rPr>
              <w:rStyle w:val="Hyperlink"/>
              <w:noProof/>
              <w:u w:val="none"/>
            </w:rPr>
            <w:t>11.3</w:t>
          </w:r>
          <w:r w:rsidRPr="003868A8">
            <w:rPr>
              <w:rFonts w:asciiTheme="minorHAnsi" w:eastAsiaTheme="minorEastAsia" w:hAnsiTheme="minorHAnsi" w:cstheme="minorBidi"/>
              <w:noProof/>
              <w:sz w:val="22"/>
              <w:szCs w:val="22"/>
              <w:lang w:eastAsia="en-AU"/>
            </w:rPr>
            <w:tab/>
          </w:r>
          <w:r w:rsidRPr="001E0B37">
            <w:rPr>
              <w:rStyle w:val="Hyperlink"/>
              <w:noProof/>
              <w:u w:val="none"/>
            </w:rPr>
            <w:t>References</w:t>
          </w:r>
          <w:r w:rsidRPr="003868A8">
            <w:rPr>
              <w:noProof/>
              <w:webHidden/>
            </w:rPr>
            <w:tab/>
            <w:t>11.</w:t>
          </w:r>
          <w:r w:rsidR="003868A8" w:rsidRPr="003868A8">
            <w:rPr>
              <w:noProof/>
              <w:webHidden/>
            </w:rPr>
            <w:t>11</w:t>
          </w:r>
        </w:p>
        <w:p w14:paraId="51116BFE" w14:textId="5F21D6BA" w:rsidR="00D932AB" w:rsidRDefault="00EE6EF3" w:rsidP="004165D4">
          <w:pPr>
            <w:pStyle w:val="TOC1"/>
          </w:pPr>
        </w:p>
      </w:sdtContent>
    </w:sdt>
    <w:p w14:paraId="15319107" w14:textId="48D50792" w:rsidR="00B75C40" w:rsidRDefault="00B75C40" w:rsidP="00B75C40">
      <w:pPr>
        <w:pStyle w:val="BodyText"/>
      </w:pPr>
      <w:r w:rsidRPr="00D4325A">
        <w:t xml:space="preserve">The </w:t>
      </w:r>
      <w:r>
        <w:t xml:space="preserve">Ambulance services </w:t>
      </w:r>
      <w:r w:rsidRPr="00D4325A">
        <w:t>interpretative material is supporting material and includes explanations of why indicators have been chosen, and wherever possible, a link to the stated objectives of the service. It includes indicator definitions, technical details defining how the indic</w:t>
      </w:r>
      <w:r>
        <w:t>ator is measured</w:t>
      </w:r>
      <w:r w:rsidRPr="00D4325A">
        <w:t xml:space="preserve"> and guidance on how the indicator is to be interpreted, including caveats and the indicator’s completeness and comparability status.</w:t>
      </w:r>
      <w:r>
        <w:t xml:space="preserve"> </w:t>
      </w:r>
    </w:p>
    <w:p w14:paraId="5DE47E36" w14:textId="6E93045B" w:rsidR="009D76EB" w:rsidRDefault="00B75C40" w:rsidP="001705FB">
      <w:pPr>
        <w:pStyle w:val="BodyText"/>
      </w:pPr>
      <w:r w:rsidRPr="001E7CE2">
        <w:t xml:space="preserve">Further information on the Report on Government Services including other reported service areas, the glossary and list of abbreviations is available at </w:t>
      </w:r>
      <w:r>
        <w:t>https://www.pc.gov.au/research/</w:t>
      </w:r>
      <w:r>
        <w:br/>
        <w:t>ongoing/report</w:t>
      </w:r>
      <w:r>
        <w:noBreakHyphen/>
        <w:t>on</w:t>
      </w:r>
      <w:r>
        <w:noBreakHyphen/>
        <w:t>government</w:t>
      </w:r>
      <w:r>
        <w:noBreakHyphen/>
        <w:t>services</w:t>
      </w:r>
      <w:r w:rsidRPr="00D20472">
        <w:t>.</w:t>
      </w:r>
      <w:bookmarkStart w:id="8" w:name="_GoBack"/>
      <w:bookmarkEnd w:id="8"/>
    </w:p>
    <w:p w14:paraId="34A246E1" w14:textId="1345B3A8" w:rsidR="00B75C40" w:rsidRDefault="005C0079" w:rsidP="00A80EB9">
      <w:pPr>
        <w:pStyle w:val="Heading2"/>
      </w:pPr>
      <w:bookmarkStart w:id="9" w:name="_Toc41892758"/>
      <w:r w:rsidRPr="00B75C40">
        <w:lastRenderedPageBreak/>
        <w:t>11.</w:t>
      </w:r>
      <w:r w:rsidR="00B75C40" w:rsidRPr="00B75C40">
        <w:t>1   Indicators</w:t>
      </w:r>
      <w:bookmarkEnd w:id="9"/>
      <w:r w:rsidR="00B75C40" w:rsidRPr="00B75C40">
        <w:t xml:space="preserve"> </w:t>
      </w:r>
    </w:p>
    <w:p w14:paraId="3ED8D761" w14:textId="437D8836" w:rsidR="00B75C40" w:rsidRDefault="00B75C40" w:rsidP="00B75C40">
      <w:pPr>
        <w:pStyle w:val="BodyText"/>
      </w:pPr>
      <w:r>
        <w:t>Different delivery contexts, locations and types of clients can affect the equity, effectiveness and efficiency of ambulance services.</w:t>
      </w:r>
    </w:p>
    <w:p w14:paraId="1FCB863F" w14:textId="792B1E69" w:rsidR="00B75C40" w:rsidRDefault="00B75C40" w:rsidP="00B75C40">
      <w:pPr>
        <w:pStyle w:val="BodyText"/>
      </w:pPr>
      <w:r>
        <w:t xml:space="preserve">The comparability of performance indicator results </w:t>
      </w:r>
      <w:r w:rsidR="00A90275">
        <w:t xml:space="preserve">is </w:t>
      </w:r>
      <w:r>
        <w:t>shaded in indicator interpretation boxes, figures and data tables as follows:</w:t>
      </w:r>
    </w:p>
    <w:p w14:paraId="5DE9E8D7" w14:textId="77777777" w:rsidR="00B75C40" w:rsidRDefault="00B75C40" w:rsidP="00B75C40">
      <w:pPr>
        <w:pStyle w:val="ListBullet"/>
        <w:numPr>
          <w:ilvl w:val="0"/>
          <w:numId w:val="0"/>
        </w:numPr>
      </w:pPr>
      <w:r w:rsidRPr="00FA2246">
        <w:rPr>
          <w:shd w:val="clear" w:color="auto" w:fill="F15A25"/>
        </w:rPr>
        <w:t xml:space="preserve">    </w:t>
      </w:r>
      <w:r>
        <w:t xml:space="preserve"> D</w:t>
      </w:r>
      <w:r w:rsidRPr="002F2072">
        <w:t>ata are comparable (subject to caveats) across jurisdictions and over time.</w:t>
      </w:r>
    </w:p>
    <w:p w14:paraId="719664A8" w14:textId="77777777" w:rsidR="00B75C40" w:rsidRDefault="00B75C40" w:rsidP="00B75C40">
      <w:pPr>
        <w:pStyle w:val="ListBullet"/>
        <w:numPr>
          <w:ilvl w:val="0"/>
          <w:numId w:val="0"/>
        </w:numPr>
      </w:pPr>
      <w:r w:rsidRPr="00057E12">
        <w:rPr>
          <w:shd w:val="clear" w:color="auto" w:fill="FCDED3"/>
        </w:rPr>
        <w:t xml:space="preserve"> </w:t>
      </w:r>
      <w:r w:rsidRPr="00B10DD8">
        <w:rPr>
          <w:color w:val="FF0000"/>
          <w:shd w:val="clear" w:color="auto" w:fill="FCDED3"/>
        </w:rPr>
        <w:t xml:space="preserve">   </w:t>
      </w:r>
      <w:r>
        <w:t xml:space="preserve"> </w:t>
      </w:r>
      <w:r w:rsidRPr="00E03BC7">
        <w:t>Data are either not comparable (subject to caveats) within jurisdictions over time or are not comparable across jurisdictions or both.</w:t>
      </w:r>
    </w:p>
    <w:p w14:paraId="31A07818" w14:textId="371C5B01" w:rsidR="00B75C40" w:rsidRDefault="00B75C40" w:rsidP="00B75C40">
      <w:pPr>
        <w:pStyle w:val="BodyText"/>
      </w:pPr>
      <w:r>
        <w:t xml:space="preserve">The completeness of performance indicator results </w:t>
      </w:r>
      <w:r w:rsidR="00A90275">
        <w:t xml:space="preserve">is </w:t>
      </w:r>
      <w:r>
        <w:t>shaded in indicator interpretation boxes, figures and data tables as follows:</w:t>
      </w:r>
    </w:p>
    <w:p w14:paraId="742BFC52" w14:textId="77777777" w:rsidR="00B75C40" w:rsidRDefault="00B75C40" w:rsidP="00B75C40">
      <w:pPr>
        <w:pStyle w:val="BodyText"/>
        <w:keepLines/>
      </w:pPr>
      <w:r w:rsidRPr="00FA2246">
        <w:rPr>
          <w:shd w:val="clear" w:color="auto" w:fill="F15A25"/>
        </w:rPr>
        <w:t xml:space="preserve">    </w:t>
      </w:r>
      <w:r>
        <w:t xml:space="preserve"> </w:t>
      </w:r>
      <w:r w:rsidRPr="00E012A1">
        <w:t>Data are complete (subject to caveats) for the current reporting period. All required data are available for all jurisdictions</w:t>
      </w:r>
      <w:r>
        <w:t>.</w:t>
      </w:r>
    </w:p>
    <w:p w14:paraId="567BBA31" w14:textId="77777777" w:rsidR="00B75C40" w:rsidRDefault="00B75C40" w:rsidP="00B75C40">
      <w:pPr>
        <w:pStyle w:val="BodyText"/>
        <w:keepLines/>
      </w:pPr>
      <w:r w:rsidRPr="00057E12">
        <w:rPr>
          <w:shd w:val="clear" w:color="auto" w:fill="FCDED3"/>
        </w:rPr>
        <w:t xml:space="preserve">    </w:t>
      </w:r>
      <w:r>
        <w:t xml:space="preserve"> D</w:t>
      </w:r>
      <w:r w:rsidRPr="00BF7D83">
        <w:t>ata are incomplete for the current reporting period. At least some data were not available.</w:t>
      </w:r>
    </w:p>
    <w:p w14:paraId="63A2D2EC" w14:textId="77777777" w:rsidR="00B75C40" w:rsidRPr="009E5CE0" w:rsidRDefault="00B75C40" w:rsidP="00B75C40">
      <w:pPr>
        <w:pStyle w:val="Heading3"/>
      </w:pPr>
      <w:bookmarkStart w:id="10" w:name="_Toc7693915"/>
      <w:bookmarkStart w:id="11" w:name="_Toc21516148"/>
      <w:bookmarkStart w:id="12" w:name="_Toc41892759"/>
      <w:r w:rsidRPr="00C4061D">
        <w:t>Outputs</w:t>
      </w:r>
      <w:bookmarkEnd w:id="10"/>
      <w:bookmarkEnd w:id="11"/>
      <w:bookmarkEnd w:id="12"/>
    </w:p>
    <w:p w14:paraId="7882A1DD" w14:textId="77777777" w:rsidR="00B75C40" w:rsidRPr="009E5CE0" w:rsidRDefault="00B75C40" w:rsidP="00B75C40">
      <w:pPr>
        <w:pStyle w:val="BodyText"/>
        <w:rPr>
          <w:color w:val="000000" w:themeColor="text1"/>
        </w:rPr>
      </w:pPr>
      <w:r w:rsidRPr="009E5CE0">
        <w:rPr>
          <w:color w:val="000000" w:themeColor="text1"/>
        </w:rPr>
        <w:t xml:space="preserve">Outputs are the services delivered (while outcomes are the impact of these services on the status of an individual or group) (see </w:t>
      </w:r>
      <w:r w:rsidRPr="006D5CEC">
        <w:rPr>
          <w:color w:val="000000" w:themeColor="text1"/>
        </w:rPr>
        <w:t>section 1</w:t>
      </w:r>
      <w:r w:rsidRPr="009E5CE0">
        <w:rPr>
          <w:color w:val="000000" w:themeColor="text1"/>
        </w:rPr>
        <w:t>).</w:t>
      </w:r>
      <w:r>
        <w:rPr>
          <w:color w:val="000000" w:themeColor="text1"/>
        </w:rPr>
        <w:t xml:space="preserve"> Output information is also critical for equitable, efficient and effective management of government services.</w:t>
      </w:r>
    </w:p>
    <w:p w14:paraId="60123C0E" w14:textId="77777777" w:rsidR="005C0079" w:rsidRPr="00606B46" w:rsidRDefault="005C0079" w:rsidP="00D77C32">
      <w:pPr>
        <w:pStyle w:val="Heading3"/>
      </w:pPr>
      <w:bookmarkStart w:id="13" w:name="_Toc41892760"/>
      <w:r w:rsidRPr="00606B46">
        <w:t>Equity</w:t>
      </w:r>
      <w:bookmarkEnd w:id="13"/>
    </w:p>
    <w:p w14:paraId="3696D627" w14:textId="7988BD66" w:rsidR="005C0079" w:rsidRPr="005C0079" w:rsidRDefault="005C0079" w:rsidP="005C0079">
      <w:pPr>
        <w:pStyle w:val="BodyText"/>
      </w:pPr>
      <w:r w:rsidRPr="00934C79">
        <w:rPr>
          <w:rStyle w:val="BoxChar"/>
          <w:rFonts w:ascii="Times New Roman" w:hAnsi="Times New Roman"/>
        </w:rPr>
        <w:t xml:space="preserve">Equity indicators measure how well a service is meeting the needs of </w:t>
      </w:r>
      <w:proofErr w:type="gramStart"/>
      <w:r w:rsidRPr="00934C79">
        <w:rPr>
          <w:rStyle w:val="BoxChar"/>
          <w:rFonts w:ascii="Times New Roman" w:hAnsi="Times New Roman"/>
        </w:rPr>
        <w:t>particular groups</w:t>
      </w:r>
      <w:proofErr w:type="gramEnd"/>
      <w:r w:rsidRPr="00934C79">
        <w:rPr>
          <w:rStyle w:val="BoxChar"/>
          <w:rFonts w:ascii="Times New Roman" w:hAnsi="Times New Roman"/>
        </w:rPr>
        <w:t xml:space="preserve"> that have special needs or difficulties in accessing government services. Data on ambulance services provided to special needs groups are not available. However, indicators presented do provide information on whether ambulance services are</w:t>
      </w:r>
      <w:r w:rsidRPr="00934C79">
        <w:t xml:space="preserve"> equally accessible to everyone in the community with a similar level of </w:t>
      </w:r>
      <w:r w:rsidR="00A371BE">
        <w:t xml:space="preserve">need. </w:t>
      </w:r>
    </w:p>
    <w:p w14:paraId="53A273AD" w14:textId="77777777" w:rsidR="005C0079" w:rsidRPr="00606B46" w:rsidRDefault="005C0079" w:rsidP="00606B46">
      <w:pPr>
        <w:pStyle w:val="Heading4"/>
      </w:pPr>
      <w:bookmarkStart w:id="14" w:name="_Toc41892761"/>
      <w:r w:rsidRPr="00606B46">
        <w:t>Access — Response times by geographic location</w:t>
      </w:r>
      <w:bookmarkEnd w:id="14"/>
    </w:p>
    <w:p w14:paraId="1A3CA810" w14:textId="3AF37AAA" w:rsidR="005C0079" w:rsidRDefault="005C0079" w:rsidP="005C0079">
      <w:pPr>
        <w:pStyle w:val="BodyText"/>
      </w:pPr>
      <w:r w:rsidRPr="00934C79">
        <w:t>‘</w:t>
      </w:r>
      <w:r>
        <w:t>Response times by geographic location’ is an</w:t>
      </w:r>
      <w:r w:rsidRPr="00934C79">
        <w:t xml:space="preserve"> indicator of governments’ objective to provide </w:t>
      </w:r>
      <w:r w:rsidR="00F740C5">
        <w:t xml:space="preserve">ambulance services in an </w:t>
      </w:r>
      <w:r>
        <w:t xml:space="preserve">accessible </w:t>
      </w:r>
      <w:r w:rsidRPr="00934C79">
        <w:t xml:space="preserve">manner (box </w:t>
      </w:r>
      <w:r>
        <w:t>11.</w:t>
      </w:r>
      <w:r w:rsidR="002B3BB0">
        <w:t>1</w:t>
      </w:r>
      <w:r w:rsidRPr="00934C79">
        <w:t>).</w:t>
      </w:r>
    </w:p>
    <w:p w14:paraId="24083D17" w14:textId="7FC056BE" w:rsidR="005C0079" w:rsidRDefault="005C007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C0079" w14:paraId="390BC76A" w14:textId="77777777" w:rsidTr="00824BAA">
        <w:trPr>
          <w:tblHeader/>
        </w:trPr>
        <w:tc>
          <w:tcPr>
            <w:tcW w:w="5000" w:type="pct"/>
            <w:tcBorders>
              <w:top w:val="single" w:sz="6" w:space="0" w:color="78A22F"/>
              <w:left w:val="nil"/>
              <w:bottom w:val="nil"/>
              <w:right w:val="nil"/>
            </w:tcBorders>
            <w:shd w:val="clear" w:color="auto" w:fill="F2F2F2"/>
          </w:tcPr>
          <w:p w14:paraId="6B1C5593" w14:textId="7721861B" w:rsidR="005C0079" w:rsidRDefault="005C0079" w:rsidP="005C0079">
            <w:pPr>
              <w:pStyle w:val="BoxTitle"/>
            </w:pPr>
            <w:r>
              <w:rPr>
                <w:b w:val="0"/>
              </w:rPr>
              <w:t>Box 11.</w:t>
            </w:r>
            <w:r w:rsidR="002B3BB0">
              <w:rPr>
                <w:b w:val="0"/>
              </w:rPr>
              <w:t>1</w:t>
            </w:r>
            <w:r>
              <w:tab/>
              <w:t>Response times by geographic location</w:t>
            </w:r>
          </w:p>
        </w:tc>
      </w:tr>
      <w:tr w:rsidR="005C0079" w14:paraId="4332975C" w14:textId="77777777" w:rsidTr="00824BAA">
        <w:tc>
          <w:tcPr>
            <w:tcW w:w="5000" w:type="pct"/>
            <w:tcBorders>
              <w:top w:val="nil"/>
              <w:left w:val="nil"/>
              <w:bottom w:val="nil"/>
              <w:right w:val="nil"/>
            </w:tcBorders>
            <w:shd w:val="clear" w:color="auto" w:fill="F2F2F2"/>
          </w:tcPr>
          <w:p w14:paraId="13EDED46" w14:textId="1DA05137" w:rsidR="005C0079" w:rsidRDefault="005C0079" w:rsidP="00824BAA">
            <w:pPr>
              <w:pStyle w:val="Box"/>
            </w:pPr>
            <w:r>
              <w:t>‘</w:t>
            </w:r>
            <w:r w:rsidRPr="00186A6A">
              <w:t>Response times by geographical area' is defined as the time taken between the initial receipt of the call for an emergency at the communications centre, and the arrival of the first responding ambulance resource at the scene of an emergency code 1 incident</w:t>
            </w:r>
            <w:r w:rsidR="00361CE1">
              <w:t xml:space="preserve"> </w:t>
            </w:r>
            <w:r>
              <w:t>(illust</w:t>
            </w:r>
            <w:r w:rsidR="006476B1">
              <w:t>rate</w:t>
            </w:r>
            <w:r w:rsidR="00872BCE">
              <w:t>d</w:t>
            </w:r>
            <w:r w:rsidR="006476B1">
              <w:t xml:space="preserve"> </w:t>
            </w:r>
            <w:r>
              <w:t>below)</w:t>
            </w:r>
            <w:r w:rsidR="00024633">
              <w:t xml:space="preserve">. </w:t>
            </w:r>
          </w:p>
          <w:p w14:paraId="29B46003" w14:textId="77777777" w:rsidR="005C0079" w:rsidRDefault="005C0079" w:rsidP="00824BAA">
            <w:pPr>
              <w:pStyle w:val="Box"/>
            </w:pPr>
            <w:r>
              <w:rPr>
                <w:noProof/>
              </w:rPr>
              <w:drawing>
                <wp:inline distT="0" distB="0" distL="0" distR="0" wp14:anchorId="36BA1CA4" wp14:editId="1CE99AFE">
                  <wp:extent cx="5349240" cy="1614791"/>
                  <wp:effectExtent l="0" t="0" r="3810" b="5080"/>
                  <wp:docPr id="6" name="Picture 6" descr="Figure in box 11.2 on process flow for response times from triple zero call through to clearance of case after arrival at medical cent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5381" cy="1616645"/>
                          </a:xfrm>
                          <a:prstGeom prst="rect">
                            <a:avLst/>
                          </a:prstGeom>
                          <a:noFill/>
                          <a:ln>
                            <a:noFill/>
                          </a:ln>
                        </pic:spPr>
                      </pic:pic>
                    </a:graphicData>
                  </a:graphic>
                </wp:inline>
              </w:drawing>
            </w:r>
          </w:p>
          <w:p w14:paraId="07D414CE" w14:textId="1ADAFA24" w:rsidR="005C0079" w:rsidRDefault="005C0079" w:rsidP="005C0079">
            <w:pPr>
              <w:pStyle w:val="Box"/>
            </w:pPr>
            <w:r>
              <w:t xml:space="preserve">Response times are calculated for the 50th and 90th </w:t>
            </w:r>
            <w:r w:rsidRPr="004521E2">
              <w:t>percentile — the time (in minutes) within which 50 per cent and 90 per cent of the first responding ambulance resources arrive at the scene of an emergency code 1 incident</w:t>
            </w:r>
            <w:r>
              <w:t>. D</w:t>
            </w:r>
            <w:r w:rsidRPr="004521E2">
              <w:t>ifferences across jurisdictions in the geography, personnel mix, and system type for capturing data, affect response times</w:t>
            </w:r>
            <w:r>
              <w:t>.</w:t>
            </w:r>
          </w:p>
          <w:p w14:paraId="6E2EE1C6" w14:textId="07D4A094" w:rsidR="005C0079" w:rsidRDefault="005C0079" w:rsidP="005C0079">
            <w:pPr>
              <w:pStyle w:val="Box"/>
              <w:rPr>
                <w:lang w:eastAsia="en-US"/>
              </w:rPr>
            </w:pPr>
            <w:r w:rsidRPr="001D374A">
              <w:rPr>
                <w:color w:val="000000" w:themeColor="text1"/>
              </w:rPr>
              <w:t>Short or decreasing response times suggest the adverse effects on patients and the community of emergencies requiring ambulance services are reduced</w:t>
            </w:r>
            <w:r w:rsidRPr="00CF6CCF">
              <w:t xml:space="preserve">. </w:t>
            </w:r>
            <w:r w:rsidRPr="00CF6CCF">
              <w:rPr>
                <w:lang w:eastAsia="en-US"/>
              </w:rPr>
              <w:t>Similar response times across geographic areas indicat</w:t>
            </w:r>
            <w:r w:rsidR="00EC45DA">
              <w:rPr>
                <w:lang w:eastAsia="en-US"/>
              </w:rPr>
              <w:t>e</w:t>
            </w:r>
            <w:r w:rsidR="000B370A">
              <w:rPr>
                <w:lang w:eastAsia="en-US"/>
              </w:rPr>
              <w:t xml:space="preserve"> </w:t>
            </w:r>
            <w:r w:rsidRPr="00CF6CCF">
              <w:rPr>
                <w:lang w:eastAsia="en-US"/>
              </w:rPr>
              <w:t>equity of access to ambulance services.</w:t>
            </w:r>
          </w:p>
          <w:p w14:paraId="179858F3" w14:textId="77777777" w:rsidR="005C0079" w:rsidRDefault="005C0079" w:rsidP="005C0079">
            <w:pPr>
              <w:pStyle w:val="Box"/>
              <w:rPr>
                <w:lang w:eastAsia="en-US"/>
              </w:rPr>
            </w:pPr>
            <w:r>
              <w:rPr>
                <w:lang w:eastAsia="en-US"/>
              </w:rPr>
              <w:t>Data reported for this indicator are:</w:t>
            </w:r>
          </w:p>
          <w:p w14:paraId="252EEBF5" w14:textId="081D3FDA" w:rsidR="002026B4" w:rsidRPr="009442FD" w:rsidRDefault="002026B4" w:rsidP="002026B4">
            <w:pPr>
              <w:pStyle w:val="BoxListBullet"/>
              <w:numPr>
                <w:ilvl w:val="0"/>
                <w:numId w:val="0"/>
              </w:numPr>
              <w:ind w:left="284"/>
            </w:pPr>
            <w:r w:rsidRPr="009273A9">
              <w:rPr>
                <w:shd w:val="clear" w:color="auto" w:fill="F15A25"/>
              </w:rPr>
              <w:t xml:space="preserve">    </w:t>
            </w:r>
            <w:r>
              <w:t xml:space="preserve"> </w:t>
            </w:r>
            <w:r w:rsidRPr="009442FD">
              <w:t>comparable (subject to caveats) acr</w:t>
            </w:r>
            <w:r w:rsidR="00CE483D">
              <w:t>oss jurisdictions and over time</w:t>
            </w:r>
          </w:p>
          <w:p w14:paraId="7114BA0E" w14:textId="4B5738A8" w:rsidR="005C0079" w:rsidRDefault="002026B4" w:rsidP="00541501">
            <w:pPr>
              <w:pStyle w:val="BoxListBullet"/>
              <w:numPr>
                <w:ilvl w:val="0"/>
                <w:numId w:val="0"/>
              </w:numPr>
              <w:ind w:left="284"/>
            </w:pPr>
            <w:r w:rsidRPr="009273A9">
              <w:rPr>
                <w:shd w:val="clear" w:color="auto" w:fill="F15A25"/>
              </w:rPr>
              <w:t xml:space="preserve">    </w:t>
            </w:r>
            <w:r>
              <w:t xml:space="preserve"> </w:t>
            </w:r>
            <w:r w:rsidRPr="009442FD">
              <w:t>complet</w:t>
            </w:r>
            <w:r w:rsidR="00603DAF">
              <w:t>e</w:t>
            </w:r>
            <w:r w:rsidRPr="009442FD">
              <w:t xml:space="preserve"> (subject to caveats)</w:t>
            </w:r>
            <w:r>
              <w:t xml:space="preserve"> </w:t>
            </w:r>
            <w:r w:rsidRPr="009442FD">
              <w:t xml:space="preserve">for the current reporting period. All required </w:t>
            </w:r>
            <w:r>
              <w:t>201</w:t>
            </w:r>
            <w:r w:rsidR="00DF72EE">
              <w:t>9</w:t>
            </w:r>
            <w:r>
              <w:t>-</w:t>
            </w:r>
            <w:r w:rsidR="00DF72EE">
              <w:t>20</w:t>
            </w:r>
            <w:r>
              <w:t xml:space="preserve"> </w:t>
            </w:r>
            <w:r w:rsidRPr="009442FD">
              <w:t>data are available for all jurisdicti</w:t>
            </w:r>
            <w:r>
              <w:t>ons.</w:t>
            </w:r>
          </w:p>
        </w:tc>
      </w:tr>
      <w:tr w:rsidR="005C0079" w14:paraId="2A2184EE" w14:textId="77777777" w:rsidTr="00824BAA">
        <w:tc>
          <w:tcPr>
            <w:tcW w:w="5000" w:type="pct"/>
            <w:tcBorders>
              <w:top w:val="nil"/>
              <w:left w:val="nil"/>
              <w:bottom w:val="single" w:sz="6" w:space="0" w:color="78A22F"/>
              <w:right w:val="nil"/>
            </w:tcBorders>
            <w:shd w:val="clear" w:color="auto" w:fill="F2F2F2"/>
          </w:tcPr>
          <w:p w14:paraId="06E56A09" w14:textId="77777777" w:rsidR="005C0079" w:rsidRDefault="005C0079">
            <w:pPr>
              <w:pStyle w:val="Box"/>
              <w:spacing w:before="0" w:line="120" w:lineRule="exact"/>
            </w:pPr>
          </w:p>
        </w:tc>
      </w:tr>
      <w:tr w:rsidR="005C0079" w:rsidRPr="000863A5" w14:paraId="7E097429" w14:textId="77777777" w:rsidTr="00824BAA">
        <w:tc>
          <w:tcPr>
            <w:tcW w:w="5000" w:type="pct"/>
            <w:tcBorders>
              <w:top w:val="single" w:sz="6" w:space="0" w:color="78A22F"/>
              <w:left w:val="nil"/>
              <w:bottom w:val="nil"/>
              <w:right w:val="nil"/>
            </w:tcBorders>
          </w:tcPr>
          <w:p w14:paraId="62F57800" w14:textId="10CCC0AB" w:rsidR="005C0079" w:rsidRPr="00626D32" w:rsidRDefault="005C0079" w:rsidP="00824BAA">
            <w:pPr>
              <w:pStyle w:val="BoxSpaceBelow"/>
            </w:pPr>
          </w:p>
        </w:tc>
      </w:tr>
    </w:tbl>
    <w:p w14:paraId="5839EE79" w14:textId="074F3284" w:rsidR="006A0F36" w:rsidRDefault="006A0F36">
      <w:pPr>
        <w:rPr>
          <w:szCs w:val="20"/>
        </w:rPr>
      </w:pPr>
      <w:r>
        <w:br w:type="page"/>
      </w:r>
    </w:p>
    <w:p w14:paraId="413A7C5E" w14:textId="46C73982" w:rsidR="00A966D5" w:rsidRDefault="00A966D5" w:rsidP="00824BAA">
      <w:pPr>
        <w:pStyle w:val="BoxSpaceAbove"/>
      </w:pPr>
    </w:p>
    <w:p w14:paraId="4716271A" w14:textId="16ED41AE" w:rsidR="00A70E7D" w:rsidRPr="006C210F" w:rsidRDefault="00A70E7D" w:rsidP="006C210F">
      <w:pPr>
        <w:pStyle w:val="Heading4"/>
      </w:pPr>
      <w:bookmarkStart w:id="15" w:name="_Toc41892762"/>
      <w:r w:rsidRPr="006C210F">
        <w:t>Appropriateness — Clinical — Pain management</w:t>
      </w:r>
      <w:bookmarkEnd w:id="15"/>
    </w:p>
    <w:p w14:paraId="37E6D920" w14:textId="358DF390" w:rsidR="005C0079" w:rsidRDefault="00A70E7D" w:rsidP="00E61004">
      <w:pPr>
        <w:pStyle w:val="BodyText"/>
      </w:pPr>
      <w:r w:rsidRPr="00E61004">
        <w:t>‘Pain management’ is an indicator of governments’ objective to provide pre</w:t>
      </w:r>
      <w:r w:rsidRPr="00E61004">
        <w:noBreakHyphen/>
        <w:t>hospital and out</w:t>
      </w:r>
      <w:r w:rsidRPr="00E61004">
        <w:noBreakHyphen/>
        <w:t>of</w:t>
      </w:r>
      <w:r w:rsidRPr="00E61004">
        <w:noBreakHyphen/>
        <w:t>hospital care and patient transport services that meet patients’ needs through delivery of appropriate health care (box 11.</w:t>
      </w:r>
      <w:r w:rsidR="002B3BB0">
        <w:t>2</w:t>
      </w:r>
      <w:r w:rsidRPr="00E61004">
        <w:t>).</w:t>
      </w:r>
    </w:p>
    <w:p w14:paraId="3C00EFAE" w14:textId="6FE48BBE" w:rsidR="009A58CB" w:rsidRDefault="009A58C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A58CB" w14:paraId="5E027F38" w14:textId="77777777" w:rsidTr="000152E3">
        <w:trPr>
          <w:tblHeader/>
        </w:trPr>
        <w:tc>
          <w:tcPr>
            <w:tcW w:w="5000" w:type="pct"/>
            <w:tcBorders>
              <w:top w:val="single" w:sz="6" w:space="0" w:color="78A22F"/>
              <w:left w:val="nil"/>
              <w:bottom w:val="nil"/>
              <w:right w:val="nil"/>
            </w:tcBorders>
            <w:shd w:val="clear" w:color="auto" w:fill="F2F2F2"/>
          </w:tcPr>
          <w:p w14:paraId="0AF7C30D" w14:textId="34D2783C" w:rsidR="009A58CB" w:rsidRDefault="009A58CB" w:rsidP="009A58CB">
            <w:pPr>
              <w:pStyle w:val="BoxTitle"/>
            </w:pPr>
            <w:r>
              <w:rPr>
                <w:b w:val="0"/>
              </w:rPr>
              <w:t>Box 11.</w:t>
            </w:r>
            <w:r w:rsidR="002B3BB0">
              <w:rPr>
                <w:b w:val="0"/>
              </w:rPr>
              <w:t>2</w:t>
            </w:r>
            <w:r>
              <w:tab/>
              <w:t xml:space="preserve">Pain management </w:t>
            </w:r>
          </w:p>
        </w:tc>
      </w:tr>
      <w:tr w:rsidR="009A58CB" w14:paraId="05B1ABF8" w14:textId="77777777" w:rsidTr="000152E3">
        <w:tc>
          <w:tcPr>
            <w:tcW w:w="5000" w:type="pct"/>
            <w:tcBorders>
              <w:top w:val="nil"/>
              <w:left w:val="nil"/>
              <w:bottom w:val="nil"/>
              <w:right w:val="nil"/>
            </w:tcBorders>
            <w:shd w:val="clear" w:color="auto" w:fill="F2F2F2"/>
          </w:tcPr>
          <w:p w14:paraId="4961B827" w14:textId="55A989DD" w:rsidR="009A58CB" w:rsidRPr="00023763" w:rsidRDefault="00D17E23" w:rsidP="009A58CB">
            <w:pPr>
              <w:pStyle w:val="Box"/>
            </w:pPr>
            <w:r>
              <w:t>‘</w:t>
            </w:r>
            <w:r w:rsidR="009A58CB" w:rsidRPr="00023763">
              <w:t>Pain management</w:t>
            </w:r>
            <w:r>
              <w:t xml:space="preserve">’ </w:t>
            </w:r>
            <w:r w:rsidR="009A58CB" w:rsidRPr="00023763">
              <w:t>is defined as the p</w:t>
            </w:r>
            <w:r w:rsidR="001906BD">
              <w:t xml:space="preserve">roportion </w:t>
            </w:r>
            <w:r w:rsidR="009A58CB" w:rsidRPr="00023763">
              <w:t xml:space="preserve">of patients who report a clinically meaningful </w:t>
            </w:r>
            <w:r w:rsidR="009A58CB">
              <w:t>reduction in pain severity</w:t>
            </w:r>
            <w:r w:rsidR="001906BD">
              <w:t xml:space="preserve">. </w:t>
            </w:r>
            <w:r w:rsidR="009A58CB" w:rsidRPr="00023763">
              <w:t>Clinically meaningful pain reduction is defined as a minimum 2</w:t>
            </w:r>
            <w:r w:rsidR="00C307F2">
              <w:t>-</w:t>
            </w:r>
            <w:r w:rsidR="009A58CB" w:rsidRPr="00023763">
              <w:t>point reduction in pain score from first to final recorded measurement</w:t>
            </w:r>
            <w:r w:rsidR="009A58CB">
              <w:t xml:space="preserve"> (based on a 1–10 numeric rating scale of pain intensity). </w:t>
            </w:r>
          </w:p>
          <w:p w14:paraId="44E2946C" w14:textId="77777777" w:rsidR="009A58CB" w:rsidRPr="00E91612" w:rsidRDefault="009A58CB" w:rsidP="009A58CB">
            <w:pPr>
              <w:pStyle w:val="Box"/>
            </w:pPr>
            <w:r w:rsidRPr="00E91612">
              <w:t>Includes patients who:</w:t>
            </w:r>
          </w:p>
          <w:p w14:paraId="4364DC0F" w14:textId="77777777" w:rsidR="009A58CB" w:rsidRDefault="009A58CB" w:rsidP="009A58CB">
            <w:pPr>
              <w:pStyle w:val="BoxListBullet"/>
            </w:pPr>
            <w:r w:rsidRPr="00E9599A">
              <w:t xml:space="preserve">are aged 16 years </w:t>
            </w:r>
            <w:r>
              <w:t>or</w:t>
            </w:r>
            <w:r w:rsidRPr="00E9599A">
              <w:t xml:space="preserve"> over and received care from the ambulance service, which included the administration of pain medication (analgesia)</w:t>
            </w:r>
          </w:p>
          <w:p w14:paraId="0F5B09B6" w14:textId="77777777" w:rsidR="009A58CB" w:rsidRDefault="009A58CB" w:rsidP="009A58CB">
            <w:pPr>
              <w:pStyle w:val="BoxListBullet"/>
              <w:keepNext w:val="0"/>
            </w:pPr>
            <w:r>
              <w:t>recorded at least 2 pain scores (pre</w:t>
            </w:r>
            <w:r>
              <w:noBreakHyphen/>
              <w:t xml:space="preserve"> and post</w:t>
            </w:r>
            <w:r>
              <w:noBreakHyphen/>
              <w:t>treatment)</w:t>
            </w:r>
          </w:p>
          <w:p w14:paraId="329051ED" w14:textId="77777777" w:rsidR="009A58CB" w:rsidRDefault="009A58CB" w:rsidP="009A58CB">
            <w:pPr>
              <w:pStyle w:val="BoxListBullet"/>
              <w:keepNext w:val="0"/>
            </w:pPr>
            <w:r>
              <w:t>recorded an initial pain score of 7 or above (referred to as severe pain).</w:t>
            </w:r>
          </w:p>
          <w:p w14:paraId="65A3BD86" w14:textId="77777777" w:rsidR="009A58CB" w:rsidRPr="00E91612" w:rsidRDefault="009A58CB" w:rsidP="009A58CB">
            <w:pPr>
              <w:pStyle w:val="Box"/>
            </w:pPr>
            <w:r w:rsidRPr="00E91612">
              <w:t>Patients who refuse pain medication for whatever reason are excluded.</w:t>
            </w:r>
          </w:p>
          <w:p w14:paraId="55AAA202" w14:textId="09046E8F" w:rsidR="009A58CB" w:rsidRPr="00E91612" w:rsidRDefault="009A58CB" w:rsidP="009A58CB">
            <w:pPr>
              <w:pStyle w:val="Box"/>
            </w:pPr>
            <w:r w:rsidRPr="00E91612">
              <w:t>A higher or increasi</w:t>
            </w:r>
            <w:r>
              <w:t>ng p</w:t>
            </w:r>
            <w:r w:rsidR="001906BD">
              <w:t xml:space="preserve">roportion </w:t>
            </w:r>
            <w:r>
              <w:t>of patients who report a clinically m</w:t>
            </w:r>
            <w:r w:rsidRPr="00E91612">
              <w:t xml:space="preserve">eaningful </w:t>
            </w:r>
            <w:r>
              <w:t xml:space="preserve">reduction in pain severity </w:t>
            </w:r>
            <w:r w:rsidRPr="00E91612">
              <w:t xml:space="preserve">at the end of ambulance service treatment suggests </w:t>
            </w:r>
            <w:r>
              <w:t>appropriate care meeting patient needs</w:t>
            </w:r>
            <w:r w:rsidRPr="00E91612">
              <w:t>.</w:t>
            </w:r>
          </w:p>
          <w:p w14:paraId="0E1608E3" w14:textId="61D8CC49" w:rsidR="009A58CB" w:rsidRPr="00E91612" w:rsidRDefault="009A58CB" w:rsidP="009A58CB">
            <w:pPr>
              <w:pStyle w:val="Box"/>
            </w:pPr>
            <w:r w:rsidRPr="00E91612">
              <w:t>Data reported for this measure are:</w:t>
            </w:r>
          </w:p>
          <w:p w14:paraId="04E631D8" w14:textId="77777777" w:rsidR="00A23B1E" w:rsidRPr="009442FD" w:rsidRDefault="00A23B1E" w:rsidP="00A23B1E">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20D77BB6" w14:textId="3A70349C" w:rsidR="009A58CB" w:rsidRDefault="00AF4D17" w:rsidP="00603D17">
            <w:pPr>
              <w:pStyle w:val="BoxListBullet"/>
              <w:numPr>
                <w:ilvl w:val="0"/>
                <w:numId w:val="0"/>
              </w:numPr>
              <w:ind w:left="284"/>
            </w:pPr>
            <w:r w:rsidRPr="009273A9">
              <w:rPr>
                <w:shd w:val="clear" w:color="auto" w:fill="F15A25"/>
              </w:rPr>
              <w:t xml:space="preserve">    </w:t>
            </w:r>
            <w:r>
              <w:t xml:space="preserve"> </w:t>
            </w:r>
            <w:r w:rsidRPr="009442FD">
              <w:t>complet</w:t>
            </w:r>
            <w:r>
              <w:t>e</w:t>
            </w:r>
            <w:r w:rsidRPr="009442FD">
              <w:t xml:space="preserve"> (subject to caveats)</w:t>
            </w:r>
            <w:r>
              <w:t xml:space="preserve"> </w:t>
            </w:r>
            <w:r w:rsidRPr="009442FD">
              <w:t xml:space="preserve">for the current reporting period. All required </w:t>
            </w:r>
            <w:r>
              <w:t xml:space="preserve">2019-20 </w:t>
            </w:r>
            <w:r w:rsidRPr="009442FD">
              <w:t>data are available for all jurisdicti</w:t>
            </w:r>
            <w:r>
              <w:t>ons.</w:t>
            </w:r>
          </w:p>
        </w:tc>
      </w:tr>
      <w:tr w:rsidR="009A58CB" w14:paraId="0A79F666" w14:textId="77777777" w:rsidTr="000152E3">
        <w:tc>
          <w:tcPr>
            <w:tcW w:w="5000" w:type="pct"/>
            <w:tcBorders>
              <w:top w:val="nil"/>
              <w:left w:val="nil"/>
              <w:bottom w:val="single" w:sz="6" w:space="0" w:color="78A22F"/>
              <w:right w:val="nil"/>
            </w:tcBorders>
            <w:shd w:val="clear" w:color="auto" w:fill="F2F2F2"/>
          </w:tcPr>
          <w:p w14:paraId="680E5FB1" w14:textId="77777777" w:rsidR="009A58CB" w:rsidRDefault="009A58CB">
            <w:pPr>
              <w:pStyle w:val="Box"/>
              <w:spacing w:before="0" w:line="120" w:lineRule="exact"/>
            </w:pPr>
          </w:p>
        </w:tc>
      </w:tr>
      <w:tr w:rsidR="009A58CB" w:rsidRPr="000863A5" w14:paraId="6CC5C60A" w14:textId="77777777" w:rsidTr="000152E3">
        <w:tc>
          <w:tcPr>
            <w:tcW w:w="5000" w:type="pct"/>
            <w:tcBorders>
              <w:top w:val="single" w:sz="6" w:space="0" w:color="78A22F"/>
              <w:left w:val="nil"/>
              <w:bottom w:val="nil"/>
              <w:right w:val="nil"/>
            </w:tcBorders>
          </w:tcPr>
          <w:p w14:paraId="03EE6C84" w14:textId="2DD1F348" w:rsidR="009A58CB" w:rsidRPr="00626D32" w:rsidRDefault="009A58CB" w:rsidP="000152E3">
            <w:pPr>
              <w:pStyle w:val="BoxSpaceBelow"/>
            </w:pPr>
          </w:p>
        </w:tc>
      </w:tr>
    </w:tbl>
    <w:p w14:paraId="5FFE2E21" w14:textId="4A954F58" w:rsidR="006D6603" w:rsidRDefault="006D6603" w:rsidP="00603D17">
      <w:pPr>
        <w:pBdr>
          <w:left w:val="single" w:sz="4" w:space="4" w:color="auto"/>
        </w:pBdr>
        <w:rPr>
          <w:szCs w:val="20"/>
        </w:rPr>
      </w:pPr>
      <w:r>
        <w:br w:type="page"/>
      </w:r>
    </w:p>
    <w:p w14:paraId="27DB824C" w14:textId="133A627F" w:rsidR="00D72790" w:rsidRDefault="00D72790" w:rsidP="00D72790">
      <w:pPr>
        <w:pStyle w:val="BoxSpaceAbove"/>
      </w:pPr>
    </w:p>
    <w:p w14:paraId="1EF0DE57" w14:textId="77777777" w:rsidR="00A70E7D" w:rsidRPr="001608F5" w:rsidRDefault="00A70E7D" w:rsidP="006E202E">
      <w:pPr>
        <w:pStyle w:val="Heading4"/>
        <w:spacing w:before="360"/>
      </w:pPr>
      <w:bookmarkStart w:id="16" w:name="_Toc41892763"/>
      <w:r w:rsidRPr="001608F5">
        <w:t>Quality — Safety — Sentinel events</w:t>
      </w:r>
      <w:bookmarkEnd w:id="16"/>
    </w:p>
    <w:p w14:paraId="198E81A8" w14:textId="12134632" w:rsidR="00A70E7D" w:rsidRDefault="00A70E7D" w:rsidP="00A70E7D">
      <w:pPr>
        <w:pStyle w:val="BodyText"/>
      </w:pPr>
      <w:r w:rsidRPr="00A6524D">
        <w:t xml:space="preserve">‘Sentinel events’ is an indicator of governments’ objective to deliver ambulance services that are high quality and safe (box </w:t>
      </w:r>
      <w:r>
        <w:t>11</w:t>
      </w:r>
      <w:r w:rsidRPr="00A6524D">
        <w:t>.</w:t>
      </w:r>
      <w:r w:rsidR="002B3BB0">
        <w:t>3</w:t>
      </w:r>
      <w:r w:rsidRPr="00A6524D">
        <w:t>).</w:t>
      </w:r>
    </w:p>
    <w:p w14:paraId="0B10B98A" w14:textId="48B8F23E" w:rsidR="00A70E7D" w:rsidRDefault="00A70E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0E7D" w14:paraId="7B4C65BC" w14:textId="77777777" w:rsidTr="00824BAA">
        <w:trPr>
          <w:tblHeader/>
        </w:trPr>
        <w:tc>
          <w:tcPr>
            <w:tcW w:w="5000" w:type="pct"/>
            <w:tcBorders>
              <w:top w:val="single" w:sz="6" w:space="0" w:color="78A22F"/>
              <w:left w:val="nil"/>
              <w:bottom w:val="nil"/>
              <w:right w:val="nil"/>
            </w:tcBorders>
            <w:shd w:val="clear" w:color="auto" w:fill="F2F2F2"/>
          </w:tcPr>
          <w:p w14:paraId="1BAA9CC1" w14:textId="15B991F4" w:rsidR="00A70E7D" w:rsidRDefault="00A70E7D" w:rsidP="006004B7">
            <w:pPr>
              <w:pStyle w:val="BoxTitle"/>
            </w:pPr>
            <w:r>
              <w:rPr>
                <w:b w:val="0"/>
              </w:rPr>
              <w:t>Box 11.</w:t>
            </w:r>
            <w:r w:rsidR="002B3BB0">
              <w:rPr>
                <w:b w:val="0"/>
              </w:rPr>
              <w:t>3</w:t>
            </w:r>
            <w:r>
              <w:tab/>
              <w:t>Sentinel events</w:t>
            </w:r>
          </w:p>
        </w:tc>
      </w:tr>
      <w:tr w:rsidR="00A70E7D" w14:paraId="78D85A58" w14:textId="77777777" w:rsidTr="00824BAA">
        <w:tc>
          <w:tcPr>
            <w:tcW w:w="5000" w:type="pct"/>
            <w:tcBorders>
              <w:top w:val="nil"/>
              <w:left w:val="nil"/>
              <w:bottom w:val="nil"/>
              <w:right w:val="nil"/>
            </w:tcBorders>
            <w:shd w:val="clear" w:color="auto" w:fill="F2F2F2"/>
          </w:tcPr>
          <w:p w14:paraId="3CE7E465" w14:textId="77777777" w:rsidR="00A70E7D" w:rsidRDefault="00A70E7D" w:rsidP="00A70E7D">
            <w:pPr>
              <w:pStyle w:val="Box"/>
            </w:pPr>
            <w:r w:rsidRPr="00686A38">
              <w:t xml:space="preserve">‘Sentinel events’ is defined as the number of reported adverse events that occur because of ambulance services system and process deficiencies, and which result in the death of, or serious harm to, a patient. </w:t>
            </w:r>
          </w:p>
          <w:p w14:paraId="2731BD5A" w14:textId="77777777" w:rsidR="00A70E7D" w:rsidRPr="00686A38" w:rsidRDefault="00A70E7D" w:rsidP="00A70E7D">
            <w:pPr>
              <w:pStyle w:val="Box"/>
            </w:pPr>
            <w:r w:rsidRPr="00686A38">
              <w:t xml:space="preserve">Sentinel events occur relatively infrequently and are independent of a patient’s condition. </w:t>
            </w:r>
          </w:p>
          <w:p w14:paraId="3A39E430" w14:textId="77777777" w:rsidR="00A70E7D" w:rsidRPr="00B461E8" w:rsidRDefault="00A70E7D" w:rsidP="00B461E8">
            <w:pPr>
              <w:pStyle w:val="Box"/>
            </w:pPr>
            <w:r w:rsidRPr="00B461E8">
              <w:t xml:space="preserve">A low or decreasing number of sentinel events is desirable. </w:t>
            </w:r>
          </w:p>
          <w:p w14:paraId="59F3CBA5" w14:textId="4F2D9F92" w:rsidR="00A70E7D" w:rsidRPr="00B461E8" w:rsidRDefault="00A70E7D" w:rsidP="00B461E8">
            <w:pPr>
              <w:pStyle w:val="Box"/>
            </w:pPr>
            <w:r w:rsidRPr="00B461E8">
              <w:t>Data are not yet available for reporting against this indicator</w:t>
            </w:r>
            <w:r w:rsidR="00B461E8">
              <w:t>. T</w:t>
            </w:r>
            <w:r w:rsidR="00B461E8" w:rsidRPr="00B461E8">
              <w:t>he Council of Ambulance Authorities has completed a trial for a national data collection, but the results were not available for this Report.</w:t>
            </w:r>
          </w:p>
        </w:tc>
      </w:tr>
      <w:tr w:rsidR="00A70E7D" w14:paraId="19CAFAF1" w14:textId="77777777" w:rsidTr="00824BAA">
        <w:tc>
          <w:tcPr>
            <w:tcW w:w="5000" w:type="pct"/>
            <w:tcBorders>
              <w:top w:val="nil"/>
              <w:left w:val="nil"/>
              <w:bottom w:val="single" w:sz="6" w:space="0" w:color="78A22F"/>
              <w:right w:val="nil"/>
            </w:tcBorders>
            <w:shd w:val="clear" w:color="auto" w:fill="F2F2F2"/>
          </w:tcPr>
          <w:p w14:paraId="1F0EE745" w14:textId="77777777" w:rsidR="00A70E7D" w:rsidRDefault="00A70E7D">
            <w:pPr>
              <w:pStyle w:val="Box"/>
              <w:spacing w:before="0" w:line="120" w:lineRule="exact"/>
            </w:pPr>
          </w:p>
        </w:tc>
      </w:tr>
      <w:tr w:rsidR="00A70E7D" w:rsidRPr="000863A5" w14:paraId="5AF9BE23" w14:textId="77777777" w:rsidTr="00824BAA">
        <w:tc>
          <w:tcPr>
            <w:tcW w:w="5000" w:type="pct"/>
            <w:tcBorders>
              <w:top w:val="single" w:sz="6" w:space="0" w:color="78A22F"/>
              <w:left w:val="nil"/>
              <w:bottom w:val="nil"/>
              <w:right w:val="nil"/>
            </w:tcBorders>
          </w:tcPr>
          <w:p w14:paraId="1B099DDC" w14:textId="7A321E9E" w:rsidR="00A70E7D" w:rsidRPr="00626D32" w:rsidRDefault="00A70E7D" w:rsidP="00824BAA">
            <w:pPr>
              <w:pStyle w:val="BoxSpaceBelow"/>
            </w:pPr>
          </w:p>
        </w:tc>
      </w:tr>
    </w:tbl>
    <w:p w14:paraId="3A002DEA" w14:textId="77777777" w:rsidR="00A70E7D" w:rsidRPr="00931120" w:rsidRDefault="00A70E7D" w:rsidP="00606B46">
      <w:pPr>
        <w:pStyle w:val="Heading4"/>
      </w:pPr>
      <w:bookmarkStart w:id="17" w:name="_Toc41892764"/>
      <w:r w:rsidRPr="00606B46">
        <w:t xml:space="preserve">Quality — Responsiveness — </w:t>
      </w:r>
      <w:r w:rsidRPr="00931120">
        <w:t>Patient satisfaction</w:t>
      </w:r>
      <w:bookmarkEnd w:id="17"/>
    </w:p>
    <w:p w14:paraId="33EE44BF" w14:textId="0A10FA99" w:rsidR="00A70E7D" w:rsidRDefault="00A70E7D" w:rsidP="00A70E7D">
      <w:pPr>
        <w:pStyle w:val="BodyText"/>
      </w:pPr>
      <w:r w:rsidRPr="00686A38">
        <w:t xml:space="preserve">‘Patient satisfaction’ is an indicator of governments’ objective </w:t>
      </w:r>
      <w:r>
        <w:t xml:space="preserve">to provide </w:t>
      </w:r>
      <w:r w:rsidRPr="00686A38">
        <w:t>emergency medical care, pre-hospital and out-of-hospital care, and transport services that are responsive to patients’ needs (box 11.</w:t>
      </w:r>
      <w:r w:rsidR="002B3BB0">
        <w:t>4</w:t>
      </w:r>
      <w:r w:rsidRPr="00686A38">
        <w:t>).</w:t>
      </w:r>
    </w:p>
    <w:p w14:paraId="56D02BF3" w14:textId="6FCD9B64" w:rsidR="00A70E7D" w:rsidRDefault="00A70E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0E7D" w14:paraId="3E44D946" w14:textId="77777777" w:rsidTr="00824BAA">
        <w:trPr>
          <w:tblHeader/>
        </w:trPr>
        <w:tc>
          <w:tcPr>
            <w:tcW w:w="5000" w:type="pct"/>
            <w:tcBorders>
              <w:top w:val="single" w:sz="6" w:space="0" w:color="78A22F"/>
              <w:left w:val="nil"/>
              <w:bottom w:val="nil"/>
              <w:right w:val="nil"/>
            </w:tcBorders>
            <w:shd w:val="clear" w:color="auto" w:fill="F2F2F2"/>
          </w:tcPr>
          <w:p w14:paraId="0B32FDF2" w14:textId="39C695DA" w:rsidR="00A70E7D" w:rsidRDefault="00A70E7D" w:rsidP="006004B7">
            <w:pPr>
              <w:pStyle w:val="BoxTitle"/>
            </w:pPr>
            <w:r>
              <w:rPr>
                <w:b w:val="0"/>
              </w:rPr>
              <w:t>Box 11.</w:t>
            </w:r>
            <w:r w:rsidR="002B3BB0">
              <w:rPr>
                <w:b w:val="0"/>
              </w:rPr>
              <w:t>4</w:t>
            </w:r>
            <w:r>
              <w:tab/>
              <w:t>Patient satisfaction</w:t>
            </w:r>
          </w:p>
        </w:tc>
      </w:tr>
      <w:tr w:rsidR="00A70E7D" w14:paraId="5F278511" w14:textId="77777777" w:rsidTr="0075761E">
        <w:trPr>
          <w:trHeight w:val="7763"/>
        </w:trPr>
        <w:tc>
          <w:tcPr>
            <w:tcW w:w="5000" w:type="pct"/>
            <w:tcBorders>
              <w:top w:val="nil"/>
              <w:left w:val="nil"/>
              <w:bottom w:val="nil"/>
              <w:right w:val="nil"/>
            </w:tcBorders>
            <w:shd w:val="clear" w:color="auto" w:fill="F2F2F2"/>
          </w:tcPr>
          <w:p w14:paraId="72501A48" w14:textId="77777777" w:rsidR="00A70E7D" w:rsidRPr="00CD38CB" w:rsidRDefault="00A70E7D" w:rsidP="00A70E7D">
            <w:pPr>
              <w:pStyle w:val="Box"/>
            </w:pPr>
            <w:r w:rsidRPr="00CD38CB">
              <w:t xml:space="preserve">‘Patient satisfaction’ is defined as the quality of ambulance services, as perceived by the patient. It is measured as patient experience of aspects of response and treatment that are key factors in patient outcomes.  </w:t>
            </w:r>
          </w:p>
          <w:p w14:paraId="060D43C8" w14:textId="77777777" w:rsidR="00A70E7D" w:rsidRPr="00CD38CB" w:rsidRDefault="00A70E7D" w:rsidP="00A70E7D">
            <w:pPr>
              <w:pStyle w:val="Box"/>
            </w:pPr>
            <w:r w:rsidRPr="00CD38CB">
              <w:t>Patients are defined as people who were transported under an emergency event classified as code 1 (an emergency event requiring one or more immediate ambulance responses under light</w:t>
            </w:r>
            <w:r>
              <w:t>s</w:t>
            </w:r>
            <w:r w:rsidRPr="00CD38CB">
              <w:t xml:space="preserve"> and sirens where the incident is potentially life threatening) or code 2 (urgent incidents requiring an undelayed response by one or more ambulances without warning devices, with arrival desirable within </w:t>
            </w:r>
            <w:r>
              <w:t>30</w:t>
            </w:r>
            <w:r w:rsidRPr="00CD38CB">
              <w:t xml:space="preserve"> minutes).</w:t>
            </w:r>
          </w:p>
          <w:p w14:paraId="45EDFA71" w14:textId="77777777" w:rsidR="00A70E7D" w:rsidRPr="00CD38CB" w:rsidRDefault="00A70E7D" w:rsidP="00A70E7D">
            <w:pPr>
              <w:pStyle w:val="Box"/>
            </w:pPr>
            <w:r w:rsidRPr="00CD38CB">
              <w:t>The following measures of patient experience of ambulance services are reported:</w:t>
            </w:r>
          </w:p>
          <w:p w14:paraId="55AD9006" w14:textId="77777777" w:rsidR="00A70E7D" w:rsidRPr="00CD38CB" w:rsidRDefault="00A70E7D" w:rsidP="00A70E7D">
            <w:pPr>
              <w:pStyle w:val="BoxListBullet"/>
            </w:pPr>
            <w:r w:rsidRPr="00CD38CB">
              <w:t>proportion of patients who felt that the length of time they waited to be connected to</w:t>
            </w:r>
            <w:r>
              <w:t xml:space="preserve"> an </w:t>
            </w:r>
            <w:r w:rsidRPr="00CD38CB">
              <w:t>ambulance service call taker was much quicker or a little quicker than they thought it would be</w:t>
            </w:r>
          </w:p>
          <w:p w14:paraId="7E7B2140" w14:textId="77777777" w:rsidR="00A70E7D" w:rsidRPr="00CD38CB" w:rsidRDefault="00A70E7D" w:rsidP="00A70E7D">
            <w:pPr>
              <w:pStyle w:val="BoxListBullet"/>
            </w:pPr>
            <w:r w:rsidRPr="00CD38CB">
              <w:t>proportion of patients who felt that the length of time they waited for an ambulance was much quicker or a little quicker than they thought it would be</w:t>
            </w:r>
          </w:p>
          <w:p w14:paraId="54B783BE" w14:textId="77777777" w:rsidR="00A70E7D" w:rsidRPr="00CD38CB" w:rsidRDefault="00A70E7D" w:rsidP="00A70E7D">
            <w:pPr>
              <w:pStyle w:val="BoxListBullet"/>
            </w:pPr>
            <w:r w:rsidRPr="00CD38CB">
              <w:t>proportion of patients who felt that the level of care provided to them by paramedics was very good or good</w:t>
            </w:r>
          </w:p>
          <w:p w14:paraId="1F45F4A8" w14:textId="77777777" w:rsidR="00A70E7D" w:rsidRPr="00CD38CB" w:rsidRDefault="00A70E7D" w:rsidP="00A70E7D">
            <w:pPr>
              <w:pStyle w:val="BoxListBullet"/>
            </w:pPr>
            <w:r w:rsidRPr="00CD38CB">
              <w:t>proportion of patients whose level of trust and confidence in paramedics and their ability to provide quality care and treatment was very high or high</w:t>
            </w:r>
          </w:p>
          <w:p w14:paraId="59C78255" w14:textId="070495BC" w:rsidR="00A70E7D" w:rsidRPr="00CD38CB" w:rsidRDefault="00A70E7D" w:rsidP="00A70E7D">
            <w:pPr>
              <w:pStyle w:val="BoxListBullet"/>
            </w:pPr>
            <w:r w:rsidRPr="00CD38CB">
              <w:t>proportio</w:t>
            </w:r>
            <w:r w:rsidR="001C0D9F">
              <w:t>n</w:t>
            </w:r>
            <w:r w:rsidRPr="00CD38CB">
              <w:t xml:space="preserve"> of patients who were very satisfied or satisfied with the ambulance services they received in the previous 12 months</w:t>
            </w:r>
            <w:r>
              <w:t>.</w:t>
            </w:r>
          </w:p>
          <w:p w14:paraId="55DFE4A6" w14:textId="52123D52" w:rsidR="00A70E7D" w:rsidRPr="00CD38CB" w:rsidRDefault="00A70E7D" w:rsidP="00A70E7D">
            <w:pPr>
              <w:pStyle w:val="Box"/>
            </w:pPr>
            <w:r w:rsidRPr="00CD38CB">
              <w:t xml:space="preserve">High or increasing proportions can indicate improved </w:t>
            </w:r>
            <w:r>
              <w:t>responsiveness to patient needs</w:t>
            </w:r>
            <w:r w:rsidR="001C0D9F">
              <w:t>.</w:t>
            </w:r>
          </w:p>
          <w:p w14:paraId="0953921E" w14:textId="533C1CF4" w:rsidR="00A70E7D" w:rsidRPr="00CD38CB" w:rsidRDefault="00A70E7D" w:rsidP="00A70E7D">
            <w:pPr>
              <w:pStyle w:val="Box"/>
            </w:pPr>
            <w:r w:rsidRPr="00CD38CB">
              <w:t xml:space="preserve">Data reported </w:t>
            </w:r>
            <w:r w:rsidR="00C9215E">
              <w:t xml:space="preserve">for </w:t>
            </w:r>
            <w:r w:rsidRPr="00CD38CB">
              <w:t xml:space="preserve">these measures are: </w:t>
            </w:r>
          </w:p>
          <w:p w14:paraId="4F7815F6" w14:textId="77777777" w:rsidR="0001288E" w:rsidRPr="009442FD" w:rsidRDefault="0001288E" w:rsidP="0001288E">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738F6520" w14:textId="4B11092D" w:rsidR="00A70E7D" w:rsidRDefault="008A3189" w:rsidP="008A3189">
            <w:pPr>
              <w:pStyle w:val="BoxListBullet"/>
              <w:numPr>
                <w:ilvl w:val="0"/>
                <w:numId w:val="0"/>
              </w:numPr>
              <w:ind w:left="284"/>
            </w:pPr>
            <w:r w:rsidRPr="00F235F6">
              <w:rPr>
                <w:shd w:val="clear" w:color="auto" w:fill="F15A25"/>
              </w:rPr>
              <w:t xml:space="preserve">    </w:t>
            </w:r>
            <w:r w:rsidRPr="00F235F6">
              <w:t xml:space="preserve"> complete (subject to caveats) for the current reporting period. All required </w:t>
            </w:r>
            <w:r w:rsidR="00082EAF" w:rsidRPr="00F235F6">
              <w:t>201</w:t>
            </w:r>
            <w:r w:rsidR="00DF72EE">
              <w:t>9</w:t>
            </w:r>
            <w:r w:rsidR="00082EAF" w:rsidRPr="00F235F6">
              <w:t>-</w:t>
            </w:r>
            <w:r w:rsidR="00DF72EE">
              <w:t xml:space="preserve">20 </w:t>
            </w:r>
            <w:r w:rsidRPr="00F235F6">
              <w:t>data are available for all jurisdictions.</w:t>
            </w:r>
          </w:p>
        </w:tc>
      </w:tr>
      <w:tr w:rsidR="00A70E7D" w14:paraId="5B6E732B" w14:textId="77777777" w:rsidTr="00824BAA">
        <w:tc>
          <w:tcPr>
            <w:tcW w:w="5000" w:type="pct"/>
            <w:tcBorders>
              <w:top w:val="nil"/>
              <w:left w:val="nil"/>
              <w:bottom w:val="single" w:sz="6" w:space="0" w:color="78A22F"/>
              <w:right w:val="nil"/>
            </w:tcBorders>
            <w:shd w:val="clear" w:color="auto" w:fill="F2F2F2"/>
          </w:tcPr>
          <w:p w14:paraId="0A28D48A" w14:textId="77777777" w:rsidR="00A70E7D" w:rsidRDefault="00A70E7D">
            <w:pPr>
              <w:pStyle w:val="Box"/>
              <w:spacing w:before="0" w:line="120" w:lineRule="exact"/>
            </w:pPr>
          </w:p>
        </w:tc>
      </w:tr>
      <w:tr w:rsidR="00A70E7D" w:rsidRPr="000863A5" w14:paraId="73B35E91" w14:textId="77777777" w:rsidTr="00824BAA">
        <w:tc>
          <w:tcPr>
            <w:tcW w:w="5000" w:type="pct"/>
            <w:tcBorders>
              <w:top w:val="single" w:sz="6" w:space="0" w:color="78A22F"/>
              <w:left w:val="nil"/>
              <w:bottom w:val="nil"/>
              <w:right w:val="nil"/>
            </w:tcBorders>
          </w:tcPr>
          <w:p w14:paraId="37452BF0" w14:textId="3DCF3F3E" w:rsidR="00A70E7D" w:rsidRPr="00626D32" w:rsidRDefault="00A70E7D" w:rsidP="00824BAA">
            <w:pPr>
              <w:pStyle w:val="BoxSpaceBelow"/>
            </w:pPr>
          </w:p>
        </w:tc>
      </w:tr>
    </w:tbl>
    <w:p w14:paraId="018F4CED" w14:textId="77777777" w:rsidR="00A70E7D" w:rsidRDefault="00A70E7D" w:rsidP="00A70E7D">
      <w:pPr>
        <w:pStyle w:val="BodyText"/>
      </w:pPr>
      <w:r>
        <w:br w:type="page"/>
      </w:r>
    </w:p>
    <w:p w14:paraId="7186C45C" w14:textId="45B94C75" w:rsidR="00A70E7D" w:rsidRDefault="00A70E7D" w:rsidP="00824BAA">
      <w:pPr>
        <w:pStyle w:val="BoxSpaceAbove"/>
      </w:pPr>
    </w:p>
    <w:p w14:paraId="21D03B82" w14:textId="77777777" w:rsidR="003D3D0A" w:rsidRDefault="003D3D0A" w:rsidP="00E2040C">
      <w:pPr>
        <w:pStyle w:val="Heading4"/>
        <w:spacing w:before="240"/>
      </w:pPr>
      <w:bookmarkStart w:id="18" w:name="_Toc41892765"/>
      <w:r>
        <w:t>Sustainability — Ambulance workforce</w:t>
      </w:r>
      <w:bookmarkEnd w:id="18"/>
    </w:p>
    <w:p w14:paraId="607E3663" w14:textId="77777777" w:rsidR="0044554F" w:rsidRDefault="003D3D0A" w:rsidP="0044554F">
      <w:pPr>
        <w:pStyle w:val="BodyText"/>
      </w:pPr>
      <w:r w:rsidRPr="00BB5D10">
        <w:t xml:space="preserve">Sustainability is the capacity to provide infrastructure (that is, workforce, facilities, and equipment) into the future, be innovative and respond to emerging needs of the </w:t>
      </w:r>
      <w:r w:rsidR="0044554F">
        <w:t xml:space="preserve">community. </w:t>
      </w:r>
    </w:p>
    <w:p w14:paraId="0A0A5072" w14:textId="5D8138A0" w:rsidR="003D3D0A" w:rsidRDefault="003D3D0A" w:rsidP="0044554F">
      <w:pPr>
        <w:pStyle w:val="BodyText"/>
      </w:pPr>
      <w:r>
        <w:t>‘Ambulance workforce’ is an indicator of governments’ objective to provide e</w:t>
      </w:r>
      <w:r w:rsidRPr="00E83AF5">
        <w:t>mergency medical care, pre-hospital and out-of-hospital care, and transport services that are</w:t>
      </w:r>
      <w:r>
        <w:t xml:space="preserve"> sustainable (box 11.</w:t>
      </w:r>
      <w:r w:rsidR="002B3BB0">
        <w:t>5</w:t>
      </w:r>
      <w:r>
        <w:t>).</w:t>
      </w:r>
    </w:p>
    <w:p w14:paraId="48BCD824" w14:textId="3737086B" w:rsidR="00824BAA" w:rsidRDefault="00824B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24BAA" w14:paraId="559708FB" w14:textId="77777777" w:rsidTr="00824BAA">
        <w:trPr>
          <w:tblHeader/>
        </w:trPr>
        <w:tc>
          <w:tcPr>
            <w:tcW w:w="5000" w:type="pct"/>
            <w:tcBorders>
              <w:top w:val="single" w:sz="6" w:space="0" w:color="78A22F"/>
              <w:left w:val="nil"/>
              <w:bottom w:val="nil"/>
              <w:right w:val="nil"/>
            </w:tcBorders>
            <w:shd w:val="clear" w:color="auto" w:fill="F2F2F2"/>
          </w:tcPr>
          <w:p w14:paraId="0FBCB5CC" w14:textId="0974C01A" w:rsidR="00824BAA" w:rsidRDefault="00824BAA" w:rsidP="006004B7">
            <w:pPr>
              <w:pStyle w:val="BoxTitle"/>
            </w:pPr>
            <w:r>
              <w:rPr>
                <w:b w:val="0"/>
              </w:rPr>
              <w:t>Box 11.</w:t>
            </w:r>
            <w:r w:rsidR="002B3BB0">
              <w:rPr>
                <w:b w:val="0"/>
              </w:rPr>
              <w:t>5</w:t>
            </w:r>
            <w:r>
              <w:tab/>
              <w:t>Ambulance workforce</w:t>
            </w:r>
          </w:p>
        </w:tc>
      </w:tr>
      <w:tr w:rsidR="00824BAA" w14:paraId="4621F4F7" w14:textId="77777777" w:rsidTr="00824BAA">
        <w:tc>
          <w:tcPr>
            <w:tcW w:w="5000" w:type="pct"/>
            <w:tcBorders>
              <w:top w:val="nil"/>
              <w:left w:val="nil"/>
              <w:bottom w:val="nil"/>
              <w:right w:val="nil"/>
            </w:tcBorders>
            <w:shd w:val="clear" w:color="auto" w:fill="F2F2F2"/>
          </w:tcPr>
          <w:p w14:paraId="1EDF4C56" w14:textId="77777777" w:rsidR="002C6BC8" w:rsidRDefault="002C6BC8" w:rsidP="002C6BC8">
            <w:pPr>
              <w:pStyle w:val="Box"/>
            </w:pPr>
            <w:r>
              <w:t>‘Ambulance workforce’ is defined by two measures:</w:t>
            </w:r>
          </w:p>
          <w:p w14:paraId="77802FF1" w14:textId="62C8C010" w:rsidR="002C6BC8" w:rsidRDefault="002C6BC8" w:rsidP="002C6BC8">
            <w:pPr>
              <w:pStyle w:val="BoxListBullet"/>
            </w:pPr>
            <w:r>
              <w:t xml:space="preserve">‘workforce by age group’ – the age profile of the salaried workforce, measured by the proportion of the operational salaried workforce in </w:t>
            </w:r>
            <w:r w:rsidR="00C1502D">
              <w:t>10-year</w:t>
            </w:r>
            <w:r>
              <w:t xml:space="preserve"> age groups (under 30, 30</w:t>
            </w:r>
            <w:r w:rsidRPr="00BB5D10">
              <w:t>–</w:t>
            </w:r>
            <w:r>
              <w:t xml:space="preserve">39, </w:t>
            </w:r>
            <w:r>
              <w:br/>
              <w:t>40</w:t>
            </w:r>
            <w:r w:rsidRPr="00BB5D10">
              <w:t>–</w:t>
            </w:r>
            <w:r>
              <w:t>49, 50</w:t>
            </w:r>
            <w:r w:rsidRPr="00BB5D10">
              <w:t>–</w:t>
            </w:r>
            <w:r>
              <w:t>59 and 60 and over)</w:t>
            </w:r>
          </w:p>
          <w:p w14:paraId="0D7D0A37" w14:textId="05898E3C" w:rsidR="00824BAA" w:rsidRDefault="00E260DB" w:rsidP="002C6BC8">
            <w:pPr>
              <w:pStyle w:val="BoxListBullet"/>
            </w:pPr>
            <w:r>
              <w:t>‘</w:t>
            </w:r>
            <w:r w:rsidR="002C6BC8">
              <w:t>operationa</w:t>
            </w:r>
            <w:r w:rsidR="000D7880">
              <w:t>l</w:t>
            </w:r>
            <w:r w:rsidR="002C6BC8">
              <w:t xml:space="preserve"> workforce attrition’ – defined as the number of </w:t>
            </w:r>
            <w:r w:rsidR="00D17E23">
              <w:t xml:space="preserve">full time equivalent (FTE) </w:t>
            </w:r>
            <w:r w:rsidR="002C6BC8">
              <w:t>salaried staff who exit the organisation as a proportion of the number of FTE salaried staff. Includes staff in operational positions where paramedic qualifications are either essential or desirable to the role</w:t>
            </w:r>
            <w:r w:rsidR="00824BAA">
              <w:t xml:space="preserve">. </w:t>
            </w:r>
          </w:p>
          <w:p w14:paraId="2D557EEB" w14:textId="77777777" w:rsidR="002C6BC8" w:rsidRPr="009C4BB1" w:rsidRDefault="002C6BC8" w:rsidP="009C4BB1">
            <w:pPr>
              <w:pStyle w:val="Box"/>
            </w:pPr>
            <w:r w:rsidRPr="009C4BB1">
              <w:t xml:space="preserve">A low or decreasing proportion of the workforce who are in the younger age groups and/or a high or increasing proportion who are closer to retirement suggests sustainability problems may arise in the coming decade as the older age group starts to retire. Low or decreasing levels of staff attrition are desirable. </w:t>
            </w:r>
          </w:p>
          <w:p w14:paraId="0B7D9916" w14:textId="640A22E5" w:rsidR="0044554F" w:rsidRDefault="0044554F" w:rsidP="009C4BB1">
            <w:pPr>
              <w:pStyle w:val="Box"/>
            </w:pPr>
            <w:r w:rsidRPr="009C4BB1">
              <w:t xml:space="preserve">The workforce by age group and staff attrition measures should be considered together. Each provides a different aspect of the changing profile and sustainability of ambulance service organisations’ workforce and should also be considered in conjunction with data on the: </w:t>
            </w:r>
          </w:p>
          <w:p w14:paraId="73E986E7" w14:textId="6E8F70E5" w:rsidR="0082295F" w:rsidRDefault="0082295F" w:rsidP="0082295F">
            <w:pPr>
              <w:pStyle w:val="BoxListBullet"/>
            </w:pPr>
            <w:r>
              <w:t>number of students enrolled in accredited paramedic training courses (table 11A.9)</w:t>
            </w:r>
          </w:p>
          <w:p w14:paraId="4506CCE8" w14:textId="5EAF231D" w:rsidR="0082295F" w:rsidRDefault="0082295F" w:rsidP="000F40BE">
            <w:pPr>
              <w:pStyle w:val="BoxListBullet"/>
            </w:pPr>
            <w:r>
              <w:t>availability of paramedics and response locations, which show that for some jurisdictions</w:t>
            </w:r>
            <w:r w:rsidR="00DB4B45">
              <w:t xml:space="preserve">, </w:t>
            </w:r>
            <w:r>
              <w:t>there can be a large proportion of volunteers or volunteer ambulance locations (tables 11A.2 and 11A.8).</w:t>
            </w:r>
          </w:p>
          <w:p w14:paraId="3FADBCFD" w14:textId="77777777" w:rsidR="00AA5A20" w:rsidRDefault="00AA5A20" w:rsidP="00AA5A20">
            <w:pPr>
              <w:pStyle w:val="Box"/>
            </w:pPr>
            <w:r>
              <w:t>Data reported for these measures are:</w:t>
            </w:r>
          </w:p>
          <w:p w14:paraId="5084A3C6" w14:textId="2124D604" w:rsidR="007E27C4" w:rsidRPr="009442FD" w:rsidRDefault="007E27C4" w:rsidP="007E27C4">
            <w:pPr>
              <w:pStyle w:val="BoxListBullet"/>
              <w:numPr>
                <w:ilvl w:val="0"/>
                <w:numId w:val="0"/>
              </w:numPr>
              <w:ind w:left="284"/>
            </w:pPr>
            <w:r w:rsidRPr="009273A9">
              <w:rPr>
                <w:shd w:val="clear" w:color="auto" w:fill="F15A25"/>
              </w:rPr>
              <w:t xml:space="preserve">    </w:t>
            </w:r>
            <w:r>
              <w:t xml:space="preserve"> </w:t>
            </w:r>
            <w:r w:rsidRPr="009442FD">
              <w:t>comparabl</w:t>
            </w:r>
            <w:r w:rsidR="0051608A">
              <w:t>e</w:t>
            </w:r>
            <w:r w:rsidRPr="009442FD">
              <w:t xml:space="preserve"> (subject to caveats) acr</w:t>
            </w:r>
            <w:r w:rsidR="00262E8A">
              <w:t>oss jurisdictions and over time</w:t>
            </w:r>
          </w:p>
          <w:p w14:paraId="5E719304" w14:textId="5CC9B8FC" w:rsidR="00AA5A20" w:rsidRDefault="007E27C4" w:rsidP="0051608A">
            <w:pPr>
              <w:pStyle w:val="BoxListBullet"/>
              <w:numPr>
                <w:ilvl w:val="0"/>
                <w:numId w:val="0"/>
              </w:numPr>
              <w:ind w:left="284"/>
            </w:pPr>
            <w:r w:rsidRPr="009273A9">
              <w:rPr>
                <w:shd w:val="clear" w:color="auto" w:fill="F15A25"/>
              </w:rPr>
              <w:t xml:space="preserve">    </w:t>
            </w:r>
            <w:r>
              <w:t xml:space="preserve"> </w:t>
            </w:r>
            <w:r w:rsidRPr="009442FD">
              <w:t>complet</w:t>
            </w:r>
            <w:r w:rsidR="0051608A">
              <w:t>e</w:t>
            </w:r>
            <w:r w:rsidRPr="009442FD">
              <w:t xml:space="preserve"> (subject to caveats)</w:t>
            </w:r>
            <w:r>
              <w:t xml:space="preserve"> </w:t>
            </w:r>
            <w:r w:rsidRPr="009442FD">
              <w:t xml:space="preserve">for the current reporting period. All required </w:t>
            </w:r>
            <w:r w:rsidR="00082EAF">
              <w:t>201</w:t>
            </w:r>
            <w:r w:rsidR="00DF72EE">
              <w:t>9</w:t>
            </w:r>
            <w:r w:rsidR="00082EAF">
              <w:t>-</w:t>
            </w:r>
            <w:r w:rsidR="00DF72EE">
              <w:t xml:space="preserve">20 </w:t>
            </w:r>
            <w:r w:rsidRPr="009442FD">
              <w:t>data are available for all jurisdicti</w:t>
            </w:r>
            <w:r>
              <w:t>ons.</w:t>
            </w:r>
          </w:p>
        </w:tc>
      </w:tr>
      <w:tr w:rsidR="00824BAA" w14:paraId="2F57324B" w14:textId="77777777" w:rsidTr="00824BAA">
        <w:tc>
          <w:tcPr>
            <w:tcW w:w="5000" w:type="pct"/>
            <w:tcBorders>
              <w:top w:val="nil"/>
              <w:left w:val="nil"/>
              <w:bottom w:val="single" w:sz="6" w:space="0" w:color="78A22F"/>
              <w:right w:val="nil"/>
            </w:tcBorders>
            <w:shd w:val="clear" w:color="auto" w:fill="F2F2F2"/>
          </w:tcPr>
          <w:p w14:paraId="2D519F40" w14:textId="77777777" w:rsidR="00824BAA" w:rsidRDefault="00824BAA">
            <w:pPr>
              <w:pStyle w:val="Box"/>
              <w:spacing w:before="0" w:line="120" w:lineRule="exact"/>
            </w:pPr>
          </w:p>
        </w:tc>
      </w:tr>
      <w:tr w:rsidR="00824BAA" w:rsidRPr="000863A5" w14:paraId="5C50808E" w14:textId="77777777" w:rsidTr="00824BAA">
        <w:tc>
          <w:tcPr>
            <w:tcW w:w="5000" w:type="pct"/>
            <w:tcBorders>
              <w:top w:val="single" w:sz="6" w:space="0" w:color="78A22F"/>
              <w:left w:val="nil"/>
              <w:bottom w:val="nil"/>
              <w:right w:val="nil"/>
            </w:tcBorders>
          </w:tcPr>
          <w:p w14:paraId="3F312B22" w14:textId="554ABC9F" w:rsidR="00824BAA" w:rsidRPr="00626D32" w:rsidRDefault="00824BAA" w:rsidP="00824BAA">
            <w:pPr>
              <w:pStyle w:val="BoxSpaceBelow"/>
            </w:pPr>
          </w:p>
        </w:tc>
      </w:tr>
    </w:tbl>
    <w:p w14:paraId="7B92B04E" w14:textId="77777777" w:rsidR="00D83D0A" w:rsidRPr="00606B46" w:rsidRDefault="00D83D0A" w:rsidP="00381CE1">
      <w:pPr>
        <w:pStyle w:val="Heading3"/>
        <w:spacing w:before="240"/>
      </w:pPr>
      <w:bookmarkStart w:id="19" w:name="_Toc41892766"/>
      <w:r w:rsidRPr="00606B46">
        <w:t>Efficiency</w:t>
      </w:r>
      <w:bookmarkEnd w:id="19"/>
    </w:p>
    <w:p w14:paraId="4582924D" w14:textId="77777777" w:rsidR="00D83D0A" w:rsidRPr="00606B46" w:rsidRDefault="00D83D0A" w:rsidP="00606B46">
      <w:pPr>
        <w:pStyle w:val="Heading4"/>
      </w:pPr>
      <w:bookmarkStart w:id="20" w:name="_Toc41892767"/>
      <w:r w:rsidRPr="00606B46">
        <w:t>Ambulance services expenditure per person</w:t>
      </w:r>
      <w:bookmarkEnd w:id="20"/>
    </w:p>
    <w:p w14:paraId="2195B3E2" w14:textId="45E73F42" w:rsidR="005C0079" w:rsidRDefault="00D83D0A" w:rsidP="00D83D0A">
      <w:pPr>
        <w:pStyle w:val="BodyText"/>
      </w:pPr>
      <w:r w:rsidRPr="00CC4105">
        <w:t>‘Ambulance service expenditure per person’ is a</w:t>
      </w:r>
      <w:r>
        <w:t xml:space="preserve"> proxy i</w:t>
      </w:r>
      <w:r w:rsidRPr="00CC4105">
        <w:t>ndicator of governments’ objective</w:t>
      </w:r>
      <w:r>
        <w:t xml:space="preserve"> to provide </w:t>
      </w:r>
      <w:r w:rsidRPr="00B2615F">
        <w:t xml:space="preserve">emergency medical care, pre-hospital and out-of-hospital care, </w:t>
      </w:r>
      <w:r>
        <w:t xml:space="preserve">and transport services in an efficient manner </w:t>
      </w:r>
      <w:r w:rsidRPr="00CC4105">
        <w:t>(box </w:t>
      </w:r>
      <w:r>
        <w:t>11.</w:t>
      </w:r>
      <w:r w:rsidR="002B3BB0">
        <w:t>6</w:t>
      </w:r>
      <w:r>
        <w:t>).</w:t>
      </w:r>
    </w:p>
    <w:p w14:paraId="21A6B910" w14:textId="3D94DDEA" w:rsidR="0012652D" w:rsidRDefault="0012652D" w:rsidP="001265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2652D" w14:paraId="3ACE3021" w14:textId="77777777" w:rsidTr="00AC45E2">
        <w:trPr>
          <w:tblHeader/>
        </w:trPr>
        <w:tc>
          <w:tcPr>
            <w:tcW w:w="5000" w:type="pct"/>
            <w:tcBorders>
              <w:top w:val="single" w:sz="6" w:space="0" w:color="78A22F"/>
              <w:left w:val="nil"/>
              <w:bottom w:val="nil"/>
              <w:right w:val="nil"/>
            </w:tcBorders>
            <w:shd w:val="clear" w:color="auto" w:fill="F2F2F2"/>
          </w:tcPr>
          <w:p w14:paraId="14166931" w14:textId="70D514FB" w:rsidR="0012652D" w:rsidRDefault="0012652D" w:rsidP="0012652D">
            <w:pPr>
              <w:pStyle w:val="BoxTitle"/>
            </w:pPr>
            <w:r>
              <w:rPr>
                <w:b w:val="0"/>
              </w:rPr>
              <w:t>Box 11.</w:t>
            </w:r>
            <w:r w:rsidR="002B3BB0">
              <w:rPr>
                <w:b w:val="0"/>
              </w:rPr>
              <w:t>6</w:t>
            </w:r>
            <w:r>
              <w:tab/>
              <w:t>Ambulance services expenditure per person</w:t>
            </w:r>
          </w:p>
        </w:tc>
      </w:tr>
      <w:tr w:rsidR="0012652D" w14:paraId="46C90BD7" w14:textId="77777777" w:rsidTr="00AC45E2">
        <w:tc>
          <w:tcPr>
            <w:tcW w:w="5000" w:type="pct"/>
            <w:tcBorders>
              <w:top w:val="nil"/>
              <w:left w:val="nil"/>
              <w:bottom w:val="nil"/>
              <w:right w:val="nil"/>
            </w:tcBorders>
            <w:shd w:val="clear" w:color="auto" w:fill="F2F2F2"/>
          </w:tcPr>
          <w:p w14:paraId="11FE6D30" w14:textId="77777777" w:rsidR="0012652D" w:rsidRDefault="0012652D" w:rsidP="0012652D">
            <w:pPr>
              <w:pStyle w:val="Box"/>
              <w:keepNext w:val="0"/>
              <w:keepLines/>
            </w:pPr>
            <w:r w:rsidRPr="00CC4105">
              <w:t>‘Ambulance service organisations’ expenditure per person’ is defined as total ambulance service organisation expenditure per person in the population.</w:t>
            </w:r>
            <w:r>
              <w:t xml:space="preserve"> </w:t>
            </w:r>
          </w:p>
          <w:p w14:paraId="30EC81B1" w14:textId="77777777" w:rsidR="0012652D" w:rsidRDefault="0012652D" w:rsidP="00262E8A">
            <w:pPr>
              <w:pStyle w:val="Box"/>
              <w:keepNext w:val="0"/>
              <w:keepLines/>
              <w:spacing w:before="100"/>
            </w:pPr>
            <w:r w:rsidRPr="00C1502D">
              <w:t xml:space="preserve">Both the total cost of ambulance service organisations and the cost to government of funding ambulance service organisations are reported, because revenue from transport fees is significant for </w:t>
            </w:r>
            <w:proofErr w:type="gramStart"/>
            <w:r w:rsidRPr="00C1502D">
              <w:t>a number of</w:t>
            </w:r>
            <w:proofErr w:type="gramEnd"/>
            <w:r w:rsidRPr="00C1502D">
              <w:t xml:space="preserve"> jurisdictions</w:t>
            </w:r>
            <w:r>
              <w:t>.</w:t>
            </w:r>
          </w:p>
          <w:p w14:paraId="769BFC99" w14:textId="77777777" w:rsidR="00262E8A" w:rsidRDefault="00262E8A" w:rsidP="00262E8A">
            <w:pPr>
              <w:pStyle w:val="Box"/>
              <w:keepNext w:val="0"/>
              <w:keepLines/>
              <w:spacing w:before="100"/>
            </w:pPr>
            <w:r>
              <w:t xml:space="preserve">All else being equal, lower expenditure per person represents greater efficiency. However, efficiency data should be interpreted with caution. </w:t>
            </w:r>
          </w:p>
          <w:p w14:paraId="271A244A" w14:textId="1343B9A5" w:rsidR="00A25217" w:rsidRPr="00275286" w:rsidRDefault="00A25217" w:rsidP="00275286">
            <w:pPr>
              <w:pStyle w:val="BoxListBullet"/>
            </w:pPr>
            <w:r w:rsidRPr="00275286">
              <w:t xml:space="preserve">High or increasing expenditure per person may reflect deteriorating efficiency. Alternatively, it may reflect changes </w:t>
            </w:r>
            <w:proofErr w:type="gramStart"/>
            <w:r w:rsidRPr="00275286">
              <w:t>in</w:t>
            </w:r>
            <w:r w:rsidR="00275286" w:rsidRPr="00275286">
              <w:t>:</w:t>
            </w:r>
            <w:proofErr w:type="gramEnd"/>
            <w:r w:rsidR="00275286" w:rsidRPr="00275286">
              <w:t xml:space="preserve"> </w:t>
            </w:r>
            <w:r w:rsidRPr="00275286">
              <w:t xml:space="preserve">aspects of the service (such as improved response); resourcing for first aid and community safety; or the characteristics of events requiring </w:t>
            </w:r>
            <w:r w:rsidR="00433CE1">
              <w:t xml:space="preserve">an </w:t>
            </w:r>
            <w:r w:rsidRPr="00275286">
              <w:t>ambulance service response</w:t>
            </w:r>
            <w:r w:rsidR="00364275">
              <w:t>, s</w:t>
            </w:r>
            <w:r w:rsidR="00275286" w:rsidRPr="00275286">
              <w:t>uch as more serious medical presentations requiring complex clinical interventions.</w:t>
            </w:r>
          </w:p>
          <w:p w14:paraId="30EEEA80" w14:textId="77777777" w:rsidR="00A25217" w:rsidRPr="00275286" w:rsidRDefault="00A25217" w:rsidP="00275286">
            <w:pPr>
              <w:pStyle w:val="BoxListBullet"/>
            </w:pPr>
            <w:r w:rsidRPr="00275286">
              <w:t>Differences in geographic size, terrain, climate, and population dispersal may affect costs of infrastructure and numbers of service delivery locations per person.</w:t>
            </w:r>
          </w:p>
          <w:p w14:paraId="58A6EC24" w14:textId="77777777" w:rsidR="00A25217" w:rsidRDefault="00A25217" w:rsidP="00A25217">
            <w:pPr>
              <w:pStyle w:val="Box"/>
            </w:pPr>
            <w:r w:rsidRPr="00CC4105">
              <w:t>Data reported for this measure are:</w:t>
            </w:r>
          </w:p>
          <w:p w14:paraId="16BE1166" w14:textId="77777777" w:rsidR="00A25217" w:rsidRDefault="00A25217" w:rsidP="00A25217">
            <w:pPr>
              <w:pStyle w:val="BoxListBullet"/>
              <w:numPr>
                <w:ilvl w:val="0"/>
                <w:numId w:val="0"/>
              </w:numPr>
              <w:ind w:left="284"/>
            </w:pPr>
            <w:r w:rsidRPr="00344676">
              <w:rPr>
                <w:shd w:val="clear" w:color="auto" w:fill="FCDED3"/>
              </w:rPr>
              <w:t xml:space="preserve">    </w:t>
            </w:r>
            <w:r>
              <w:t xml:space="preserve"> not c</w:t>
            </w:r>
            <w:r w:rsidRPr="00D57C7D">
              <w:t xml:space="preserve">omparable </w:t>
            </w:r>
            <w:r>
              <w:t>across jurisdictions, but are comparable (</w:t>
            </w:r>
            <w:r w:rsidRPr="00374229">
              <w:t xml:space="preserve">subject to caveats) within jurisdictions over time </w:t>
            </w:r>
          </w:p>
          <w:p w14:paraId="131925BA" w14:textId="243D0F3D" w:rsidR="00A25217" w:rsidRPr="00A25217" w:rsidRDefault="00A25217" w:rsidP="0054716F">
            <w:pPr>
              <w:pStyle w:val="BoxListBullet"/>
              <w:numPr>
                <w:ilvl w:val="0"/>
                <w:numId w:val="0"/>
              </w:numPr>
              <w:ind w:left="284"/>
              <w:rPr>
                <w:color w:val="DB6B6B" w:themeColor="accent5" w:themeTint="99"/>
              </w:rPr>
            </w:pPr>
            <w:r w:rsidRPr="009273A9">
              <w:rPr>
                <w:shd w:val="clear" w:color="auto" w:fill="F15A25"/>
              </w:rPr>
              <w:t xml:space="preserve">    </w:t>
            </w:r>
            <w:r>
              <w:t xml:space="preserve"> </w:t>
            </w:r>
            <w:r w:rsidRPr="009442FD">
              <w:t>comple</w:t>
            </w:r>
            <w:r w:rsidR="0054716F">
              <w:t xml:space="preserve">te </w:t>
            </w:r>
            <w:r w:rsidRPr="009442FD">
              <w:t>(subject to caveats)</w:t>
            </w:r>
            <w:r>
              <w:t xml:space="preserve"> </w:t>
            </w:r>
            <w:r w:rsidRPr="009442FD">
              <w:t xml:space="preserve">for the current reporting period. All required </w:t>
            </w:r>
            <w:r>
              <w:t>201</w:t>
            </w:r>
            <w:r w:rsidR="00DF72EE">
              <w:t>9</w:t>
            </w:r>
            <w:r>
              <w:t>-</w:t>
            </w:r>
            <w:r w:rsidR="00DF72EE">
              <w:t>20</w:t>
            </w:r>
            <w:r>
              <w:t xml:space="preserve"> </w:t>
            </w:r>
            <w:r w:rsidRPr="009442FD">
              <w:t>data are available for all jurisdicti</w:t>
            </w:r>
            <w:r>
              <w:t xml:space="preserve">ons. </w:t>
            </w:r>
            <w:r w:rsidRPr="00A25217">
              <w:rPr>
                <w:color w:val="DB6B6B" w:themeColor="accent5" w:themeTint="99"/>
                <w:shd w:val="clear" w:color="auto" w:fill="F15A25"/>
              </w:rPr>
              <w:t xml:space="preserve"> </w:t>
            </w:r>
          </w:p>
        </w:tc>
      </w:tr>
      <w:tr w:rsidR="0012652D" w14:paraId="23E8EEDF" w14:textId="77777777" w:rsidTr="00AC45E2">
        <w:tc>
          <w:tcPr>
            <w:tcW w:w="5000" w:type="pct"/>
            <w:tcBorders>
              <w:top w:val="nil"/>
              <w:left w:val="nil"/>
              <w:bottom w:val="single" w:sz="6" w:space="0" w:color="78A22F"/>
              <w:right w:val="nil"/>
            </w:tcBorders>
            <w:shd w:val="clear" w:color="auto" w:fill="F2F2F2"/>
          </w:tcPr>
          <w:p w14:paraId="002844ED" w14:textId="77777777" w:rsidR="0012652D" w:rsidRDefault="0012652D" w:rsidP="00AC45E2">
            <w:pPr>
              <w:pStyle w:val="Box"/>
              <w:spacing w:before="0" w:line="120" w:lineRule="exact"/>
            </w:pPr>
          </w:p>
        </w:tc>
      </w:tr>
      <w:tr w:rsidR="0012652D" w:rsidRPr="000863A5" w14:paraId="13684BDF" w14:textId="77777777" w:rsidTr="00AC45E2">
        <w:tc>
          <w:tcPr>
            <w:tcW w:w="5000" w:type="pct"/>
            <w:tcBorders>
              <w:top w:val="single" w:sz="6" w:space="0" w:color="78A22F"/>
              <w:left w:val="nil"/>
              <w:bottom w:val="nil"/>
              <w:right w:val="nil"/>
            </w:tcBorders>
          </w:tcPr>
          <w:p w14:paraId="3A20B263" w14:textId="13122517" w:rsidR="0012652D" w:rsidRPr="00626D32" w:rsidRDefault="0012652D" w:rsidP="00AC45E2">
            <w:pPr>
              <w:pStyle w:val="BoxSpaceBelow"/>
            </w:pPr>
          </w:p>
        </w:tc>
      </w:tr>
    </w:tbl>
    <w:p w14:paraId="6E2A2BF1" w14:textId="49FAD744" w:rsidR="00BC17B9" w:rsidRPr="00EB204E" w:rsidRDefault="00BC17B9" w:rsidP="00EB204E">
      <w:pPr>
        <w:pStyle w:val="Heading3"/>
      </w:pPr>
      <w:bookmarkStart w:id="21" w:name="_Toc41892768"/>
      <w:r w:rsidRPr="00EB204E">
        <w:t>Outcomes</w:t>
      </w:r>
      <w:bookmarkEnd w:id="21"/>
    </w:p>
    <w:p w14:paraId="62E49BEF" w14:textId="0BAE40B3" w:rsidR="00BC17B9" w:rsidRPr="001575C2" w:rsidRDefault="00BC17B9" w:rsidP="00BC17B9">
      <w:pPr>
        <w:pStyle w:val="BodyText"/>
      </w:pPr>
      <w:r w:rsidRPr="001319EF">
        <w:t xml:space="preserve">Outcomes </w:t>
      </w:r>
      <w:r>
        <w:t xml:space="preserve">are the </w:t>
      </w:r>
      <w:r w:rsidRPr="001319EF">
        <w:t xml:space="preserve">impact </w:t>
      </w:r>
      <w:r>
        <w:t xml:space="preserve">services on an individual or group </w:t>
      </w:r>
      <w:r w:rsidRPr="001575C2">
        <w:t xml:space="preserve">(see </w:t>
      </w:r>
      <w:r w:rsidR="00BE2401">
        <w:t>section</w:t>
      </w:r>
      <w:r w:rsidRPr="001575C2">
        <w:t> 1</w:t>
      </w:r>
      <w:r>
        <w:t>).</w:t>
      </w:r>
    </w:p>
    <w:p w14:paraId="773F0280" w14:textId="77777777" w:rsidR="00BC17B9" w:rsidRPr="00606B46" w:rsidRDefault="00BC17B9" w:rsidP="00606B46">
      <w:pPr>
        <w:pStyle w:val="Heading4"/>
      </w:pPr>
      <w:bookmarkStart w:id="22" w:name="_Toc41892769"/>
      <w:r w:rsidRPr="00606B46">
        <w:t>Cardiac arrest survived event rate</w:t>
      </w:r>
      <w:bookmarkEnd w:id="22"/>
    </w:p>
    <w:p w14:paraId="474FF12B" w14:textId="52000EBE" w:rsidR="00BC17B9" w:rsidRDefault="00BC17B9" w:rsidP="00BC17B9">
      <w:pPr>
        <w:pStyle w:val="BodyText"/>
      </w:pPr>
      <w:r w:rsidRPr="001575C2">
        <w:t xml:space="preserve">‘Cardiac arrest survived event rate’ is an indicator of governments’ objective </w:t>
      </w:r>
      <w:r>
        <w:t xml:space="preserve">to provide </w:t>
      </w:r>
      <w:r w:rsidRPr="00B2615F">
        <w:t xml:space="preserve">emergency medical care, pre-hospital and out-of-hospital care, </w:t>
      </w:r>
      <w:r>
        <w:t xml:space="preserve">and transport services that </w:t>
      </w:r>
      <w:r w:rsidRPr="00B2615F">
        <w:t>reduce the adverse effects of emergency events on the community</w:t>
      </w:r>
      <w:r>
        <w:t xml:space="preserve"> </w:t>
      </w:r>
      <w:r w:rsidRPr="001575C2">
        <w:t>(box </w:t>
      </w:r>
      <w:r>
        <w:t>11.</w:t>
      </w:r>
      <w:r w:rsidR="002B3BB0">
        <w:t>7</w:t>
      </w:r>
      <w:r w:rsidRPr="001575C2">
        <w:t>).</w:t>
      </w:r>
    </w:p>
    <w:p w14:paraId="60E3E472" w14:textId="72DE535B" w:rsidR="00BC17B9" w:rsidRDefault="00BC17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17B9" w14:paraId="5994CE07" w14:textId="77777777" w:rsidTr="001C49F9">
        <w:trPr>
          <w:tblHeader/>
        </w:trPr>
        <w:tc>
          <w:tcPr>
            <w:tcW w:w="5000" w:type="pct"/>
            <w:tcBorders>
              <w:top w:val="single" w:sz="6" w:space="0" w:color="78A22F"/>
              <w:left w:val="nil"/>
              <w:bottom w:val="nil"/>
              <w:right w:val="nil"/>
            </w:tcBorders>
            <w:shd w:val="clear" w:color="auto" w:fill="F2F2F2"/>
          </w:tcPr>
          <w:p w14:paraId="21BFE3D9" w14:textId="7D52AEB3" w:rsidR="00BC17B9" w:rsidRDefault="00BC17B9" w:rsidP="00C80900">
            <w:pPr>
              <w:pStyle w:val="BoxTitle"/>
            </w:pPr>
            <w:r>
              <w:rPr>
                <w:b w:val="0"/>
              </w:rPr>
              <w:t>Box 11.</w:t>
            </w:r>
            <w:r w:rsidR="002B3BB0">
              <w:rPr>
                <w:b w:val="0"/>
              </w:rPr>
              <w:t>7</w:t>
            </w:r>
            <w:r>
              <w:tab/>
            </w:r>
            <w:r w:rsidRPr="001575C2">
              <w:t>Ca</w:t>
            </w:r>
            <w:r>
              <w:t>rdiac arrest survived event rate</w:t>
            </w:r>
          </w:p>
        </w:tc>
      </w:tr>
      <w:tr w:rsidR="00BC17B9" w14:paraId="64B61C12" w14:textId="77777777" w:rsidTr="001C49F9">
        <w:tc>
          <w:tcPr>
            <w:tcW w:w="5000" w:type="pct"/>
            <w:tcBorders>
              <w:top w:val="nil"/>
              <w:left w:val="nil"/>
              <w:bottom w:val="nil"/>
              <w:right w:val="nil"/>
            </w:tcBorders>
            <w:shd w:val="clear" w:color="auto" w:fill="F2F2F2"/>
          </w:tcPr>
          <w:p w14:paraId="60EC0854" w14:textId="0D116B85" w:rsidR="00BC17B9" w:rsidRDefault="00BC17B9" w:rsidP="001C49F9">
            <w:pPr>
              <w:pStyle w:val="Box"/>
            </w:pPr>
            <w:r w:rsidRPr="00374229">
              <w:t xml:space="preserve">‘Cardiac arrest survived event rate’ is defined as the proportion of patients aged 16 years </w:t>
            </w:r>
            <w:r>
              <w:t>and</w:t>
            </w:r>
            <w:r w:rsidRPr="00374229">
              <w:t xml:space="preserve"> over who were in out</w:t>
            </w:r>
            <w:r w:rsidRPr="00374229">
              <w:noBreakHyphen/>
              <w:t>of</w:t>
            </w:r>
            <w:r w:rsidRPr="00374229">
              <w:noBreakHyphen/>
              <w:t>hospital cardiac arrest and had a return to spontaneous circulation (that is, the patient having a pulse) until administration and transfer of care to the medical staff at the receiving hospital (Jacobs et al. 2004).</w:t>
            </w:r>
          </w:p>
          <w:p w14:paraId="6FA42566" w14:textId="77777777" w:rsidR="00684E13" w:rsidRPr="00374229" w:rsidRDefault="00684E13" w:rsidP="00684E13">
            <w:pPr>
              <w:pStyle w:val="Box"/>
            </w:pPr>
            <w:r w:rsidRPr="00374229">
              <w:t xml:space="preserve">Three separate measures are </w:t>
            </w:r>
            <w:r>
              <w:t>reported</w:t>
            </w:r>
            <w:r w:rsidRPr="00374229">
              <w:t>:</w:t>
            </w:r>
          </w:p>
          <w:p w14:paraId="073BB82A" w14:textId="77777777" w:rsidR="00684E13" w:rsidRDefault="00684E13" w:rsidP="00684E13">
            <w:pPr>
              <w:pStyle w:val="BoxListBullet"/>
            </w:pPr>
            <w:r w:rsidRPr="006223E2">
              <w:t>Adult cardiac arrest where resuscitation attempted, where</w:t>
            </w:r>
            <w:r>
              <w:t>:</w:t>
            </w:r>
          </w:p>
          <w:p w14:paraId="1914CB59" w14:textId="77777777" w:rsidR="00684E13" w:rsidRPr="006223E2" w:rsidRDefault="00684E13" w:rsidP="006223E2">
            <w:pPr>
              <w:pStyle w:val="BoxListBullet2"/>
            </w:pPr>
            <w:r w:rsidRPr="006223E2">
              <w:t>a person was in out</w:t>
            </w:r>
            <w:r w:rsidRPr="006223E2">
              <w:noBreakHyphen/>
              <w:t>of</w:t>
            </w:r>
            <w:r w:rsidRPr="006223E2">
              <w:noBreakHyphen/>
              <w:t>hospital cardiac arrest (which was not witnessed by a paramedic)</w:t>
            </w:r>
          </w:p>
          <w:p w14:paraId="4DC9CFA0" w14:textId="1D5FB6A4" w:rsidR="00684E13" w:rsidRPr="006223E2" w:rsidRDefault="00684E13" w:rsidP="006223E2">
            <w:pPr>
              <w:pStyle w:val="BoxListBullet2"/>
            </w:pPr>
            <w:r w:rsidRPr="006223E2">
              <w:t>ches</w:t>
            </w:r>
            <w:r w:rsidR="0059033A" w:rsidRPr="006223E2">
              <w:t>t</w:t>
            </w:r>
            <w:r w:rsidRPr="006223E2">
              <w:t xml:space="preserve"> compressions and/or defibrillation was undertaken by ambulance or emergency medical services personnel.</w:t>
            </w:r>
          </w:p>
          <w:p w14:paraId="522F131A" w14:textId="77777777" w:rsidR="00684E13" w:rsidRPr="006223E2" w:rsidRDefault="00684E13" w:rsidP="006223E2">
            <w:pPr>
              <w:pStyle w:val="BoxListBullet"/>
            </w:pPr>
            <w:r w:rsidRPr="006223E2">
              <w:t>Adult Ventricular Fibrillation (VF) or Ventricular Tachycardia (VT) cardiac arrests</w:t>
            </w:r>
            <w:r w:rsidRPr="006223E2">
              <w:rPr>
                <w:rStyle w:val="FootnoteReference"/>
                <w:rFonts w:ascii="Arial" w:hAnsi="Arial"/>
                <w:position w:val="0"/>
              </w:rPr>
              <w:footnoteReference w:id="1"/>
            </w:r>
            <w:r w:rsidRPr="006223E2">
              <w:t xml:space="preserve"> where:</w:t>
            </w:r>
          </w:p>
          <w:p w14:paraId="72FCAE73" w14:textId="77777777" w:rsidR="00684E13" w:rsidRPr="006223E2" w:rsidRDefault="00684E13" w:rsidP="006223E2">
            <w:pPr>
              <w:pStyle w:val="BoxListBullet2"/>
            </w:pPr>
            <w:r w:rsidRPr="006223E2">
              <w:t>a person was in out</w:t>
            </w:r>
            <w:r w:rsidRPr="006223E2">
              <w:noBreakHyphen/>
              <w:t>of</w:t>
            </w:r>
            <w:r w:rsidRPr="006223E2">
              <w:noBreakHyphen/>
              <w:t>hospital cardiac arrest (which was not witnessed by a paramedic)</w:t>
            </w:r>
          </w:p>
          <w:p w14:paraId="62BD6218" w14:textId="7782ADA2" w:rsidR="00684E13" w:rsidRDefault="00684E13" w:rsidP="006223E2">
            <w:pPr>
              <w:pStyle w:val="BoxListBullet2"/>
            </w:pPr>
            <w:r w:rsidRPr="006223E2">
              <w:t>the arrest rhythm on the first ECG assessment was either VF or VT</w:t>
            </w:r>
            <w:r w:rsidR="004D3761" w:rsidRPr="006223E2">
              <w:t>.</w:t>
            </w:r>
          </w:p>
          <w:p w14:paraId="13820392" w14:textId="324A3EB2" w:rsidR="00EB204E" w:rsidRPr="003E01CC" w:rsidRDefault="00D75CCC" w:rsidP="003E01CC">
            <w:pPr>
              <w:pStyle w:val="BoxListBullet"/>
              <w:numPr>
                <w:ilvl w:val="0"/>
                <w:numId w:val="0"/>
              </w:numPr>
              <w:ind w:left="284"/>
            </w:pPr>
            <w:r>
              <w:t xml:space="preserve">VF </w:t>
            </w:r>
            <w:r w:rsidR="007649A0" w:rsidRPr="005B650E">
              <w:t>or VT are electrical rhythms of the heart but are not associated with effective beating of the heart to produce a pulse. Patients who suffer a VF/VT cardiac arrest are more likely to have better outcomes compared with other causes of cardiac arrest as these conditions are primarily correctable through defibrillation, and the earlier this intervention is applied (either by ambulance or by a member of the community through the use of Automated External Defibrillators), the greater the chance of survival</w:t>
            </w:r>
            <w:r w:rsidR="005B650E" w:rsidRPr="003A6908">
              <w:t>.</w:t>
            </w:r>
          </w:p>
          <w:p w14:paraId="1A81CDF4" w14:textId="77777777" w:rsidR="00382A8C" w:rsidRPr="006223E2" w:rsidRDefault="00382A8C" w:rsidP="006223E2">
            <w:pPr>
              <w:pStyle w:val="BoxListBullet"/>
            </w:pPr>
            <w:r w:rsidRPr="006223E2">
              <w:t>Paramedic witnessed cardiac arrest — where a person was in out</w:t>
            </w:r>
            <w:r w:rsidRPr="006223E2">
              <w:noBreakHyphen/>
              <w:t>of</w:t>
            </w:r>
            <w:r w:rsidRPr="006223E2">
              <w:noBreakHyphen/>
              <w:t>hospital cardiac arrest that occurred in the presence of an ambulance paramedic or officer.</w:t>
            </w:r>
          </w:p>
          <w:p w14:paraId="7E0F41C7" w14:textId="77777777" w:rsidR="00382A8C" w:rsidRPr="00382A8C" w:rsidRDefault="00382A8C" w:rsidP="00382A8C">
            <w:pPr>
              <w:pStyle w:val="Box"/>
            </w:pPr>
            <w:r w:rsidRPr="00382A8C">
              <w:t xml:space="preserve">Cardiac arrests that are treated immediately by the paramedic have a better likelihood of survival due to immediate and rapid intervention. </w:t>
            </w:r>
          </w:p>
          <w:p w14:paraId="58B188FF" w14:textId="77777777" w:rsidR="00684E13" w:rsidRPr="00EB204E" w:rsidRDefault="00684E13" w:rsidP="00EB204E">
            <w:pPr>
              <w:pStyle w:val="Box"/>
            </w:pPr>
            <w:r w:rsidRPr="00EB204E">
              <w:t xml:space="preserve">A high or increasing cardiac arrest survived event rate is desirable. </w:t>
            </w:r>
          </w:p>
          <w:p w14:paraId="2DE18C68" w14:textId="4BD6528A" w:rsidR="00684E13" w:rsidRPr="00EB204E" w:rsidRDefault="00684E13" w:rsidP="00EB204E">
            <w:pPr>
              <w:pStyle w:val="Box"/>
            </w:pPr>
            <w:r w:rsidRPr="00EB204E">
              <w:t>Data reported for these measure</w:t>
            </w:r>
            <w:r w:rsidR="007C6B1F" w:rsidRPr="00EB204E">
              <w:t>s</w:t>
            </w:r>
            <w:r w:rsidRPr="00EB204E">
              <w:t xml:space="preserve"> are:</w:t>
            </w:r>
          </w:p>
          <w:p w14:paraId="40D44F97" w14:textId="4379BC06" w:rsidR="00684E13" w:rsidRDefault="00B92A35" w:rsidP="00684E13">
            <w:pPr>
              <w:pStyle w:val="BoxListBullet"/>
              <w:numPr>
                <w:ilvl w:val="0"/>
                <w:numId w:val="0"/>
              </w:numPr>
              <w:ind w:left="284"/>
            </w:pPr>
            <w:r w:rsidRPr="009273A9">
              <w:rPr>
                <w:shd w:val="clear" w:color="auto" w:fill="F15A25"/>
              </w:rPr>
              <w:t xml:space="preserve">    </w:t>
            </w:r>
            <w:r w:rsidR="00684E13">
              <w:t xml:space="preserve"> </w:t>
            </w:r>
            <w:r w:rsidR="006A0F36">
              <w:t>comparable (subject to caveats) across jurisdictions from 2018-19 onwards</w:t>
            </w:r>
            <w:r>
              <w:t xml:space="preserve"> and over time for all jurisdictions except NSW (NSW changed in 2018-19 bringing it in line with national counting rules but creating a break with its historical reporting)</w:t>
            </w:r>
          </w:p>
          <w:p w14:paraId="3CB0C659" w14:textId="4960DEB0" w:rsidR="00684E13" w:rsidRDefault="00684E13" w:rsidP="0059033A">
            <w:pPr>
              <w:pStyle w:val="BoxListBullet"/>
              <w:numPr>
                <w:ilvl w:val="0"/>
                <w:numId w:val="0"/>
              </w:numPr>
              <w:ind w:left="284"/>
            </w:pPr>
            <w:r w:rsidRPr="009273A9">
              <w:rPr>
                <w:shd w:val="clear" w:color="auto" w:fill="F15A25"/>
              </w:rPr>
              <w:t xml:space="preserve">    </w:t>
            </w:r>
            <w:r>
              <w:t xml:space="preserve"> </w:t>
            </w:r>
            <w:r w:rsidRPr="009442FD">
              <w:t>complet</w:t>
            </w:r>
            <w:r w:rsidR="0059033A">
              <w:t>e</w:t>
            </w:r>
            <w:r w:rsidRPr="009442FD">
              <w:t xml:space="preserve"> (subject to caveats)</w:t>
            </w:r>
            <w:r>
              <w:t xml:space="preserve"> </w:t>
            </w:r>
            <w:r w:rsidRPr="009442FD">
              <w:t xml:space="preserve">for the current reporting period. All required </w:t>
            </w:r>
            <w:r w:rsidR="00082EAF">
              <w:t>201</w:t>
            </w:r>
            <w:r w:rsidR="00DF72EE">
              <w:t>9</w:t>
            </w:r>
            <w:r w:rsidR="00082EAF">
              <w:t>-</w:t>
            </w:r>
            <w:r w:rsidR="00DF72EE">
              <w:t xml:space="preserve">20 </w:t>
            </w:r>
            <w:r w:rsidRPr="009442FD">
              <w:t>data are available for all jurisdicti</w:t>
            </w:r>
            <w:r>
              <w:t>ons.</w:t>
            </w:r>
          </w:p>
        </w:tc>
      </w:tr>
      <w:tr w:rsidR="00BC17B9" w14:paraId="610F1649" w14:textId="77777777" w:rsidTr="001C49F9">
        <w:tc>
          <w:tcPr>
            <w:tcW w:w="5000" w:type="pct"/>
            <w:tcBorders>
              <w:top w:val="nil"/>
              <w:left w:val="nil"/>
              <w:bottom w:val="single" w:sz="6" w:space="0" w:color="78A22F"/>
              <w:right w:val="nil"/>
            </w:tcBorders>
            <w:shd w:val="clear" w:color="auto" w:fill="F2F2F2"/>
          </w:tcPr>
          <w:p w14:paraId="27396CC9" w14:textId="77777777" w:rsidR="00BC17B9" w:rsidRDefault="00BC17B9">
            <w:pPr>
              <w:pStyle w:val="Box"/>
              <w:spacing w:before="0" w:line="120" w:lineRule="exact"/>
            </w:pPr>
          </w:p>
        </w:tc>
      </w:tr>
      <w:tr w:rsidR="00BC17B9" w:rsidRPr="000863A5" w14:paraId="40B6B638" w14:textId="77777777" w:rsidTr="001C49F9">
        <w:tc>
          <w:tcPr>
            <w:tcW w:w="5000" w:type="pct"/>
            <w:tcBorders>
              <w:top w:val="single" w:sz="6" w:space="0" w:color="78A22F"/>
              <w:left w:val="nil"/>
              <w:bottom w:val="nil"/>
              <w:right w:val="nil"/>
            </w:tcBorders>
          </w:tcPr>
          <w:p w14:paraId="1AD6E25C" w14:textId="5630B8BA" w:rsidR="00BC17B9" w:rsidRPr="00626D32" w:rsidRDefault="00BC17B9" w:rsidP="001C49F9">
            <w:pPr>
              <w:pStyle w:val="BoxSpaceBelow"/>
            </w:pPr>
          </w:p>
        </w:tc>
      </w:tr>
    </w:tbl>
    <w:p w14:paraId="7B55696E" w14:textId="66E3A15A" w:rsidR="00C613E6" w:rsidRDefault="00C613E6" w:rsidP="00684E13">
      <w:pPr>
        <w:pStyle w:val="BoxSpaceAbove"/>
        <w:spacing w:before="240"/>
      </w:pPr>
    </w:p>
    <w:p w14:paraId="76030F1B" w14:textId="4857C09D" w:rsidR="00D434A0" w:rsidRDefault="003F1056" w:rsidP="00567EB5">
      <w:pPr>
        <w:pStyle w:val="Heading2"/>
        <w:spacing w:before="120" w:after="240"/>
        <w:ind w:left="0" w:firstLine="0"/>
      </w:pPr>
      <w:bookmarkStart w:id="23" w:name="_Toc41892770"/>
      <w:r>
        <w:t>11</w:t>
      </w:r>
      <w:r w:rsidR="00BB7E60">
        <w:t>.</w:t>
      </w:r>
      <w:r w:rsidR="000574CF">
        <w:t>2</w:t>
      </w:r>
      <w:r>
        <w:tab/>
        <w:t>Definitions of key terms</w:t>
      </w:r>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11.4 Definitions of key terms&#10;&#10;Table with key terms&#10;&#10;More details can be found within the text surrounding this image. "/>
      </w:tblPr>
      <w:tblGrid>
        <w:gridCol w:w="1701"/>
        <w:gridCol w:w="475"/>
        <w:gridCol w:w="6603"/>
        <w:gridCol w:w="10"/>
      </w:tblGrid>
      <w:tr w:rsidR="00092329" w14:paraId="41631EB6" w14:textId="77777777" w:rsidTr="00C9545B">
        <w:trPr>
          <w:gridAfter w:val="1"/>
          <w:wAfter w:w="10" w:type="dxa"/>
        </w:trPr>
        <w:tc>
          <w:tcPr>
            <w:tcW w:w="1701" w:type="dxa"/>
          </w:tcPr>
          <w:p w14:paraId="769EF38B" w14:textId="045E7FA3" w:rsidR="00092329" w:rsidRPr="002F1997" w:rsidRDefault="00092329" w:rsidP="00AF77B4">
            <w:pPr>
              <w:pStyle w:val="TableBodyText"/>
              <w:spacing w:before="60" w:after="60"/>
              <w:ind w:left="-57"/>
              <w:jc w:val="left"/>
              <w:rPr>
                <w:b/>
              </w:rPr>
            </w:pPr>
            <w:r>
              <w:rPr>
                <w:b/>
              </w:rPr>
              <w:t>Estimated resident population (ERP)</w:t>
            </w:r>
          </w:p>
        </w:tc>
        <w:tc>
          <w:tcPr>
            <w:tcW w:w="7078" w:type="dxa"/>
            <w:gridSpan w:val="2"/>
          </w:tcPr>
          <w:p w14:paraId="4AF202D2" w14:textId="061416D0" w:rsidR="00092329" w:rsidRDefault="00092329" w:rsidP="00092329">
            <w:pPr>
              <w:pStyle w:val="TableBodyText"/>
              <w:keepNext w:val="0"/>
              <w:keepLines w:val="0"/>
              <w:widowControl w:val="0"/>
              <w:spacing w:before="60" w:after="60"/>
              <w:ind w:right="28"/>
              <w:jc w:val="left"/>
            </w:pPr>
            <w:r>
              <w:t>The official Australian Bureau of Statistics estimate of the Australian population. The ERP is derived from the 5-yearly Census counts</w:t>
            </w:r>
            <w:r w:rsidR="00EB1F07">
              <w:t xml:space="preserve"> and </w:t>
            </w:r>
            <w:r>
              <w:t>is updated quarterly between censuses. It is based on the usual residence of the person.</w:t>
            </w:r>
          </w:p>
        </w:tc>
      </w:tr>
      <w:tr w:rsidR="0007409F" w14:paraId="41E40DE6" w14:textId="77777777" w:rsidTr="00C9545B">
        <w:trPr>
          <w:gridAfter w:val="1"/>
          <w:wAfter w:w="10" w:type="dxa"/>
        </w:trPr>
        <w:tc>
          <w:tcPr>
            <w:tcW w:w="1701" w:type="dxa"/>
          </w:tcPr>
          <w:p w14:paraId="34B70483" w14:textId="741B308B" w:rsidR="0007409F" w:rsidRPr="002F1997" w:rsidRDefault="002F1997" w:rsidP="009C6B36">
            <w:pPr>
              <w:pStyle w:val="TableBodyText"/>
              <w:spacing w:before="60" w:after="60"/>
              <w:ind w:left="-57"/>
              <w:jc w:val="left"/>
              <w:rPr>
                <w:b/>
              </w:rPr>
            </w:pPr>
            <w:r w:rsidRPr="002F1997">
              <w:rPr>
                <w:b/>
              </w:rPr>
              <w:t>Expenditure</w:t>
            </w:r>
          </w:p>
        </w:tc>
        <w:tc>
          <w:tcPr>
            <w:tcW w:w="7078" w:type="dxa"/>
            <w:gridSpan w:val="2"/>
          </w:tcPr>
          <w:p w14:paraId="65806E8B" w14:textId="77777777" w:rsidR="002F1997" w:rsidRDefault="002F1997" w:rsidP="002F1997">
            <w:pPr>
              <w:pStyle w:val="TableBodyText"/>
              <w:keepNext w:val="0"/>
              <w:keepLines w:val="0"/>
              <w:widowControl w:val="0"/>
              <w:spacing w:before="60" w:after="60"/>
              <w:ind w:right="28"/>
              <w:jc w:val="left"/>
            </w:pPr>
            <w:r>
              <w:t>Includes:</w:t>
            </w:r>
          </w:p>
          <w:p w14:paraId="0B1DB785" w14:textId="77777777" w:rsidR="002F1997" w:rsidRDefault="002F1997" w:rsidP="002F1997">
            <w:pPr>
              <w:pStyle w:val="TableBullet"/>
            </w:pPr>
            <w:r w:rsidRPr="001F08C0">
              <w:t>salaries and payments</w:t>
            </w:r>
            <w:r>
              <w:t xml:space="preserve"> </w:t>
            </w:r>
            <w:proofErr w:type="gramStart"/>
            <w:r>
              <w:t>in the nature of salaries</w:t>
            </w:r>
            <w:proofErr w:type="gramEnd"/>
            <w:r>
              <w:t xml:space="preserve"> to </w:t>
            </w:r>
            <w:r w:rsidRPr="001F08C0">
              <w:t>ambulance personnel</w:t>
            </w:r>
          </w:p>
          <w:p w14:paraId="0E1627CF" w14:textId="77777777" w:rsidR="002F1997" w:rsidRDefault="002F1997" w:rsidP="002F1997">
            <w:pPr>
              <w:pStyle w:val="TableBullet"/>
            </w:pPr>
            <w:r w:rsidRPr="001F08C0">
              <w:t xml:space="preserve">capital expenditure (such as the user cost of capital) </w:t>
            </w:r>
          </w:p>
          <w:p w14:paraId="0301F669" w14:textId="0ED4B474" w:rsidR="002F1997" w:rsidRDefault="002F1997" w:rsidP="002F1997">
            <w:pPr>
              <w:pStyle w:val="TableBullet"/>
            </w:pPr>
            <w:r w:rsidRPr="001F08C0">
              <w:t>othe</w:t>
            </w:r>
            <w:r w:rsidR="00092329">
              <w:t>r</w:t>
            </w:r>
            <w:r w:rsidRPr="001F08C0">
              <w:t xml:space="preserve"> operating expenditure (such as running expenditure, contract expenditure, training expenditure, maintenance expenditure, communications expenditure, provision for losses and other recurrent expenditure). </w:t>
            </w:r>
          </w:p>
          <w:p w14:paraId="6C34D534" w14:textId="7D56D52F" w:rsidR="0007409F" w:rsidRDefault="002F1997" w:rsidP="00AF77B4">
            <w:pPr>
              <w:pStyle w:val="TableBodyText"/>
              <w:spacing w:before="60" w:after="60"/>
              <w:jc w:val="left"/>
            </w:pPr>
            <w:r w:rsidRPr="001F08C0">
              <w:t>Excludes interest on borrowings.</w:t>
            </w:r>
          </w:p>
        </w:tc>
      </w:tr>
      <w:tr w:rsidR="0007409F" w14:paraId="28BA965B" w14:textId="77777777" w:rsidTr="00C9545B">
        <w:trPr>
          <w:gridAfter w:val="1"/>
          <w:wAfter w:w="10" w:type="dxa"/>
        </w:trPr>
        <w:tc>
          <w:tcPr>
            <w:tcW w:w="1701" w:type="dxa"/>
          </w:tcPr>
          <w:p w14:paraId="64F5FA82" w14:textId="581E947B" w:rsidR="0007409F" w:rsidRPr="002F1997" w:rsidRDefault="002F1997" w:rsidP="009C6B36">
            <w:pPr>
              <w:pStyle w:val="TableBodyText"/>
              <w:spacing w:before="60" w:after="60"/>
              <w:ind w:left="142"/>
              <w:jc w:val="left"/>
            </w:pPr>
            <w:r w:rsidRPr="002A1FE1">
              <w:t xml:space="preserve">User cost </w:t>
            </w:r>
            <w:r w:rsidRPr="002A1FE1">
              <w:br/>
              <w:t>of capital</w:t>
            </w:r>
          </w:p>
        </w:tc>
        <w:tc>
          <w:tcPr>
            <w:tcW w:w="7078" w:type="dxa"/>
            <w:gridSpan w:val="2"/>
          </w:tcPr>
          <w:p w14:paraId="4B9831C8" w14:textId="7A0B62A7" w:rsidR="0007409F" w:rsidRDefault="002F1997" w:rsidP="002F1997">
            <w:pPr>
              <w:pStyle w:val="TableBodyText"/>
              <w:spacing w:before="60" w:after="60"/>
              <w:jc w:val="left"/>
            </w:pPr>
            <w:r w:rsidRPr="001F08C0">
              <w:t>The opportunity cost of funds tied up in the capital used to deliver services. Calculated as 8 per cent of the current value of non</w:t>
            </w:r>
            <w:r>
              <w:noBreakHyphen/>
            </w:r>
            <w:r w:rsidRPr="001F08C0">
              <w:t>current physical assets (including land, plant and equipment).</w:t>
            </w:r>
          </w:p>
        </w:tc>
      </w:tr>
      <w:tr w:rsidR="0007409F" w14:paraId="45BC5858" w14:textId="77777777" w:rsidTr="00C9545B">
        <w:trPr>
          <w:gridAfter w:val="1"/>
          <w:wAfter w:w="10" w:type="dxa"/>
        </w:trPr>
        <w:tc>
          <w:tcPr>
            <w:tcW w:w="1701" w:type="dxa"/>
          </w:tcPr>
          <w:p w14:paraId="1926EC97" w14:textId="09302EBA" w:rsidR="0007409F" w:rsidRPr="002F1997" w:rsidRDefault="002F1997" w:rsidP="009C6B36">
            <w:pPr>
              <w:pStyle w:val="TableBodyText"/>
              <w:spacing w:before="60" w:after="60"/>
              <w:ind w:left="-57"/>
              <w:jc w:val="left"/>
            </w:pPr>
            <w:r>
              <w:rPr>
                <w:b/>
              </w:rPr>
              <w:t>Human resources</w:t>
            </w:r>
          </w:p>
        </w:tc>
        <w:tc>
          <w:tcPr>
            <w:tcW w:w="7078" w:type="dxa"/>
            <w:gridSpan w:val="2"/>
          </w:tcPr>
          <w:p w14:paraId="189873BE" w14:textId="77777777" w:rsidR="002F1997" w:rsidRDefault="002F1997" w:rsidP="002F1997">
            <w:pPr>
              <w:pStyle w:val="TableBodyText"/>
              <w:keepNext w:val="0"/>
              <w:keepLines w:val="0"/>
              <w:widowControl w:val="0"/>
              <w:spacing w:before="60" w:after="60"/>
              <w:ind w:right="28"/>
              <w:jc w:val="left"/>
            </w:pPr>
            <w:r w:rsidRPr="005F0C77">
              <w:t xml:space="preserve">Human resources </w:t>
            </w:r>
            <w:proofErr w:type="gramStart"/>
            <w:r w:rsidRPr="005F0C77">
              <w:t>refers</w:t>
            </w:r>
            <w:proofErr w:type="gramEnd"/>
            <w:r w:rsidRPr="005F0C77">
              <w:t xml:space="preserve"> to any person delivering a service, or managing the delivery of this service, including</w:t>
            </w:r>
            <w:r>
              <w:t>:</w:t>
            </w:r>
            <w:r w:rsidRPr="005F0C77">
              <w:t xml:space="preserve"> </w:t>
            </w:r>
          </w:p>
          <w:p w14:paraId="2B9CFCB8" w14:textId="77777777" w:rsidR="002F1997" w:rsidRDefault="002F1997" w:rsidP="002F1997">
            <w:pPr>
              <w:pStyle w:val="TableBullet"/>
            </w:pPr>
            <w:r w:rsidRPr="001F08C0">
              <w:t>salaried ambulance personnel, remunerated volunteer and non</w:t>
            </w:r>
            <w:r w:rsidRPr="001F08C0">
              <w:noBreakHyphen/>
              <w:t>remunerated volunteer ambulance personnel</w:t>
            </w:r>
          </w:p>
          <w:p w14:paraId="054F13EF" w14:textId="513D305F" w:rsidR="0007409F" w:rsidRDefault="00092329" w:rsidP="00092329">
            <w:pPr>
              <w:pStyle w:val="TableBullet"/>
            </w:pPr>
            <w:r>
              <w:t>supp</w:t>
            </w:r>
            <w:r w:rsidR="002F1997">
              <w:t>o</w:t>
            </w:r>
            <w:r w:rsidR="002F1997" w:rsidRPr="00980E2D">
              <w:t>rt personnel (any paid person or volunteer directly supporting operational providers, including administrative, technical and communications personnel).</w:t>
            </w:r>
          </w:p>
        </w:tc>
      </w:tr>
      <w:tr w:rsidR="0007409F" w14:paraId="30BB38CE" w14:textId="77777777" w:rsidTr="00C9545B">
        <w:trPr>
          <w:gridAfter w:val="1"/>
          <w:wAfter w:w="10" w:type="dxa"/>
        </w:trPr>
        <w:tc>
          <w:tcPr>
            <w:tcW w:w="1701" w:type="dxa"/>
          </w:tcPr>
          <w:p w14:paraId="6595FB5D" w14:textId="43BD815D" w:rsidR="0007409F" w:rsidRPr="002F1997" w:rsidRDefault="002F1997" w:rsidP="009C6B36">
            <w:pPr>
              <w:pStyle w:val="TableBodyText"/>
              <w:spacing w:before="60" w:after="60"/>
              <w:ind w:left="-57"/>
              <w:jc w:val="left"/>
            </w:pPr>
            <w:r>
              <w:rPr>
                <w:b/>
              </w:rPr>
              <w:t>Revenue</w:t>
            </w:r>
          </w:p>
        </w:tc>
        <w:tc>
          <w:tcPr>
            <w:tcW w:w="7078" w:type="dxa"/>
            <w:gridSpan w:val="2"/>
          </w:tcPr>
          <w:p w14:paraId="45D8FEFE" w14:textId="64E467BF" w:rsidR="0007409F" w:rsidRDefault="002F1997" w:rsidP="002F1997">
            <w:pPr>
              <w:pStyle w:val="TableBodyText"/>
              <w:spacing w:before="60" w:after="60"/>
              <w:jc w:val="left"/>
            </w:pPr>
            <w:r w:rsidRPr="0054741D">
              <w:t>Revenue</w:t>
            </w:r>
            <w:r>
              <w:t xml:space="preserve"> received directly or indirectly by ambulance service organisations on an accrual accounting basis, including:</w:t>
            </w:r>
          </w:p>
        </w:tc>
      </w:tr>
      <w:tr w:rsidR="002F1997" w14:paraId="45CDD823" w14:textId="77777777" w:rsidTr="00C9545B">
        <w:trPr>
          <w:gridAfter w:val="1"/>
          <w:wAfter w:w="10" w:type="dxa"/>
        </w:trPr>
        <w:tc>
          <w:tcPr>
            <w:tcW w:w="1701" w:type="dxa"/>
          </w:tcPr>
          <w:p w14:paraId="23E76FCC" w14:textId="77E4C2A4" w:rsidR="002F1997" w:rsidRDefault="002F1997" w:rsidP="009C6B36">
            <w:pPr>
              <w:pStyle w:val="TableBodyText"/>
              <w:spacing w:before="60" w:after="60"/>
              <w:ind w:left="142"/>
              <w:jc w:val="left"/>
              <w:rPr>
                <w:b/>
              </w:rPr>
            </w:pPr>
            <w:r w:rsidRPr="002A1FE1">
              <w:t>Government</w:t>
            </w:r>
            <w:r>
              <w:t xml:space="preserve"> grant funding</w:t>
            </w:r>
          </w:p>
        </w:tc>
        <w:tc>
          <w:tcPr>
            <w:tcW w:w="7078" w:type="dxa"/>
            <w:gridSpan w:val="2"/>
          </w:tcPr>
          <w:p w14:paraId="00B89F8F" w14:textId="6BFD8503" w:rsidR="002F1997" w:rsidRPr="0054741D" w:rsidRDefault="002F1997" w:rsidP="002F1997">
            <w:pPr>
              <w:pStyle w:val="TableBodyText"/>
              <w:spacing w:before="60" w:after="60"/>
              <w:jc w:val="left"/>
            </w:pPr>
            <w:r>
              <w:t>Grant funding, as established in legislation,</w:t>
            </w:r>
            <w:r w:rsidRPr="00E43138">
              <w:t xml:space="preserve"> from</w:t>
            </w:r>
            <w:r>
              <w:t xml:space="preserve"> the </w:t>
            </w:r>
            <w:r w:rsidRPr="00E43138">
              <w:t>Australian</w:t>
            </w:r>
            <w:r>
              <w:t>, State/Territory and Local</w:t>
            </w:r>
            <w:r w:rsidRPr="00E43138">
              <w:t xml:space="preserve"> government</w:t>
            </w:r>
            <w:r>
              <w:t>s</w:t>
            </w:r>
            <w:r w:rsidRPr="00E43138">
              <w:t>.</w:t>
            </w:r>
          </w:p>
        </w:tc>
      </w:tr>
      <w:tr w:rsidR="002F1997" w14:paraId="6788CFF7" w14:textId="77777777" w:rsidTr="00C9545B">
        <w:tc>
          <w:tcPr>
            <w:tcW w:w="1701" w:type="dxa"/>
            <w:shd w:val="clear" w:color="auto" w:fill="auto"/>
          </w:tcPr>
          <w:p w14:paraId="0B611888" w14:textId="20B935DB" w:rsidR="002F1997" w:rsidRDefault="002F1997" w:rsidP="009C6B36">
            <w:pPr>
              <w:pStyle w:val="TableBodyText"/>
              <w:spacing w:before="60" w:after="60"/>
              <w:ind w:left="142"/>
              <w:jc w:val="left"/>
            </w:pPr>
            <w:r>
              <w:t xml:space="preserve">Levies                   </w:t>
            </w:r>
          </w:p>
        </w:tc>
        <w:tc>
          <w:tcPr>
            <w:tcW w:w="7088" w:type="dxa"/>
            <w:gridSpan w:val="3"/>
            <w:shd w:val="clear" w:color="auto" w:fill="auto"/>
          </w:tcPr>
          <w:p w14:paraId="26F6DCFE" w14:textId="5E0519A1" w:rsidR="002F1997" w:rsidRDefault="002F1997" w:rsidP="002F1997">
            <w:pPr>
              <w:pStyle w:val="TableBodyText"/>
              <w:spacing w:before="60" w:after="60"/>
              <w:jc w:val="left"/>
            </w:pPr>
            <w:r>
              <w:t xml:space="preserve">Revenue from levies, </w:t>
            </w:r>
            <w:r w:rsidRPr="00E43138">
              <w:t>as established in enabling legislation</w:t>
            </w:r>
            <w:r>
              <w:t>, raised on insurance companies and property owners.</w:t>
            </w:r>
          </w:p>
        </w:tc>
      </w:tr>
      <w:tr w:rsidR="002F1997" w14:paraId="0A95618B" w14:textId="77777777" w:rsidTr="00C9545B">
        <w:tc>
          <w:tcPr>
            <w:tcW w:w="1701" w:type="dxa"/>
            <w:shd w:val="clear" w:color="auto" w:fill="auto"/>
          </w:tcPr>
          <w:p w14:paraId="069F32D1" w14:textId="43CD329B" w:rsidR="002F1997" w:rsidRPr="002F1997" w:rsidRDefault="002F1997" w:rsidP="009C6B36">
            <w:pPr>
              <w:pStyle w:val="TableBodyText"/>
              <w:spacing w:before="60" w:after="60"/>
              <w:ind w:left="142"/>
              <w:jc w:val="left"/>
              <w:rPr>
                <w:b/>
              </w:rPr>
            </w:pPr>
            <w:r w:rsidRPr="002A1FE1">
              <w:t xml:space="preserve">User/transport charges </w:t>
            </w:r>
          </w:p>
        </w:tc>
        <w:tc>
          <w:tcPr>
            <w:tcW w:w="7088" w:type="dxa"/>
            <w:gridSpan w:val="3"/>
            <w:shd w:val="clear" w:color="auto" w:fill="auto"/>
          </w:tcPr>
          <w:p w14:paraId="246D279C" w14:textId="21228175" w:rsidR="002F1997" w:rsidRDefault="002F1997" w:rsidP="002F1997">
            <w:pPr>
              <w:pStyle w:val="TableBodyText"/>
              <w:spacing w:before="60" w:after="60"/>
              <w:jc w:val="left"/>
            </w:pPr>
            <w:r w:rsidRPr="002A1FE1">
              <w:t>User/transport charges</w:t>
            </w:r>
          </w:p>
        </w:tc>
      </w:tr>
      <w:tr w:rsidR="002F1997" w14:paraId="6292F469" w14:textId="77777777" w:rsidTr="00C9545B">
        <w:tc>
          <w:tcPr>
            <w:tcW w:w="1701" w:type="dxa"/>
          </w:tcPr>
          <w:p w14:paraId="1FCBCB1E" w14:textId="2786F5DA" w:rsidR="002F1997" w:rsidRDefault="002F1997" w:rsidP="009C6B36">
            <w:pPr>
              <w:pStyle w:val="TableBodyText"/>
              <w:spacing w:before="60" w:after="60"/>
              <w:ind w:left="142"/>
              <w:jc w:val="left"/>
            </w:pPr>
            <w:r w:rsidRPr="002A1FE1">
              <w:t>Subscriptions and other income</w:t>
            </w:r>
          </w:p>
        </w:tc>
        <w:tc>
          <w:tcPr>
            <w:tcW w:w="7088" w:type="dxa"/>
            <w:gridSpan w:val="3"/>
          </w:tcPr>
          <w:p w14:paraId="6BA09734" w14:textId="77777777" w:rsidR="002F1997" w:rsidRDefault="002F1997" w:rsidP="002F1997">
            <w:pPr>
              <w:pStyle w:val="TableBodyText"/>
              <w:spacing w:before="60" w:after="60"/>
              <w:jc w:val="left"/>
            </w:pPr>
            <w:r>
              <w:t>Other revenue, including:</w:t>
            </w:r>
          </w:p>
          <w:p w14:paraId="0AD58E1F" w14:textId="77777777" w:rsidR="002F1997" w:rsidRPr="00B51B9A" w:rsidRDefault="002F1997" w:rsidP="002F1997">
            <w:pPr>
              <w:pStyle w:val="TableBullet"/>
            </w:pPr>
            <w:r w:rsidRPr="00E14C41">
              <w:rPr>
                <w:color w:val="000000"/>
              </w:rPr>
              <w:t xml:space="preserve">subscriptions and benefit funds received </w:t>
            </w:r>
            <w:r>
              <w:rPr>
                <w:color w:val="000000"/>
              </w:rPr>
              <w:t>from the community</w:t>
            </w:r>
          </w:p>
          <w:p w14:paraId="3DB9E1DA" w14:textId="77777777" w:rsidR="002F1997" w:rsidRDefault="002F1997" w:rsidP="002F1997">
            <w:pPr>
              <w:pStyle w:val="TableBullet"/>
            </w:pPr>
            <w:r w:rsidRPr="00B51B9A">
              <w:t>donations, industry contributions and fundraising received</w:t>
            </w:r>
          </w:p>
          <w:p w14:paraId="683C0B86" w14:textId="1F1A3094" w:rsidR="002F1997" w:rsidRDefault="002F1997" w:rsidP="002F1997">
            <w:pPr>
              <w:pStyle w:val="TableBullet"/>
            </w:pPr>
            <w:r>
              <w:t>other income</w:t>
            </w:r>
            <w:r w:rsidRPr="00B51B9A">
              <w:t>.</w:t>
            </w:r>
          </w:p>
        </w:tc>
      </w:tr>
      <w:tr w:rsidR="002F1997" w14:paraId="3CA799DA" w14:textId="77777777" w:rsidTr="00C9545B">
        <w:tc>
          <w:tcPr>
            <w:tcW w:w="1701" w:type="dxa"/>
          </w:tcPr>
          <w:p w14:paraId="3AB74D17" w14:textId="4E3D8E88" w:rsidR="002F1997" w:rsidRDefault="002F1997" w:rsidP="009C6B36">
            <w:pPr>
              <w:pStyle w:val="TableBodyText"/>
              <w:spacing w:before="60" w:after="60"/>
              <w:ind w:left="142"/>
              <w:jc w:val="left"/>
            </w:pPr>
            <w:r w:rsidRPr="002A1FE1">
              <w:t>Indirect revenue</w:t>
            </w:r>
          </w:p>
        </w:tc>
        <w:tc>
          <w:tcPr>
            <w:tcW w:w="7088" w:type="dxa"/>
            <w:gridSpan w:val="3"/>
          </w:tcPr>
          <w:p w14:paraId="2515493E" w14:textId="2ED23C31" w:rsidR="002F1997" w:rsidRDefault="002F1997" w:rsidP="002F1997">
            <w:pPr>
              <w:pStyle w:val="TableBodyText"/>
              <w:spacing w:before="60" w:after="60"/>
              <w:jc w:val="left"/>
            </w:pPr>
            <w:r w:rsidRPr="001F08C0">
              <w:t>All revenue or funding received indirectly by the agency (for e</w:t>
            </w:r>
            <w:r>
              <w:t xml:space="preserve">xample, </w:t>
            </w:r>
            <w:r w:rsidRPr="001F08C0">
              <w:t>directly to Treasury or other such entity) that arises from the agency’s actions.</w:t>
            </w:r>
          </w:p>
        </w:tc>
      </w:tr>
      <w:tr w:rsidR="002F1997" w14:paraId="4AB65872" w14:textId="77777777" w:rsidTr="00AF77B4">
        <w:tc>
          <w:tcPr>
            <w:tcW w:w="2176" w:type="dxa"/>
            <w:gridSpan w:val="2"/>
          </w:tcPr>
          <w:p w14:paraId="04C6213B" w14:textId="3C64B9DF" w:rsidR="002F1997" w:rsidRDefault="002F1997" w:rsidP="009C6B36">
            <w:pPr>
              <w:pStyle w:val="TableBodyText"/>
              <w:spacing w:before="60" w:after="60"/>
              <w:ind w:left="-57"/>
              <w:jc w:val="left"/>
            </w:pPr>
            <w:r w:rsidRPr="001F08C0">
              <w:rPr>
                <w:b/>
              </w:rPr>
              <w:t>Volunteer</w:t>
            </w:r>
            <w:r>
              <w:rPr>
                <w:b/>
              </w:rPr>
              <w:t xml:space="preserve"> personnel</w:t>
            </w:r>
          </w:p>
        </w:tc>
        <w:tc>
          <w:tcPr>
            <w:tcW w:w="6613" w:type="dxa"/>
            <w:gridSpan w:val="2"/>
          </w:tcPr>
          <w:p w14:paraId="3FF59087" w14:textId="77777777" w:rsidR="002F1997" w:rsidRDefault="002F1997" w:rsidP="002F1997">
            <w:pPr>
              <w:pStyle w:val="TableBodyText"/>
              <w:jc w:val="left"/>
            </w:pPr>
          </w:p>
        </w:tc>
      </w:tr>
      <w:tr w:rsidR="002F1997" w14:paraId="6557C25A" w14:textId="77777777" w:rsidTr="00C9545B">
        <w:tc>
          <w:tcPr>
            <w:tcW w:w="1701" w:type="dxa"/>
          </w:tcPr>
          <w:p w14:paraId="506BD93E" w14:textId="020398AD" w:rsidR="002F1997" w:rsidRDefault="002F1997" w:rsidP="009C6B36">
            <w:pPr>
              <w:pStyle w:val="TableBodyText"/>
              <w:spacing w:before="60" w:after="60"/>
              <w:ind w:left="142"/>
              <w:jc w:val="left"/>
            </w:pPr>
            <w:r>
              <w:t>Volunteer ambulance operatives</w:t>
            </w:r>
          </w:p>
        </w:tc>
        <w:tc>
          <w:tcPr>
            <w:tcW w:w="7088" w:type="dxa"/>
            <w:gridSpan w:val="3"/>
          </w:tcPr>
          <w:p w14:paraId="5479F278" w14:textId="75CD2125" w:rsidR="002F1997" w:rsidRDefault="002F1997" w:rsidP="002F1997">
            <w:pPr>
              <w:pStyle w:val="TableBodyText"/>
              <w:spacing w:before="60" w:after="60"/>
              <w:jc w:val="left"/>
            </w:pPr>
            <w:r>
              <w:t xml:space="preserve">All personnel engaged on an unpaid casual basis who are </w:t>
            </w:r>
            <w:r w:rsidRPr="00547EB6">
              <w:t>principally involved in the delivery of ambulance services, generally on an on</w:t>
            </w:r>
            <w:r w:rsidRPr="00547EB6">
              <w:noBreakHyphen/>
              <w:t>call basis. These staff may include categories on the same basis as permanent ambulance operatives (with transport capability)</w:t>
            </w:r>
            <w:r>
              <w:t>.</w:t>
            </w:r>
          </w:p>
        </w:tc>
      </w:tr>
      <w:tr w:rsidR="002F1997" w14:paraId="5B8FE8AD" w14:textId="77777777" w:rsidTr="00C9545B">
        <w:tc>
          <w:tcPr>
            <w:tcW w:w="1701" w:type="dxa"/>
          </w:tcPr>
          <w:p w14:paraId="72C7F1F3" w14:textId="2B2E6386" w:rsidR="002F1997" w:rsidRDefault="002F1997" w:rsidP="009C6B36">
            <w:pPr>
              <w:pStyle w:val="TableBodyText"/>
              <w:spacing w:before="60" w:after="60"/>
              <w:ind w:left="142"/>
              <w:jc w:val="left"/>
            </w:pPr>
            <w:r w:rsidRPr="002A1FE1">
              <w:t>Remunerated volunteer ambulance operatives</w:t>
            </w:r>
          </w:p>
        </w:tc>
        <w:tc>
          <w:tcPr>
            <w:tcW w:w="7088" w:type="dxa"/>
            <w:gridSpan w:val="3"/>
          </w:tcPr>
          <w:p w14:paraId="7B99EFC2" w14:textId="405A0360" w:rsidR="002F1997" w:rsidRDefault="002F1997" w:rsidP="002F1997">
            <w:pPr>
              <w:pStyle w:val="TableBodyText"/>
              <w:spacing w:before="60" w:after="60"/>
              <w:jc w:val="left"/>
            </w:pPr>
            <w:r w:rsidRPr="007D20FC">
              <w:t>A</w:t>
            </w:r>
            <w:r w:rsidRPr="001F08C0">
              <w:t>ll personnel who volunteer their availability, however</w:t>
            </w:r>
            <w:r>
              <w:t>,</w:t>
            </w:r>
            <w:r w:rsidRPr="001F08C0">
              <w:t xml:space="preserve"> are remunerated in part for provision of an ambulance response (with transport capability).</w:t>
            </w:r>
          </w:p>
        </w:tc>
      </w:tr>
      <w:tr w:rsidR="002F1997" w14:paraId="740999FF" w14:textId="77777777" w:rsidTr="00C9545B">
        <w:trPr>
          <w:trHeight w:val="954"/>
        </w:trPr>
        <w:tc>
          <w:tcPr>
            <w:tcW w:w="1701" w:type="dxa"/>
          </w:tcPr>
          <w:p w14:paraId="3ADE10C9" w14:textId="0E9076E5" w:rsidR="002F1997" w:rsidRDefault="002F1997" w:rsidP="009C6B36">
            <w:pPr>
              <w:pStyle w:val="TableBodyText"/>
              <w:spacing w:before="60" w:after="60"/>
              <w:ind w:left="142"/>
              <w:jc w:val="left"/>
            </w:pPr>
            <w:r w:rsidRPr="002A1FE1">
              <w:t>Volunteer support staff</w:t>
            </w:r>
          </w:p>
        </w:tc>
        <w:tc>
          <w:tcPr>
            <w:tcW w:w="7088" w:type="dxa"/>
            <w:gridSpan w:val="3"/>
          </w:tcPr>
          <w:p w14:paraId="7436C3FC" w14:textId="6FB8D945" w:rsidR="002F1997" w:rsidRDefault="002F1997" w:rsidP="002F1997">
            <w:pPr>
              <w:pStyle w:val="TableBodyText"/>
              <w:spacing w:before="60" w:after="60"/>
              <w:jc w:val="left"/>
            </w:pPr>
            <w:r w:rsidRPr="001F08C0">
              <w:t xml:space="preserve">All personnel engaged on an unpaid casual basis that are not remunerated </w:t>
            </w:r>
            <w:r>
              <w:t xml:space="preserve">and </w:t>
            </w:r>
            <w:r w:rsidRPr="001F08C0">
              <w:t>are principally involved in the provision of support services</w:t>
            </w:r>
            <w:r>
              <w:t xml:space="preserve">. </w:t>
            </w:r>
            <w:r w:rsidRPr="001F08C0">
              <w:t>These can be people in operational support roles provided they do not receive payment for their services other than reimbursement of ‘out of pocket expenses’.</w:t>
            </w:r>
          </w:p>
        </w:tc>
      </w:tr>
    </w:tbl>
    <w:p w14:paraId="724984AE" w14:textId="33A13F2B" w:rsidR="00990C39" w:rsidRPr="00990C39" w:rsidRDefault="00990C39" w:rsidP="00990C39">
      <w:pPr>
        <w:pStyle w:val="Heading2"/>
        <w:rPr>
          <w:rStyle w:val="CommentReference"/>
          <w:b/>
          <w:vanish w:val="0"/>
          <w:color w:val="auto"/>
          <w:sz w:val="32"/>
        </w:rPr>
      </w:pPr>
      <w:bookmarkStart w:id="24" w:name="_Toc41892771"/>
      <w:r w:rsidRPr="00990C39">
        <w:rPr>
          <w:rStyle w:val="CommentReference"/>
          <w:b/>
          <w:vanish w:val="0"/>
          <w:color w:val="auto"/>
          <w:sz w:val="32"/>
        </w:rPr>
        <w:lastRenderedPageBreak/>
        <w:t>11</w:t>
      </w:r>
      <w:r>
        <w:rPr>
          <w:rStyle w:val="CommentReference"/>
          <w:b/>
          <w:vanish w:val="0"/>
          <w:color w:val="auto"/>
          <w:sz w:val="32"/>
        </w:rPr>
        <w:t>.</w:t>
      </w:r>
      <w:r w:rsidR="000574CF">
        <w:rPr>
          <w:rStyle w:val="CommentReference"/>
          <w:b/>
          <w:vanish w:val="0"/>
          <w:color w:val="auto"/>
          <w:sz w:val="32"/>
        </w:rPr>
        <w:t>3</w:t>
      </w:r>
      <w:r>
        <w:rPr>
          <w:rStyle w:val="CommentReference"/>
          <w:b/>
          <w:vanish w:val="0"/>
          <w:color w:val="auto"/>
          <w:sz w:val="32"/>
        </w:rPr>
        <w:tab/>
        <w:t>References</w:t>
      </w:r>
      <w:bookmarkEnd w:id="24"/>
    </w:p>
    <w:p w14:paraId="489970A6" w14:textId="01AE4F59" w:rsidR="009C6B36" w:rsidRPr="009C6B36" w:rsidRDefault="00285A2B" w:rsidP="006E6511">
      <w:pPr>
        <w:pStyle w:val="Reference"/>
      </w:pPr>
      <w:r w:rsidRPr="00285A2B">
        <w:rPr>
          <w:color w:val="000000" w:themeColor="text1"/>
        </w:rPr>
        <w:t xml:space="preserve">Jacobs I, Nadkarni V, Bahr J, Berg RA, Billi JE, </w:t>
      </w:r>
      <w:proofErr w:type="spellStart"/>
      <w:r w:rsidRPr="00285A2B">
        <w:rPr>
          <w:color w:val="000000" w:themeColor="text1"/>
        </w:rPr>
        <w:t>Bossaert</w:t>
      </w:r>
      <w:proofErr w:type="spellEnd"/>
      <w:r w:rsidRPr="00285A2B">
        <w:rPr>
          <w:color w:val="000000" w:themeColor="text1"/>
        </w:rPr>
        <w:t xml:space="preserve"> L, </w:t>
      </w:r>
      <w:proofErr w:type="spellStart"/>
      <w:r w:rsidRPr="00285A2B">
        <w:rPr>
          <w:color w:val="000000" w:themeColor="text1"/>
        </w:rPr>
        <w:t>Cassan</w:t>
      </w:r>
      <w:proofErr w:type="spellEnd"/>
      <w:r w:rsidRPr="00285A2B">
        <w:rPr>
          <w:color w:val="000000" w:themeColor="text1"/>
        </w:rPr>
        <w:t xml:space="preserve"> P, </w:t>
      </w:r>
      <w:proofErr w:type="spellStart"/>
      <w:r w:rsidRPr="00285A2B">
        <w:rPr>
          <w:color w:val="000000" w:themeColor="text1"/>
        </w:rPr>
        <w:t>Coovadia</w:t>
      </w:r>
      <w:proofErr w:type="spellEnd"/>
      <w:r w:rsidRPr="00285A2B">
        <w:rPr>
          <w:color w:val="000000" w:themeColor="text1"/>
        </w:rPr>
        <w:t xml:space="preserve"> A, </w:t>
      </w:r>
      <w:proofErr w:type="spellStart"/>
      <w:r w:rsidRPr="00285A2B">
        <w:rPr>
          <w:color w:val="000000" w:themeColor="text1"/>
        </w:rPr>
        <w:t>D'Este</w:t>
      </w:r>
      <w:proofErr w:type="spellEnd"/>
      <w:r w:rsidRPr="00285A2B">
        <w:rPr>
          <w:color w:val="000000" w:themeColor="text1"/>
        </w:rPr>
        <w:t xml:space="preserve"> K, Finn J, Halperin H, Handley A, </w:t>
      </w:r>
      <w:proofErr w:type="spellStart"/>
      <w:r w:rsidRPr="00285A2B">
        <w:rPr>
          <w:color w:val="000000" w:themeColor="text1"/>
        </w:rPr>
        <w:t>Herlitz</w:t>
      </w:r>
      <w:proofErr w:type="spellEnd"/>
      <w:r w:rsidRPr="00285A2B">
        <w:rPr>
          <w:color w:val="000000" w:themeColor="text1"/>
        </w:rPr>
        <w:t xml:space="preserve"> J, Hickey R, Idris A, </w:t>
      </w:r>
      <w:proofErr w:type="spellStart"/>
      <w:r w:rsidRPr="00285A2B">
        <w:rPr>
          <w:color w:val="000000" w:themeColor="text1"/>
        </w:rPr>
        <w:t>Kloeck</w:t>
      </w:r>
      <w:proofErr w:type="spellEnd"/>
      <w:r w:rsidRPr="00285A2B">
        <w:rPr>
          <w:color w:val="000000" w:themeColor="text1"/>
        </w:rPr>
        <w:t xml:space="preserve"> W, Larkin GL, Mancini ME, Mason P, Mears G, </w:t>
      </w:r>
      <w:proofErr w:type="spellStart"/>
      <w:r w:rsidRPr="00285A2B">
        <w:rPr>
          <w:color w:val="000000" w:themeColor="text1"/>
        </w:rPr>
        <w:t>Monsieurs</w:t>
      </w:r>
      <w:proofErr w:type="spellEnd"/>
      <w:r w:rsidRPr="00285A2B">
        <w:rPr>
          <w:color w:val="000000" w:themeColor="text1"/>
        </w:rPr>
        <w:t xml:space="preserve"> K, Montgomery W, Morley P, Nichol G, Nolan J, Okada K, Perlman J, Shuster M, Steen PA, </w:t>
      </w:r>
      <w:proofErr w:type="spellStart"/>
      <w:r w:rsidRPr="00285A2B">
        <w:rPr>
          <w:color w:val="000000" w:themeColor="text1"/>
        </w:rPr>
        <w:t>Sterz</w:t>
      </w:r>
      <w:proofErr w:type="spellEnd"/>
      <w:r w:rsidRPr="00285A2B">
        <w:rPr>
          <w:color w:val="000000" w:themeColor="text1"/>
        </w:rPr>
        <w:t xml:space="preserve"> F, </w:t>
      </w:r>
      <w:proofErr w:type="spellStart"/>
      <w:r w:rsidRPr="00285A2B">
        <w:rPr>
          <w:color w:val="000000" w:themeColor="text1"/>
        </w:rPr>
        <w:t>Tibballs</w:t>
      </w:r>
      <w:proofErr w:type="spellEnd"/>
      <w:r w:rsidRPr="00285A2B">
        <w:rPr>
          <w:color w:val="000000" w:themeColor="text1"/>
        </w:rPr>
        <w:t xml:space="preserve"> J, </w:t>
      </w:r>
      <w:proofErr w:type="spellStart"/>
      <w:r w:rsidRPr="00285A2B">
        <w:rPr>
          <w:color w:val="000000" w:themeColor="text1"/>
        </w:rPr>
        <w:t>Timerman</w:t>
      </w:r>
      <w:proofErr w:type="spellEnd"/>
      <w:r w:rsidRPr="00285A2B">
        <w:rPr>
          <w:color w:val="000000" w:themeColor="text1"/>
        </w:rPr>
        <w:t xml:space="preserve"> S, Truitt T, </w:t>
      </w:r>
      <w:proofErr w:type="spellStart"/>
      <w:r w:rsidRPr="00285A2B">
        <w:rPr>
          <w:color w:val="000000" w:themeColor="text1"/>
        </w:rPr>
        <w:t>Zideman</w:t>
      </w:r>
      <w:proofErr w:type="spellEnd"/>
      <w:r w:rsidRPr="00285A2B">
        <w:rPr>
          <w:color w:val="000000" w:themeColor="text1"/>
        </w:rPr>
        <w:t xml:space="preserve"> D</w:t>
      </w:r>
      <w:r>
        <w:rPr>
          <w:color w:val="000000" w:themeColor="text1"/>
        </w:rPr>
        <w:t xml:space="preserve">, </w:t>
      </w:r>
      <w:r w:rsidR="009C6B36" w:rsidRPr="00603645">
        <w:rPr>
          <w:color w:val="000000" w:themeColor="text1"/>
        </w:rPr>
        <w:t xml:space="preserve">2004, AHA Scientific Statement, </w:t>
      </w:r>
      <w:r w:rsidR="009C6B36" w:rsidRPr="00603645">
        <w:rPr>
          <w:i/>
          <w:color w:val="000000" w:themeColor="text1"/>
        </w:rPr>
        <w:t>Cardiac Arrest and Cardiopulmonary Resuscitation Outcome Reports</w:t>
      </w:r>
      <w:r w:rsidR="009C6B36" w:rsidRPr="00603645">
        <w:rPr>
          <w:color w:val="000000" w:themeColor="text1"/>
        </w:rPr>
        <w:t xml:space="preserve">, Update of the </w:t>
      </w:r>
      <w:proofErr w:type="spellStart"/>
      <w:r w:rsidR="009C6B36" w:rsidRPr="00603645">
        <w:rPr>
          <w:color w:val="000000" w:themeColor="text1"/>
        </w:rPr>
        <w:t>Utstein</w:t>
      </w:r>
      <w:proofErr w:type="spellEnd"/>
      <w:r w:rsidR="009C6B36" w:rsidRPr="00603645">
        <w:rPr>
          <w:color w:val="000000" w:themeColor="text1"/>
        </w:rPr>
        <w:t xml:space="preserve"> Templates for Resuscitation Registries, A Statement for Healthcare Professionals from a Task Force of the International Liaison Committee on Resuscitation (American Heart Association, European Resuscitation Council, Australian Resuscitation Council, New Zealand Resuscitation Council, Heart and Stroke Foundation of Canada, Inter American Heart Foundation, Resuscitation Councils of South Africa), circulation 23 November 2004, 110(21)c pp. 3385–97.</w:t>
      </w:r>
    </w:p>
    <w:p w14:paraId="5A5D0F48" w14:textId="77777777" w:rsidR="001E0B37" w:rsidRPr="009C6B36" w:rsidRDefault="001E0B37">
      <w:pPr>
        <w:pStyle w:val="Reference"/>
      </w:pPr>
    </w:p>
    <w:sectPr w:rsidR="001E0B37" w:rsidRPr="009C6B36" w:rsidSect="0069251F">
      <w:headerReference w:type="even" r:id="rId9"/>
      <w:headerReference w:type="default" r:id="rId10"/>
      <w:footerReference w:type="even" r:id="rId11"/>
      <w:footerReference w:type="default" r:id="rId12"/>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D7864" w14:textId="77777777" w:rsidR="008D0483" w:rsidRDefault="008D0483">
      <w:r>
        <w:separator/>
      </w:r>
    </w:p>
  </w:endnote>
  <w:endnote w:type="continuationSeparator" w:id="0">
    <w:p w14:paraId="2DEB987A" w14:textId="77777777" w:rsidR="008D0483" w:rsidRDefault="008D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5C40" w14:paraId="36FB9311" w14:textId="77777777" w:rsidTr="005F48ED">
      <w:trPr>
        <w:trHeight w:hRule="exact" w:val="567"/>
      </w:trPr>
      <w:tc>
        <w:tcPr>
          <w:tcW w:w="510" w:type="dxa"/>
        </w:tcPr>
        <w:p w14:paraId="56CC1C02" w14:textId="70294D01" w:rsidR="00B75C40" w:rsidRPr="00A24443" w:rsidRDefault="00B75C40" w:rsidP="0019293B">
          <w:pPr>
            <w:pStyle w:val="Footer"/>
            <w:tabs>
              <w:tab w:val="left" w:pos="0"/>
            </w:tabs>
            <w:ind w:right="0"/>
            <w:rPr>
              <w:rStyle w:val="PageNumbe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C0374">
            <w:rPr>
              <w:rStyle w:val="PageNumber"/>
              <w:caps w:val="0"/>
              <w:noProof/>
            </w:rPr>
            <w:t>2</w:t>
          </w:r>
          <w:r w:rsidRPr="00A24443">
            <w:rPr>
              <w:rStyle w:val="PageNumber"/>
              <w:caps w:val="0"/>
            </w:rPr>
            <w:fldChar w:fldCharType="end"/>
          </w:r>
        </w:p>
      </w:tc>
      <w:tc>
        <w:tcPr>
          <w:tcW w:w="7767" w:type="dxa"/>
        </w:tcPr>
        <w:p w14:paraId="6F5B5F73" w14:textId="50BFBC0C" w:rsidR="00B75C40" w:rsidRPr="0013739A" w:rsidRDefault="00B75C40" w:rsidP="00D76F80">
          <w:pPr>
            <w:pStyle w:val="Footer"/>
            <w:rPr>
              <w:rFonts w:cs="Arial"/>
            </w:rPr>
          </w:pPr>
          <w:r>
            <w:rPr>
              <w:rFonts w:cs="Arial"/>
            </w:rPr>
            <w:t>Report on Government Services</w:t>
          </w:r>
          <w:r w:rsidR="00D76F80">
            <w:rPr>
              <w:rFonts w:cs="Arial"/>
            </w:rPr>
            <w:t xml:space="preserve"> </w:t>
          </w:r>
          <w:r>
            <w:rPr>
              <w:rFonts w:cs="Arial"/>
            </w:rPr>
            <w:t>202</w:t>
          </w:r>
          <w:r w:rsidR="00DF72EE">
            <w:rPr>
              <w:rFonts w:cs="Arial"/>
            </w:rPr>
            <w:t>1</w:t>
          </w:r>
          <w:bookmarkStart w:id="25" w:name="DraftReportEven"/>
          <w:bookmarkEnd w:id="25"/>
        </w:p>
      </w:tc>
      <w:tc>
        <w:tcPr>
          <w:tcW w:w="510" w:type="dxa"/>
        </w:tcPr>
        <w:p w14:paraId="1F69C01B" w14:textId="77777777" w:rsidR="00B75C40" w:rsidRDefault="00B75C40" w:rsidP="0019293B">
          <w:pPr>
            <w:pStyle w:val="Footer"/>
          </w:pPr>
        </w:p>
      </w:tc>
    </w:tr>
  </w:tbl>
  <w:p w14:paraId="6C45C30C" w14:textId="77777777" w:rsidR="00B75C40" w:rsidRDefault="00B75C40" w:rsidP="0019293B">
    <w:pPr>
      <w:pStyle w:val="FooterEnd"/>
    </w:pPr>
  </w:p>
  <w:p w14:paraId="04313C91" w14:textId="77777777" w:rsidR="00B75C40" w:rsidRDefault="00B75C40"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5C40" w14:paraId="318FCBCF" w14:textId="77777777" w:rsidTr="005F48ED">
      <w:trPr>
        <w:trHeight w:hRule="exact" w:val="567"/>
      </w:trPr>
      <w:tc>
        <w:tcPr>
          <w:tcW w:w="510" w:type="dxa"/>
        </w:tcPr>
        <w:p w14:paraId="33DED572" w14:textId="77777777" w:rsidR="00B75C40" w:rsidRDefault="00B75C40">
          <w:pPr>
            <w:pStyle w:val="Footer"/>
            <w:ind w:right="360" w:firstLine="360"/>
          </w:pPr>
        </w:p>
      </w:tc>
      <w:tc>
        <w:tcPr>
          <w:tcW w:w="7767" w:type="dxa"/>
        </w:tcPr>
        <w:p w14:paraId="06AF3DD3" w14:textId="150605E8" w:rsidR="00B75C40" w:rsidRPr="00BA5B14" w:rsidRDefault="00B75C40" w:rsidP="005C4D08">
          <w:pPr>
            <w:pStyle w:val="Footer"/>
            <w:jc w:val="right"/>
            <w:rPr>
              <w:rFonts w:cs="Arial"/>
            </w:rPr>
          </w:pPr>
          <w:r>
            <w:rPr>
              <w:rFonts w:cs="Arial"/>
            </w:rPr>
            <w:t>AMBULANCE SERVICES</w:t>
          </w:r>
          <w:r w:rsidR="000C767B">
            <w:rPr>
              <w:rFonts w:cs="Arial"/>
            </w:rPr>
            <w:t xml:space="preserve"> INTERPRETATIVE MATERIAl</w:t>
          </w:r>
        </w:p>
      </w:tc>
      <w:tc>
        <w:tcPr>
          <w:tcW w:w="510" w:type="dxa"/>
        </w:tcPr>
        <w:p w14:paraId="0BE37F1A" w14:textId="31B10C15" w:rsidR="00B75C40" w:rsidRPr="00A24443" w:rsidRDefault="00B75C40">
          <w:pPr>
            <w:pStyle w:val="Footer"/>
            <w:jc w:val="right"/>
            <w:rPr>
              <w:caps w:val="0"/>
            </w:rPr>
          </w:pPr>
          <w:r>
            <w:rPr>
              <w:rStyle w:val="PageNumber"/>
              <w:caps w:val="0"/>
            </w:rPr>
            <w:t>11.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C0374">
            <w:rPr>
              <w:rStyle w:val="PageNumber"/>
              <w:caps w:val="0"/>
              <w:noProof/>
            </w:rPr>
            <w:t>1</w:t>
          </w:r>
          <w:r w:rsidRPr="00A24443">
            <w:rPr>
              <w:rStyle w:val="PageNumber"/>
              <w:caps w:val="0"/>
            </w:rPr>
            <w:fldChar w:fldCharType="end"/>
          </w:r>
        </w:p>
      </w:tc>
    </w:tr>
  </w:tbl>
  <w:p w14:paraId="748A82FC" w14:textId="77777777" w:rsidR="00B75C40" w:rsidRDefault="00B75C40">
    <w:pPr>
      <w:pStyle w:val="FooterEnd"/>
    </w:pPr>
  </w:p>
  <w:p w14:paraId="013792D9" w14:textId="77777777" w:rsidR="00B75C40" w:rsidRDefault="00B75C40">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DEA00" w14:textId="77777777" w:rsidR="008D0483" w:rsidRDefault="008D0483">
      <w:r>
        <w:separator/>
      </w:r>
    </w:p>
  </w:footnote>
  <w:footnote w:type="continuationSeparator" w:id="0">
    <w:p w14:paraId="0A8CF40D" w14:textId="77777777" w:rsidR="008D0483" w:rsidRDefault="008D0483">
      <w:r>
        <w:continuationSeparator/>
      </w:r>
    </w:p>
  </w:footnote>
  <w:footnote w:id="1">
    <w:p w14:paraId="538D3BEB" w14:textId="77777777" w:rsidR="00B75C40" w:rsidRDefault="00B75C40" w:rsidP="00684E13">
      <w:pPr>
        <w:pStyle w:val="FootnoteText"/>
      </w:pPr>
      <w:r>
        <w:rPr>
          <w:rStyle w:val="FootnoteReference"/>
        </w:rPr>
        <w:footnoteRef/>
      </w:r>
      <w:r>
        <w:tab/>
      </w:r>
      <w:r w:rsidRPr="0052162E">
        <w:t>Ventricular Fibrillation (V</w:t>
      </w:r>
      <w:r>
        <w:t>F</w:t>
      </w:r>
      <w:r w:rsidRPr="0052162E">
        <w:t>) is a heart rhythm problem that occurs when the heart beats with rapid, erratic electrical impulses. Ventricular Tachycardia (VT) is a type of regular and fast heart beat that arises from improper electrical activity in the ventricles of the heart.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B75C40" w14:paraId="22343432" w14:textId="77777777">
      <w:tc>
        <w:tcPr>
          <w:tcW w:w="2155" w:type="dxa"/>
          <w:tcBorders>
            <w:top w:val="single" w:sz="24" w:space="0" w:color="auto"/>
          </w:tcBorders>
        </w:tcPr>
        <w:p w14:paraId="6557E39A" w14:textId="77777777" w:rsidR="00B75C40" w:rsidRDefault="00B75C40" w:rsidP="0019293B">
          <w:pPr>
            <w:pStyle w:val="HeaderEven"/>
          </w:pPr>
        </w:p>
      </w:tc>
      <w:tc>
        <w:tcPr>
          <w:tcW w:w="6634" w:type="dxa"/>
          <w:tcBorders>
            <w:top w:val="single" w:sz="6" w:space="0" w:color="auto"/>
          </w:tcBorders>
        </w:tcPr>
        <w:p w14:paraId="77C380E1" w14:textId="08F17500" w:rsidR="00B75C40" w:rsidRPr="00523600" w:rsidRDefault="00B75C40" w:rsidP="00F85CD8">
          <w:pPr>
            <w:pStyle w:val="HeaderEven"/>
            <w:ind w:firstLine="720"/>
            <w:jc w:val="right"/>
            <w:rPr>
              <w:szCs w:val="24"/>
            </w:rPr>
          </w:pPr>
        </w:p>
      </w:tc>
    </w:tr>
  </w:tbl>
  <w:p w14:paraId="47C330C4" w14:textId="77777777" w:rsidR="00B75C40" w:rsidRDefault="00B75C40"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75C40" w14:paraId="7A3E8150" w14:textId="77777777">
      <w:tc>
        <w:tcPr>
          <w:tcW w:w="6634" w:type="dxa"/>
          <w:tcBorders>
            <w:top w:val="single" w:sz="6" w:space="0" w:color="auto"/>
          </w:tcBorders>
        </w:tcPr>
        <w:p w14:paraId="7DE85B0E" w14:textId="1F5CF18F" w:rsidR="00B75C40" w:rsidRPr="00523600" w:rsidRDefault="00B75C40" w:rsidP="00BD64FF">
          <w:pPr>
            <w:pStyle w:val="HeaderOdd"/>
            <w:rPr>
              <w:szCs w:val="24"/>
            </w:rPr>
          </w:pPr>
        </w:p>
      </w:tc>
      <w:tc>
        <w:tcPr>
          <w:tcW w:w="2155" w:type="dxa"/>
          <w:tcBorders>
            <w:top w:val="single" w:sz="24" w:space="0" w:color="auto"/>
          </w:tcBorders>
        </w:tcPr>
        <w:p w14:paraId="55FA3134" w14:textId="77777777" w:rsidR="00B75C40" w:rsidRDefault="00B75C40" w:rsidP="00E669E2">
          <w:pPr>
            <w:pStyle w:val="HeaderOdd"/>
          </w:pPr>
        </w:p>
      </w:tc>
    </w:tr>
  </w:tbl>
  <w:p w14:paraId="4AF3C9B5" w14:textId="77777777" w:rsidR="00B75C40" w:rsidRDefault="00B75C40"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AB77619"/>
    <w:multiLevelType w:val="hybridMultilevel"/>
    <w:tmpl w:val="DBB8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B1D6AFF"/>
    <w:multiLevelType w:val="hybridMultilevel"/>
    <w:tmpl w:val="C62ACB76"/>
    <w:lvl w:ilvl="0" w:tplc="66F07F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93C6BF4"/>
    <w:multiLevelType w:val="hybridMultilevel"/>
    <w:tmpl w:val="920C8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5"/>
  </w:num>
  <w:num w:numId="4">
    <w:abstractNumId w:val="3"/>
  </w:num>
  <w:num w:numId="5">
    <w:abstractNumId w:val="20"/>
  </w:num>
  <w:num w:numId="6">
    <w:abstractNumId w:val="17"/>
  </w:num>
  <w:num w:numId="7">
    <w:abstractNumId w:val="7"/>
  </w:num>
  <w:num w:numId="8">
    <w:abstractNumId w:val="16"/>
  </w:num>
  <w:num w:numId="9">
    <w:abstractNumId w:val="6"/>
  </w:num>
  <w:num w:numId="10">
    <w:abstractNumId w:val="5"/>
  </w:num>
  <w:num w:numId="11">
    <w:abstractNumId w:val="9"/>
  </w:num>
  <w:num w:numId="12">
    <w:abstractNumId w:val="11"/>
  </w:num>
  <w:num w:numId="13">
    <w:abstractNumId w:val="4"/>
  </w:num>
  <w:num w:numId="14">
    <w:abstractNumId w:val="18"/>
  </w:num>
  <w:num w:numId="15">
    <w:abstractNumId w:val="22"/>
  </w:num>
  <w:num w:numId="16">
    <w:abstractNumId w:val="14"/>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10"/>
  </w:num>
  <w:num w:numId="23">
    <w:abstractNumId w:val="13"/>
  </w:num>
  <w:num w:numId="24">
    <w:abstractNumId w:val="15"/>
  </w:num>
  <w:num w:numId="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Report on Government Services 2018"/>
  </w:docVars>
  <w:rsids>
    <w:rsidRoot w:val="00D932AB"/>
    <w:rsid w:val="00001F4F"/>
    <w:rsid w:val="0001288E"/>
    <w:rsid w:val="00012E63"/>
    <w:rsid w:val="000152E3"/>
    <w:rsid w:val="000227D5"/>
    <w:rsid w:val="000245AA"/>
    <w:rsid w:val="00024633"/>
    <w:rsid w:val="0002618F"/>
    <w:rsid w:val="00027CA0"/>
    <w:rsid w:val="00033B02"/>
    <w:rsid w:val="0003664B"/>
    <w:rsid w:val="00040188"/>
    <w:rsid w:val="0004111F"/>
    <w:rsid w:val="000435CD"/>
    <w:rsid w:val="0004620A"/>
    <w:rsid w:val="000526A7"/>
    <w:rsid w:val="00055077"/>
    <w:rsid w:val="000565B3"/>
    <w:rsid w:val="000574CF"/>
    <w:rsid w:val="00067545"/>
    <w:rsid w:val="0007150B"/>
    <w:rsid w:val="00072B45"/>
    <w:rsid w:val="0007409F"/>
    <w:rsid w:val="00074F0F"/>
    <w:rsid w:val="00074F75"/>
    <w:rsid w:val="00082EAF"/>
    <w:rsid w:val="00083C8B"/>
    <w:rsid w:val="00092329"/>
    <w:rsid w:val="000938F5"/>
    <w:rsid w:val="00094304"/>
    <w:rsid w:val="00095663"/>
    <w:rsid w:val="000957E4"/>
    <w:rsid w:val="00096E55"/>
    <w:rsid w:val="0009783E"/>
    <w:rsid w:val="000A1B71"/>
    <w:rsid w:val="000A4F82"/>
    <w:rsid w:val="000B0B0F"/>
    <w:rsid w:val="000B1022"/>
    <w:rsid w:val="000B370A"/>
    <w:rsid w:val="000B601B"/>
    <w:rsid w:val="000C1D96"/>
    <w:rsid w:val="000C207E"/>
    <w:rsid w:val="000C25C8"/>
    <w:rsid w:val="000C2A00"/>
    <w:rsid w:val="000C573B"/>
    <w:rsid w:val="000C61E7"/>
    <w:rsid w:val="000C767B"/>
    <w:rsid w:val="000D0ADF"/>
    <w:rsid w:val="000D2DE8"/>
    <w:rsid w:val="000D41E9"/>
    <w:rsid w:val="000D6935"/>
    <w:rsid w:val="000D7880"/>
    <w:rsid w:val="000E2754"/>
    <w:rsid w:val="000F0035"/>
    <w:rsid w:val="000F04E7"/>
    <w:rsid w:val="000F060A"/>
    <w:rsid w:val="000F420B"/>
    <w:rsid w:val="000F539C"/>
    <w:rsid w:val="000F74F7"/>
    <w:rsid w:val="00110116"/>
    <w:rsid w:val="00110860"/>
    <w:rsid w:val="00120072"/>
    <w:rsid w:val="00122C07"/>
    <w:rsid w:val="00123DD4"/>
    <w:rsid w:val="0012652D"/>
    <w:rsid w:val="00126EB8"/>
    <w:rsid w:val="001274D4"/>
    <w:rsid w:val="00135FE1"/>
    <w:rsid w:val="001363AA"/>
    <w:rsid w:val="0013739A"/>
    <w:rsid w:val="00142165"/>
    <w:rsid w:val="001426A8"/>
    <w:rsid w:val="00152298"/>
    <w:rsid w:val="001608F5"/>
    <w:rsid w:val="00162434"/>
    <w:rsid w:val="001705FB"/>
    <w:rsid w:val="00170C62"/>
    <w:rsid w:val="001733A2"/>
    <w:rsid w:val="001770FC"/>
    <w:rsid w:val="00177E92"/>
    <w:rsid w:val="00183E82"/>
    <w:rsid w:val="00183EFE"/>
    <w:rsid w:val="001878BB"/>
    <w:rsid w:val="001906BD"/>
    <w:rsid w:val="00191AE0"/>
    <w:rsid w:val="0019293B"/>
    <w:rsid w:val="0019426B"/>
    <w:rsid w:val="001A0730"/>
    <w:rsid w:val="001A3C1B"/>
    <w:rsid w:val="001A56C0"/>
    <w:rsid w:val="001A62A4"/>
    <w:rsid w:val="001A6A4B"/>
    <w:rsid w:val="001C0865"/>
    <w:rsid w:val="001C0AED"/>
    <w:rsid w:val="001C0D9F"/>
    <w:rsid w:val="001C3ABA"/>
    <w:rsid w:val="001C49F9"/>
    <w:rsid w:val="001C4A5B"/>
    <w:rsid w:val="001C5111"/>
    <w:rsid w:val="001D7DC9"/>
    <w:rsid w:val="001E0B37"/>
    <w:rsid w:val="001E3551"/>
    <w:rsid w:val="001E7BE8"/>
    <w:rsid w:val="001F0248"/>
    <w:rsid w:val="001F3854"/>
    <w:rsid w:val="001F3EB3"/>
    <w:rsid w:val="001F3F56"/>
    <w:rsid w:val="001F4F86"/>
    <w:rsid w:val="00200439"/>
    <w:rsid w:val="002026B4"/>
    <w:rsid w:val="00202C2C"/>
    <w:rsid w:val="00203050"/>
    <w:rsid w:val="002036C1"/>
    <w:rsid w:val="00205633"/>
    <w:rsid w:val="00211934"/>
    <w:rsid w:val="002135AB"/>
    <w:rsid w:val="002144BE"/>
    <w:rsid w:val="002221C4"/>
    <w:rsid w:val="0022541E"/>
    <w:rsid w:val="002320B8"/>
    <w:rsid w:val="00233096"/>
    <w:rsid w:val="00237ACD"/>
    <w:rsid w:val="00237BB7"/>
    <w:rsid w:val="00242279"/>
    <w:rsid w:val="002423EB"/>
    <w:rsid w:val="00243997"/>
    <w:rsid w:val="00244F30"/>
    <w:rsid w:val="0024516C"/>
    <w:rsid w:val="00245C82"/>
    <w:rsid w:val="00255537"/>
    <w:rsid w:val="002573C5"/>
    <w:rsid w:val="00257BAF"/>
    <w:rsid w:val="00262E8A"/>
    <w:rsid w:val="0026396E"/>
    <w:rsid w:val="002724BA"/>
    <w:rsid w:val="00275286"/>
    <w:rsid w:val="00282188"/>
    <w:rsid w:val="00284AE6"/>
    <w:rsid w:val="00284FBB"/>
    <w:rsid w:val="00285A2B"/>
    <w:rsid w:val="00287329"/>
    <w:rsid w:val="00290565"/>
    <w:rsid w:val="00290C12"/>
    <w:rsid w:val="00291B40"/>
    <w:rsid w:val="00294D38"/>
    <w:rsid w:val="002A0DF1"/>
    <w:rsid w:val="002A315A"/>
    <w:rsid w:val="002A3CAE"/>
    <w:rsid w:val="002B0E07"/>
    <w:rsid w:val="002B3BB0"/>
    <w:rsid w:val="002B4008"/>
    <w:rsid w:val="002C439F"/>
    <w:rsid w:val="002C5A8C"/>
    <w:rsid w:val="002C6BBC"/>
    <w:rsid w:val="002C6BC8"/>
    <w:rsid w:val="002C6E10"/>
    <w:rsid w:val="002D0C42"/>
    <w:rsid w:val="002D0E8E"/>
    <w:rsid w:val="002D7AA1"/>
    <w:rsid w:val="002E14D9"/>
    <w:rsid w:val="002E5185"/>
    <w:rsid w:val="002F1997"/>
    <w:rsid w:val="002F7B80"/>
    <w:rsid w:val="00301189"/>
    <w:rsid w:val="00301E4A"/>
    <w:rsid w:val="00307731"/>
    <w:rsid w:val="00310148"/>
    <w:rsid w:val="00312081"/>
    <w:rsid w:val="003149F1"/>
    <w:rsid w:val="003168B8"/>
    <w:rsid w:val="00322D64"/>
    <w:rsid w:val="00323E09"/>
    <w:rsid w:val="00331469"/>
    <w:rsid w:val="00333932"/>
    <w:rsid w:val="00336109"/>
    <w:rsid w:val="003408B8"/>
    <w:rsid w:val="00343A51"/>
    <w:rsid w:val="003456E5"/>
    <w:rsid w:val="0034618C"/>
    <w:rsid w:val="003518AA"/>
    <w:rsid w:val="00352165"/>
    <w:rsid w:val="00353182"/>
    <w:rsid w:val="003532E6"/>
    <w:rsid w:val="003565D9"/>
    <w:rsid w:val="003578E6"/>
    <w:rsid w:val="003602E1"/>
    <w:rsid w:val="00361CE1"/>
    <w:rsid w:val="00364275"/>
    <w:rsid w:val="00364D18"/>
    <w:rsid w:val="0036603A"/>
    <w:rsid w:val="0037026F"/>
    <w:rsid w:val="00370829"/>
    <w:rsid w:val="00371240"/>
    <w:rsid w:val="003716A8"/>
    <w:rsid w:val="003739F7"/>
    <w:rsid w:val="00374731"/>
    <w:rsid w:val="00374C35"/>
    <w:rsid w:val="00374CCF"/>
    <w:rsid w:val="00376238"/>
    <w:rsid w:val="00376E59"/>
    <w:rsid w:val="00377EC1"/>
    <w:rsid w:val="00380340"/>
    <w:rsid w:val="00381CE1"/>
    <w:rsid w:val="00382A8C"/>
    <w:rsid w:val="003868A8"/>
    <w:rsid w:val="00387204"/>
    <w:rsid w:val="00387A55"/>
    <w:rsid w:val="003919F9"/>
    <w:rsid w:val="003920CF"/>
    <w:rsid w:val="00395A7E"/>
    <w:rsid w:val="00397A73"/>
    <w:rsid w:val="003A049A"/>
    <w:rsid w:val="003A40AD"/>
    <w:rsid w:val="003A6908"/>
    <w:rsid w:val="003B23C2"/>
    <w:rsid w:val="003B399F"/>
    <w:rsid w:val="003B7A71"/>
    <w:rsid w:val="003C38B5"/>
    <w:rsid w:val="003C5D99"/>
    <w:rsid w:val="003D1087"/>
    <w:rsid w:val="003D3D0A"/>
    <w:rsid w:val="003D4D28"/>
    <w:rsid w:val="003E01CC"/>
    <w:rsid w:val="003E19C3"/>
    <w:rsid w:val="003E2F59"/>
    <w:rsid w:val="003E43F9"/>
    <w:rsid w:val="003E5376"/>
    <w:rsid w:val="003E5E38"/>
    <w:rsid w:val="003E746B"/>
    <w:rsid w:val="003F0789"/>
    <w:rsid w:val="003F1056"/>
    <w:rsid w:val="003F39E4"/>
    <w:rsid w:val="00401882"/>
    <w:rsid w:val="00402582"/>
    <w:rsid w:val="004100C8"/>
    <w:rsid w:val="00411DBD"/>
    <w:rsid w:val="0041229F"/>
    <w:rsid w:val="00412ACE"/>
    <w:rsid w:val="004145D2"/>
    <w:rsid w:val="004165D4"/>
    <w:rsid w:val="00417AD9"/>
    <w:rsid w:val="00426CB4"/>
    <w:rsid w:val="00426E17"/>
    <w:rsid w:val="00431249"/>
    <w:rsid w:val="00432A73"/>
    <w:rsid w:val="00433CE1"/>
    <w:rsid w:val="00434C19"/>
    <w:rsid w:val="00436CD4"/>
    <w:rsid w:val="00437B76"/>
    <w:rsid w:val="0044554F"/>
    <w:rsid w:val="00450810"/>
    <w:rsid w:val="004525BF"/>
    <w:rsid w:val="00460F20"/>
    <w:rsid w:val="00462C59"/>
    <w:rsid w:val="00470737"/>
    <w:rsid w:val="00477144"/>
    <w:rsid w:val="00487277"/>
    <w:rsid w:val="00491380"/>
    <w:rsid w:val="0049459F"/>
    <w:rsid w:val="004A0BCF"/>
    <w:rsid w:val="004A0F68"/>
    <w:rsid w:val="004A119E"/>
    <w:rsid w:val="004A38DD"/>
    <w:rsid w:val="004A4929"/>
    <w:rsid w:val="004B2A41"/>
    <w:rsid w:val="004B43AE"/>
    <w:rsid w:val="004B4912"/>
    <w:rsid w:val="004B5885"/>
    <w:rsid w:val="004C30ED"/>
    <w:rsid w:val="004C7476"/>
    <w:rsid w:val="004C7C2B"/>
    <w:rsid w:val="004D3761"/>
    <w:rsid w:val="004D5675"/>
    <w:rsid w:val="004D6665"/>
    <w:rsid w:val="004D76AD"/>
    <w:rsid w:val="004E18CA"/>
    <w:rsid w:val="004E4507"/>
    <w:rsid w:val="00501E5D"/>
    <w:rsid w:val="00506338"/>
    <w:rsid w:val="0051306E"/>
    <w:rsid w:val="005132B3"/>
    <w:rsid w:val="0051608A"/>
    <w:rsid w:val="00517397"/>
    <w:rsid w:val="00517795"/>
    <w:rsid w:val="00523600"/>
    <w:rsid w:val="00523639"/>
    <w:rsid w:val="0052445C"/>
    <w:rsid w:val="005259A6"/>
    <w:rsid w:val="00531FE5"/>
    <w:rsid w:val="005367E4"/>
    <w:rsid w:val="00536A3D"/>
    <w:rsid w:val="005402FA"/>
    <w:rsid w:val="00541501"/>
    <w:rsid w:val="005431B5"/>
    <w:rsid w:val="0054716F"/>
    <w:rsid w:val="00551428"/>
    <w:rsid w:val="00551864"/>
    <w:rsid w:val="0055209B"/>
    <w:rsid w:val="005520DC"/>
    <w:rsid w:val="00553EE8"/>
    <w:rsid w:val="005557EF"/>
    <w:rsid w:val="00556557"/>
    <w:rsid w:val="00561A6F"/>
    <w:rsid w:val="00562A7D"/>
    <w:rsid w:val="00563951"/>
    <w:rsid w:val="00563AF2"/>
    <w:rsid w:val="00567DBB"/>
    <w:rsid w:val="00567E07"/>
    <w:rsid w:val="00567EB5"/>
    <w:rsid w:val="00567F7F"/>
    <w:rsid w:val="0057291D"/>
    <w:rsid w:val="005729BD"/>
    <w:rsid w:val="00573437"/>
    <w:rsid w:val="00573BE3"/>
    <w:rsid w:val="00577642"/>
    <w:rsid w:val="00577D39"/>
    <w:rsid w:val="00580154"/>
    <w:rsid w:val="00580282"/>
    <w:rsid w:val="00583C39"/>
    <w:rsid w:val="00586A90"/>
    <w:rsid w:val="00587F28"/>
    <w:rsid w:val="0059033A"/>
    <w:rsid w:val="005909CF"/>
    <w:rsid w:val="00591E71"/>
    <w:rsid w:val="0059262F"/>
    <w:rsid w:val="0059463D"/>
    <w:rsid w:val="005977FF"/>
    <w:rsid w:val="00597C06"/>
    <w:rsid w:val="005A0D41"/>
    <w:rsid w:val="005A34D5"/>
    <w:rsid w:val="005B1398"/>
    <w:rsid w:val="005B650E"/>
    <w:rsid w:val="005C0079"/>
    <w:rsid w:val="005C2885"/>
    <w:rsid w:val="005C398C"/>
    <w:rsid w:val="005C4D08"/>
    <w:rsid w:val="005C7170"/>
    <w:rsid w:val="005C751E"/>
    <w:rsid w:val="005C7D9A"/>
    <w:rsid w:val="005D329F"/>
    <w:rsid w:val="005E1682"/>
    <w:rsid w:val="005E3C9A"/>
    <w:rsid w:val="005F1595"/>
    <w:rsid w:val="005F20D1"/>
    <w:rsid w:val="005F27AD"/>
    <w:rsid w:val="005F2E15"/>
    <w:rsid w:val="005F48ED"/>
    <w:rsid w:val="006004B7"/>
    <w:rsid w:val="006020E3"/>
    <w:rsid w:val="00602910"/>
    <w:rsid w:val="00603D17"/>
    <w:rsid w:val="00603DAF"/>
    <w:rsid w:val="00605AE9"/>
    <w:rsid w:val="0060655D"/>
    <w:rsid w:val="00606B46"/>
    <w:rsid w:val="00606E78"/>
    <w:rsid w:val="00607BF1"/>
    <w:rsid w:val="0061446E"/>
    <w:rsid w:val="00617277"/>
    <w:rsid w:val="006223E2"/>
    <w:rsid w:val="0062283B"/>
    <w:rsid w:val="0062485C"/>
    <w:rsid w:val="00630D4D"/>
    <w:rsid w:val="00632A74"/>
    <w:rsid w:val="00644463"/>
    <w:rsid w:val="006476B1"/>
    <w:rsid w:val="00654D42"/>
    <w:rsid w:val="0065737B"/>
    <w:rsid w:val="00657CFC"/>
    <w:rsid w:val="00666E02"/>
    <w:rsid w:val="00671BB0"/>
    <w:rsid w:val="00681FEC"/>
    <w:rsid w:val="0068446B"/>
    <w:rsid w:val="006849B4"/>
    <w:rsid w:val="00684E13"/>
    <w:rsid w:val="0069251F"/>
    <w:rsid w:val="00694187"/>
    <w:rsid w:val="00695F26"/>
    <w:rsid w:val="006A0F36"/>
    <w:rsid w:val="006A17C0"/>
    <w:rsid w:val="006A4655"/>
    <w:rsid w:val="006A6552"/>
    <w:rsid w:val="006B2B3C"/>
    <w:rsid w:val="006B3F12"/>
    <w:rsid w:val="006B5CC5"/>
    <w:rsid w:val="006C16EB"/>
    <w:rsid w:val="006C1D81"/>
    <w:rsid w:val="006C210F"/>
    <w:rsid w:val="006C7038"/>
    <w:rsid w:val="006C7FCC"/>
    <w:rsid w:val="006D059A"/>
    <w:rsid w:val="006D4E22"/>
    <w:rsid w:val="006D6603"/>
    <w:rsid w:val="006E1177"/>
    <w:rsid w:val="006E202E"/>
    <w:rsid w:val="006E6511"/>
    <w:rsid w:val="006E73EF"/>
    <w:rsid w:val="006F0849"/>
    <w:rsid w:val="007008EA"/>
    <w:rsid w:val="007038E8"/>
    <w:rsid w:val="007079C9"/>
    <w:rsid w:val="00714D4D"/>
    <w:rsid w:val="00717300"/>
    <w:rsid w:val="007174D9"/>
    <w:rsid w:val="007221DE"/>
    <w:rsid w:val="00722F52"/>
    <w:rsid w:val="007266D3"/>
    <w:rsid w:val="00732029"/>
    <w:rsid w:val="007353EC"/>
    <w:rsid w:val="00737348"/>
    <w:rsid w:val="007409A8"/>
    <w:rsid w:val="00744586"/>
    <w:rsid w:val="0074527F"/>
    <w:rsid w:val="007457D7"/>
    <w:rsid w:val="007514A6"/>
    <w:rsid w:val="00752148"/>
    <w:rsid w:val="00753032"/>
    <w:rsid w:val="00754499"/>
    <w:rsid w:val="00756468"/>
    <w:rsid w:val="0075761E"/>
    <w:rsid w:val="007604BB"/>
    <w:rsid w:val="00760605"/>
    <w:rsid w:val="007649A0"/>
    <w:rsid w:val="007663A8"/>
    <w:rsid w:val="00770629"/>
    <w:rsid w:val="00772752"/>
    <w:rsid w:val="00772909"/>
    <w:rsid w:val="00772D1E"/>
    <w:rsid w:val="007801F8"/>
    <w:rsid w:val="00782588"/>
    <w:rsid w:val="007825A9"/>
    <w:rsid w:val="00782FFC"/>
    <w:rsid w:val="00783617"/>
    <w:rsid w:val="00785232"/>
    <w:rsid w:val="00787694"/>
    <w:rsid w:val="00790026"/>
    <w:rsid w:val="00791E8A"/>
    <w:rsid w:val="0079701E"/>
    <w:rsid w:val="00797218"/>
    <w:rsid w:val="00797886"/>
    <w:rsid w:val="007A21EB"/>
    <w:rsid w:val="007A4B5A"/>
    <w:rsid w:val="007B16A6"/>
    <w:rsid w:val="007B1A93"/>
    <w:rsid w:val="007B3AB4"/>
    <w:rsid w:val="007B498C"/>
    <w:rsid w:val="007C0374"/>
    <w:rsid w:val="007C1D61"/>
    <w:rsid w:val="007C2FE3"/>
    <w:rsid w:val="007C36C9"/>
    <w:rsid w:val="007C5211"/>
    <w:rsid w:val="007C6B1F"/>
    <w:rsid w:val="007C73F9"/>
    <w:rsid w:val="007D6401"/>
    <w:rsid w:val="007D77E0"/>
    <w:rsid w:val="007E01E4"/>
    <w:rsid w:val="007E27C4"/>
    <w:rsid w:val="007E44F0"/>
    <w:rsid w:val="007E78F7"/>
    <w:rsid w:val="007E7A12"/>
    <w:rsid w:val="007E7D77"/>
    <w:rsid w:val="007F4E2F"/>
    <w:rsid w:val="007F7107"/>
    <w:rsid w:val="00800D4C"/>
    <w:rsid w:val="00807BA1"/>
    <w:rsid w:val="0081030F"/>
    <w:rsid w:val="00811FE9"/>
    <w:rsid w:val="00812F4A"/>
    <w:rsid w:val="008138B0"/>
    <w:rsid w:val="0082087D"/>
    <w:rsid w:val="0082295F"/>
    <w:rsid w:val="00824BAA"/>
    <w:rsid w:val="00835771"/>
    <w:rsid w:val="008378F0"/>
    <w:rsid w:val="00842933"/>
    <w:rsid w:val="00846627"/>
    <w:rsid w:val="0085439C"/>
    <w:rsid w:val="0086082C"/>
    <w:rsid w:val="00864314"/>
    <w:rsid w:val="00864ADC"/>
    <w:rsid w:val="00866795"/>
    <w:rsid w:val="00867875"/>
    <w:rsid w:val="00872120"/>
    <w:rsid w:val="0087231A"/>
    <w:rsid w:val="0087286B"/>
    <w:rsid w:val="00872BCE"/>
    <w:rsid w:val="00875B4A"/>
    <w:rsid w:val="00880153"/>
    <w:rsid w:val="00880F97"/>
    <w:rsid w:val="0088133A"/>
    <w:rsid w:val="008829BF"/>
    <w:rsid w:val="008832F9"/>
    <w:rsid w:val="0088391B"/>
    <w:rsid w:val="008862FA"/>
    <w:rsid w:val="0089086A"/>
    <w:rsid w:val="0089285E"/>
    <w:rsid w:val="00894172"/>
    <w:rsid w:val="0089436C"/>
    <w:rsid w:val="00894708"/>
    <w:rsid w:val="008954E7"/>
    <w:rsid w:val="008A25B6"/>
    <w:rsid w:val="008A3189"/>
    <w:rsid w:val="008A57F3"/>
    <w:rsid w:val="008A704F"/>
    <w:rsid w:val="008C4B7D"/>
    <w:rsid w:val="008C55F5"/>
    <w:rsid w:val="008D0483"/>
    <w:rsid w:val="008D0654"/>
    <w:rsid w:val="008D2616"/>
    <w:rsid w:val="008D365C"/>
    <w:rsid w:val="008D7622"/>
    <w:rsid w:val="008E3EDF"/>
    <w:rsid w:val="008F1CE0"/>
    <w:rsid w:val="008F423E"/>
    <w:rsid w:val="0090053C"/>
    <w:rsid w:val="009021A6"/>
    <w:rsid w:val="009030BF"/>
    <w:rsid w:val="00903B52"/>
    <w:rsid w:val="0090542F"/>
    <w:rsid w:val="0091032F"/>
    <w:rsid w:val="00913582"/>
    <w:rsid w:val="00914368"/>
    <w:rsid w:val="00931076"/>
    <w:rsid w:val="00931120"/>
    <w:rsid w:val="009345D9"/>
    <w:rsid w:val="00934B15"/>
    <w:rsid w:val="009350E1"/>
    <w:rsid w:val="00935547"/>
    <w:rsid w:val="00936705"/>
    <w:rsid w:val="00940C87"/>
    <w:rsid w:val="00941632"/>
    <w:rsid w:val="00942B62"/>
    <w:rsid w:val="00950EF2"/>
    <w:rsid w:val="0095287B"/>
    <w:rsid w:val="0095323B"/>
    <w:rsid w:val="00953313"/>
    <w:rsid w:val="00956A0C"/>
    <w:rsid w:val="00956BD9"/>
    <w:rsid w:val="00962489"/>
    <w:rsid w:val="009647B0"/>
    <w:rsid w:val="009666C9"/>
    <w:rsid w:val="0096701C"/>
    <w:rsid w:val="009678C3"/>
    <w:rsid w:val="00967CD3"/>
    <w:rsid w:val="00972299"/>
    <w:rsid w:val="00983E5C"/>
    <w:rsid w:val="00987089"/>
    <w:rsid w:val="009902F8"/>
    <w:rsid w:val="00990C2C"/>
    <w:rsid w:val="00990C39"/>
    <w:rsid w:val="00992241"/>
    <w:rsid w:val="00997B38"/>
    <w:rsid w:val="00997E48"/>
    <w:rsid w:val="009A5171"/>
    <w:rsid w:val="009A58CB"/>
    <w:rsid w:val="009A62AB"/>
    <w:rsid w:val="009B1E0C"/>
    <w:rsid w:val="009B2C93"/>
    <w:rsid w:val="009B2E5F"/>
    <w:rsid w:val="009C129C"/>
    <w:rsid w:val="009C3FCC"/>
    <w:rsid w:val="009C4BB1"/>
    <w:rsid w:val="009C6B36"/>
    <w:rsid w:val="009C7E7F"/>
    <w:rsid w:val="009D0963"/>
    <w:rsid w:val="009D76EB"/>
    <w:rsid w:val="009E112D"/>
    <w:rsid w:val="009E1844"/>
    <w:rsid w:val="009E2745"/>
    <w:rsid w:val="009E42EF"/>
    <w:rsid w:val="009E5BC1"/>
    <w:rsid w:val="009E6E7B"/>
    <w:rsid w:val="009F0D1B"/>
    <w:rsid w:val="009F53DD"/>
    <w:rsid w:val="009F5BBD"/>
    <w:rsid w:val="009F696D"/>
    <w:rsid w:val="009F6BC6"/>
    <w:rsid w:val="009F74EF"/>
    <w:rsid w:val="00A02826"/>
    <w:rsid w:val="00A039F3"/>
    <w:rsid w:val="00A07FBF"/>
    <w:rsid w:val="00A122B4"/>
    <w:rsid w:val="00A12F16"/>
    <w:rsid w:val="00A15D5A"/>
    <w:rsid w:val="00A16062"/>
    <w:rsid w:val="00A17328"/>
    <w:rsid w:val="00A23A20"/>
    <w:rsid w:val="00A23B1E"/>
    <w:rsid w:val="00A24443"/>
    <w:rsid w:val="00A24EAB"/>
    <w:rsid w:val="00A25217"/>
    <w:rsid w:val="00A253B1"/>
    <w:rsid w:val="00A268B9"/>
    <w:rsid w:val="00A2703A"/>
    <w:rsid w:val="00A304A3"/>
    <w:rsid w:val="00A33DFF"/>
    <w:rsid w:val="00A35115"/>
    <w:rsid w:val="00A36D9A"/>
    <w:rsid w:val="00A371BE"/>
    <w:rsid w:val="00A41066"/>
    <w:rsid w:val="00A424FC"/>
    <w:rsid w:val="00A448AD"/>
    <w:rsid w:val="00A451DC"/>
    <w:rsid w:val="00A4686D"/>
    <w:rsid w:val="00A475E7"/>
    <w:rsid w:val="00A50A13"/>
    <w:rsid w:val="00A5327F"/>
    <w:rsid w:val="00A541B9"/>
    <w:rsid w:val="00A554AB"/>
    <w:rsid w:val="00A57062"/>
    <w:rsid w:val="00A61D2C"/>
    <w:rsid w:val="00A61ECE"/>
    <w:rsid w:val="00A624F4"/>
    <w:rsid w:val="00A65859"/>
    <w:rsid w:val="00A67781"/>
    <w:rsid w:val="00A70E7D"/>
    <w:rsid w:val="00A71F0A"/>
    <w:rsid w:val="00A761F9"/>
    <w:rsid w:val="00A80EB9"/>
    <w:rsid w:val="00A81889"/>
    <w:rsid w:val="00A8246D"/>
    <w:rsid w:val="00A834E8"/>
    <w:rsid w:val="00A90275"/>
    <w:rsid w:val="00A92B53"/>
    <w:rsid w:val="00A94FA6"/>
    <w:rsid w:val="00A966D5"/>
    <w:rsid w:val="00AA1D91"/>
    <w:rsid w:val="00AA49A0"/>
    <w:rsid w:val="00AA5A20"/>
    <w:rsid w:val="00AA6710"/>
    <w:rsid w:val="00AA6711"/>
    <w:rsid w:val="00AB0681"/>
    <w:rsid w:val="00AB5EE7"/>
    <w:rsid w:val="00AB6B94"/>
    <w:rsid w:val="00AC3A15"/>
    <w:rsid w:val="00AC45E2"/>
    <w:rsid w:val="00AD37DA"/>
    <w:rsid w:val="00AD520B"/>
    <w:rsid w:val="00AE3BCC"/>
    <w:rsid w:val="00AF2B71"/>
    <w:rsid w:val="00AF4D17"/>
    <w:rsid w:val="00AF6D70"/>
    <w:rsid w:val="00AF77B4"/>
    <w:rsid w:val="00B01929"/>
    <w:rsid w:val="00B0675B"/>
    <w:rsid w:val="00B11ABB"/>
    <w:rsid w:val="00B20DBE"/>
    <w:rsid w:val="00B3419C"/>
    <w:rsid w:val="00B3486C"/>
    <w:rsid w:val="00B366F1"/>
    <w:rsid w:val="00B36D38"/>
    <w:rsid w:val="00B425C3"/>
    <w:rsid w:val="00B4373D"/>
    <w:rsid w:val="00B440AD"/>
    <w:rsid w:val="00B461E8"/>
    <w:rsid w:val="00B479BB"/>
    <w:rsid w:val="00B53223"/>
    <w:rsid w:val="00B53E7E"/>
    <w:rsid w:val="00B55BF1"/>
    <w:rsid w:val="00B5722E"/>
    <w:rsid w:val="00B62E02"/>
    <w:rsid w:val="00B6342E"/>
    <w:rsid w:val="00B7113F"/>
    <w:rsid w:val="00B74D81"/>
    <w:rsid w:val="00B75C40"/>
    <w:rsid w:val="00B76DE7"/>
    <w:rsid w:val="00B77090"/>
    <w:rsid w:val="00B8006A"/>
    <w:rsid w:val="00B824A8"/>
    <w:rsid w:val="00B90A5F"/>
    <w:rsid w:val="00B92A35"/>
    <w:rsid w:val="00B94BA4"/>
    <w:rsid w:val="00BA03D0"/>
    <w:rsid w:val="00BA2BCF"/>
    <w:rsid w:val="00BA44B3"/>
    <w:rsid w:val="00BA5B14"/>
    <w:rsid w:val="00BA73B6"/>
    <w:rsid w:val="00BA7E27"/>
    <w:rsid w:val="00BB1E27"/>
    <w:rsid w:val="00BB2603"/>
    <w:rsid w:val="00BB4FCD"/>
    <w:rsid w:val="00BB5D9E"/>
    <w:rsid w:val="00BB7E60"/>
    <w:rsid w:val="00BC04E9"/>
    <w:rsid w:val="00BC17B9"/>
    <w:rsid w:val="00BC3C76"/>
    <w:rsid w:val="00BC5405"/>
    <w:rsid w:val="00BD1219"/>
    <w:rsid w:val="00BD13EA"/>
    <w:rsid w:val="00BD25BD"/>
    <w:rsid w:val="00BD359A"/>
    <w:rsid w:val="00BD64FF"/>
    <w:rsid w:val="00BE2401"/>
    <w:rsid w:val="00BE3808"/>
    <w:rsid w:val="00BE3C73"/>
    <w:rsid w:val="00BE4DDB"/>
    <w:rsid w:val="00BE7CEE"/>
    <w:rsid w:val="00BE7F8F"/>
    <w:rsid w:val="00BF3A25"/>
    <w:rsid w:val="00C01AEE"/>
    <w:rsid w:val="00C036A7"/>
    <w:rsid w:val="00C03B88"/>
    <w:rsid w:val="00C04302"/>
    <w:rsid w:val="00C062E9"/>
    <w:rsid w:val="00C069AA"/>
    <w:rsid w:val="00C069D7"/>
    <w:rsid w:val="00C07AA6"/>
    <w:rsid w:val="00C07B64"/>
    <w:rsid w:val="00C12358"/>
    <w:rsid w:val="00C12A9F"/>
    <w:rsid w:val="00C13721"/>
    <w:rsid w:val="00C14FE4"/>
    <w:rsid w:val="00C1502D"/>
    <w:rsid w:val="00C22F10"/>
    <w:rsid w:val="00C24331"/>
    <w:rsid w:val="00C3066D"/>
    <w:rsid w:val="00C307F2"/>
    <w:rsid w:val="00C30D6D"/>
    <w:rsid w:val="00C34FD5"/>
    <w:rsid w:val="00C35A99"/>
    <w:rsid w:val="00C476DD"/>
    <w:rsid w:val="00C52416"/>
    <w:rsid w:val="00C543F4"/>
    <w:rsid w:val="00C558A0"/>
    <w:rsid w:val="00C5733D"/>
    <w:rsid w:val="00C57494"/>
    <w:rsid w:val="00C60BF2"/>
    <w:rsid w:val="00C613E6"/>
    <w:rsid w:val="00C6291C"/>
    <w:rsid w:val="00C632A5"/>
    <w:rsid w:val="00C633CB"/>
    <w:rsid w:val="00C664CD"/>
    <w:rsid w:val="00C70689"/>
    <w:rsid w:val="00C715E0"/>
    <w:rsid w:val="00C7262F"/>
    <w:rsid w:val="00C736B7"/>
    <w:rsid w:val="00C8010F"/>
    <w:rsid w:val="00C80900"/>
    <w:rsid w:val="00C81D4A"/>
    <w:rsid w:val="00C85C5D"/>
    <w:rsid w:val="00C8762C"/>
    <w:rsid w:val="00C909DD"/>
    <w:rsid w:val="00C9215E"/>
    <w:rsid w:val="00C93306"/>
    <w:rsid w:val="00C93FFC"/>
    <w:rsid w:val="00C9545B"/>
    <w:rsid w:val="00CA00F9"/>
    <w:rsid w:val="00CA26FB"/>
    <w:rsid w:val="00CA2961"/>
    <w:rsid w:val="00CA2E75"/>
    <w:rsid w:val="00CA477A"/>
    <w:rsid w:val="00CB50D7"/>
    <w:rsid w:val="00CB7177"/>
    <w:rsid w:val="00CB7B12"/>
    <w:rsid w:val="00CB7CED"/>
    <w:rsid w:val="00CC070F"/>
    <w:rsid w:val="00CC1998"/>
    <w:rsid w:val="00CC4946"/>
    <w:rsid w:val="00CC5246"/>
    <w:rsid w:val="00CC5321"/>
    <w:rsid w:val="00CC64A1"/>
    <w:rsid w:val="00CD2CC0"/>
    <w:rsid w:val="00CD3513"/>
    <w:rsid w:val="00CE2A83"/>
    <w:rsid w:val="00CE483D"/>
    <w:rsid w:val="00CF1218"/>
    <w:rsid w:val="00CF3B11"/>
    <w:rsid w:val="00CF47F6"/>
    <w:rsid w:val="00D1097E"/>
    <w:rsid w:val="00D11651"/>
    <w:rsid w:val="00D17544"/>
    <w:rsid w:val="00D17E23"/>
    <w:rsid w:val="00D21C09"/>
    <w:rsid w:val="00D24429"/>
    <w:rsid w:val="00D25713"/>
    <w:rsid w:val="00D270A4"/>
    <w:rsid w:val="00D31FE9"/>
    <w:rsid w:val="00D349BB"/>
    <w:rsid w:val="00D34E1B"/>
    <w:rsid w:val="00D376BA"/>
    <w:rsid w:val="00D37803"/>
    <w:rsid w:val="00D434A0"/>
    <w:rsid w:val="00D44735"/>
    <w:rsid w:val="00D45634"/>
    <w:rsid w:val="00D472A5"/>
    <w:rsid w:val="00D541BD"/>
    <w:rsid w:val="00D5568A"/>
    <w:rsid w:val="00D57C7D"/>
    <w:rsid w:val="00D6173C"/>
    <w:rsid w:val="00D63D73"/>
    <w:rsid w:val="00D64452"/>
    <w:rsid w:val="00D66CA7"/>
    <w:rsid w:val="00D66E1E"/>
    <w:rsid w:val="00D70696"/>
    <w:rsid w:val="00D72790"/>
    <w:rsid w:val="00D75722"/>
    <w:rsid w:val="00D75CCC"/>
    <w:rsid w:val="00D76414"/>
    <w:rsid w:val="00D76F80"/>
    <w:rsid w:val="00D77C32"/>
    <w:rsid w:val="00D80CF5"/>
    <w:rsid w:val="00D83D0A"/>
    <w:rsid w:val="00D87FCC"/>
    <w:rsid w:val="00D91660"/>
    <w:rsid w:val="00D93243"/>
    <w:rsid w:val="00D932AB"/>
    <w:rsid w:val="00D9441A"/>
    <w:rsid w:val="00DA5BBA"/>
    <w:rsid w:val="00DB26D2"/>
    <w:rsid w:val="00DB4B45"/>
    <w:rsid w:val="00DB67C9"/>
    <w:rsid w:val="00DB7028"/>
    <w:rsid w:val="00DB7BAB"/>
    <w:rsid w:val="00DC0C95"/>
    <w:rsid w:val="00DC1E7E"/>
    <w:rsid w:val="00DC4F0B"/>
    <w:rsid w:val="00DD1E14"/>
    <w:rsid w:val="00DD4D89"/>
    <w:rsid w:val="00DD6580"/>
    <w:rsid w:val="00DD72C7"/>
    <w:rsid w:val="00DE1549"/>
    <w:rsid w:val="00DE2F5F"/>
    <w:rsid w:val="00DE4253"/>
    <w:rsid w:val="00DF6003"/>
    <w:rsid w:val="00DF72EE"/>
    <w:rsid w:val="00E01D7F"/>
    <w:rsid w:val="00E0270C"/>
    <w:rsid w:val="00E0341D"/>
    <w:rsid w:val="00E03588"/>
    <w:rsid w:val="00E05C03"/>
    <w:rsid w:val="00E069D2"/>
    <w:rsid w:val="00E1687E"/>
    <w:rsid w:val="00E17C72"/>
    <w:rsid w:val="00E2040C"/>
    <w:rsid w:val="00E21116"/>
    <w:rsid w:val="00E214F2"/>
    <w:rsid w:val="00E21854"/>
    <w:rsid w:val="00E21FC6"/>
    <w:rsid w:val="00E2296C"/>
    <w:rsid w:val="00E231C0"/>
    <w:rsid w:val="00E24A27"/>
    <w:rsid w:val="00E2575D"/>
    <w:rsid w:val="00E260DB"/>
    <w:rsid w:val="00E276E4"/>
    <w:rsid w:val="00E3309B"/>
    <w:rsid w:val="00E431A9"/>
    <w:rsid w:val="00E4797B"/>
    <w:rsid w:val="00E479D3"/>
    <w:rsid w:val="00E55138"/>
    <w:rsid w:val="00E575CC"/>
    <w:rsid w:val="00E57D7F"/>
    <w:rsid w:val="00E61004"/>
    <w:rsid w:val="00E62B7B"/>
    <w:rsid w:val="00E634C3"/>
    <w:rsid w:val="00E654B7"/>
    <w:rsid w:val="00E669E2"/>
    <w:rsid w:val="00E71397"/>
    <w:rsid w:val="00E71503"/>
    <w:rsid w:val="00E75FF8"/>
    <w:rsid w:val="00E76135"/>
    <w:rsid w:val="00E80FAB"/>
    <w:rsid w:val="00E82F4F"/>
    <w:rsid w:val="00E864DF"/>
    <w:rsid w:val="00E86AD0"/>
    <w:rsid w:val="00E87359"/>
    <w:rsid w:val="00E873EC"/>
    <w:rsid w:val="00E912E0"/>
    <w:rsid w:val="00E9534A"/>
    <w:rsid w:val="00E95403"/>
    <w:rsid w:val="00EA0288"/>
    <w:rsid w:val="00EA11CA"/>
    <w:rsid w:val="00EA369C"/>
    <w:rsid w:val="00EB1F07"/>
    <w:rsid w:val="00EB204E"/>
    <w:rsid w:val="00EB2CC3"/>
    <w:rsid w:val="00EB3F66"/>
    <w:rsid w:val="00EB4A3F"/>
    <w:rsid w:val="00EB4A59"/>
    <w:rsid w:val="00EC2844"/>
    <w:rsid w:val="00EC442B"/>
    <w:rsid w:val="00EC45DA"/>
    <w:rsid w:val="00EC5500"/>
    <w:rsid w:val="00EC7C6A"/>
    <w:rsid w:val="00ED1591"/>
    <w:rsid w:val="00ED18F8"/>
    <w:rsid w:val="00ED3CDB"/>
    <w:rsid w:val="00ED7158"/>
    <w:rsid w:val="00EE6EDA"/>
    <w:rsid w:val="00EE6EF3"/>
    <w:rsid w:val="00EE778E"/>
    <w:rsid w:val="00EF2F9A"/>
    <w:rsid w:val="00EF4455"/>
    <w:rsid w:val="00EF6719"/>
    <w:rsid w:val="00EF6A0F"/>
    <w:rsid w:val="00EF6C6C"/>
    <w:rsid w:val="00F056FC"/>
    <w:rsid w:val="00F0632F"/>
    <w:rsid w:val="00F069AE"/>
    <w:rsid w:val="00F10476"/>
    <w:rsid w:val="00F135D8"/>
    <w:rsid w:val="00F1389D"/>
    <w:rsid w:val="00F14B44"/>
    <w:rsid w:val="00F176A1"/>
    <w:rsid w:val="00F235F6"/>
    <w:rsid w:val="00F24E6E"/>
    <w:rsid w:val="00F270FC"/>
    <w:rsid w:val="00F31299"/>
    <w:rsid w:val="00F3534A"/>
    <w:rsid w:val="00F35BFB"/>
    <w:rsid w:val="00F36ACC"/>
    <w:rsid w:val="00F372A2"/>
    <w:rsid w:val="00F41EAD"/>
    <w:rsid w:val="00F45735"/>
    <w:rsid w:val="00F45DA6"/>
    <w:rsid w:val="00F51609"/>
    <w:rsid w:val="00F55C25"/>
    <w:rsid w:val="00F604AD"/>
    <w:rsid w:val="00F64785"/>
    <w:rsid w:val="00F71DD3"/>
    <w:rsid w:val="00F732E4"/>
    <w:rsid w:val="00F73727"/>
    <w:rsid w:val="00F740C5"/>
    <w:rsid w:val="00F766A7"/>
    <w:rsid w:val="00F81006"/>
    <w:rsid w:val="00F821B8"/>
    <w:rsid w:val="00F85325"/>
    <w:rsid w:val="00F85CD8"/>
    <w:rsid w:val="00F9164D"/>
    <w:rsid w:val="00FA0BD4"/>
    <w:rsid w:val="00FA0C3B"/>
    <w:rsid w:val="00FA2A4E"/>
    <w:rsid w:val="00FA2AA2"/>
    <w:rsid w:val="00FA432F"/>
    <w:rsid w:val="00FA5350"/>
    <w:rsid w:val="00FB096B"/>
    <w:rsid w:val="00FB4BBA"/>
    <w:rsid w:val="00FC578D"/>
    <w:rsid w:val="00FD1DC2"/>
    <w:rsid w:val="00FD1DD1"/>
    <w:rsid w:val="00FD22B1"/>
    <w:rsid w:val="00FD33F1"/>
    <w:rsid w:val="00FD3566"/>
    <w:rsid w:val="00FE024A"/>
    <w:rsid w:val="00FE5397"/>
    <w:rsid w:val="00FE56D6"/>
    <w:rsid w:val="00FE6EE8"/>
    <w:rsid w:val="00FF09CE"/>
    <w:rsid w:val="00FF2973"/>
    <w:rsid w:val="00FF3CE6"/>
    <w:rsid w:val="00FF519C"/>
    <w:rsid w:val="00FF5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70CB3A8"/>
  <w15:docId w15:val="{4B65E60A-1BD2-42DF-B3A7-CC605F3C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DE4253"/>
    <w:rPr>
      <w:sz w:val="24"/>
      <w:szCs w:val="24"/>
    </w:rPr>
  </w:style>
  <w:style w:type="paragraph" w:styleId="Heading1">
    <w:name w:val="heading 1"/>
    <w:basedOn w:val="BodyText"/>
    <w:next w:val="BodyText"/>
    <w:link w:val="Heading1Char"/>
    <w:rsid w:val="00DE4253"/>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DE4253"/>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E4253"/>
    <w:pPr>
      <w:spacing w:before="560" w:line="320" w:lineRule="exact"/>
      <w:ind w:left="0" w:firstLine="0"/>
      <w:outlineLvl w:val="2"/>
    </w:pPr>
    <w:rPr>
      <w:sz w:val="26"/>
    </w:rPr>
  </w:style>
  <w:style w:type="paragraph" w:styleId="Heading4">
    <w:name w:val="heading 4"/>
    <w:basedOn w:val="Heading3"/>
    <w:next w:val="BodyText"/>
    <w:link w:val="Heading4Char"/>
    <w:qFormat/>
    <w:rsid w:val="00DE4253"/>
    <w:pPr>
      <w:spacing w:before="480"/>
      <w:outlineLvl w:val="3"/>
    </w:pPr>
    <w:rPr>
      <w:b w:val="0"/>
      <w:sz w:val="24"/>
    </w:rPr>
  </w:style>
  <w:style w:type="paragraph" w:styleId="Heading5">
    <w:name w:val="heading 5"/>
    <w:basedOn w:val="Heading4"/>
    <w:next w:val="BodyText"/>
    <w:link w:val="Heading5Char"/>
    <w:qFormat/>
    <w:rsid w:val="00DE4253"/>
    <w:pPr>
      <w:outlineLvl w:val="4"/>
    </w:pPr>
    <w:rPr>
      <w:i/>
      <w:sz w:val="22"/>
    </w:rPr>
  </w:style>
  <w:style w:type="paragraph" w:styleId="Heading6">
    <w:name w:val="heading 6"/>
    <w:basedOn w:val="BodyText"/>
    <w:next w:val="BodyText"/>
    <w:semiHidden/>
    <w:rsid w:val="00DE4253"/>
    <w:pPr>
      <w:spacing w:after="60"/>
      <w:jc w:val="left"/>
      <w:outlineLvl w:val="5"/>
    </w:pPr>
    <w:rPr>
      <w:i/>
      <w:sz w:val="22"/>
    </w:rPr>
  </w:style>
  <w:style w:type="paragraph" w:styleId="Heading7">
    <w:name w:val="heading 7"/>
    <w:basedOn w:val="BodyText"/>
    <w:next w:val="BodyText"/>
    <w:semiHidden/>
    <w:rsid w:val="00DE4253"/>
    <w:pPr>
      <w:spacing w:after="60" w:line="240" w:lineRule="auto"/>
      <w:jc w:val="left"/>
      <w:outlineLvl w:val="6"/>
    </w:pPr>
    <w:rPr>
      <w:rFonts w:ascii="Arial" w:hAnsi="Arial"/>
      <w:sz w:val="20"/>
    </w:rPr>
  </w:style>
  <w:style w:type="paragraph" w:styleId="Heading8">
    <w:name w:val="heading 8"/>
    <w:basedOn w:val="BodyText"/>
    <w:next w:val="BodyText"/>
    <w:semiHidden/>
    <w:rsid w:val="00DE4253"/>
    <w:pPr>
      <w:spacing w:after="60" w:line="240" w:lineRule="auto"/>
      <w:jc w:val="left"/>
      <w:outlineLvl w:val="7"/>
    </w:pPr>
    <w:rPr>
      <w:rFonts w:ascii="Arial" w:hAnsi="Arial"/>
      <w:i/>
      <w:sz w:val="20"/>
    </w:rPr>
  </w:style>
  <w:style w:type="paragraph" w:styleId="Heading9">
    <w:name w:val="heading 9"/>
    <w:basedOn w:val="BodyText"/>
    <w:next w:val="BodyText"/>
    <w:semiHidden/>
    <w:rsid w:val="00DE425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E42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4253"/>
  </w:style>
  <w:style w:type="paragraph" w:styleId="BodyText">
    <w:name w:val="Body Text"/>
    <w:link w:val="BodyTextChar"/>
    <w:qFormat/>
    <w:rsid w:val="00DE4253"/>
    <w:pPr>
      <w:spacing w:before="240" w:line="300" w:lineRule="atLeast"/>
      <w:jc w:val="both"/>
    </w:pPr>
    <w:rPr>
      <w:sz w:val="24"/>
    </w:rPr>
  </w:style>
  <w:style w:type="paragraph" w:styleId="Footer">
    <w:name w:val="footer"/>
    <w:basedOn w:val="BodyText"/>
    <w:link w:val="FooterChar"/>
    <w:rsid w:val="00DE4253"/>
    <w:pPr>
      <w:spacing w:before="80" w:line="200" w:lineRule="exact"/>
      <w:ind w:right="6"/>
      <w:jc w:val="left"/>
    </w:pPr>
    <w:rPr>
      <w:rFonts w:ascii="Arial" w:hAnsi="Arial"/>
      <w:caps/>
      <w:spacing w:val="-4"/>
      <w:sz w:val="16"/>
    </w:rPr>
  </w:style>
  <w:style w:type="paragraph" w:customStyle="1" w:styleId="FooterEnd">
    <w:name w:val="Footer End"/>
    <w:basedOn w:val="Footer"/>
    <w:rsid w:val="00DE4253"/>
    <w:pPr>
      <w:spacing w:before="0" w:line="20" w:lineRule="exact"/>
    </w:pPr>
  </w:style>
  <w:style w:type="paragraph" w:styleId="Header">
    <w:name w:val="header"/>
    <w:basedOn w:val="BodyText"/>
    <w:rsid w:val="00DE425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E4253"/>
    <w:pPr>
      <w:spacing w:line="20" w:lineRule="exact"/>
    </w:pPr>
    <w:rPr>
      <w:sz w:val="16"/>
    </w:rPr>
  </w:style>
  <w:style w:type="paragraph" w:customStyle="1" w:styleId="HeaderEven">
    <w:name w:val="Header Even"/>
    <w:basedOn w:val="Header"/>
    <w:semiHidden/>
    <w:rsid w:val="00DE4253"/>
  </w:style>
  <w:style w:type="paragraph" w:customStyle="1" w:styleId="HeaderOdd">
    <w:name w:val="Header Odd"/>
    <w:basedOn w:val="Header"/>
    <w:semiHidden/>
    <w:rsid w:val="00DE4253"/>
  </w:style>
  <w:style w:type="character" w:styleId="PageNumber">
    <w:name w:val="page number"/>
    <w:basedOn w:val="DefaultParagraphFont"/>
    <w:rsid w:val="00DE4253"/>
    <w:rPr>
      <w:rFonts w:ascii="Arial" w:hAnsi="Arial"/>
      <w:b/>
      <w:sz w:val="16"/>
    </w:rPr>
  </w:style>
  <w:style w:type="paragraph" w:customStyle="1" w:styleId="Abbreviation">
    <w:name w:val="Abbreviation"/>
    <w:basedOn w:val="BodyText"/>
    <w:rsid w:val="00DE4253"/>
    <w:pPr>
      <w:spacing w:before="120"/>
      <w:ind w:left="2381" w:hanging="2381"/>
      <w:jc w:val="left"/>
    </w:pPr>
  </w:style>
  <w:style w:type="paragraph" w:customStyle="1" w:styleId="Box">
    <w:name w:val="Box"/>
    <w:basedOn w:val="BodyText"/>
    <w:link w:val="BoxChar"/>
    <w:qFormat/>
    <w:rsid w:val="00DE4253"/>
    <w:pPr>
      <w:keepNext/>
      <w:spacing w:before="120" w:line="260" w:lineRule="atLeast"/>
    </w:pPr>
    <w:rPr>
      <w:rFonts w:ascii="Arial" w:hAnsi="Arial"/>
      <w:sz w:val="20"/>
    </w:rPr>
  </w:style>
  <w:style w:type="paragraph" w:customStyle="1" w:styleId="BoxContinued">
    <w:name w:val="Box Continued"/>
    <w:basedOn w:val="BodyText"/>
    <w:next w:val="BodyText"/>
    <w:semiHidden/>
    <w:rsid w:val="00DE4253"/>
    <w:pPr>
      <w:spacing w:before="180" w:line="220" w:lineRule="exact"/>
      <w:jc w:val="right"/>
    </w:pPr>
    <w:rPr>
      <w:rFonts w:ascii="Arial" w:hAnsi="Arial"/>
      <w:sz w:val="18"/>
    </w:rPr>
  </w:style>
  <w:style w:type="paragraph" w:customStyle="1" w:styleId="BoxHeading1">
    <w:name w:val="Box Heading 1"/>
    <w:basedOn w:val="BodyText"/>
    <w:next w:val="Box"/>
    <w:rsid w:val="00DE4253"/>
    <w:pPr>
      <w:keepNext/>
      <w:spacing w:before="200" w:line="280" w:lineRule="atLeast"/>
    </w:pPr>
    <w:rPr>
      <w:rFonts w:ascii="Arial" w:hAnsi="Arial"/>
      <w:b/>
      <w:sz w:val="22"/>
    </w:rPr>
  </w:style>
  <w:style w:type="paragraph" w:customStyle="1" w:styleId="BoxHeading2">
    <w:name w:val="Box Heading 2"/>
    <w:basedOn w:val="BoxHeading1"/>
    <w:next w:val="Box"/>
    <w:rsid w:val="00DE4253"/>
    <w:rPr>
      <w:b w:val="0"/>
      <w:i/>
    </w:rPr>
  </w:style>
  <w:style w:type="paragraph" w:customStyle="1" w:styleId="BoxListBullet">
    <w:name w:val="Box List Bullet"/>
    <w:basedOn w:val="BodyText"/>
    <w:link w:val="BoxListBulletChar"/>
    <w:rsid w:val="00DE4253"/>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DE4253"/>
    <w:pPr>
      <w:numPr>
        <w:numId w:val="13"/>
      </w:numPr>
      <w:ind w:left="568" w:hanging="284"/>
    </w:pPr>
  </w:style>
  <w:style w:type="paragraph" w:customStyle="1" w:styleId="BoxListNumber">
    <w:name w:val="Box List Number"/>
    <w:basedOn w:val="BodyText"/>
    <w:rsid w:val="00DE4253"/>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DE4253"/>
    <w:pPr>
      <w:numPr>
        <w:ilvl w:val="1"/>
      </w:numPr>
      <w:ind w:left="681" w:hanging="397"/>
    </w:pPr>
  </w:style>
  <w:style w:type="paragraph" w:customStyle="1" w:styleId="BoxQuote">
    <w:name w:val="Box Quote"/>
    <w:basedOn w:val="BodyText"/>
    <w:next w:val="Box"/>
    <w:qFormat/>
    <w:rsid w:val="00DE4253"/>
    <w:pPr>
      <w:keepNext/>
      <w:spacing w:before="60" w:line="240" w:lineRule="exact"/>
      <w:ind w:left="284"/>
    </w:pPr>
    <w:rPr>
      <w:rFonts w:ascii="Arial" w:hAnsi="Arial"/>
      <w:sz w:val="18"/>
    </w:rPr>
  </w:style>
  <w:style w:type="paragraph" w:customStyle="1" w:styleId="Note">
    <w:name w:val="Note"/>
    <w:basedOn w:val="BodyText"/>
    <w:next w:val="BodyText"/>
    <w:rsid w:val="00DE4253"/>
    <w:pPr>
      <w:keepLines/>
      <w:spacing w:before="80" w:line="220" w:lineRule="exact"/>
    </w:pPr>
    <w:rPr>
      <w:rFonts w:ascii="Arial" w:hAnsi="Arial"/>
      <w:sz w:val="18"/>
    </w:rPr>
  </w:style>
  <w:style w:type="paragraph" w:customStyle="1" w:styleId="Source">
    <w:name w:val="Source"/>
    <w:basedOn w:val="Normal"/>
    <w:next w:val="BodyText"/>
    <w:rsid w:val="00DE4253"/>
    <w:pPr>
      <w:keepLines/>
      <w:spacing w:before="80" w:line="220" w:lineRule="exact"/>
      <w:jc w:val="both"/>
    </w:pPr>
    <w:rPr>
      <w:rFonts w:ascii="Arial" w:hAnsi="Arial"/>
      <w:sz w:val="18"/>
      <w:szCs w:val="20"/>
    </w:rPr>
  </w:style>
  <w:style w:type="paragraph" w:customStyle="1" w:styleId="BoxSource">
    <w:name w:val="Box Source"/>
    <w:basedOn w:val="Source"/>
    <w:next w:val="BodyText"/>
    <w:rsid w:val="00DE4253"/>
    <w:pPr>
      <w:spacing w:before="120"/>
    </w:pPr>
  </w:style>
  <w:style w:type="paragraph" w:customStyle="1" w:styleId="BoxSpaceAbove">
    <w:name w:val="Box Space Above"/>
    <w:basedOn w:val="BodyText"/>
    <w:rsid w:val="00DE4253"/>
    <w:pPr>
      <w:keepNext/>
      <w:spacing w:before="360" w:line="80" w:lineRule="exact"/>
      <w:jc w:val="left"/>
    </w:pPr>
  </w:style>
  <w:style w:type="paragraph" w:styleId="Caption">
    <w:name w:val="caption"/>
    <w:basedOn w:val="Normal"/>
    <w:next w:val="BodyText"/>
    <w:rsid w:val="00DE4253"/>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DE4253"/>
    <w:pPr>
      <w:spacing w:before="120" w:after="0"/>
    </w:pPr>
  </w:style>
  <w:style w:type="paragraph" w:customStyle="1" w:styleId="BoxSubtitle">
    <w:name w:val="Box Subtitle"/>
    <w:basedOn w:val="BoxTitle"/>
    <w:next w:val="Normal"/>
    <w:rsid w:val="00DE4253"/>
    <w:pPr>
      <w:spacing w:after="80" w:line="200" w:lineRule="exact"/>
      <w:ind w:firstLine="0"/>
    </w:pPr>
    <w:rPr>
      <w:b w:val="0"/>
      <w:sz w:val="20"/>
    </w:rPr>
  </w:style>
  <w:style w:type="paragraph" w:customStyle="1" w:styleId="Chapter">
    <w:name w:val="Chapter"/>
    <w:basedOn w:val="Heading1"/>
    <w:next w:val="BodyText"/>
    <w:semiHidden/>
    <w:rsid w:val="00DE4253"/>
    <w:pPr>
      <w:ind w:left="0" w:firstLine="0"/>
      <w:outlineLvl w:val="9"/>
    </w:pPr>
  </w:style>
  <w:style w:type="paragraph" w:customStyle="1" w:styleId="ChapterSummary">
    <w:name w:val="Chapter Summary"/>
    <w:basedOn w:val="BodyText"/>
    <w:rsid w:val="00DE4253"/>
    <w:pPr>
      <w:spacing w:line="280" w:lineRule="atLeast"/>
      <w:ind w:left="907"/>
    </w:pPr>
    <w:rPr>
      <w:rFonts w:ascii="Arial" w:hAnsi="Arial"/>
      <w:b/>
      <w:sz w:val="20"/>
    </w:rPr>
  </w:style>
  <w:style w:type="character" w:styleId="CommentReference">
    <w:name w:val="annotation reference"/>
    <w:basedOn w:val="DefaultParagraphFont"/>
    <w:semiHidden/>
    <w:rsid w:val="00DE4253"/>
    <w:rPr>
      <w:b/>
      <w:vanish/>
      <w:color w:val="FF00FF"/>
      <w:sz w:val="20"/>
    </w:rPr>
  </w:style>
  <w:style w:type="paragraph" w:styleId="CommentText">
    <w:name w:val="annotation text"/>
    <w:basedOn w:val="Normal"/>
    <w:link w:val="CommentTextChar"/>
    <w:semiHidden/>
    <w:rsid w:val="00DE4253"/>
    <w:pPr>
      <w:spacing w:before="120" w:line="240" w:lineRule="atLeast"/>
      <w:ind w:left="567" w:hanging="567"/>
    </w:pPr>
    <w:rPr>
      <w:sz w:val="20"/>
    </w:rPr>
  </w:style>
  <w:style w:type="paragraph" w:customStyle="1" w:styleId="Continued">
    <w:name w:val="Continued"/>
    <w:basedOn w:val="BoxContinued"/>
    <w:next w:val="BodyText"/>
    <w:rsid w:val="00DE4253"/>
  </w:style>
  <w:style w:type="character" w:customStyle="1" w:styleId="DocumentInfo">
    <w:name w:val="Document Info"/>
    <w:basedOn w:val="DefaultParagraphFont"/>
    <w:semiHidden/>
    <w:rsid w:val="00DE4253"/>
    <w:rPr>
      <w:rFonts w:ascii="Arial" w:hAnsi="Arial"/>
      <w:sz w:val="14"/>
    </w:rPr>
  </w:style>
  <w:style w:type="character" w:customStyle="1" w:styleId="DraftingNote">
    <w:name w:val="Drafting Note"/>
    <w:basedOn w:val="DefaultParagraphFont"/>
    <w:rsid w:val="00DE4253"/>
    <w:rPr>
      <w:b/>
      <w:color w:val="FF0000"/>
      <w:sz w:val="24"/>
      <w:u w:val="dotted"/>
    </w:rPr>
  </w:style>
  <w:style w:type="paragraph" w:customStyle="1" w:styleId="Figure">
    <w:name w:val="Figure"/>
    <w:basedOn w:val="BodyText"/>
    <w:rsid w:val="00DE4253"/>
    <w:pPr>
      <w:keepNext/>
      <w:spacing w:before="120" w:after="120" w:line="240" w:lineRule="atLeast"/>
      <w:jc w:val="center"/>
    </w:pPr>
  </w:style>
  <w:style w:type="paragraph" w:customStyle="1" w:styleId="FigureTitle">
    <w:name w:val="Figure Title"/>
    <w:basedOn w:val="Caption"/>
    <w:next w:val="Subtitle"/>
    <w:rsid w:val="00DE4253"/>
    <w:pPr>
      <w:spacing w:before="120"/>
    </w:pPr>
  </w:style>
  <w:style w:type="paragraph" w:styleId="Subtitle">
    <w:name w:val="Subtitle"/>
    <w:basedOn w:val="Caption"/>
    <w:link w:val="SubtitleChar"/>
    <w:qFormat/>
    <w:rsid w:val="00DE4253"/>
    <w:pPr>
      <w:spacing w:before="0" w:line="200" w:lineRule="exact"/>
      <w:ind w:firstLine="0"/>
    </w:pPr>
    <w:rPr>
      <w:b w:val="0"/>
      <w:sz w:val="20"/>
    </w:rPr>
  </w:style>
  <w:style w:type="paragraph" w:customStyle="1" w:styleId="Finding">
    <w:name w:val="Finding"/>
    <w:basedOn w:val="BodyText"/>
    <w:rsid w:val="00DE4253"/>
    <w:pPr>
      <w:keepLines/>
      <w:spacing w:before="120" w:line="280" w:lineRule="atLeast"/>
    </w:pPr>
    <w:rPr>
      <w:rFonts w:ascii="Arial" w:hAnsi="Arial"/>
      <w:sz w:val="22"/>
    </w:rPr>
  </w:style>
  <w:style w:type="paragraph" w:customStyle="1" w:styleId="FindingBullet">
    <w:name w:val="Finding Bullet"/>
    <w:basedOn w:val="Finding"/>
    <w:rsid w:val="00DE4253"/>
    <w:pPr>
      <w:numPr>
        <w:numId w:val="15"/>
      </w:numPr>
      <w:spacing w:before="80"/>
    </w:pPr>
  </w:style>
  <w:style w:type="paragraph" w:customStyle="1" w:styleId="FindingNoTitle">
    <w:name w:val="Finding NoTitle"/>
    <w:basedOn w:val="Finding"/>
    <w:semiHidden/>
    <w:rsid w:val="00DE4253"/>
    <w:pPr>
      <w:spacing w:before="240"/>
    </w:pPr>
  </w:style>
  <w:style w:type="paragraph" w:customStyle="1" w:styleId="RecTitle">
    <w:name w:val="Rec Title"/>
    <w:basedOn w:val="BodyText"/>
    <w:next w:val="Rec"/>
    <w:qFormat/>
    <w:rsid w:val="00DE4253"/>
    <w:pPr>
      <w:keepNext/>
      <w:keepLines/>
      <w:spacing w:line="280" w:lineRule="atLeast"/>
    </w:pPr>
    <w:rPr>
      <w:rFonts w:ascii="Arial" w:hAnsi="Arial"/>
      <w:caps/>
      <w:sz w:val="18"/>
    </w:rPr>
  </w:style>
  <w:style w:type="paragraph" w:customStyle="1" w:styleId="FindingTitle">
    <w:name w:val="Finding Title"/>
    <w:basedOn w:val="RecTitle"/>
    <w:next w:val="Finding"/>
    <w:rsid w:val="00DE4253"/>
  </w:style>
  <w:style w:type="character" w:styleId="FootnoteReference">
    <w:name w:val="footnote reference"/>
    <w:basedOn w:val="DefaultParagraphFont"/>
    <w:semiHidden/>
    <w:rsid w:val="00DE4253"/>
    <w:rPr>
      <w:rFonts w:ascii="Times New Roman" w:hAnsi="Times New Roman"/>
      <w:position w:val="6"/>
      <w:sz w:val="20"/>
      <w:vertAlign w:val="baseline"/>
    </w:rPr>
  </w:style>
  <w:style w:type="paragraph" w:styleId="FootnoteText">
    <w:name w:val="footnote text"/>
    <w:basedOn w:val="BodyText"/>
    <w:rsid w:val="00DE4253"/>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E4253"/>
    <w:rPr>
      <w:i/>
    </w:rPr>
  </w:style>
  <w:style w:type="paragraph" w:customStyle="1" w:styleId="Jurisdictioncommentsbodytext">
    <w:name w:val="Jurisdiction comments body text"/>
    <w:rsid w:val="00DE4253"/>
    <w:pPr>
      <w:spacing w:after="140"/>
      <w:jc w:val="both"/>
    </w:pPr>
    <w:rPr>
      <w:rFonts w:ascii="Arial" w:hAnsi="Arial"/>
      <w:sz w:val="24"/>
      <w:lang w:eastAsia="en-US"/>
    </w:rPr>
  </w:style>
  <w:style w:type="paragraph" w:customStyle="1" w:styleId="Jurisdictioncommentsheading">
    <w:name w:val="Jurisdiction comments heading"/>
    <w:rsid w:val="00DE425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E4253"/>
    <w:pPr>
      <w:numPr>
        <w:numId w:val="2"/>
      </w:numPr>
      <w:spacing w:after="140"/>
      <w:jc w:val="both"/>
    </w:pPr>
    <w:rPr>
      <w:rFonts w:ascii="Arial" w:hAnsi="Arial"/>
      <w:sz w:val="24"/>
      <w:lang w:eastAsia="en-US"/>
    </w:rPr>
  </w:style>
  <w:style w:type="paragraph" w:styleId="ListBullet">
    <w:name w:val="List Bullet"/>
    <w:basedOn w:val="BodyText"/>
    <w:link w:val="ListBulletChar"/>
    <w:rsid w:val="00DE4253"/>
    <w:pPr>
      <w:numPr>
        <w:numId w:val="3"/>
      </w:numPr>
      <w:spacing w:before="120"/>
    </w:pPr>
  </w:style>
  <w:style w:type="paragraph" w:styleId="ListBullet2">
    <w:name w:val="List Bullet 2"/>
    <w:basedOn w:val="BodyText"/>
    <w:rsid w:val="00DE4253"/>
    <w:pPr>
      <w:numPr>
        <w:numId w:val="4"/>
      </w:numPr>
      <w:spacing w:before="120"/>
    </w:pPr>
  </w:style>
  <w:style w:type="paragraph" w:styleId="ListBullet3">
    <w:name w:val="List Bullet 3"/>
    <w:basedOn w:val="BodyText"/>
    <w:rsid w:val="00DE4253"/>
    <w:pPr>
      <w:numPr>
        <w:numId w:val="5"/>
      </w:numPr>
      <w:spacing w:before="120"/>
      <w:ind w:left="1020" w:hanging="340"/>
    </w:pPr>
  </w:style>
  <w:style w:type="paragraph" w:styleId="ListNumber">
    <w:name w:val="List Number"/>
    <w:basedOn w:val="BodyText"/>
    <w:rsid w:val="00DE4253"/>
    <w:pPr>
      <w:numPr>
        <w:numId w:val="9"/>
      </w:numPr>
      <w:spacing w:before="120"/>
    </w:pPr>
  </w:style>
  <w:style w:type="paragraph" w:styleId="ListNumber2">
    <w:name w:val="List Number 2"/>
    <w:basedOn w:val="ListNumber"/>
    <w:rsid w:val="00DE4253"/>
    <w:pPr>
      <w:numPr>
        <w:ilvl w:val="1"/>
      </w:numPr>
    </w:pPr>
  </w:style>
  <w:style w:type="paragraph" w:styleId="ListNumber3">
    <w:name w:val="List Number 3"/>
    <w:basedOn w:val="ListNumber2"/>
    <w:rsid w:val="00DE4253"/>
    <w:pPr>
      <w:numPr>
        <w:ilvl w:val="2"/>
      </w:numPr>
    </w:pPr>
  </w:style>
  <w:style w:type="character" w:customStyle="1" w:styleId="NoteLabel">
    <w:name w:val="Note Label"/>
    <w:basedOn w:val="DefaultParagraphFont"/>
    <w:rsid w:val="00DE4253"/>
    <w:rPr>
      <w:rFonts w:ascii="Arial" w:hAnsi="Arial"/>
      <w:b/>
      <w:position w:val="6"/>
      <w:sz w:val="18"/>
    </w:rPr>
  </w:style>
  <w:style w:type="paragraph" w:customStyle="1" w:styleId="PartDivider">
    <w:name w:val="Part Divider"/>
    <w:basedOn w:val="BodyText"/>
    <w:next w:val="BodyText"/>
    <w:semiHidden/>
    <w:rsid w:val="00DE4253"/>
    <w:pPr>
      <w:spacing w:before="0" w:line="40" w:lineRule="exact"/>
      <w:jc w:val="right"/>
    </w:pPr>
    <w:rPr>
      <w:smallCaps/>
      <w:sz w:val="16"/>
    </w:rPr>
  </w:style>
  <w:style w:type="paragraph" w:customStyle="1" w:styleId="PartNumber">
    <w:name w:val="Part Number"/>
    <w:basedOn w:val="BodyText"/>
    <w:next w:val="BodyText"/>
    <w:semiHidden/>
    <w:rsid w:val="00DE4253"/>
    <w:pPr>
      <w:spacing w:before="4000" w:line="320" w:lineRule="exact"/>
      <w:ind w:left="6634"/>
      <w:jc w:val="right"/>
    </w:pPr>
    <w:rPr>
      <w:smallCaps/>
      <w:spacing w:val="60"/>
      <w:sz w:val="32"/>
    </w:rPr>
  </w:style>
  <w:style w:type="paragraph" w:customStyle="1" w:styleId="PartTitle">
    <w:name w:val="Part Title"/>
    <w:basedOn w:val="BodyText"/>
    <w:semiHidden/>
    <w:rsid w:val="00DE4253"/>
    <w:pPr>
      <w:spacing w:before="160" w:after="1360" w:line="520" w:lineRule="exact"/>
      <w:ind w:right="2381"/>
      <w:jc w:val="right"/>
    </w:pPr>
    <w:rPr>
      <w:smallCaps/>
      <w:sz w:val="52"/>
    </w:rPr>
  </w:style>
  <w:style w:type="paragraph" w:styleId="Quote">
    <w:name w:val="Quote"/>
    <w:basedOn w:val="BodyText"/>
    <w:next w:val="BodyText"/>
    <w:qFormat/>
    <w:rsid w:val="00DE4253"/>
    <w:pPr>
      <w:spacing w:before="120" w:line="280" w:lineRule="exact"/>
      <w:ind w:left="340"/>
    </w:pPr>
    <w:rPr>
      <w:sz w:val="22"/>
    </w:rPr>
  </w:style>
  <w:style w:type="paragraph" w:customStyle="1" w:styleId="QuoteBullet">
    <w:name w:val="Quote Bullet"/>
    <w:basedOn w:val="Quote"/>
    <w:rsid w:val="00DE4253"/>
    <w:pPr>
      <w:numPr>
        <w:numId w:val="6"/>
      </w:numPr>
    </w:pPr>
  </w:style>
  <w:style w:type="paragraph" w:customStyle="1" w:styleId="Rec">
    <w:name w:val="Rec"/>
    <w:basedOn w:val="BodyText"/>
    <w:qFormat/>
    <w:rsid w:val="00DE4253"/>
    <w:pPr>
      <w:keepLines/>
      <w:spacing w:before="120" w:line="280" w:lineRule="atLeast"/>
    </w:pPr>
    <w:rPr>
      <w:rFonts w:ascii="Arial" w:hAnsi="Arial"/>
      <w:sz w:val="22"/>
    </w:rPr>
  </w:style>
  <w:style w:type="paragraph" w:customStyle="1" w:styleId="RecBullet">
    <w:name w:val="Rec Bullet"/>
    <w:basedOn w:val="Rec"/>
    <w:rsid w:val="00DE4253"/>
    <w:pPr>
      <w:numPr>
        <w:numId w:val="17"/>
      </w:numPr>
      <w:spacing w:before="80"/>
    </w:pPr>
  </w:style>
  <w:style w:type="paragraph" w:customStyle="1" w:styleId="RecB">
    <w:name w:val="RecB"/>
    <w:basedOn w:val="Normal"/>
    <w:semiHidden/>
    <w:rsid w:val="00DE4253"/>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E4253"/>
    <w:pPr>
      <w:numPr>
        <w:numId w:val="11"/>
      </w:numPr>
      <w:spacing w:before="80"/>
    </w:pPr>
  </w:style>
  <w:style w:type="paragraph" w:customStyle="1" w:styleId="RecBNoTitle">
    <w:name w:val="RecB NoTitle"/>
    <w:basedOn w:val="RecB"/>
    <w:semiHidden/>
    <w:rsid w:val="00DE4253"/>
    <w:pPr>
      <w:spacing w:before="240"/>
    </w:pPr>
  </w:style>
  <w:style w:type="paragraph" w:customStyle="1" w:styleId="Reference">
    <w:name w:val="Reference"/>
    <w:basedOn w:val="BodyText"/>
    <w:rsid w:val="00DE4253"/>
    <w:pPr>
      <w:spacing w:before="120"/>
      <w:ind w:left="340" w:hanging="340"/>
    </w:pPr>
  </w:style>
  <w:style w:type="paragraph" w:customStyle="1" w:styleId="SequenceInfo">
    <w:name w:val="Sequence Info"/>
    <w:basedOn w:val="BodyText"/>
    <w:semiHidden/>
    <w:rsid w:val="00DE4253"/>
    <w:rPr>
      <w:vanish/>
      <w:sz w:val="16"/>
    </w:rPr>
  </w:style>
  <w:style w:type="paragraph" w:customStyle="1" w:styleId="SideNote">
    <w:name w:val="Side Note"/>
    <w:basedOn w:val="BodyText"/>
    <w:next w:val="BodyText"/>
    <w:semiHidden/>
    <w:rsid w:val="00DE425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E4253"/>
    <w:pPr>
      <w:framePr w:wrap="around"/>
      <w:numPr>
        <w:numId w:val="7"/>
      </w:numPr>
      <w:tabs>
        <w:tab w:val="left" w:pos="227"/>
      </w:tabs>
    </w:pPr>
  </w:style>
  <w:style w:type="paragraph" w:customStyle="1" w:styleId="SideNoteGraphic">
    <w:name w:val="Side Note Graphic"/>
    <w:basedOn w:val="SideNote"/>
    <w:next w:val="BodyText"/>
    <w:semiHidden/>
    <w:rsid w:val="00DE4253"/>
    <w:pPr>
      <w:framePr w:wrap="around"/>
    </w:pPr>
  </w:style>
  <w:style w:type="paragraph" w:customStyle="1" w:styleId="TableBodyText">
    <w:name w:val="Table Body Text"/>
    <w:basedOn w:val="BodyText"/>
    <w:link w:val="TableBodyTextChar"/>
    <w:rsid w:val="00DE425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E4253"/>
    <w:pPr>
      <w:numPr>
        <w:numId w:val="8"/>
      </w:numPr>
      <w:jc w:val="left"/>
    </w:pPr>
  </w:style>
  <w:style w:type="paragraph" w:customStyle="1" w:styleId="TableColumnHeading">
    <w:name w:val="Table Column Heading"/>
    <w:basedOn w:val="TableBodyText"/>
    <w:rsid w:val="00DE4253"/>
    <w:pPr>
      <w:spacing w:before="80" w:after="80"/>
    </w:pPr>
    <w:rPr>
      <w:i/>
    </w:rPr>
  </w:style>
  <w:style w:type="paragraph" w:styleId="TOC2">
    <w:name w:val="toc 2"/>
    <w:basedOn w:val="TOC1"/>
    <w:rsid w:val="00DE4253"/>
    <w:pPr>
      <w:ind w:left="1134" w:hanging="624"/>
    </w:pPr>
    <w:rPr>
      <w:b w:val="0"/>
    </w:rPr>
  </w:style>
  <w:style w:type="paragraph" w:styleId="TOC3">
    <w:name w:val="toc 3"/>
    <w:basedOn w:val="TOC2"/>
    <w:rsid w:val="00DE4253"/>
    <w:pPr>
      <w:spacing w:before="60"/>
      <w:ind w:left="1190" w:hanging="680"/>
    </w:pPr>
  </w:style>
  <w:style w:type="paragraph" w:styleId="TableofFigures">
    <w:name w:val="table of figures"/>
    <w:basedOn w:val="TOC3"/>
    <w:next w:val="BodyText"/>
    <w:semiHidden/>
    <w:rsid w:val="00DE4253"/>
    <w:pPr>
      <w:ind w:left="737" w:hanging="737"/>
    </w:pPr>
  </w:style>
  <w:style w:type="paragraph" w:customStyle="1" w:styleId="TableTitle">
    <w:name w:val="Table Title"/>
    <w:basedOn w:val="Caption"/>
    <w:next w:val="Subtitle"/>
    <w:qFormat/>
    <w:rsid w:val="00DE4253"/>
    <w:pPr>
      <w:spacing w:before="120"/>
    </w:pPr>
  </w:style>
  <w:style w:type="paragraph" w:customStyle="1" w:styleId="TableUnitsRow">
    <w:name w:val="Table Units Row"/>
    <w:basedOn w:val="TableBodyText"/>
    <w:rsid w:val="00DE4253"/>
    <w:pPr>
      <w:spacing w:before="40"/>
    </w:pPr>
  </w:style>
  <w:style w:type="paragraph" w:styleId="TOC1">
    <w:name w:val="toc 1"/>
    <w:basedOn w:val="Normal"/>
    <w:next w:val="TOC2"/>
    <w:link w:val="TOC1Char"/>
    <w:rsid w:val="00DE4253"/>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DE4253"/>
    <w:pPr>
      <w:ind w:left="1191" w:firstLine="0"/>
    </w:pPr>
  </w:style>
  <w:style w:type="paragraph" w:customStyle="1" w:styleId="RecBBullet2">
    <w:name w:val="RecB Bullet 2"/>
    <w:basedOn w:val="ListBullet2"/>
    <w:semiHidden/>
    <w:rsid w:val="00DE4253"/>
    <w:pPr>
      <w:pBdr>
        <w:left w:val="single" w:sz="24" w:space="29" w:color="C0C0C0"/>
      </w:pBdr>
    </w:pPr>
    <w:rPr>
      <w:b/>
      <w:i/>
    </w:rPr>
  </w:style>
  <w:style w:type="paragraph" w:styleId="BalloonText">
    <w:name w:val="Balloon Text"/>
    <w:basedOn w:val="Normal"/>
    <w:link w:val="BalloonTextChar"/>
    <w:rsid w:val="00DE4253"/>
    <w:rPr>
      <w:rFonts w:ascii="Tahoma" w:hAnsi="Tahoma" w:cs="Tahoma"/>
      <w:sz w:val="16"/>
      <w:szCs w:val="16"/>
    </w:rPr>
  </w:style>
  <w:style w:type="character" w:customStyle="1" w:styleId="BalloonTextChar">
    <w:name w:val="Balloon Text Char"/>
    <w:basedOn w:val="DefaultParagraphFont"/>
    <w:link w:val="BalloonText"/>
    <w:rsid w:val="00DE4253"/>
    <w:rPr>
      <w:rFonts w:ascii="Tahoma" w:hAnsi="Tahoma" w:cs="Tahoma"/>
      <w:sz w:val="16"/>
      <w:szCs w:val="16"/>
    </w:rPr>
  </w:style>
  <w:style w:type="character" w:customStyle="1" w:styleId="SubtitleChar">
    <w:name w:val="Subtitle Char"/>
    <w:basedOn w:val="DefaultParagraphFont"/>
    <w:link w:val="Subtitle"/>
    <w:rsid w:val="00DE4253"/>
    <w:rPr>
      <w:rFonts w:ascii="Arial" w:hAnsi="Arial"/>
      <w:szCs w:val="24"/>
    </w:rPr>
  </w:style>
  <w:style w:type="paragraph" w:customStyle="1" w:styleId="BoxListBullet3">
    <w:name w:val="Box List Bullet 3"/>
    <w:basedOn w:val="ListBullet3"/>
    <w:rsid w:val="00DE4253"/>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E4253"/>
    <w:rPr>
      <w:i/>
      <w:iCs/>
    </w:rPr>
  </w:style>
  <w:style w:type="paragraph" w:customStyle="1" w:styleId="BoxQuoteBullet">
    <w:name w:val="Box Quote Bullet"/>
    <w:basedOn w:val="BoxQuote"/>
    <w:next w:val="Box"/>
    <w:rsid w:val="00DE4253"/>
    <w:pPr>
      <w:numPr>
        <w:numId w:val="12"/>
      </w:numPr>
      <w:ind w:left="568" w:hanging="284"/>
    </w:pPr>
  </w:style>
  <w:style w:type="paragraph" w:customStyle="1" w:styleId="InformationRequestBullet">
    <w:name w:val="Information Request Bullet"/>
    <w:basedOn w:val="ListBullet"/>
    <w:next w:val="BodyText"/>
    <w:rsid w:val="00DE4253"/>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DE4253"/>
    <w:pPr>
      <w:keepNext w:val="0"/>
      <w:spacing w:before="60" w:after="60" w:line="80" w:lineRule="exact"/>
    </w:pPr>
    <w:rPr>
      <w:sz w:val="14"/>
    </w:rPr>
  </w:style>
  <w:style w:type="paragraph" w:customStyle="1" w:styleId="KeyPointsListBullet">
    <w:name w:val="Key Points List Bullet"/>
    <w:basedOn w:val="Normal"/>
    <w:qFormat/>
    <w:rsid w:val="00DE4253"/>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E4253"/>
    <w:pPr>
      <w:numPr>
        <w:numId w:val="21"/>
      </w:numPr>
      <w:ind w:left="568" w:hanging="284"/>
    </w:pPr>
  </w:style>
  <w:style w:type="paragraph" w:customStyle="1" w:styleId="InformationRequestTitle">
    <w:name w:val="Information Request Title"/>
    <w:basedOn w:val="FindingTitle"/>
    <w:next w:val="InformationRequest"/>
    <w:rsid w:val="00DE4253"/>
    <w:rPr>
      <w:i/>
    </w:rPr>
  </w:style>
  <w:style w:type="paragraph" w:customStyle="1" w:styleId="Space">
    <w:name w:val="Space"/>
    <w:basedOn w:val="Normal"/>
    <w:rsid w:val="00DE4253"/>
    <w:pPr>
      <w:keepNext/>
      <w:spacing w:line="120" w:lineRule="exact"/>
      <w:jc w:val="both"/>
    </w:pPr>
    <w:rPr>
      <w:rFonts w:ascii="Arial" w:hAnsi="Arial"/>
      <w:sz w:val="20"/>
      <w:szCs w:val="20"/>
    </w:rPr>
  </w:style>
  <w:style w:type="paragraph" w:customStyle="1" w:styleId="Heading1nochapterno">
    <w:name w:val="Heading 1 (no chapter no.)"/>
    <w:basedOn w:val="Heading1"/>
    <w:rsid w:val="00DE4253"/>
    <w:pPr>
      <w:spacing w:before="0"/>
      <w:ind w:left="0" w:firstLine="0"/>
    </w:pPr>
  </w:style>
  <w:style w:type="paragraph" w:customStyle="1" w:styleId="Heading2nosectionno">
    <w:name w:val="Heading 2 (no section no.)"/>
    <w:basedOn w:val="Heading2"/>
    <w:rsid w:val="00DE4253"/>
    <w:pPr>
      <w:ind w:left="0" w:firstLine="0"/>
    </w:pPr>
  </w:style>
  <w:style w:type="character" w:customStyle="1" w:styleId="Heading5Char">
    <w:name w:val="Heading 5 Char"/>
    <w:basedOn w:val="DefaultParagraphFont"/>
    <w:link w:val="Heading5"/>
    <w:rsid w:val="00DE4253"/>
    <w:rPr>
      <w:rFonts w:ascii="Arial" w:hAnsi="Arial"/>
      <w:i/>
      <w:sz w:val="22"/>
    </w:rPr>
  </w:style>
  <w:style w:type="paragraph" w:customStyle="1" w:styleId="Figurespace">
    <w:name w:val="Figure space"/>
    <w:basedOn w:val="Box"/>
    <w:rsid w:val="00DE4253"/>
    <w:pPr>
      <w:spacing w:before="0" w:line="120" w:lineRule="exact"/>
    </w:pPr>
  </w:style>
  <w:style w:type="paragraph" w:customStyle="1" w:styleId="FooterDraftReport">
    <w:name w:val="FooterDraftReport"/>
    <w:basedOn w:val="Footer"/>
    <w:link w:val="FooterDraftReportChar"/>
    <w:rsid w:val="00DE425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DE4253"/>
    <w:rPr>
      <w:sz w:val="24"/>
    </w:rPr>
  </w:style>
  <w:style w:type="character" w:customStyle="1" w:styleId="FooterChar">
    <w:name w:val="Footer Char"/>
    <w:basedOn w:val="BodyTextChar"/>
    <w:link w:val="Footer"/>
    <w:rsid w:val="00DE4253"/>
    <w:rPr>
      <w:rFonts w:ascii="Arial" w:hAnsi="Arial"/>
      <w:caps/>
      <w:spacing w:val="-4"/>
      <w:sz w:val="16"/>
    </w:rPr>
  </w:style>
  <w:style w:type="character" w:customStyle="1" w:styleId="FooterDraftReportChar">
    <w:name w:val="FooterDraftReport Char"/>
    <w:basedOn w:val="FooterChar"/>
    <w:link w:val="FooterDraftReport"/>
    <w:rsid w:val="00DE425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DE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DE4253"/>
    <w:rPr>
      <w:rFonts w:ascii="Arial" w:hAnsi="Arial"/>
      <w:b/>
      <w:sz w:val="26"/>
      <w:szCs w:val="26"/>
      <w:lang w:eastAsia="en-US"/>
    </w:rPr>
  </w:style>
  <w:style w:type="character" w:customStyle="1" w:styleId="Continuedintitle">
    <w:name w:val="Continued (in title)"/>
    <w:basedOn w:val="DefaultParagraphFont"/>
    <w:rsid w:val="00DE4253"/>
    <w:rPr>
      <w:rFonts w:ascii="Arial" w:hAnsi="Arial"/>
      <w:b/>
      <w:sz w:val="18"/>
    </w:rPr>
  </w:style>
  <w:style w:type="character" w:customStyle="1" w:styleId="Heading4Char">
    <w:name w:val="Heading 4 Char"/>
    <w:link w:val="Heading4"/>
    <w:rsid w:val="00D932AB"/>
    <w:rPr>
      <w:rFonts w:ascii="Arial" w:hAnsi="Arial"/>
      <w:sz w:val="24"/>
    </w:rPr>
  </w:style>
  <w:style w:type="character" w:styleId="Hyperlink">
    <w:name w:val="Hyperlink"/>
    <w:basedOn w:val="DefaultParagraphFont"/>
    <w:uiPriority w:val="99"/>
    <w:unhideWhenUsed/>
    <w:rsid w:val="00D932AB"/>
    <w:rPr>
      <w:color w:val="000000" w:themeColor="hyperlink"/>
      <w:u w:val="single"/>
    </w:rPr>
  </w:style>
  <w:style w:type="character" w:customStyle="1" w:styleId="TableBodyTextChar">
    <w:name w:val="Table Body Text Char"/>
    <w:basedOn w:val="DefaultParagraphFont"/>
    <w:link w:val="TableBodyText"/>
    <w:rsid w:val="00B62E02"/>
    <w:rPr>
      <w:rFonts w:ascii="Arial" w:hAnsi="Arial"/>
      <w:sz w:val="18"/>
    </w:rPr>
  </w:style>
  <w:style w:type="character" w:customStyle="1" w:styleId="BoxListBulletChar">
    <w:name w:val="Box List Bullet Char"/>
    <w:basedOn w:val="DefaultParagraphFont"/>
    <w:link w:val="BoxListBullet"/>
    <w:rsid w:val="005C0079"/>
    <w:rPr>
      <w:rFonts w:ascii="Arial" w:hAnsi="Arial"/>
    </w:rPr>
  </w:style>
  <w:style w:type="character" w:customStyle="1" w:styleId="BoxChar">
    <w:name w:val="Box Char"/>
    <w:basedOn w:val="BodyTextChar"/>
    <w:link w:val="Box"/>
    <w:rsid w:val="005C0079"/>
    <w:rPr>
      <w:rFonts w:ascii="Arial" w:hAnsi="Arial"/>
      <w:sz w:val="24"/>
    </w:rPr>
  </w:style>
  <w:style w:type="character" w:customStyle="1" w:styleId="Heading3Char">
    <w:name w:val="Heading 3 Char"/>
    <w:basedOn w:val="DefaultParagraphFont"/>
    <w:link w:val="Heading3"/>
    <w:rsid w:val="005C0079"/>
    <w:rPr>
      <w:rFonts w:ascii="Arial" w:hAnsi="Arial"/>
      <w:b/>
      <w:sz w:val="26"/>
    </w:rPr>
  </w:style>
  <w:style w:type="character" w:customStyle="1" w:styleId="CommentTextChar">
    <w:name w:val="Comment Text Char"/>
    <w:basedOn w:val="DefaultParagraphFont"/>
    <w:link w:val="CommentText"/>
    <w:semiHidden/>
    <w:rsid w:val="001A3C1B"/>
    <w:rPr>
      <w:szCs w:val="24"/>
    </w:rPr>
  </w:style>
  <w:style w:type="character" w:customStyle="1" w:styleId="BoxListBullet2Char">
    <w:name w:val="Box List Bullet 2 Char"/>
    <w:basedOn w:val="BoxChar"/>
    <w:link w:val="BoxListBullet2"/>
    <w:rsid w:val="00BC17B9"/>
    <w:rPr>
      <w:rFonts w:ascii="Arial" w:hAnsi="Arial"/>
      <w:sz w:val="24"/>
    </w:rPr>
  </w:style>
  <w:style w:type="character" w:customStyle="1" w:styleId="BoxTitleChar">
    <w:name w:val="Box Title Char"/>
    <w:basedOn w:val="DefaultParagraphFont"/>
    <w:link w:val="BoxTitle"/>
    <w:rsid w:val="00C558A0"/>
    <w:rPr>
      <w:rFonts w:ascii="Arial" w:hAnsi="Arial"/>
      <w:b/>
      <w:sz w:val="24"/>
      <w:szCs w:val="24"/>
    </w:rPr>
  </w:style>
  <w:style w:type="paragraph" w:styleId="CommentSubject">
    <w:name w:val="annotation subject"/>
    <w:basedOn w:val="CommentText"/>
    <w:next w:val="CommentText"/>
    <w:link w:val="CommentSubjectChar"/>
    <w:semiHidden/>
    <w:unhideWhenUsed/>
    <w:rsid w:val="0026396E"/>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26396E"/>
    <w:rPr>
      <w:b/>
      <w:bCs/>
      <w:szCs w:val="24"/>
    </w:rPr>
  </w:style>
  <w:style w:type="character" w:customStyle="1" w:styleId="Heading2Char">
    <w:name w:val="Heading 2 Char"/>
    <w:basedOn w:val="DefaultParagraphFont"/>
    <w:link w:val="Heading2"/>
    <w:rsid w:val="00A541B9"/>
    <w:rPr>
      <w:rFonts w:ascii="Arial" w:hAnsi="Arial"/>
      <w:b/>
      <w:sz w:val="32"/>
    </w:rPr>
  </w:style>
  <w:style w:type="paragraph" w:customStyle="1" w:styleId="BoxComparable">
    <w:name w:val="Box Comparable"/>
    <w:basedOn w:val="Box"/>
    <w:rsid w:val="00ED1591"/>
    <w:pPr>
      <w:spacing w:before="100"/>
      <w:ind w:left="284"/>
    </w:pPr>
  </w:style>
  <w:style w:type="character" w:styleId="FollowedHyperlink">
    <w:name w:val="FollowedHyperlink"/>
    <w:basedOn w:val="DefaultParagraphFont"/>
    <w:semiHidden/>
    <w:unhideWhenUsed/>
    <w:rsid w:val="000D6935"/>
    <w:rPr>
      <w:color w:val="BFBFBF" w:themeColor="followedHyperlink"/>
      <w:u w:val="single"/>
    </w:rPr>
  </w:style>
  <w:style w:type="character" w:customStyle="1" w:styleId="ListBulletChar">
    <w:name w:val="List Bullet Char"/>
    <w:link w:val="ListBullet"/>
    <w:rsid w:val="00B75C40"/>
    <w:rPr>
      <w:sz w:val="24"/>
    </w:rPr>
  </w:style>
  <w:style w:type="character" w:customStyle="1" w:styleId="Heading1Char">
    <w:name w:val="Heading 1 Char"/>
    <w:basedOn w:val="DefaultParagraphFont"/>
    <w:link w:val="Heading1"/>
    <w:rsid w:val="002A0DF1"/>
    <w:rPr>
      <w:sz w:val="52"/>
    </w:rPr>
  </w:style>
  <w:style w:type="paragraph" w:styleId="ListParagraph">
    <w:name w:val="List Paragraph"/>
    <w:basedOn w:val="Normal"/>
    <w:uiPriority w:val="34"/>
    <w:rsid w:val="00B46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1432">
      <w:bodyDiv w:val="1"/>
      <w:marLeft w:val="0"/>
      <w:marRight w:val="0"/>
      <w:marTop w:val="0"/>
      <w:marBottom w:val="0"/>
      <w:divBdr>
        <w:top w:val="none" w:sz="0" w:space="0" w:color="auto"/>
        <w:left w:val="none" w:sz="0" w:space="0" w:color="auto"/>
        <w:bottom w:val="none" w:sz="0" w:space="0" w:color="auto"/>
        <w:right w:val="none" w:sz="0" w:space="0" w:color="auto"/>
      </w:divBdr>
    </w:div>
    <w:div w:id="1288118533">
      <w:bodyDiv w:val="1"/>
      <w:marLeft w:val="0"/>
      <w:marRight w:val="0"/>
      <w:marTop w:val="0"/>
      <w:marBottom w:val="0"/>
      <w:divBdr>
        <w:top w:val="none" w:sz="0" w:space="0" w:color="auto"/>
        <w:left w:val="none" w:sz="0" w:space="0" w:color="auto"/>
        <w:bottom w:val="none" w:sz="0" w:space="0" w:color="auto"/>
        <w:right w:val="none" w:sz="0" w:space="0" w:color="auto"/>
      </w:divBdr>
    </w:div>
    <w:div w:id="1326006791">
      <w:bodyDiv w:val="1"/>
      <w:marLeft w:val="0"/>
      <w:marRight w:val="0"/>
      <w:marTop w:val="0"/>
      <w:marBottom w:val="0"/>
      <w:divBdr>
        <w:top w:val="none" w:sz="0" w:space="0" w:color="auto"/>
        <w:left w:val="none" w:sz="0" w:space="0" w:color="auto"/>
        <w:bottom w:val="none" w:sz="0" w:space="0" w:color="auto"/>
        <w:right w:val="none" w:sz="0" w:space="0" w:color="auto"/>
      </w:divBdr>
    </w:div>
    <w:div w:id="156252164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prodcom.local\Apps\office\template365\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D98A-0E08-45D0-B40A-3615970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51</TotalTime>
  <Pages>11</Pages>
  <Words>2671</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11 Ambulance services - Report on Government Services 2021</vt:lpstr>
    </vt:vector>
  </TitlesOfParts>
  <Manager/>
  <Company>Productivity Commission</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Ambulance services - Report on Government Services 2021</dc:title>
  <dc:subject/>
  <dc:creator>Steering Committee for the Review of Government Service Provision</dc:creator>
  <cp:keywords/>
  <dc:description/>
  <cp:lastModifiedBy>Munce, Melissa</cp:lastModifiedBy>
  <cp:revision>5</cp:revision>
  <cp:lastPrinted>2020-10-16T00:55:00Z</cp:lastPrinted>
  <dcterms:created xsi:type="dcterms:W3CDTF">2020-08-11T05:09:00Z</dcterms:created>
  <dcterms:modified xsi:type="dcterms:W3CDTF">2020-12-10T06:39:00Z</dcterms:modified>
</cp:coreProperties>
</file>