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191C5" w14:textId="223F7490" w:rsidR="00061391" w:rsidRDefault="00827BF1" w:rsidP="00036F39">
      <w:pPr>
        <w:pStyle w:val="Heading1"/>
      </w:pPr>
      <w:bookmarkStart w:id="0" w:name="_Toc338082263"/>
      <w:bookmarkStart w:id="1" w:name="_Toc340063209"/>
      <w:bookmarkStart w:id="2" w:name="_Toc401156652"/>
      <w:bookmarkStart w:id="3" w:name="_Toc430790758"/>
      <w:bookmarkStart w:id="4" w:name="_Toc458687988"/>
      <w:bookmarkStart w:id="5" w:name="_Toc21937635"/>
      <w:bookmarkStart w:id="6" w:name="_Toc31210596"/>
      <w:r>
        <w:t>12</w:t>
      </w:r>
      <w:r w:rsidR="00A64223">
        <w:tab/>
      </w:r>
      <w:bookmarkEnd w:id="0"/>
      <w:bookmarkEnd w:id="1"/>
      <w:bookmarkEnd w:id="2"/>
      <w:bookmarkEnd w:id="3"/>
      <w:bookmarkEnd w:id="4"/>
      <w:r>
        <w:t xml:space="preserve">Public hospitals </w:t>
      </w:r>
      <w:r w:rsidR="00AB3DFE">
        <w:t>interpretative material</w:t>
      </w:r>
      <w:bookmarkStart w:id="7" w:name="_GoBack"/>
      <w:bookmarkEnd w:id="5"/>
      <w:bookmarkEnd w:id="6"/>
      <w:bookmarkEnd w:id="7"/>
    </w:p>
    <w:bookmarkStart w:id="8" w:name="begin" w:displacedByCustomXml="next"/>
    <w:bookmarkEnd w:id="8" w:displacedByCustomXml="next"/>
    <w:bookmarkStart w:id="9" w:name="_Toc458687989" w:displacedByCustomXml="next"/>
    <w:sdt>
      <w:sdtPr>
        <w:rPr>
          <w:rFonts w:ascii="Times New Roman" w:hAnsi="Times New Roman"/>
          <w:b w:val="0"/>
          <w:kern w:val="28"/>
          <w:sz w:val="52"/>
          <w:szCs w:val="20"/>
          <w:lang w:eastAsia="en-AU"/>
        </w:rPr>
        <w:id w:val="-1727060330"/>
        <w:docPartObj>
          <w:docPartGallery w:val="Table of Contents"/>
          <w:docPartUnique/>
        </w:docPartObj>
      </w:sdtPr>
      <w:sdtEndPr>
        <w:rPr>
          <w:rFonts w:ascii="Arial" w:hAnsi="Arial"/>
          <w:b/>
          <w:kern w:val="0"/>
          <w:sz w:val="26"/>
          <w:szCs w:val="26"/>
          <w:lang w:eastAsia="en-US"/>
        </w:rPr>
      </w:sdtEndPr>
      <w:sdtContent>
        <w:p w14:paraId="4551A1A2" w14:textId="5121978D" w:rsidR="003E4348" w:rsidRDefault="003E4348">
          <w:pPr>
            <w:pStyle w:val="TOC1"/>
            <w:rPr>
              <w:rFonts w:asciiTheme="minorHAnsi" w:eastAsiaTheme="minorEastAsia" w:hAnsiTheme="minorHAnsi" w:cstheme="minorBidi"/>
              <w:b w:val="0"/>
              <w:noProof/>
              <w:sz w:val="22"/>
              <w:szCs w:val="22"/>
              <w:lang w:eastAsia="en-AU"/>
            </w:rPr>
          </w:pPr>
          <w:r w:rsidRPr="00355E69">
            <w:rPr>
              <w:noProof/>
            </w:rPr>
            <w:t>12</w:t>
          </w:r>
          <w:r>
            <w:rPr>
              <w:rFonts w:asciiTheme="minorHAnsi" w:eastAsiaTheme="minorEastAsia" w:hAnsiTheme="minorHAnsi" w:cstheme="minorBidi"/>
              <w:b w:val="0"/>
              <w:noProof/>
              <w:sz w:val="22"/>
              <w:szCs w:val="22"/>
              <w:lang w:eastAsia="en-AU"/>
            </w:rPr>
            <w:tab/>
          </w:r>
          <w:r w:rsidRPr="00355E69">
            <w:rPr>
              <w:noProof/>
            </w:rPr>
            <w:t>Public hospitals interpretative material</w:t>
          </w:r>
          <w:r>
            <w:rPr>
              <w:noProof/>
              <w:webHidden/>
            </w:rPr>
            <w:tab/>
          </w:r>
          <w:r w:rsidR="00D7553B">
            <w:rPr>
              <w:noProof/>
              <w:webHidden/>
            </w:rPr>
            <w:t>12.</w:t>
          </w:r>
          <w:r w:rsidR="00C8186B">
            <w:rPr>
              <w:noProof/>
              <w:webHidden/>
            </w:rPr>
            <w:t>1</w:t>
          </w:r>
        </w:p>
        <w:p w14:paraId="67B2AA34" w14:textId="7309D0B8" w:rsidR="003E4348" w:rsidRDefault="003E4348">
          <w:pPr>
            <w:pStyle w:val="TOC2"/>
            <w:rPr>
              <w:rFonts w:asciiTheme="minorHAnsi" w:eastAsiaTheme="minorEastAsia" w:hAnsiTheme="minorHAnsi" w:cstheme="minorBidi"/>
              <w:noProof/>
              <w:sz w:val="22"/>
              <w:szCs w:val="22"/>
              <w:lang w:eastAsia="en-AU"/>
            </w:rPr>
          </w:pPr>
          <w:r w:rsidRPr="00355E69">
            <w:rPr>
              <w:noProof/>
            </w:rPr>
            <w:t>12.1 Indicators</w:t>
          </w:r>
          <w:r>
            <w:rPr>
              <w:noProof/>
              <w:webHidden/>
            </w:rPr>
            <w:tab/>
          </w:r>
          <w:r w:rsidR="00D7553B">
            <w:rPr>
              <w:noProof/>
              <w:webHidden/>
            </w:rPr>
            <w:t>12.</w:t>
          </w:r>
          <w:r w:rsidR="00C8186B">
            <w:rPr>
              <w:noProof/>
              <w:webHidden/>
            </w:rPr>
            <w:t>2</w:t>
          </w:r>
        </w:p>
        <w:p w14:paraId="4C386B60" w14:textId="4D2261BC" w:rsidR="003E4348" w:rsidRDefault="003E4348">
          <w:pPr>
            <w:pStyle w:val="TOC3"/>
            <w:rPr>
              <w:rFonts w:asciiTheme="minorHAnsi" w:eastAsiaTheme="minorEastAsia" w:hAnsiTheme="minorHAnsi" w:cstheme="minorBidi"/>
              <w:noProof/>
              <w:sz w:val="22"/>
              <w:szCs w:val="22"/>
              <w:lang w:eastAsia="en-AU"/>
            </w:rPr>
          </w:pPr>
          <w:r w:rsidRPr="00355E69">
            <w:rPr>
              <w:noProof/>
            </w:rPr>
            <w:t>Outputs</w:t>
          </w:r>
          <w:r>
            <w:rPr>
              <w:noProof/>
              <w:webHidden/>
            </w:rPr>
            <w:tab/>
          </w:r>
          <w:r w:rsidR="00D7553B">
            <w:rPr>
              <w:noProof/>
              <w:webHidden/>
            </w:rPr>
            <w:t>12.</w:t>
          </w:r>
          <w:r w:rsidR="00C8186B">
            <w:rPr>
              <w:noProof/>
              <w:webHidden/>
            </w:rPr>
            <w:t>2</w:t>
          </w:r>
        </w:p>
        <w:p w14:paraId="2B7C1D97" w14:textId="5E89A71B" w:rsidR="003E4348" w:rsidRDefault="003E4348">
          <w:pPr>
            <w:pStyle w:val="TOC3"/>
            <w:rPr>
              <w:rFonts w:asciiTheme="minorHAnsi" w:eastAsiaTheme="minorEastAsia" w:hAnsiTheme="minorHAnsi" w:cstheme="minorBidi"/>
              <w:noProof/>
              <w:sz w:val="22"/>
              <w:szCs w:val="22"/>
              <w:lang w:eastAsia="en-AU"/>
            </w:rPr>
          </w:pPr>
          <w:r w:rsidRPr="00355E69">
            <w:rPr>
              <w:noProof/>
            </w:rPr>
            <w:t>Equity</w:t>
          </w:r>
          <w:r>
            <w:rPr>
              <w:noProof/>
              <w:webHidden/>
            </w:rPr>
            <w:tab/>
          </w:r>
          <w:r w:rsidR="00D7553B">
            <w:rPr>
              <w:noProof/>
              <w:webHidden/>
            </w:rPr>
            <w:t>12.</w:t>
          </w:r>
          <w:r w:rsidR="00C8186B">
            <w:rPr>
              <w:noProof/>
              <w:webHidden/>
            </w:rPr>
            <w:t>2</w:t>
          </w:r>
        </w:p>
        <w:p w14:paraId="5387E9EB" w14:textId="0543A70D" w:rsidR="003E4348" w:rsidRDefault="003E4348">
          <w:pPr>
            <w:pStyle w:val="TOC4"/>
            <w:rPr>
              <w:rFonts w:asciiTheme="minorHAnsi" w:eastAsiaTheme="minorEastAsia" w:hAnsiTheme="minorHAnsi" w:cstheme="minorBidi"/>
              <w:noProof/>
              <w:sz w:val="22"/>
              <w:szCs w:val="22"/>
              <w:lang w:eastAsia="en-AU"/>
            </w:rPr>
          </w:pPr>
          <w:r w:rsidRPr="00355E69">
            <w:rPr>
              <w:noProof/>
            </w:rPr>
            <w:t>Access — Equity of access by special needs groups</w:t>
          </w:r>
          <w:r>
            <w:rPr>
              <w:noProof/>
              <w:webHidden/>
            </w:rPr>
            <w:tab/>
          </w:r>
          <w:r w:rsidR="00D7553B">
            <w:rPr>
              <w:noProof/>
              <w:webHidden/>
            </w:rPr>
            <w:t>12.</w:t>
          </w:r>
          <w:r w:rsidR="00C8186B">
            <w:rPr>
              <w:noProof/>
              <w:webHidden/>
            </w:rPr>
            <w:t>2</w:t>
          </w:r>
        </w:p>
        <w:p w14:paraId="2025C1D4" w14:textId="4EAEA7E3" w:rsidR="003E4348" w:rsidRDefault="003E4348">
          <w:pPr>
            <w:pStyle w:val="TOC3"/>
            <w:rPr>
              <w:rFonts w:asciiTheme="minorHAnsi" w:eastAsiaTheme="minorEastAsia" w:hAnsiTheme="minorHAnsi" w:cstheme="minorBidi"/>
              <w:noProof/>
              <w:sz w:val="22"/>
              <w:szCs w:val="22"/>
              <w:lang w:eastAsia="en-AU"/>
            </w:rPr>
          </w:pPr>
          <w:r w:rsidRPr="00355E69">
            <w:rPr>
              <w:noProof/>
            </w:rPr>
            <w:t>Effectiveness</w:t>
          </w:r>
          <w:r>
            <w:rPr>
              <w:noProof/>
              <w:webHidden/>
            </w:rPr>
            <w:tab/>
          </w:r>
          <w:r w:rsidR="00D7553B">
            <w:rPr>
              <w:noProof/>
              <w:webHidden/>
            </w:rPr>
            <w:t>12.</w:t>
          </w:r>
          <w:r w:rsidR="00C8186B">
            <w:rPr>
              <w:noProof/>
              <w:webHidden/>
            </w:rPr>
            <w:t>3</w:t>
          </w:r>
        </w:p>
        <w:p w14:paraId="6389933E" w14:textId="47195617" w:rsidR="003E4348" w:rsidRDefault="003E4348">
          <w:pPr>
            <w:pStyle w:val="TOC4"/>
            <w:rPr>
              <w:rFonts w:asciiTheme="minorHAnsi" w:eastAsiaTheme="minorEastAsia" w:hAnsiTheme="minorHAnsi" w:cstheme="minorBidi"/>
              <w:noProof/>
              <w:sz w:val="22"/>
              <w:szCs w:val="22"/>
              <w:lang w:eastAsia="en-AU"/>
            </w:rPr>
          </w:pPr>
          <w:r w:rsidRPr="00355E69">
            <w:rPr>
              <w:noProof/>
            </w:rPr>
            <w:t>Access — Emergency department waiting times</w:t>
          </w:r>
          <w:r>
            <w:rPr>
              <w:noProof/>
              <w:webHidden/>
            </w:rPr>
            <w:tab/>
          </w:r>
          <w:r w:rsidR="00D7553B">
            <w:rPr>
              <w:noProof/>
              <w:webHidden/>
            </w:rPr>
            <w:t>12.</w:t>
          </w:r>
          <w:r w:rsidR="00C8186B">
            <w:rPr>
              <w:noProof/>
              <w:webHidden/>
            </w:rPr>
            <w:t>3</w:t>
          </w:r>
        </w:p>
        <w:p w14:paraId="2FE29854" w14:textId="2DA9C87A" w:rsidR="003E4348" w:rsidRDefault="003E4348">
          <w:pPr>
            <w:pStyle w:val="TOC4"/>
            <w:rPr>
              <w:rFonts w:asciiTheme="minorHAnsi" w:eastAsiaTheme="minorEastAsia" w:hAnsiTheme="minorHAnsi" w:cstheme="minorBidi"/>
              <w:noProof/>
              <w:sz w:val="22"/>
              <w:szCs w:val="22"/>
              <w:lang w:eastAsia="en-AU"/>
            </w:rPr>
          </w:pPr>
          <w:r w:rsidRPr="00355E69">
            <w:rPr>
              <w:noProof/>
            </w:rPr>
            <w:t>Access — Waiting times for admitted patient services</w:t>
          </w:r>
          <w:r>
            <w:rPr>
              <w:noProof/>
              <w:webHidden/>
            </w:rPr>
            <w:tab/>
          </w:r>
          <w:r w:rsidR="00D7553B">
            <w:rPr>
              <w:noProof/>
              <w:webHidden/>
            </w:rPr>
            <w:t>12.</w:t>
          </w:r>
          <w:r w:rsidR="00C8186B">
            <w:rPr>
              <w:noProof/>
              <w:webHidden/>
            </w:rPr>
            <w:t>4</w:t>
          </w:r>
        </w:p>
        <w:p w14:paraId="22FA8A16" w14:textId="660CEDB2" w:rsidR="003E4348" w:rsidRDefault="003E4348">
          <w:pPr>
            <w:pStyle w:val="TOC4"/>
            <w:rPr>
              <w:rFonts w:asciiTheme="minorHAnsi" w:eastAsiaTheme="minorEastAsia" w:hAnsiTheme="minorHAnsi" w:cstheme="minorBidi"/>
              <w:noProof/>
              <w:sz w:val="22"/>
              <w:szCs w:val="22"/>
              <w:lang w:eastAsia="en-AU"/>
            </w:rPr>
          </w:pPr>
          <w:r w:rsidRPr="00355E69">
            <w:rPr>
              <w:noProof/>
            </w:rPr>
            <w:t>Access — Elective surgery waiting list turn over</w:t>
          </w:r>
          <w:r>
            <w:rPr>
              <w:noProof/>
              <w:webHidden/>
            </w:rPr>
            <w:tab/>
          </w:r>
          <w:r w:rsidR="00D7553B">
            <w:rPr>
              <w:noProof/>
              <w:webHidden/>
            </w:rPr>
            <w:t>12.</w:t>
          </w:r>
          <w:r w:rsidR="00C8186B">
            <w:rPr>
              <w:noProof/>
              <w:webHidden/>
            </w:rPr>
            <w:t>6</w:t>
          </w:r>
        </w:p>
        <w:p w14:paraId="009030FB" w14:textId="306AD23A" w:rsidR="003E4348" w:rsidRDefault="003E4348">
          <w:pPr>
            <w:pStyle w:val="TOC4"/>
            <w:rPr>
              <w:rFonts w:asciiTheme="minorHAnsi" w:eastAsiaTheme="minorEastAsia" w:hAnsiTheme="minorHAnsi" w:cstheme="minorBidi"/>
              <w:noProof/>
              <w:sz w:val="22"/>
              <w:szCs w:val="22"/>
              <w:lang w:eastAsia="en-AU"/>
            </w:rPr>
          </w:pPr>
          <w:r w:rsidRPr="00355E69">
            <w:rPr>
              <w:noProof/>
            </w:rPr>
            <w:t>Appropriateness — Appropriateness of hospital services</w:t>
          </w:r>
          <w:r>
            <w:rPr>
              <w:noProof/>
              <w:webHidden/>
            </w:rPr>
            <w:tab/>
          </w:r>
          <w:r w:rsidR="00D7553B">
            <w:rPr>
              <w:noProof/>
              <w:webHidden/>
            </w:rPr>
            <w:t>12.</w:t>
          </w:r>
          <w:r w:rsidR="00C8186B">
            <w:rPr>
              <w:noProof/>
              <w:webHidden/>
            </w:rPr>
            <w:t>7</w:t>
          </w:r>
        </w:p>
        <w:p w14:paraId="36B3CF7F" w14:textId="5496D8D8"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Accreditation</w:t>
          </w:r>
          <w:r>
            <w:rPr>
              <w:noProof/>
              <w:webHidden/>
            </w:rPr>
            <w:tab/>
          </w:r>
          <w:r w:rsidR="00D7553B">
            <w:rPr>
              <w:noProof/>
              <w:webHidden/>
            </w:rPr>
            <w:t>12.</w:t>
          </w:r>
          <w:r w:rsidR="00C04CFE">
            <w:rPr>
              <w:noProof/>
              <w:webHidden/>
            </w:rPr>
            <w:t>8</w:t>
          </w:r>
        </w:p>
        <w:p w14:paraId="2B2C0B76" w14:textId="174A77F0"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Adverse events in public hospitals</w:t>
          </w:r>
          <w:r>
            <w:rPr>
              <w:noProof/>
              <w:webHidden/>
            </w:rPr>
            <w:tab/>
          </w:r>
          <w:r w:rsidR="00D7553B">
            <w:rPr>
              <w:noProof/>
              <w:webHidden/>
            </w:rPr>
            <w:t>12.</w:t>
          </w:r>
          <w:r w:rsidR="00C8186B">
            <w:rPr>
              <w:noProof/>
              <w:webHidden/>
            </w:rPr>
            <w:t>8</w:t>
          </w:r>
        </w:p>
        <w:p w14:paraId="53C08861" w14:textId="231EFCF5"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Sentinel events</w:t>
          </w:r>
          <w:r>
            <w:rPr>
              <w:noProof/>
              <w:webHidden/>
            </w:rPr>
            <w:tab/>
          </w:r>
          <w:r w:rsidR="00D7553B">
            <w:rPr>
              <w:noProof/>
              <w:webHidden/>
            </w:rPr>
            <w:t>12.</w:t>
          </w:r>
          <w:r w:rsidR="00C8186B">
            <w:rPr>
              <w:noProof/>
              <w:webHidden/>
            </w:rPr>
            <w:t>1</w:t>
          </w:r>
          <w:r w:rsidR="00C04CFE">
            <w:rPr>
              <w:noProof/>
              <w:webHidden/>
            </w:rPr>
            <w:t>1</w:t>
          </w:r>
        </w:p>
        <w:p w14:paraId="1C3CDB44" w14:textId="4A6AD021" w:rsidR="003E4348" w:rsidRDefault="003E4348">
          <w:pPr>
            <w:pStyle w:val="TOC4"/>
            <w:rPr>
              <w:rFonts w:asciiTheme="minorHAnsi" w:eastAsiaTheme="minorEastAsia" w:hAnsiTheme="minorHAnsi" w:cstheme="minorBidi"/>
              <w:noProof/>
              <w:sz w:val="22"/>
              <w:szCs w:val="22"/>
              <w:lang w:eastAsia="en-AU"/>
            </w:rPr>
          </w:pPr>
          <w:r w:rsidRPr="00355E69">
            <w:rPr>
              <w:noProof/>
            </w:rPr>
            <w:t>Quality — Responsiveness — Patient satisfaction</w:t>
          </w:r>
          <w:r>
            <w:rPr>
              <w:noProof/>
              <w:webHidden/>
            </w:rPr>
            <w:tab/>
          </w:r>
          <w:r w:rsidR="00D7553B">
            <w:rPr>
              <w:noProof/>
              <w:webHidden/>
            </w:rPr>
            <w:t>12.</w:t>
          </w:r>
          <w:r w:rsidR="00C8186B">
            <w:rPr>
              <w:noProof/>
              <w:webHidden/>
            </w:rPr>
            <w:t>1</w:t>
          </w:r>
          <w:r w:rsidR="00C04CFE">
            <w:rPr>
              <w:noProof/>
              <w:webHidden/>
            </w:rPr>
            <w:t>2</w:t>
          </w:r>
        </w:p>
        <w:p w14:paraId="65B47400" w14:textId="0F2F9A4F" w:rsidR="003E4348" w:rsidRDefault="003E4348">
          <w:pPr>
            <w:pStyle w:val="TOC4"/>
            <w:rPr>
              <w:rFonts w:asciiTheme="minorHAnsi" w:eastAsiaTheme="minorEastAsia" w:hAnsiTheme="minorHAnsi" w:cstheme="minorBidi"/>
              <w:noProof/>
              <w:sz w:val="22"/>
              <w:szCs w:val="22"/>
              <w:lang w:eastAsia="en-AU"/>
            </w:rPr>
          </w:pPr>
          <w:r w:rsidRPr="00A01EB6">
            <w:rPr>
              <w:noProof/>
            </w:rPr>
            <w:t>Quality — Continuity — Continuity of care</w:t>
          </w:r>
          <w:r w:rsidRPr="00A01EB6">
            <w:rPr>
              <w:noProof/>
              <w:webHidden/>
            </w:rPr>
            <w:tab/>
          </w:r>
          <w:r w:rsidR="00D7553B" w:rsidRPr="00A01EB6">
            <w:rPr>
              <w:noProof/>
              <w:webHidden/>
            </w:rPr>
            <w:t>12.</w:t>
          </w:r>
          <w:r w:rsidR="00C8186B" w:rsidRPr="00A01EB6">
            <w:rPr>
              <w:noProof/>
              <w:webHidden/>
            </w:rPr>
            <w:t>1</w:t>
          </w:r>
          <w:r w:rsidR="00C04CFE">
            <w:rPr>
              <w:noProof/>
              <w:webHidden/>
            </w:rPr>
            <w:t>3</w:t>
          </w:r>
        </w:p>
        <w:p w14:paraId="56D31BF6" w14:textId="11A4F854" w:rsidR="003E4348" w:rsidRDefault="003E4348">
          <w:pPr>
            <w:pStyle w:val="TOC4"/>
            <w:rPr>
              <w:rFonts w:asciiTheme="minorHAnsi" w:eastAsiaTheme="minorEastAsia" w:hAnsiTheme="minorHAnsi" w:cstheme="minorBidi"/>
              <w:noProof/>
              <w:sz w:val="22"/>
              <w:szCs w:val="22"/>
              <w:lang w:eastAsia="en-AU"/>
            </w:rPr>
          </w:pPr>
          <w:r w:rsidRPr="00355E69">
            <w:rPr>
              <w:noProof/>
            </w:rPr>
            <w:t>Quality — Continuity — Selected unplanned hospital readmission rates</w:t>
          </w:r>
          <w:r>
            <w:rPr>
              <w:noProof/>
              <w:webHidden/>
            </w:rPr>
            <w:tab/>
          </w:r>
          <w:r w:rsidR="00D7553B">
            <w:rPr>
              <w:noProof/>
              <w:webHidden/>
            </w:rPr>
            <w:t>12.</w:t>
          </w:r>
          <w:r w:rsidR="00C8186B">
            <w:rPr>
              <w:noProof/>
              <w:webHidden/>
            </w:rPr>
            <w:t>1</w:t>
          </w:r>
          <w:r w:rsidR="00C04CFE">
            <w:rPr>
              <w:noProof/>
              <w:webHidden/>
            </w:rPr>
            <w:t>4</w:t>
          </w:r>
        </w:p>
        <w:p w14:paraId="7BE47EC9" w14:textId="63CB4871" w:rsidR="003E4348" w:rsidRDefault="003E4348">
          <w:pPr>
            <w:pStyle w:val="TOC4"/>
            <w:rPr>
              <w:rFonts w:asciiTheme="minorHAnsi" w:eastAsiaTheme="minorEastAsia" w:hAnsiTheme="minorHAnsi" w:cstheme="minorBidi"/>
              <w:noProof/>
              <w:sz w:val="22"/>
              <w:szCs w:val="22"/>
              <w:lang w:eastAsia="en-AU"/>
            </w:rPr>
          </w:pPr>
          <w:r w:rsidRPr="00355E69">
            <w:rPr>
              <w:noProof/>
            </w:rPr>
            <w:t>Sustainability — Workforce sustainability</w:t>
          </w:r>
          <w:r>
            <w:rPr>
              <w:noProof/>
              <w:webHidden/>
            </w:rPr>
            <w:tab/>
          </w:r>
          <w:r w:rsidR="00D7553B">
            <w:rPr>
              <w:noProof/>
              <w:webHidden/>
            </w:rPr>
            <w:t>12.</w:t>
          </w:r>
          <w:r w:rsidR="00C8186B">
            <w:rPr>
              <w:noProof/>
              <w:webHidden/>
            </w:rPr>
            <w:t>1</w:t>
          </w:r>
          <w:r w:rsidR="00C04CFE">
            <w:rPr>
              <w:noProof/>
              <w:webHidden/>
            </w:rPr>
            <w:t>5</w:t>
          </w:r>
        </w:p>
        <w:p w14:paraId="07E0DDBC" w14:textId="7E8B6D30" w:rsidR="003E4348" w:rsidRDefault="003E4348">
          <w:pPr>
            <w:pStyle w:val="TOC3"/>
            <w:rPr>
              <w:rFonts w:asciiTheme="minorHAnsi" w:eastAsiaTheme="minorEastAsia" w:hAnsiTheme="minorHAnsi" w:cstheme="minorBidi"/>
              <w:noProof/>
              <w:sz w:val="22"/>
              <w:szCs w:val="22"/>
              <w:lang w:eastAsia="en-AU"/>
            </w:rPr>
          </w:pPr>
          <w:r w:rsidRPr="00355E69">
            <w:rPr>
              <w:noProof/>
            </w:rPr>
            <w:t>Efficiency</w:t>
          </w:r>
          <w:r>
            <w:rPr>
              <w:noProof/>
              <w:webHidden/>
            </w:rPr>
            <w:tab/>
          </w:r>
          <w:r w:rsidR="00D7553B">
            <w:rPr>
              <w:noProof/>
              <w:webHidden/>
            </w:rPr>
            <w:t>12.</w:t>
          </w:r>
          <w:r w:rsidR="00B61D21">
            <w:rPr>
              <w:noProof/>
              <w:webHidden/>
            </w:rPr>
            <w:t>15</w:t>
          </w:r>
        </w:p>
        <w:p w14:paraId="58A71A63" w14:textId="0CDB5C8A" w:rsidR="003E4348" w:rsidRDefault="003E4348">
          <w:pPr>
            <w:pStyle w:val="TOC4"/>
            <w:rPr>
              <w:rFonts w:asciiTheme="minorHAnsi" w:eastAsiaTheme="minorEastAsia" w:hAnsiTheme="minorHAnsi" w:cstheme="minorBidi"/>
              <w:noProof/>
              <w:sz w:val="22"/>
              <w:szCs w:val="22"/>
              <w:lang w:eastAsia="en-AU"/>
            </w:rPr>
          </w:pPr>
          <w:r w:rsidRPr="00355E69">
            <w:rPr>
              <w:noProof/>
            </w:rPr>
            <w:t>Cost per admitted patient separation</w:t>
          </w:r>
          <w:r>
            <w:rPr>
              <w:noProof/>
              <w:webHidden/>
            </w:rPr>
            <w:tab/>
          </w:r>
          <w:r w:rsidR="00D7553B">
            <w:rPr>
              <w:noProof/>
              <w:webHidden/>
            </w:rPr>
            <w:t>12.</w:t>
          </w:r>
          <w:r w:rsidR="00C8186B">
            <w:rPr>
              <w:noProof/>
              <w:webHidden/>
            </w:rPr>
            <w:t>1</w:t>
          </w:r>
          <w:r w:rsidR="00B61D21">
            <w:rPr>
              <w:noProof/>
              <w:webHidden/>
            </w:rPr>
            <w:t>5</w:t>
          </w:r>
        </w:p>
        <w:p w14:paraId="1DAC1E6F" w14:textId="18985971" w:rsidR="003E4348" w:rsidRDefault="003E4348">
          <w:pPr>
            <w:pStyle w:val="TOC4"/>
            <w:rPr>
              <w:rFonts w:asciiTheme="minorHAnsi" w:eastAsiaTheme="minorEastAsia" w:hAnsiTheme="minorHAnsi" w:cstheme="minorBidi"/>
              <w:noProof/>
              <w:sz w:val="22"/>
              <w:szCs w:val="22"/>
              <w:lang w:eastAsia="en-AU"/>
            </w:rPr>
          </w:pPr>
          <w:r w:rsidRPr="00355E69">
            <w:rPr>
              <w:noProof/>
            </w:rPr>
            <w:t>Recurrent cost per non-admitted patient</w:t>
          </w:r>
          <w:r>
            <w:rPr>
              <w:noProof/>
              <w:webHidden/>
            </w:rPr>
            <w:tab/>
          </w:r>
          <w:r w:rsidR="00D7553B">
            <w:rPr>
              <w:noProof/>
              <w:webHidden/>
            </w:rPr>
            <w:t>12.</w:t>
          </w:r>
          <w:r w:rsidR="00C8186B">
            <w:rPr>
              <w:noProof/>
              <w:webHidden/>
            </w:rPr>
            <w:t>1</w:t>
          </w:r>
          <w:r w:rsidR="00B61D21">
            <w:rPr>
              <w:noProof/>
              <w:webHidden/>
            </w:rPr>
            <w:t>7</w:t>
          </w:r>
        </w:p>
        <w:p w14:paraId="6F185353" w14:textId="0F45F98C" w:rsidR="003E4348" w:rsidRDefault="003E4348">
          <w:pPr>
            <w:pStyle w:val="TOC3"/>
            <w:rPr>
              <w:rFonts w:asciiTheme="minorHAnsi" w:eastAsiaTheme="minorEastAsia" w:hAnsiTheme="minorHAnsi" w:cstheme="minorBidi"/>
              <w:noProof/>
              <w:sz w:val="22"/>
              <w:szCs w:val="22"/>
              <w:lang w:eastAsia="en-AU"/>
            </w:rPr>
          </w:pPr>
          <w:r w:rsidRPr="00355E69">
            <w:rPr>
              <w:noProof/>
            </w:rPr>
            <w:t>Outcomes</w:t>
          </w:r>
          <w:r>
            <w:rPr>
              <w:noProof/>
              <w:webHidden/>
            </w:rPr>
            <w:tab/>
          </w:r>
          <w:r w:rsidR="00D7553B">
            <w:rPr>
              <w:noProof/>
              <w:webHidden/>
            </w:rPr>
            <w:t>12.</w:t>
          </w:r>
          <w:r w:rsidR="00C8186B">
            <w:rPr>
              <w:noProof/>
              <w:webHidden/>
            </w:rPr>
            <w:t>1</w:t>
          </w:r>
          <w:r w:rsidR="00B61D21">
            <w:rPr>
              <w:noProof/>
              <w:webHidden/>
            </w:rPr>
            <w:t>7</w:t>
          </w:r>
        </w:p>
        <w:p w14:paraId="1341908A" w14:textId="679B619F" w:rsidR="003E4348" w:rsidRDefault="003E4348">
          <w:pPr>
            <w:pStyle w:val="TOC4"/>
            <w:rPr>
              <w:rFonts w:asciiTheme="minorHAnsi" w:eastAsiaTheme="minorEastAsia" w:hAnsiTheme="minorHAnsi" w:cstheme="minorBidi"/>
              <w:noProof/>
              <w:sz w:val="22"/>
              <w:szCs w:val="22"/>
              <w:lang w:eastAsia="en-AU"/>
            </w:rPr>
          </w:pPr>
          <w:r w:rsidRPr="00E41DC4">
            <w:rPr>
              <w:noProof/>
            </w:rPr>
            <w:t>Avoidable mortality in hospitals</w:t>
          </w:r>
          <w:r w:rsidRPr="00E41DC4">
            <w:rPr>
              <w:noProof/>
              <w:webHidden/>
            </w:rPr>
            <w:tab/>
          </w:r>
          <w:r w:rsidR="00D7553B" w:rsidRPr="00E41DC4">
            <w:rPr>
              <w:noProof/>
              <w:webHidden/>
            </w:rPr>
            <w:t>12.</w:t>
          </w:r>
          <w:r w:rsidR="00C8186B" w:rsidRPr="00E41DC4">
            <w:rPr>
              <w:noProof/>
              <w:webHidden/>
            </w:rPr>
            <w:t>1</w:t>
          </w:r>
          <w:r w:rsidR="00B61D21">
            <w:rPr>
              <w:noProof/>
              <w:webHidden/>
            </w:rPr>
            <w:t>7</w:t>
          </w:r>
        </w:p>
        <w:p w14:paraId="5552BB80" w14:textId="06F2F826" w:rsidR="003E4348" w:rsidRDefault="003E4348">
          <w:pPr>
            <w:pStyle w:val="TOC2"/>
            <w:tabs>
              <w:tab w:val="left" w:pos="1320"/>
            </w:tabs>
            <w:rPr>
              <w:rFonts w:asciiTheme="minorHAnsi" w:eastAsiaTheme="minorEastAsia" w:hAnsiTheme="minorHAnsi" w:cstheme="minorBidi"/>
              <w:noProof/>
              <w:sz w:val="22"/>
              <w:szCs w:val="22"/>
              <w:lang w:eastAsia="en-AU"/>
            </w:rPr>
          </w:pPr>
          <w:r w:rsidRPr="00355E69">
            <w:rPr>
              <w:noProof/>
            </w:rPr>
            <w:t>12.2</w:t>
          </w:r>
          <w:r>
            <w:rPr>
              <w:rFonts w:asciiTheme="minorHAnsi" w:eastAsiaTheme="minorEastAsia" w:hAnsiTheme="minorHAnsi" w:cstheme="minorBidi"/>
              <w:noProof/>
              <w:sz w:val="22"/>
              <w:szCs w:val="22"/>
              <w:lang w:eastAsia="en-AU"/>
            </w:rPr>
            <w:tab/>
          </w:r>
          <w:r w:rsidRPr="00355E69">
            <w:rPr>
              <w:noProof/>
            </w:rPr>
            <w:t>Definitions of key terms</w:t>
          </w:r>
          <w:r>
            <w:rPr>
              <w:noProof/>
              <w:webHidden/>
            </w:rPr>
            <w:tab/>
          </w:r>
          <w:r w:rsidR="00D7553B">
            <w:rPr>
              <w:noProof/>
              <w:webHidden/>
            </w:rPr>
            <w:t>12.</w:t>
          </w:r>
          <w:r w:rsidR="00C04CFE">
            <w:rPr>
              <w:noProof/>
              <w:webHidden/>
            </w:rPr>
            <w:t>19</w:t>
          </w:r>
        </w:p>
        <w:p w14:paraId="7F1D65A3" w14:textId="5A1E2295" w:rsidR="00896C27" w:rsidRPr="001F5D40" w:rsidRDefault="001E55C6" w:rsidP="00FC2517">
          <w:pPr>
            <w:pStyle w:val="TOC1"/>
          </w:pPr>
        </w:p>
      </w:sdtContent>
    </w:sdt>
    <w:p w14:paraId="56848178" w14:textId="2210F1EA" w:rsidR="001F5D40" w:rsidRPr="001F5D40" w:rsidRDefault="001F5D40" w:rsidP="001F5D40">
      <w:pPr>
        <w:pStyle w:val="BodyText"/>
      </w:pPr>
      <w:r w:rsidRPr="001F5D40">
        <w:t xml:space="preserve">The </w:t>
      </w:r>
      <w:r w:rsidR="00827BF1">
        <w:t xml:space="preserve">Public hospitals </w:t>
      </w:r>
      <w:r w:rsidRPr="001F5D40">
        <w:t xml:space="preserve">interpretative material is supporting material and includes explanations of why indicators have been chosen, and wherever possible, a link to the stated objectives of the service. It includes indicator definitions, technical details defining how the indicator is </w:t>
      </w:r>
      <w:r w:rsidRPr="001F5D40">
        <w:lastRenderedPageBreak/>
        <w:t>measured and guidance on how the indicator is to be interpreted, including caveats and the indicator’s completeness and comparability status.</w:t>
      </w:r>
    </w:p>
    <w:p w14:paraId="3467B030" w14:textId="435E3ACB" w:rsidR="001F5D40" w:rsidRDefault="001F5D40" w:rsidP="001F5D40">
      <w:pPr>
        <w:pStyle w:val="BodyText"/>
      </w:pPr>
      <w:r w:rsidRPr="001F5D40">
        <w:t xml:space="preserve">Further information on the Report on Government Services including other reported service areas, the glossary and list of abbreviations is available at </w:t>
      </w:r>
      <w:r w:rsidR="009D6C4B" w:rsidRPr="00A00B1A">
        <w:t>https://www.pc.gov.au/research/ongoing/report-on-government-services</w:t>
      </w:r>
      <w:r w:rsidRPr="001F5D40">
        <w:t>.</w:t>
      </w:r>
    </w:p>
    <w:p w14:paraId="1AE5F311" w14:textId="186EC71A" w:rsidR="00D36CDF" w:rsidRDefault="00827BF1" w:rsidP="00D36CDF">
      <w:pPr>
        <w:pStyle w:val="Heading2"/>
      </w:pPr>
      <w:bookmarkStart w:id="10" w:name="_Toc18405552"/>
      <w:bookmarkStart w:id="11" w:name="_Toc21937636"/>
      <w:bookmarkStart w:id="12" w:name="_Toc31210597"/>
      <w:r>
        <w:t>12</w:t>
      </w:r>
      <w:r w:rsidR="00D36CDF">
        <w:t xml:space="preserve">.1 </w:t>
      </w:r>
      <w:bookmarkEnd w:id="10"/>
      <w:bookmarkEnd w:id="11"/>
      <w:r w:rsidR="007A6E54">
        <w:t>Indicators</w:t>
      </w:r>
      <w:bookmarkEnd w:id="12"/>
    </w:p>
    <w:bookmarkEnd w:id="9"/>
    <w:p w14:paraId="27EF8AF9" w14:textId="3616A110" w:rsidR="007A6E54" w:rsidRDefault="007A6E54" w:rsidP="0083061E">
      <w:pPr>
        <w:keepNext/>
        <w:spacing w:before="240" w:after="240" w:line="300" w:lineRule="atLeast"/>
        <w:jc w:val="both"/>
        <w:rPr>
          <w:szCs w:val="20"/>
        </w:rPr>
      </w:pPr>
      <w:r w:rsidRPr="007A6E54">
        <w:rPr>
          <w:szCs w:val="20"/>
        </w:rPr>
        <w:t xml:space="preserve">Different delivery contexts, locations and types of client can affect the equity, effectiveness and efficiency of </w:t>
      </w:r>
      <w:r w:rsidR="00D0676F">
        <w:rPr>
          <w:szCs w:val="20"/>
        </w:rPr>
        <w:t>public hospital</w:t>
      </w:r>
      <w:r w:rsidRPr="007A6E54">
        <w:rPr>
          <w:szCs w:val="20"/>
        </w:rPr>
        <w:t xml:space="preserve"> services.</w:t>
      </w:r>
    </w:p>
    <w:p w14:paraId="256F2040" w14:textId="14FC133B" w:rsidR="007B6A08" w:rsidRDefault="007B6A08" w:rsidP="0083061E">
      <w:pPr>
        <w:keepNext/>
        <w:spacing w:before="240" w:after="240" w:line="300" w:lineRule="atLeast"/>
        <w:jc w:val="both"/>
        <w:rPr>
          <w:szCs w:val="20"/>
        </w:rPr>
      </w:pPr>
      <w:r w:rsidRPr="000F6C4E">
        <w:rPr>
          <w:szCs w:val="20"/>
        </w:rPr>
        <w:t xml:space="preserve">The comparability of performance indicator results </w:t>
      </w:r>
      <w:r w:rsidR="00DD7B23">
        <w:rPr>
          <w:szCs w:val="20"/>
        </w:rPr>
        <w:t>is</w:t>
      </w:r>
      <w:r w:rsidRPr="000F6C4E">
        <w:rPr>
          <w:szCs w:val="20"/>
        </w:rPr>
        <w:t xml:space="preserve"> shaded in indicator interpretation boxes, figures and </w:t>
      </w:r>
      <w:r w:rsidR="00C34A38">
        <w:rPr>
          <w:szCs w:val="20"/>
        </w:rPr>
        <w:t>data</w:t>
      </w:r>
      <w:r w:rsidRPr="000F6C4E">
        <w:rPr>
          <w:szCs w:val="20"/>
        </w:rPr>
        <w:t xml:space="preserve"> tables as follows:</w:t>
      </w:r>
    </w:p>
    <w:p w14:paraId="4D873D0B" w14:textId="77777777" w:rsidR="00C34A38" w:rsidRDefault="00C34A38" w:rsidP="00C34A38">
      <w:pPr>
        <w:pStyle w:val="BodyText"/>
      </w:pPr>
      <w:r w:rsidRPr="00FA2246">
        <w:rPr>
          <w:shd w:val="clear" w:color="auto" w:fill="F15A25"/>
        </w:rPr>
        <w:t xml:space="preserve">    </w:t>
      </w:r>
      <w:r>
        <w:t xml:space="preserve"> Data are comparable (subject to caveats) across jurisdictions and over time.</w:t>
      </w:r>
    </w:p>
    <w:p w14:paraId="583D9C79" w14:textId="77777777" w:rsidR="00C34A38" w:rsidRDefault="00C34A38" w:rsidP="00C34A38">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4EA8A0C1" w14:textId="4E869A3B" w:rsidR="00C34A38" w:rsidRDefault="00C34A38" w:rsidP="00C34A38">
      <w:pPr>
        <w:pStyle w:val="BodyText"/>
      </w:pPr>
      <w:r>
        <w:t xml:space="preserve">The completeness of performance indicator results </w:t>
      </w:r>
      <w:r w:rsidR="00DD7B23">
        <w:t>is</w:t>
      </w:r>
      <w:r>
        <w:t xml:space="preserve"> shaded in indicator interpretation boxes, figures and data tables as follows:</w:t>
      </w:r>
    </w:p>
    <w:p w14:paraId="362BDAF0" w14:textId="77777777" w:rsidR="00C34A38" w:rsidRDefault="00C34A38" w:rsidP="00C34A38">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4B7B0653" w14:textId="77777777" w:rsidR="00C34A38" w:rsidRDefault="00C34A38" w:rsidP="00C34A38">
      <w:pPr>
        <w:pStyle w:val="BodyText"/>
      </w:pPr>
      <w:r w:rsidRPr="00057E12">
        <w:rPr>
          <w:shd w:val="clear" w:color="auto" w:fill="FCDED3"/>
        </w:rPr>
        <w:t xml:space="preserve">    </w:t>
      </w:r>
      <w:r>
        <w:t xml:space="preserve"> Data are incomplete for the current reporting period. At least some data were not available.</w:t>
      </w:r>
    </w:p>
    <w:p w14:paraId="6B7066F8" w14:textId="77777777" w:rsidR="0017225F" w:rsidRDefault="0017225F" w:rsidP="0017225F">
      <w:pPr>
        <w:pStyle w:val="Heading3"/>
      </w:pPr>
      <w:bookmarkStart w:id="13" w:name="_Toc21937638"/>
      <w:bookmarkStart w:id="14" w:name="_Toc31210598"/>
      <w:r>
        <w:t>Outputs</w:t>
      </w:r>
      <w:bookmarkEnd w:id="13"/>
      <w:bookmarkEnd w:id="14"/>
    </w:p>
    <w:p w14:paraId="522B1E98" w14:textId="2118492F" w:rsidR="005956AA" w:rsidRDefault="007376A5" w:rsidP="005956AA">
      <w:pPr>
        <w:pStyle w:val="BodyText"/>
      </w:pPr>
      <w:r>
        <w:t>Outputs are the</w:t>
      </w:r>
      <w:r w:rsidR="00BC3D2E">
        <w:t xml:space="preserve"> actual</w:t>
      </w:r>
      <w:r w:rsidR="005956AA" w:rsidRPr="005956AA">
        <w:t xml:space="preserve"> services delivered </w:t>
      </w:r>
      <w:r w:rsidR="00BC3D2E">
        <w:t>(</w:t>
      </w:r>
      <w:r w:rsidR="005956AA" w:rsidRPr="005956AA">
        <w:t>while outcomes are the impact of these services on the status of an individual or group</w:t>
      </w:r>
      <w:r w:rsidR="00BC3D2E">
        <w:t>)</w:t>
      </w:r>
      <w:r w:rsidR="005956AA" w:rsidRPr="005956AA">
        <w:t xml:space="preserve"> (</w:t>
      </w:r>
      <w:r w:rsidR="005956AA" w:rsidRPr="00C419D7">
        <w:t xml:space="preserve">see </w:t>
      </w:r>
      <w:r w:rsidR="00BC3D2E">
        <w:t>section</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bookmarkStart w:id="15" w:name="_Toc21937639"/>
      <w:bookmarkStart w:id="16" w:name="_Toc31210599"/>
      <w:r>
        <w:t>Equity</w:t>
      </w:r>
      <w:bookmarkEnd w:id="15"/>
      <w:bookmarkEnd w:id="16"/>
    </w:p>
    <w:p w14:paraId="6BBB2A6B" w14:textId="79F630D9" w:rsidR="00D673AC" w:rsidRDefault="00D673AC" w:rsidP="00D673AC">
      <w:pPr>
        <w:pStyle w:val="Heading4"/>
      </w:pPr>
      <w:bookmarkStart w:id="17" w:name="_Toc21937640"/>
      <w:bookmarkStart w:id="18" w:name="_Toc31210600"/>
      <w:r>
        <w:t xml:space="preserve">Access — </w:t>
      </w:r>
      <w:bookmarkEnd w:id="17"/>
      <w:r w:rsidR="00827BF1">
        <w:t>Equity of access by special needs groups</w:t>
      </w:r>
      <w:bookmarkEnd w:id="18"/>
    </w:p>
    <w:p w14:paraId="01D215D5" w14:textId="111BEC94" w:rsidR="00827BF1" w:rsidRPr="008F1E67" w:rsidRDefault="00827BF1" w:rsidP="00827BF1">
      <w:pPr>
        <w:pStyle w:val="BodyText"/>
      </w:pPr>
      <w:r>
        <w:t>‘Equity of access by special needs groups’ is an indicator of governments’ objective to provide hospital services in an equitable manner (box 12.</w:t>
      </w:r>
      <w:r w:rsidR="00CA60F0">
        <w:t>1</w:t>
      </w:r>
      <w:r>
        <w:t>).</w:t>
      </w:r>
    </w:p>
    <w:p w14:paraId="2649B1F6" w14:textId="77777777" w:rsidR="002A5E9D" w:rsidRDefault="002A5E9D" w:rsidP="002A5E9D">
      <w:pPr>
        <w:pStyle w:val="BoxSpaceAbove"/>
        <w:tabs>
          <w:tab w:val="left" w:pos="900"/>
        </w:tabs>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445B9280" w:rsidR="0043593F" w:rsidRDefault="0043593F" w:rsidP="00827BF1">
            <w:pPr>
              <w:pStyle w:val="BoxTitle"/>
            </w:pPr>
            <w:r>
              <w:rPr>
                <w:b w:val="0"/>
              </w:rPr>
              <w:t xml:space="preserve">Box </w:t>
            </w:r>
            <w:r w:rsidR="00827BF1">
              <w:rPr>
                <w:b w:val="0"/>
              </w:rPr>
              <w:t>12.1</w:t>
            </w:r>
            <w:r w:rsidR="00D673AC">
              <w:tab/>
            </w:r>
            <w:r w:rsidR="00827BF1" w:rsidRPr="008F1E67">
              <w:t>Equity of access by special needs groups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66CB42AB" w14:textId="77777777" w:rsidR="00827BF1" w:rsidRDefault="00827BF1" w:rsidP="00827BF1">
            <w:pPr>
              <w:pStyle w:val="Box"/>
            </w:pPr>
            <w:r>
              <w:t>‘Equity of access by special needs groups’ is measured for the special needs group of people living in remote and very remote areas and is defined as the percentage of people who delayed going to hospital due to distance from hospital, by region.</w:t>
            </w:r>
          </w:p>
          <w:p w14:paraId="1EC9753C" w14:textId="77777777" w:rsidR="00827BF1" w:rsidRDefault="00827BF1" w:rsidP="00827BF1">
            <w:pPr>
              <w:pStyle w:val="Box"/>
            </w:pPr>
            <w:r>
              <w:t>Similar rates across regions can indicate equity of access to hospital services across regions.</w:t>
            </w:r>
          </w:p>
          <w:p w14:paraId="24BE3C95" w14:textId="31A353D7" w:rsidR="0043593F" w:rsidRDefault="00827BF1" w:rsidP="00827BF1">
            <w:pPr>
              <w:pStyle w:val="Box"/>
            </w:pPr>
            <w:r>
              <w:t>Data are not yet available for reporting against this measure.</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bookmarkStart w:id="19" w:name="_Toc21937641"/>
      <w:bookmarkStart w:id="20" w:name="_Toc31210601"/>
      <w:r>
        <w:t>Effectiveness</w:t>
      </w:r>
      <w:bookmarkEnd w:id="19"/>
      <w:bookmarkEnd w:id="20"/>
    </w:p>
    <w:p w14:paraId="3AE2298F" w14:textId="7D4584B2" w:rsidR="009D3F9F" w:rsidRDefault="009D3F9F" w:rsidP="009D3F9F">
      <w:pPr>
        <w:pStyle w:val="Heading4"/>
      </w:pPr>
      <w:bookmarkStart w:id="21" w:name="_Toc21937642"/>
      <w:bookmarkStart w:id="22" w:name="_Toc31210602"/>
      <w:r>
        <w:t xml:space="preserve">Access — </w:t>
      </w:r>
      <w:bookmarkEnd w:id="21"/>
      <w:r w:rsidR="00E16502">
        <w:t>Emergency department waiting times</w:t>
      </w:r>
      <w:bookmarkEnd w:id="22"/>
    </w:p>
    <w:p w14:paraId="08B97903" w14:textId="432532A5" w:rsidR="00E16502" w:rsidRDefault="00E16502" w:rsidP="00E16502">
      <w:pPr>
        <w:pStyle w:val="BodyText"/>
      </w:pPr>
      <w:r>
        <w:t>‘Emergency department waiting times’ is an indicator of governments’ objective to provide timely and accessible services to all (box 12.</w:t>
      </w:r>
      <w:r w:rsidR="00CA60F0">
        <w:t>2</w:t>
      </w:r>
      <w:r>
        <w:t>).</w:t>
      </w:r>
    </w:p>
    <w:p w14:paraId="1EDF6082" w14:textId="77777777" w:rsidR="00453A37" w:rsidRPr="00E16502" w:rsidRDefault="00453A37" w:rsidP="00E16502">
      <w:pPr>
        <w:pStyle w:val="BodyText"/>
      </w:pPr>
    </w:p>
    <w:p w14:paraId="0E8EF96E" w14:textId="77777777" w:rsidR="00E16502" w:rsidRDefault="00E165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05F2DD6F" w:rsidR="00403101" w:rsidRDefault="00403101" w:rsidP="00E16502">
            <w:pPr>
              <w:pStyle w:val="BoxTitle"/>
            </w:pPr>
            <w:r>
              <w:rPr>
                <w:b w:val="0"/>
              </w:rPr>
              <w:t xml:space="preserve">Box </w:t>
            </w:r>
            <w:r w:rsidR="00E16502">
              <w:rPr>
                <w:b w:val="0"/>
              </w:rPr>
              <w:t>12.2</w:t>
            </w:r>
            <w:r>
              <w:tab/>
            </w:r>
            <w:r w:rsidR="00E16502" w:rsidRPr="008F1E67">
              <w:t>Emergency department waiting times</w:t>
            </w:r>
          </w:p>
        </w:tc>
      </w:tr>
      <w:tr w:rsidR="00403101" w14:paraId="3005C4E8" w14:textId="77777777" w:rsidTr="00403101">
        <w:tc>
          <w:tcPr>
            <w:tcW w:w="5000" w:type="pct"/>
            <w:tcBorders>
              <w:top w:val="nil"/>
              <w:left w:val="nil"/>
              <w:bottom w:val="nil"/>
              <w:right w:val="nil"/>
            </w:tcBorders>
            <w:shd w:val="clear" w:color="auto" w:fill="F2F2F2"/>
          </w:tcPr>
          <w:p w14:paraId="21C97C6F" w14:textId="77777777" w:rsidR="00E16502" w:rsidRDefault="00E16502" w:rsidP="00E16502">
            <w:pPr>
              <w:pStyle w:val="Box"/>
            </w:pPr>
            <w:r w:rsidRPr="009A67FB">
              <w:t>‘</w:t>
            </w:r>
            <w:r>
              <w:t>Emergency department waiting times</w:t>
            </w:r>
            <w:r w:rsidRPr="009A67FB">
              <w:t xml:space="preserve">’ is defined by the following </w:t>
            </w:r>
            <w:r>
              <w:t>two</w:t>
            </w:r>
            <w:r w:rsidRPr="009A67FB">
              <w:t xml:space="preserve"> measures:</w:t>
            </w:r>
          </w:p>
          <w:p w14:paraId="49B770DC" w14:textId="77777777" w:rsidR="00E16502" w:rsidRDefault="00E16502" w:rsidP="00E16502">
            <w:pPr>
              <w:pStyle w:val="BoxListBullet"/>
            </w:pPr>
            <w:r w:rsidRPr="009A67FB">
              <w:t>Emergency department waiting times by triage category</w:t>
            </w:r>
            <w:r>
              <w:t>, defined as the proportion of patients seen within the benchmarks set by the Australasian Triage Scale. The Australasian Triage Scale is a scale for rating clinical urgency, designed for use in hospital-based emergency services in Australia and New Zealand. The benchmarks, set according to triage category, are as follows:</w:t>
            </w:r>
          </w:p>
          <w:p w14:paraId="1D718D27" w14:textId="77777777" w:rsidR="00E16502" w:rsidRDefault="00E16502" w:rsidP="00E16502">
            <w:pPr>
              <w:pStyle w:val="BoxListBullet2"/>
            </w:pPr>
            <w:r>
              <w:t>triage category 1: need for resuscitation — patients seen immediately</w:t>
            </w:r>
          </w:p>
          <w:p w14:paraId="2840D3DB" w14:textId="77777777" w:rsidR="00E16502" w:rsidRDefault="00E16502" w:rsidP="00E16502">
            <w:pPr>
              <w:pStyle w:val="BoxListBullet2"/>
            </w:pPr>
            <w:r>
              <w:t>triage category 2: emergency — patients seen within 10 minutes</w:t>
            </w:r>
          </w:p>
          <w:p w14:paraId="5A0C455C" w14:textId="77777777" w:rsidR="00E16502" w:rsidRDefault="00E16502" w:rsidP="00E16502">
            <w:pPr>
              <w:pStyle w:val="BoxListBullet2"/>
            </w:pPr>
            <w:r>
              <w:t>triage category 3: urgent — patients seen within 30 minutes</w:t>
            </w:r>
          </w:p>
          <w:p w14:paraId="23CDBB3B" w14:textId="77777777" w:rsidR="00E16502" w:rsidRDefault="00E16502" w:rsidP="00E16502">
            <w:pPr>
              <w:pStyle w:val="BoxListBullet2"/>
            </w:pPr>
            <w:r>
              <w:t>triage category 4: semi-urgent — patients seen within 60 minutes</w:t>
            </w:r>
          </w:p>
          <w:p w14:paraId="269493FC" w14:textId="77777777" w:rsidR="00E16502" w:rsidRDefault="00E16502" w:rsidP="00E16502">
            <w:pPr>
              <w:pStyle w:val="BoxListBullet2"/>
            </w:pPr>
            <w:r>
              <w:t>triage category 5: non-urgent — patients seen within 120 minutes.</w:t>
            </w:r>
          </w:p>
          <w:p w14:paraId="2CFE0450" w14:textId="1D2DBB75" w:rsidR="00E16502" w:rsidRDefault="00E16502" w:rsidP="00E16502">
            <w:pPr>
              <w:pStyle w:val="BoxListBullet"/>
            </w:pPr>
            <w:r>
              <w:t>P</w:t>
            </w:r>
            <w:r w:rsidRPr="000A750A">
              <w:t>roportion of patients staying for four hours or less</w:t>
            </w:r>
            <w:r>
              <w:t xml:space="preserve">, is defined as the </w:t>
            </w:r>
            <w:r w:rsidR="00D0676F">
              <w:t>proportion</w:t>
            </w:r>
            <w:r w:rsidR="00D0676F" w:rsidRPr="001076E0">
              <w:t xml:space="preserve"> </w:t>
            </w:r>
            <w:r w:rsidRPr="001076E0">
              <w:t xml:space="preserve">of presentations to public hospital emergency departments where the time from presentation </w:t>
            </w:r>
            <w:r w:rsidRPr="000A750A">
              <w:t>to admission, transfer or discharge</w:t>
            </w:r>
            <w:r w:rsidRPr="001076E0">
              <w:t xml:space="preserve"> is less than or equal to four hours.</w:t>
            </w:r>
            <w:r>
              <w:t xml:space="preserve"> </w:t>
            </w:r>
            <w:r w:rsidRPr="00E919A3">
              <w:t>It is a measure of the duration of the emergency department service rather than a waiting time for emergency department care</w:t>
            </w:r>
            <w:r>
              <w:t>.</w:t>
            </w:r>
          </w:p>
          <w:p w14:paraId="27F83BC5" w14:textId="7E7D2668" w:rsidR="00E16502" w:rsidRDefault="00E16502" w:rsidP="00E16502">
            <w:pPr>
              <w:pStyle w:val="Box"/>
              <w:spacing w:before="100"/>
            </w:pPr>
            <w:r>
              <w:t xml:space="preserve">High or increasing proportions for both measures </w:t>
            </w:r>
            <w:r w:rsidR="00D0676F">
              <w:t>are</w:t>
            </w:r>
            <w:r>
              <w:t xml:space="preserve"> desirable.</w:t>
            </w:r>
          </w:p>
          <w:p w14:paraId="5467D464" w14:textId="472E13ED" w:rsidR="0083362B" w:rsidRDefault="0083362B" w:rsidP="00E16502">
            <w:pPr>
              <w:pStyle w:val="Box"/>
              <w:spacing w:before="100"/>
            </w:pPr>
            <w:r w:rsidRPr="00193A46">
              <w:t>The comparability of emergency department waiting times data across jurisdictions can be influenced by differences in data coverage and clinical practices — in particular, the allocation of cases to urgency categories. The proportion of patients in each triage category who were subsequently admitted can indicate the comparability of triage categorisations across jurisdictions and thus the comparability of the waiting times data (table 12A.13).</w:t>
            </w:r>
            <w:r>
              <w:t xml:space="preserve"> </w:t>
            </w:r>
          </w:p>
          <w:p w14:paraId="7919ABB6" w14:textId="77777777" w:rsidR="00E16502" w:rsidRDefault="00E16502" w:rsidP="00E16502">
            <w:pPr>
              <w:pStyle w:val="Box"/>
              <w:spacing w:before="100"/>
            </w:pPr>
            <w:r>
              <w:t>Data reported for both measures are:</w:t>
            </w:r>
          </w:p>
          <w:p w14:paraId="68DD5954" w14:textId="77777777" w:rsidR="00E16502" w:rsidRDefault="00E16502" w:rsidP="00E16502">
            <w:pPr>
              <w:pStyle w:val="Box"/>
              <w:ind w:left="284"/>
            </w:pPr>
            <w:r w:rsidRPr="00344676">
              <w:rPr>
                <w:shd w:val="clear" w:color="auto" w:fill="FCDED3"/>
              </w:rPr>
              <w:t xml:space="preserve">    </w:t>
            </w:r>
            <w:r>
              <w:t xml:space="preserve"> not comparable across jurisdictions, but are comparable (subject to caveats) within jurisdictions over time</w:t>
            </w:r>
          </w:p>
          <w:p w14:paraId="4A5167BE" w14:textId="24D7629D" w:rsidR="00403101" w:rsidRDefault="00E16502" w:rsidP="00E16502">
            <w:pPr>
              <w:pStyle w:val="Box"/>
              <w:ind w:left="284"/>
            </w:pPr>
            <w:r w:rsidRPr="009273A9">
              <w:rPr>
                <w:shd w:val="clear" w:color="auto" w:fill="F15A25"/>
              </w:rPr>
              <w:t xml:space="preserve">    </w:t>
            </w:r>
            <w:r>
              <w:t xml:space="preserve"> complete (subject to caveats) for the current reporting period. All required </w:t>
            </w:r>
            <w:r w:rsidR="00D40F7F">
              <w:t>2019</w:t>
            </w:r>
            <w:r w:rsidR="00D40F7F">
              <w:noBreakHyphen/>
              <w:t>20</w:t>
            </w:r>
            <w:r>
              <w:t xml:space="preserve"> data are available for all jurisdictions.</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31A1C8C8" w14:textId="77777777" w:rsidR="00A77581" w:rsidRDefault="00A77581" w:rsidP="00A77581">
      <w:pPr>
        <w:pStyle w:val="Heading4"/>
      </w:pPr>
      <w:bookmarkStart w:id="23" w:name="_Toc31210603"/>
      <w:bookmarkStart w:id="24" w:name="_Toc21937653"/>
      <w:r w:rsidRPr="003D3C97">
        <w:t>Access —</w:t>
      </w:r>
      <w:r>
        <w:t xml:space="preserve"> Waiting times for admitted patient services</w:t>
      </w:r>
      <w:bookmarkEnd w:id="23"/>
    </w:p>
    <w:p w14:paraId="26A07A33" w14:textId="08B2E878" w:rsidR="00A77581" w:rsidRDefault="00A77581" w:rsidP="00A77581">
      <w:pPr>
        <w:pStyle w:val="BodyText"/>
      </w:pPr>
      <w:r>
        <w:t>‘Waiting times for admitted patient services’ is an indicator of governments’ objective to provide timely and accessible services to all (box 12.</w:t>
      </w:r>
      <w:r w:rsidR="00CA60F0">
        <w:t>3</w:t>
      </w:r>
      <w:r>
        <w:t xml:space="preserve">). </w:t>
      </w:r>
    </w:p>
    <w:p w14:paraId="757CAC53"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14:paraId="547E9758" w14:textId="77777777" w:rsidTr="007A6E54">
        <w:trPr>
          <w:tblHeader/>
        </w:trPr>
        <w:tc>
          <w:tcPr>
            <w:tcW w:w="5000" w:type="pct"/>
            <w:tcBorders>
              <w:top w:val="single" w:sz="6" w:space="0" w:color="78A22F"/>
              <w:left w:val="nil"/>
              <w:bottom w:val="nil"/>
              <w:right w:val="nil"/>
            </w:tcBorders>
            <w:shd w:val="clear" w:color="auto" w:fill="F2F2F2"/>
          </w:tcPr>
          <w:p w14:paraId="4AEBD607" w14:textId="599C9987" w:rsidR="00A77581" w:rsidRDefault="00A77581" w:rsidP="00CA60F0">
            <w:pPr>
              <w:pStyle w:val="BoxTitle"/>
            </w:pPr>
            <w:r>
              <w:rPr>
                <w:b w:val="0"/>
              </w:rPr>
              <w:t>Box 12.</w:t>
            </w:r>
            <w:r w:rsidR="00CA60F0">
              <w:rPr>
                <w:b w:val="0"/>
              </w:rPr>
              <w:t>3</w:t>
            </w:r>
            <w:r>
              <w:tab/>
            </w:r>
            <w:r w:rsidRPr="00B02B12">
              <w:t>Waiting times for admitted patient services</w:t>
            </w:r>
          </w:p>
        </w:tc>
      </w:tr>
      <w:tr w:rsidR="00A77581" w14:paraId="28901AF1" w14:textId="77777777" w:rsidTr="007A6E54">
        <w:tc>
          <w:tcPr>
            <w:tcW w:w="5000" w:type="pct"/>
            <w:tcBorders>
              <w:top w:val="nil"/>
              <w:left w:val="nil"/>
              <w:bottom w:val="nil"/>
              <w:right w:val="nil"/>
            </w:tcBorders>
            <w:shd w:val="clear" w:color="auto" w:fill="F2F2F2"/>
          </w:tcPr>
          <w:p w14:paraId="1780EBC7" w14:textId="77777777" w:rsidR="00A77581" w:rsidRDefault="00A77581" w:rsidP="007A6E54">
            <w:pPr>
              <w:pStyle w:val="Box"/>
            </w:pPr>
            <w:r>
              <w:t>‘Waiting times for admitted patient services’ is defined by the following three measures:</w:t>
            </w:r>
          </w:p>
          <w:p w14:paraId="47E1FED8" w14:textId="77777777" w:rsidR="00A77581" w:rsidRDefault="00A77581" w:rsidP="007A6E54">
            <w:pPr>
              <w:pStyle w:val="BoxListBullet"/>
              <w:spacing w:before="120"/>
            </w:pPr>
            <w:r>
              <w:t>Overall elective surgery waiting times</w:t>
            </w:r>
          </w:p>
          <w:p w14:paraId="43FA7E3C" w14:textId="77777777" w:rsidR="00A77581" w:rsidRDefault="00A77581" w:rsidP="007A6E54">
            <w:pPr>
              <w:pStyle w:val="BoxListBullet"/>
              <w:spacing w:before="120"/>
            </w:pPr>
            <w:r>
              <w:t>Elective surgery waiting times by clinical urgency category</w:t>
            </w:r>
          </w:p>
          <w:p w14:paraId="7BC98E7F" w14:textId="77777777" w:rsidR="00A77581" w:rsidRDefault="00A77581" w:rsidP="007A6E54">
            <w:pPr>
              <w:pStyle w:val="BoxListBullet"/>
              <w:spacing w:before="120"/>
            </w:pPr>
            <w:r>
              <w:t>Presentations to emergency departments with a length of stay of 4 hours or less ending in admission.</w:t>
            </w:r>
          </w:p>
          <w:p w14:paraId="6162A4CB" w14:textId="77777777" w:rsidR="00A77581" w:rsidRDefault="00A77581" w:rsidP="007A6E54">
            <w:pPr>
              <w:pStyle w:val="Box"/>
              <w:widowControl w:val="0"/>
              <w:spacing w:before="100"/>
            </w:pPr>
            <w:r>
              <w:t>Data reported for these three measures are:</w:t>
            </w:r>
          </w:p>
          <w:p w14:paraId="3E148209" w14:textId="77777777" w:rsidR="00BD4D21" w:rsidRDefault="00BD4D21" w:rsidP="00BD4D21">
            <w:pPr>
              <w:pStyle w:val="Box"/>
              <w:widowControl w:val="0"/>
              <w:spacing w:before="100"/>
              <w:ind w:left="284"/>
            </w:pPr>
            <w:r w:rsidRPr="00344676">
              <w:rPr>
                <w:shd w:val="clear" w:color="auto" w:fill="FCDED3"/>
              </w:rPr>
              <w:t xml:space="preserve">    </w:t>
            </w:r>
            <w:r>
              <w:t xml:space="preserve"> not comparable across jurisdictions, but are comparable (subject to caveats) within jurisdictions over time </w:t>
            </w:r>
          </w:p>
          <w:p w14:paraId="33CD6EE8" w14:textId="6A328B08" w:rsidR="00BD4D21" w:rsidRDefault="00BD4D21" w:rsidP="00BD4D21">
            <w:pPr>
              <w:pStyle w:val="Box"/>
              <w:widowControl w:val="0"/>
              <w:spacing w:before="100"/>
              <w:ind w:left="284"/>
            </w:pPr>
            <w:r w:rsidRPr="009273A9">
              <w:rPr>
                <w:shd w:val="clear" w:color="auto" w:fill="F15A25"/>
              </w:rPr>
              <w:t xml:space="preserve">    </w:t>
            </w:r>
            <w:r>
              <w:t xml:space="preserve"> complete (subject to caveats) for the current reporting period. All required </w:t>
            </w:r>
            <w:r w:rsidR="00D40F7F">
              <w:t>2019</w:t>
            </w:r>
            <w:r w:rsidR="00D40F7F">
              <w:noBreakHyphen/>
              <w:t>20</w:t>
            </w:r>
            <w:r>
              <w:t xml:space="preserve"> data are available for all jurisdictions.</w:t>
            </w:r>
          </w:p>
          <w:p w14:paraId="6B2499BD" w14:textId="77777777" w:rsidR="00BD4D21" w:rsidRDefault="00BD4D21" w:rsidP="00BD4D21">
            <w:pPr>
              <w:pStyle w:val="BoxHeading2"/>
              <w:widowControl w:val="0"/>
              <w:spacing w:before="140"/>
            </w:pPr>
            <w:r>
              <w:t>Overall elective surgery waiting times</w:t>
            </w:r>
          </w:p>
          <w:p w14:paraId="762AD13B" w14:textId="40545FB1" w:rsidR="00BD4D21" w:rsidRDefault="00BD4D21" w:rsidP="00BD4D21">
            <w:pPr>
              <w:pStyle w:val="Box"/>
              <w:widowControl w:val="0"/>
            </w:pPr>
            <w:r>
              <w:t>‘Overall elective surgery waiting times’ are calculated by comparing the date patients are added to a waiting list with the date they were admitted. Days on which the patient was not ready for care are excluded. Overall waiting times are presented as the number of days within which 50 per cent of patients are admitted and the number of days within which 90 per cent of patients are admitted. Patients on waiting lists who were not subsequently admitted are excluded.</w:t>
            </w:r>
          </w:p>
          <w:p w14:paraId="63A9C216" w14:textId="47613014" w:rsidR="00BD4D21" w:rsidRDefault="00BD4D21" w:rsidP="00BD4D21">
            <w:pPr>
              <w:pStyle w:val="Box"/>
              <w:widowControl w:val="0"/>
            </w:pPr>
            <w:r>
              <w:t xml:space="preserve">For overall elective surgery waiting times, a low or decreasing number of days waited are desirable. </w:t>
            </w:r>
            <w:r w:rsidRPr="00C72F4B">
              <w:t>Comparisons across jurisdictions should be made with caution, due to differences in clinical practices and classification of patients across Australia. The measures are also affected by variations across jurisdictions in the method used to calculate waiting times for patients who transferred from a waiting list managed by one hospital to a waiting list managed by another hospital</w:t>
            </w:r>
            <w:r>
              <w:t>, with t</w:t>
            </w:r>
            <w:r w:rsidRPr="00C72F4B">
              <w:t xml:space="preserve">he time waited on the first list included in the waiting time reported in NSW, WA, SA and the NT. This approach can have the effect of </w:t>
            </w:r>
            <w:r w:rsidRPr="00FF356F">
              <w:t>increasing the apparent waiting times for admissions in these jurisdictions compared wi</w:t>
            </w:r>
            <w:r w:rsidR="00453A37">
              <w:t>th other jurisdictions</w:t>
            </w:r>
            <w:r w:rsidRPr="00FF356F">
              <w:t>.</w:t>
            </w:r>
          </w:p>
          <w:p w14:paraId="3C5D8A1D" w14:textId="77777777" w:rsidR="00BD4D21" w:rsidRDefault="00BD4D21" w:rsidP="00BD4D21">
            <w:pPr>
              <w:pStyle w:val="BoxHeading2"/>
              <w:widowControl w:val="0"/>
              <w:spacing w:before="140"/>
            </w:pPr>
            <w:r>
              <w:t>Elective surgery waiting times by clinical urgency category</w:t>
            </w:r>
          </w:p>
          <w:p w14:paraId="6B885A11" w14:textId="77777777" w:rsidR="00BD4D21" w:rsidRPr="0026526A" w:rsidRDefault="00BD4D21" w:rsidP="00BD4D21">
            <w:pPr>
              <w:pStyle w:val="Box"/>
              <w:widowControl w:val="0"/>
            </w:pPr>
            <w:r>
              <w:t xml:space="preserve">‘Elective surgery waiting times by clinical urgency category’ reports the proportion of patients who were admitted from waiting lists after an extended wait. </w:t>
            </w:r>
            <w:r w:rsidRPr="0026526A">
              <w:t xml:space="preserve">In general, at the time of being placed on the public hospital waiting list, a clinical assessment is made of the urgency with which the patient requires elective surgery. The clinical urgency categories are: </w:t>
            </w:r>
          </w:p>
          <w:p w14:paraId="68F42EB7" w14:textId="77777777" w:rsidR="00BD4D21" w:rsidRPr="0026526A" w:rsidRDefault="00BD4D21" w:rsidP="00BD4D21">
            <w:pPr>
              <w:pStyle w:val="BoxListBullet"/>
              <w:widowControl w:val="0"/>
            </w:pPr>
            <w:r w:rsidRPr="0026526A">
              <w:t>Category 1</w:t>
            </w:r>
            <w:r>
              <w:t xml:space="preserve"> </w:t>
            </w:r>
            <w:r w:rsidRPr="0026526A">
              <w:t>—</w:t>
            </w:r>
            <w:r>
              <w:t xml:space="preserve"> </w:t>
            </w:r>
            <w:r w:rsidRPr="0026526A">
              <w:t xml:space="preserve">procedures that are clinically indicated within 30 days </w:t>
            </w:r>
          </w:p>
          <w:p w14:paraId="7AB11C16" w14:textId="77777777" w:rsidR="00BD4D21" w:rsidRPr="0026526A" w:rsidRDefault="00BD4D21" w:rsidP="00BD4D21">
            <w:pPr>
              <w:pStyle w:val="BoxListBullet"/>
              <w:widowControl w:val="0"/>
              <w:spacing w:before="80"/>
            </w:pPr>
            <w:r w:rsidRPr="0026526A">
              <w:t>Category 2</w:t>
            </w:r>
            <w:r>
              <w:t xml:space="preserve"> </w:t>
            </w:r>
            <w:r w:rsidRPr="0026526A">
              <w:t>—</w:t>
            </w:r>
            <w:r>
              <w:t xml:space="preserve"> </w:t>
            </w:r>
            <w:r w:rsidRPr="0026526A">
              <w:t xml:space="preserve">procedures that are clinically indicated within 90 days </w:t>
            </w:r>
          </w:p>
          <w:p w14:paraId="778F70A0" w14:textId="77777777" w:rsidR="00BD4D21" w:rsidRPr="0026526A" w:rsidRDefault="00BD4D21" w:rsidP="00BD4D21">
            <w:pPr>
              <w:pStyle w:val="BoxListBullet"/>
              <w:widowControl w:val="0"/>
              <w:spacing w:before="80"/>
            </w:pPr>
            <w:r w:rsidRPr="0026526A">
              <w:t>Category 3</w:t>
            </w:r>
            <w:r>
              <w:t xml:space="preserve"> </w:t>
            </w:r>
            <w:r w:rsidRPr="0026526A">
              <w:t>—</w:t>
            </w:r>
            <w:r>
              <w:t xml:space="preserve"> </w:t>
            </w:r>
            <w:r w:rsidRPr="0026526A">
              <w:t xml:space="preserve">procedures that are clinically indicated within 365 days. </w:t>
            </w:r>
          </w:p>
          <w:p w14:paraId="7E6CA202" w14:textId="7FE7EE00" w:rsidR="00BD4D21" w:rsidRDefault="00BD4D21" w:rsidP="00BD4D21">
            <w:pPr>
              <w:pStyle w:val="Box"/>
              <w:widowControl w:val="0"/>
            </w:pPr>
            <w:r>
              <w:t>The term ‘extended wait’ is used for patients in categories 1, 2 and 3 waiting longer than specified times (30 days, 90 days and 365 days respectively).</w:t>
            </w:r>
          </w:p>
        </w:tc>
      </w:tr>
      <w:tr w:rsidR="00A77581" w14:paraId="6153851B" w14:textId="77777777" w:rsidTr="007A6E54">
        <w:tc>
          <w:tcPr>
            <w:tcW w:w="5000" w:type="pct"/>
            <w:tcBorders>
              <w:top w:val="nil"/>
              <w:left w:val="nil"/>
              <w:bottom w:val="nil"/>
              <w:right w:val="nil"/>
            </w:tcBorders>
            <w:shd w:val="clear" w:color="auto" w:fill="F2F2F2"/>
          </w:tcPr>
          <w:p w14:paraId="3B665EE7" w14:textId="77777777" w:rsidR="00A77581" w:rsidRDefault="00A77581" w:rsidP="007A6E54">
            <w:pPr>
              <w:pStyle w:val="BoxSource"/>
              <w:jc w:val="right"/>
            </w:pPr>
            <w:r>
              <w:t>(continued next page)</w:t>
            </w:r>
          </w:p>
        </w:tc>
      </w:tr>
      <w:tr w:rsidR="00A77581" w14:paraId="41338E2B" w14:textId="77777777" w:rsidTr="007A6E54">
        <w:tc>
          <w:tcPr>
            <w:tcW w:w="5000" w:type="pct"/>
            <w:tcBorders>
              <w:top w:val="nil"/>
              <w:left w:val="nil"/>
              <w:bottom w:val="single" w:sz="6" w:space="0" w:color="78A22F"/>
              <w:right w:val="nil"/>
            </w:tcBorders>
            <w:shd w:val="clear" w:color="auto" w:fill="F2F2F2"/>
          </w:tcPr>
          <w:p w14:paraId="5C2637B2" w14:textId="77777777" w:rsidR="00A77581" w:rsidRDefault="00A77581" w:rsidP="007A6E54">
            <w:pPr>
              <w:pStyle w:val="Box"/>
              <w:spacing w:before="0" w:line="120" w:lineRule="exact"/>
            </w:pPr>
          </w:p>
        </w:tc>
      </w:tr>
      <w:tr w:rsidR="00A77581" w:rsidRPr="000863A5" w14:paraId="7E9C5FAD" w14:textId="77777777" w:rsidTr="007A6E54">
        <w:tc>
          <w:tcPr>
            <w:tcW w:w="5000" w:type="pct"/>
            <w:tcBorders>
              <w:top w:val="single" w:sz="6" w:space="0" w:color="78A22F"/>
              <w:left w:val="nil"/>
              <w:bottom w:val="nil"/>
              <w:right w:val="nil"/>
            </w:tcBorders>
          </w:tcPr>
          <w:p w14:paraId="71E1CDAD" w14:textId="77777777" w:rsidR="00A77581" w:rsidRPr="00626D32" w:rsidRDefault="00A77581" w:rsidP="007A6E54">
            <w:pPr>
              <w:pStyle w:val="BoxSpaceBelow"/>
            </w:pPr>
          </w:p>
        </w:tc>
      </w:tr>
    </w:tbl>
    <w:p w14:paraId="500F7D89"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7BE57445" w14:textId="77777777" w:rsidTr="007A6E54">
        <w:tc>
          <w:tcPr>
            <w:tcW w:w="8789" w:type="dxa"/>
            <w:tcBorders>
              <w:top w:val="single" w:sz="6" w:space="0" w:color="78A22F"/>
              <w:left w:val="nil"/>
              <w:bottom w:val="nil"/>
              <w:right w:val="nil"/>
            </w:tcBorders>
            <w:shd w:val="clear" w:color="auto" w:fill="F2F2F2"/>
          </w:tcPr>
          <w:p w14:paraId="7D4FDD30" w14:textId="02C00A7D" w:rsidR="00A77581" w:rsidRDefault="00A77581" w:rsidP="00CA60F0">
            <w:pPr>
              <w:pStyle w:val="BoxTitle"/>
              <w:keepLines w:val="0"/>
              <w:widowControl w:val="0"/>
            </w:pPr>
            <w:r>
              <w:rPr>
                <w:b w:val="0"/>
              </w:rPr>
              <w:t>Box 12.</w:t>
            </w:r>
            <w:r w:rsidR="00CA60F0">
              <w:rPr>
                <w:b w:val="0"/>
              </w:rPr>
              <w:t>3</w:t>
            </w:r>
            <w:r>
              <w:tab/>
            </w:r>
            <w:r w:rsidRPr="0062512C">
              <w:rPr>
                <w:b w:val="0"/>
                <w:sz w:val="18"/>
                <w:szCs w:val="18"/>
              </w:rPr>
              <w:t>(continued)</w:t>
            </w:r>
          </w:p>
        </w:tc>
      </w:tr>
      <w:tr w:rsidR="00A77581" w14:paraId="70F6ABA2" w14:textId="77777777" w:rsidTr="007A6E54">
        <w:trPr>
          <w:cantSplit/>
        </w:trPr>
        <w:tc>
          <w:tcPr>
            <w:tcW w:w="8789" w:type="dxa"/>
            <w:tcBorders>
              <w:top w:val="nil"/>
              <w:left w:val="nil"/>
              <w:bottom w:val="nil"/>
              <w:right w:val="nil"/>
            </w:tcBorders>
            <w:shd w:val="clear" w:color="auto" w:fill="F2F2F2"/>
          </w:tcPr>
          <w:p w14:paraId="5F6556FF" w14:textId="77777777" w:rsidR="00A77581" w:rsidRDefault="00A77581" w:rsidP="007A6E54">
            <w:pPr>
              <w:pStyle w:val="Box"/>
              <w:widowControl w:val="0"/>
            </w:pPr>
            <w:r>
              <w:t>For elective surgery waiting times by clinical urgency category, a low or decreasing proportion of patients who have experienced extended waits at admission is desirable. However, variation in the way patients are classified to urgency categories should be considered. Rather than comparing jurisdictions, the results for individual jurisdictions should be viewed in the context of the proportions of patients assigned to each of the three urgency categories.</w:t>
            </w:r>
          </w:p>
          <w:p w14:paraId="4DC7513F" w14:textId="77777777" w:rsidR="00A77581" w:rsidRDefault="00A77581" w:rsidP="007A6E54">
            <w:pPr>
              <w:pStyle w:val="BoxHeading2"/>
              <w:widowControl w:val="0"/>
              <w:spacing w:before="140"/>
            </w:pPr>
            <w:r>
              <w:t>Presentations to emergency departments with a length of stay of 4 hours or less ending in admission</w:t>
            </w:r>
          </w:p>
          <w:p w14:paraId="7284CB34" w14:textId="77777777" w:rsidR="00A77581" w:rsidRDefault="00A77581" w:rsidP="007A6E54">
            <w:pPr>
              <w:pStyle w:val="Box"/>
              <w:widowControl w:val="0"/>
            </w:pPr>
            <w:r w:rsidRPr="00646051">
              <w:t xml:space="preserve">‘Presentations to emergency departments with a length of stay of 4 hours or less ending in admission’ is defined as the </w:t>
            </w:r>
            <w:r>
              <w:t>proportion</w:t>
            </w:r>
            <w:r w:rsidRPr="00646051">
              <w:t xml:space="preserve"> of presentations to public hospital emergency departments where the time from presentation to admission</w:t>
            </w:r>
            <w:r>
              <w:t xml:space="preserve"> to hospital</w:t>
            </w:r>
            <w:r w:rsidRPr="00646051">
              <w:t xml:space="preserve"> is less than or equal to </w:t>
            </w:r>
            <w:r>
              <w:t>4 </w:t>
            </w:r>
            <w:r w:rsidRPr="00646051">
              <w:t>hours.</w:t>
            </w:r>
          </w:p>
          <w:p w14:paraId="6B748A9D" w14:textId="77777777" w:rsidR="00A77581" w:rsidRPr="0062512C" w:rsidRDefault="00A77581" w:rsidP="007A6E54">
            <w:pPr>
              <w:pStyle w:val="Box"/>
              <w:widowControl w:val="0"/>
            </w:pPr>
            <w:r>
              <w:t>A high or increasing proportion of presentations to emergency departments with a length of stay of 4 hours or less ending in admission is desirable.</w:t>
            </w:r>
          </w:p>
        </w:tc>
      </w:tr>
      <w:tr w:rsidR="00A77581" w14:paraId="60C49337" w14:textId="77777777" w:rsidTr="007A6E54">
        <w:trPr>
          <w:cantSplit/>
        </w:trPr>
        <w:tc>
          <w:tcPr>
            <w:tcW w:w="8789" w:type="dxa"/>
            <w:tcBorders>
              <w:top w:val="nil"/>
              <w:left w:val="nil"/>
              <w:bottom w:val="single" w:sz="6" w:space="0" w:color="78A22F"/>
              <w:right w:val="nil"/>
            </w:tcBorders>
            <w:shd w:val="clear" w:color="auto" w:fill="F2F2F2"/>
          </w:tcPr>
          <w:p w14:paraId="422356C5" w14:textId="77777777" w:rsidR="00A77581" w:rsidRDefault="00A77581" w:rsidP="007A6E54">
            <w:pPr>
              <w:pStyle w:val="Box"/>
              <w:widowControl w:val="0"/>
              <w:spacing w:before="0" w:line="120" w:lineRule="exact"/>
            </w:pPr>
          </w:p>
        </w:tc>
      </w:tr>
      <w:tr w:rsidR="00A77581" w:rsidRPr="000863A5" w14:paraId="5B99AA66" w14:textId="77777777" w:rsidTr="007A6E54">
        <w:tc>
          <w:tcPr>
            <w:tcW w:w="8789" w:type="dxa"/>
            <w:tcBorders>
              <w:top w:val="single" w:sz="6" w:space="0" w:color="78A22F"/>
              <w:left w:val="nil"/>
              <w:bottom w:val="nil"/>
              <w:right w:val="nil"/>
            </w:tcBorders>
          </w:tcPr>
          <w:p w14:paraId="7050820A" w14:textId="77777777" w:rsidR="00A77581" w:rsidRPr="00626D32" w:rsidRDefault="00A77581" w:rsidP="007A6E54">
            <w:pPr>
              <w:pStyle w:val="BoxSpaceBelow"/>
              <w:spacing w:before="0" w:after="0"/>
            </w:pPr>
          </w:p>
        </w:tc>
      </w:tr>
    </w:tbl>
    <w:p w14:paraId="1CFA48CD" w14:textId="77777777" w:rsidR="00A77581" w:rsidRPr="00587530" w:rsidRDefault="00A77581" w:rsidP="00A77581">
      <w:pPr>
        <w:pStyle w:val="Heading4"/>
        <w:spacing w:before="420"/>
      </w:pPr>
      <w:bookmarkStart w:id="25" w:name="_Toc31210604"/>
      <w:r w:rsidRPr="00587530">
        <w:t>Access — Elective surgery waiting list turn over</w:t>
      </w:r>
      <w:bookmarkEnd w:id="25"/>
    </w:p>
    <w:p w14:paraId="48C7930D" w14:textId="6490E6B2" w:rsidR="00A77581" w:rsidRPr="00587530" w:rsidRDefault="00A77581" w:rsidP="00A77581">
      <w:pPr>
        <w:pStyle w:val="BodyText"/>
      </w:pPr>
      <w:r w:rsidRPr="00587530">
        <w:t>‘</w:t>
      </w:r>
      <w:r>
        <w:t>Elective surgery w</w:t>
      </w:r>
      <w:r w:rsidRPr="00587530">
        <w:t>aiting list turn over’ is an indicator of government’s objective to provide timely and accessible services to all (box 12.</w:t>
      </w:r>
      <w:r w:rsidR="00F26297">
        <w:t>4</w:t>
      </w:r>
      <w:r w:rsidRPr="00587530">
        <w:t>).</w:t>
      </w:r>
    </w:p>
    <w:p w14:paraId="2B612481" w14:textId="77777777" w:rsidR="00A77581" w:rsidRPr="00587530"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rsidRPr="00587530" w14:paraId="5B5E34E9" w14:textId="77777777" w:rsidTr="007A6E54">
        <w:trPr>
          <w:tblHeader/>
        </w:trPr>
        <w:tc>
          <w:tcPr>
            <w:tcW w:w="5000" w:type="pct"/>
            <w:tcBorders>
              <w:top w:val="single" w:sz="6" w:space="0" w:color="78A22F"/>
              <w:left w:val="nil"/>
              <w:bottom w:val="nil"/>
              <w:right w:val="nil"/>
            </w:tcBorders>
            <w:shd w:val="clear" w:color="auto" w:fill="F2F2F2"/>
          </w:tcPr>
          <w:p w14:paraId="48C226FB" w14:textId="124F24DF" w:rsidR="00A77581" w:rsidRPr="00587530" w:rsidRDefault="00A77581" w:rsidP="00CA60F0">
            <w:pPr>
              <w:pStyle w:val="BoxTitle"/>
            </w:pPr>
            <w:r w:rsidRPr="00587530">
              <w:rPr>
                <w:b w:val="0"/>
              </w:rPr>
              <w:t>Box 12.</w:t>
            </w:r>
            <w:r w:rsidR="00CA60F0">
              <w:rPr>
                <w:b w:val="0"/>
              </w:rPr>
              <w:t>4</w:t>
            </w:r>
            <w:r w:rsidRPr="00587530">
              <w:tab/>
              <w:t>Elective surgery waiting list turn over</w:t>
            </w:r>
          </w:p>
        </w:tc>
      </w:tr>
      <w:tr w:rsidR="00A77581" w:rsidRPr="008059FE" w14:paraId="384DBE44" w14:textId="77777777" w:rsidTr="007A6E54">
        <w:tc>
          <w:tcPr>
            <w:tcW w:w="5000" w:type="pct"/>
            <w:tcBorders>
              <w:top w:val="nil"/>
              <w:left w:val="nil"/>
              <w:bottom w:val="nil"/>
              <w:right w:val="nil"/>
            </w:tcBorders>
            <w:shd w:val="clear" w:color="auto" w:fill="F2F2F2"/>
          </w:tcPr>
          <w:p w14:paraId="4820C4A8" w14:textId="73F9D855" w:rsidR="00A77581" w:rsidRPr="008059FE" w:rsidRDefault="00A77581" w:rsidP="007A6E54">
            <w:pPr>
              <w:pStyle w:val="Box"/>
            </w:pPr>
            <w:r w:rsidRPr="008059FE">
              <w:t xml:space="preserve">‘Elective surgery waiting list turn over’ is defined as the number of additions to, and removals from, public hospital elective surgery waiting lists. It is measured </w:t>
            </w:r>
            <w:r w:rsidR="00600591">
              <w:t xml:space="preserve">as </w:t>
            </w:r>
            <w:r w:rsidRPr="008059FE">
              <w:t xml:space="preserve">the number of people removed from public hospital elective surgery waiting lists </w:t>
            </w:r>
            <w:r w:rsidR="00600591">
              <w:t xml:space="preserve">following admission for surgery </w:t>
            </w:r>
            <w:r w:rsidRPr="008059FE">
              <w:t>during the reference year</w:t>
            </w:r>
            <w:r w:rsidR="00600591">
              <w:t>, divided</w:t>
            </w:r>
            <w:r w:rsidRPr="008059FE">
              <w:t xml:space="preserve"> by the number of people added to public hospital elective surgery waiting lists during the same year, multiplied by 100. </w:t>
            </w:r>
          </w:p>
          <w:p w14:paraId="645AC0D0" w14:textId="7FA27AFF" w:rsidR="00600591" w:rsidRDefault="00A77581" w:rsidP="007A6E54">
            <w:pPr>
              <w:pStyle w:val="Box"/>
            </w:pPr>
            <w:r w:rsidRPr="008059FE">
              <w:t xml:space="preserve">The number of people removed from public hospital elective surgery waiting lists </w:t>
            </w:r>
            <w:r w:rsidR="00600591">
              <w:t xml:space="preserve">following admission for surgery </w:t>
            </w:r>
            <w:r w:rsidRPr="008059FE">
              <w:t xml:space="preserve">includes </w:t>
            </w:r>
            <w:r w:rsidR="00600591">
              <w:t xml:space="preserve">elective and emergency admissions. For context, the total number of removals from elective surgery waiting lists are also reported. Other reasons for removal </w:t>
            </w:r>
            <w:proofErr w:type="gramStart"/>
            <w:r w:rsidR="00600591">
              <w:t>include</w:t>
            </w:r>
            <w:r w:rsidR="00D0676F">
              <w:t>;</w:t>
            </w:r>
            <w:proofErr w:type="gramEnd"/>
            <w:r w:rsidR="00600591">
              <w:t xml:space="preserve"> </w:t>
            </w:r>
            <w:r w:rsidR="00600591" w:rsidRPr="00600591">
              <w:t xml:space="preserve">patient not contactable or died, </w:t>
            </w:r>
            <w:r w:rsidR="00600591">
              <w:t xml:space="preserve">patient </w:t>
            </w:r>
            <w:r w:rsidR="00600591" w:rsidRPr="00600591">
              <w:t>treated elsewhere, surgery not required or declined, transferred to another hospital's waiting list, and not reported</w:t>
            </w:r>
            <w:r w:rsidR="00600591">
              <w:t>.</w:t>
            </w:r>
          </w:p>
          <w:p w14:paraId="31A23EBE" w14:textId="2E46E8D5" w:rsidR="00A77581" w:rsidRPr="008059FE" w:rsidRDefault="00A77581" w:rsidP="00BD4D21">
            <w:pPr>
              <w:pStyle w:val="Box"/>
            </w:pPr>
            <w:r w:rsidRPr="008059FE">
              <w:t>When interpreting these data, 100 per cent indicates that an equal number of patients were added to public hospital elective surgery waiting lists as were removed following admission for surgery during the reporting period (therefore the number of patients on the waiting list will be largely unchanged). A figure less than 100 per cent indicates that more patients were added to public hospital elective surgery waiting lists than were removed following admission for surgery during the reporting period (therefore the number of patients on the waiting list will have increased).</w:t>
            </w:r>
          </w:p>
        </w:tc>
      </w:tr>
      <w:tr w:rsidR="00BD4D21" w:rsidRPr="008059FE" w14:paraId="351386E2" w14:textId="77777777" w:rsidTr="007A6E54">
        <w:tc>
          <w:tcPr>
            <w:tcW w:w="5000" w:type="pct"/>
            <w:tcBorders>
              <w:top w:val="nil"/>
              <w:left w:val="nil"/>
              <w:bottom w:val="nil"/>
              <w:right w:val="nil"/>
            </w:tcBorders>
            <w:shd w:val="clear" w:color="auto" w:fill="F2F2F2"/>
          </w:tcPr>
          <w:p w14:paraId="49C5672A" w14:textId="492A50A9" w:rsidR="00BD4D21" w:rsidRPr="008059FE" w:rsidRDefault="00BD4D21" w:rsidP="00BD4D21">
            <w:pPr>
              <w:pStyle w:val="BoxSource"/>
              <w:jc w:val="right"/>
            </w:pPr>
            <w:r>
              <w:t>(continued next page)</w:t>
            </w:r>
          </w:p>
        </w:tc>
      </w:tr>
      <w:tr w:rsidR="00A77581" w:rsidRPr="008059FE" w14:paraId="364D2435" w14:textId="77777777" w:rsidTr="007A6E54">
        <w:tc>
          <w:tcPr>
            <w:tcW w:w="5000" w:type="pct"/>
            <w:tcBorders>
              <w:top w:val="nil"/>
              <w:left w:val="nil"/>
              <w:bottom w:val="single" w:sz="6" w:space="0" w:color="78A22F"/>
              <w:right w:val="nil"/>
            </w:tcBorders>
            <w:shd w:val="clear" w:color="auto" w:fill="F2F2F2"/>
          </w:tcPr>
          <w:p w14:paraId="1988F5DF" w14:textId="77777777" w:rsidR="00A77581" w:rsidRPr="008059FE" w:rsidRDefault="00A77581" w:rsidP="007A6E54">
            <w:pPr>
              <w:pStyle w:val="Box"/>
              <w:spacing w:before="0" w:line="120" w:lineRule="exact"/>
            </w:pPr>
          </w:p>
        </w:tc>
      </w:tr>
      <w:tr w:rsidR="00A77581" w:rsidRPr="008059FE" w14:paraId="7B389E20" w14:textId="77777777" w:rsidTr="007A6E54">
        <w:tc>
          <w:tcPr>
            <w:tcW w:w="5000" w:type="pct"/>
            <w:tcBorders>
              <w:top w:val="single" w:sz="6" w:space="0" w:color="78A22F"/>
              <w:left w:val="nil"/>
              <w:bottom w:val="nil"/>
              <w:right w:val="nil"/>
            </w:tcBorders>
          </w:tcPr>
          <w:p w14:paraId="4872E7EF" w14:textId="77777777" w:rsidR="00A77581" w:rsidRPr="008059FE" w:rsidRDefault="00A77581" w:rsidP="007A6E54">
            <w:pPr>
              <w:pStyle w:val="BoxSpaceBelow"/>
            </w:pPr>
          </w:p>
        </w:tc>
      </w:tr>
    </w:tbl>
    <w:p w14:paraId="34DA155D" w14:textId="77777777" w:rsidR="00BD4D21" w:rsidRDefault="00BD4D21" w:rsidP="00A77581">
      <w:pPr>
        <w:pStyle w:val="Heading4"/>
        <w:spacing w:before="420"/>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D4D21" w14:paraId="73F0DFD6" w14:textId="77777777" w:rsidTr="007A6E54">
        <w:tc>
          <w:tcPr>
            <w:tcW w:w="8789" w:type="dxa"/>
            <w:tcBorders>
              <w:top w:val="single" w:sz="6" w:space="0" w:color="78A22F"/>
              <w:left w:val="nil"/>
              <w:bottom w:val="nil"/>
              <w:right w:val="nil"/>
            </w:tcBorders>
            <w:shd w:val="clear" w:color="auto" w:fill="F2F2F2"/>
          </w:tcPr>
          <w:p w14:paraId="01AD6463" w14:textId="7CE208F4" w:rsidR="00BD4D21" w:rsidRDefault="00BD4D21" w:rsidP="00CA60F0">
            <w:pPr>
              <w:pStyle w:val="BoxTitle"/>
              <w:keepLines w:val="0"/>
              <w:widowControl w:val="0"/>
            </w:pPr>
            <w:r>
              <w:rPr>
                <w:b w:val="0"/>
              </w:rPr>
              <w:t>Box 12.</w:t>
            </w:r>
            <w:r w:rsidR="00CA60F0">
              <w:rPr>
                <w:b w:val="0"/>
              </w:rPr>
              <w:t>4</w:t>
            </w:r>
            <w:r>
              <w:tab/>
            </w:r>
            <w:r w:rsidRPr="0062512C">
              <w:rPr>
                <w:b w:val="0"/>
                <w:sz w:val="18"/>
                <w:szCs w:val="18"/>
              </w:rPr>
              <w:t>(continued)</w:t>
            </w:r>
          </w:p>
        </w:tc>
      </w:tr>
      <w:tr w:rsidR="00BD4D21" w:rsidRPr="0062512C" w14:paraId="51FAF380" w14:textId="77777777" w:rsidTr="007A6E54">
        <w:trPr>
          <w:cantSplit/>
        </w:trPr>
        <w:tc>
          <w:tcPr>
            <w:tcW w:w="8789" w:type="dxa"/>
            <w:tcBorders>
              <w:top w:val="nil"/>
              <w:left w:val="nil"/>
              <w:bottom w:val="nil"/>
              <w:right w:val="nil"/>
            </w:tcBorders>
            <w:shd w:val="clear" w:color="auto" w:fill="F2F2F2"/>
          </w:tcPr>
          <w:p w14:paraId="171F73C4" w14:textId="77777777" w:rsidR="00BD4D21" w:rsidRPr="008059FE" w:rsidRDefault="00BD4D21" w:rsidP="00BD4D21">
            <w:pPr>
              <w:pStyle w:val="Box"/>
            </w:pPr>
            <w:r w:rsidRPr="008059FE">
              <w:t xml:space="preserve">A higher and increasing per cent of patient </w:t>
            </w:r>
            <w:proofErr w:type="spellStart"/>
            <w:r w:rsidRPr="008059FE">
              <w:t>turn over</w:t>
            </w:r>
            <w:proofErr w:type="spellEnd"/>
            <w:r w:rsidRPr="008059FE">
              <w:t xml:space="preserve"> is desirable as it indicates the public hospital system is keeping pace with demand for elective surgery. </w:t>
            </w:r>
          </w:p>
          <w:p w14:paraId="2CA8E512" w14:textId="77777777" w:rsidR="00BD4D21" w:rsidRPr="008059FE" w:rsidRDefault="00BD4D21" w:rsidP="00BD4D21">
            <w:pPr>
              <w:pStyle w:val="Box"/>
            </w:pPr>
            <w:r w:rsidRPr="008059FE">
              <w:t>Data for this indicator are:</w:t>
            </w:r>
          </w:p>
          <w:p w14:paraId="6668A639" w14:textId="77777777" w:rsidR="00BD4D21" w:rsidRPr="008059FE" w:rsidRDefault="00BD4D21" w:rsidP="00BD4D21">
            <w:pPr>
              <w:pStyle w:val="Box"/>
              <w:ind w:left="284"/>
            </w:pPr>
            <w:r w:rsidRPr="008059FE">
              <w:rPr>
                <w:shd w:val="clear" w:color="auto" w:fill="FCDED3"/>
              </w:rPr>
              <w:t xml:space="preserve">    </w:t>
            </w:r>
            <w:r w:rsidRPr="008059FE">
              <w:t xml:space="preserve"> not comparable across jurisdictions, but are comparable (subject to caveats) within jurisdictions over time</w:t>
            </w:r>
          </w:p>
          <w:p w14:paraId="69B7F9E7" w14:textId="300C9556" w:rsidR="00600591" w:rsidRPr="0062512C" w:rsidRDefault="00BD4D21" w:rsidP="00600591">
            <w:pPr>
              <w:pStyle w:val="Box"/>
              <w:widowControl w:val="0"/>
              <w:ind w:left="284"/>
            </w:pPr>
            <w:r w:rsidRPr="008059FE">
              <w:rPr>
                <w:shd w:val="clear" w:color="auto" w:fill="F15A25"/>
              </w:rPr>
              <w:t xml:space="preserve">    </w:t>
            </w:r>
            <w:r w:rsidRPr="008059FE">
              <w:t xml:space="preserve"> complete (subject to caveats) for the current reporting period. All required </w:t>
            </w:r>
            <w:r w:rsidR="00D40F7F">
              <w:t>2019</w:t>
            </w:r>
            <w:r w:rsidR="00D40F7F">
              <w:noBreakHyphen/>
              <w:t>20</w:t>
            </w:r>
            <w:r w:rsidRPr="008059FE">
              <w:t xml:space="preserve"> data are available for all jurisdictions.</w:t>
            </w:r>
          </w:p>
        </w:tc>
      </w:tr>
      <w:tr w:rsidR="00BD4D21" w14:paraId="2822E55B" w14:textId="77777777" w:rsidTr="007A6E54">
        <w:trPr>
          <w:cantSplit/>
        </w:trPr>
        <w:tc>
          <w:tcPr>
            <w:tcW w:w="8789" w:type="dxa"/>
            <w:tcBorders>
              <w:top w:val="nil"/>
              <w:left w:val="nil"/>
              <w:bottom w:val="single" w:sz="6" w:space="0" w:color="78A22F"/>
              <w:right w:val="nil"/>
            </w:tcBorders>
            <w:shd w:val="clear" w:color="auto" w:fill="F2F2F2"/>
          </w:tcPr>
          <w:p w14:paraId="235C5483" w14:textId="77777777" w:rsidR="00BD4D21" w:rsidRDefault="00BD4D21" w:rsidP="007A6E54">
            <w:pPr>
              <w:pStyle w:val="Box"/>
              <w:widowControl w:val="0"/>
              <w:spacing w:before="0" w:line="120" w:lineRule="exact"/>
            </w:pPr>
          </w:p>
        </w:tc>
      </w:tr>
      <w:tr w:rsidR="00BD4D21" w:rsidRPr="00626D32" w14:paraId="013D5E4B" w14:textId="77777777" w:rsidTr="007A6E54">
        <w:tc>
          <w:tcPr>
            <w:tcW w:w="8789" w:type="dxa"/>
            <w:tcBorders>
              <w:top w:val="single" w:sz="6" w:space="0" w:color="78A22F"/>
              <w:left w:val="nil"/>
              <w:bottom w:val="nil"/>
              <w:right w:val="nil"/>
            </w:tcBorders>
          </w:tcPr>
          <w:p w14:paraId="5DC59DA3" w14:textId="77777777" w:rsidR="00BD4D21" w:rsidRPr="00626D32" w:rsidRDefault="00BD4D21" w:rsidP="007A6E54">
            <w:pPr>
              <w:pStyle w:val="BoxSpaceBelow"/>
              <w:spacing w:before="0" w:after="0"/>
            </w:pPr>
          </w:p>
        </w:tc>
      </w:tr>
    </w:tbl>
    <w:p w14:paraId="4FFE1488" w14:textId="77777777" w:rsidR="00A77581" w:rsidRPr="00587530" w:rsidRDefault="00A77581" w:rsidP="00A77581">
      <w:pPr>
        <w:pStyle w:val="Heading4"/>
        <w:spacing w:before="420"/>
      </w:pPr>
      <w:bookmarkStart w:id="26" w:name="_Toc31210605"/>
      <w:r w:rsidRPr="008059FE">
        <w:t>Appropriateness — Appropriateness</w:t>
      </w:r>
      <w:r w:rsidRPr="00587530">
        <w:t xml:space="preserve"> of hospital services</w:t>
      </w:r>
      <w:bookmarkEnd w:id="26"/>
    </w:p>
    <w:p w14:paraId="616693B3" w14:textId="639E603E" w:rsidR="00A77581" w:rsidRDefault="00A77581" w:rsidP="00A77581">
      <w:pPr>
        <w:pStyle w:val="BodyText"/>
      </w:pPr>
      <w:r w:rsidRPr="00587530">
        <w:t>‘Appropriateness of hospital services’ is an indicator of government’s objective to provide care that is appropriate and responsive to the needs of individuals throughout their lifespan and communities (box 12.</w:t>
      </w:r>
      <w:r w:rsidR="00F26297">
        <w:t>5</w:t>
      </w:r>
      <w:r w:rsidRPr="00587530">
        <w:t>).</w:t>
      </w:r>
      <w:r w:rsidRPr="000B747F">
        <w:t xml:space="preserve"> </w:t>
      </w:r>
    </w:p>
    <w:p w14:paraId="373D2241"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rsidRPr="00587530" w14:paraId="29E57730" w14:textId="77777777" w:rsidTr="007A6E54">
        <w:trPr>
          <w:tblHeader/>
        </w:trPr>
        <w:tc>
          <w:tcPr>
            <w:tcW w:w="5000" w:type="pct"/>
            <w:tcBorders>
              <w:top w:val="single" w:sz="6" w:space="0" w:color="78A22F"/>
              <w:left w:val="nil"/>
              <w:bottom w:val="nil"/>
              <w:right w:val="nil"/>
            </w:tcBorders>
            <w:shd w:val="clear" w:color="auto" w:fill="F2F2F2"/>
          </w:tcPr>
          <w:p w14:paraId="3F57E47D" w14:textId="5EB7098E" w:rsidR="00A77581" w:rsidRPr="00587530" w:rsidRDefault="00A77581" w:rsidP="00CA60F0">
            <w:pPr>
              <w:pStyle w:val="BoxTitle"/>
            </w:pPr>
            <w:r w:rsidRPr="00587530">
              <w:rPr>
                <w:b w:val="0"/>
              </w:rPr>
              <w:t>Box 12.</w:t>
            </w:r>
            <w:r w:rsidR="00CA60F0">
              <w:rPr>
                <w:b w:val="0"/>
              </w:rPr>
              <w:t>5</w:t>
            </w:r>
            <w:r w:rsidRPr="00587530">
              <w:tab/>
              <w:t>Appropriateness of hospital services</w:t>
            </w:r>
          </w:p>
        </w:tc>
      </w:tr>
      <w:tr w:rsidR="00A77581" w:rsidRPr="00587530" w14:paraId="07148F92" w14:textId="77777777" w:rsidTr="007A6E54">
        <w:tc>
          <w:tcPr>
            <w:tcW w:w="5000" w:type="pct"/>
            <w:tcBorders>
              <w:top w:val="nil"/>
              <w:left w:val="nil"/>
              <w:bottom w:val="nil"/>
              <w:right w:val="nil"/>
            </w:tcBorders>
            <w:shd w:val="clear" w:color="auto" w:fill="F2F2F2"/>
          </w:tcPr>
          <w:p w14:paraId="631A35DE" w14:textId="77777777" w:rsidR="00A77581" w:rsidRPr="00587530" w:rsidRDefault="00A77581" w:rsidP="007A6E54">
            <w:pPr>
              <w:pStyle w:val="Box"/>
            </w:pPr>
            <w:r w:rsidRPr="00587530">
              <w:t xml:space="preserve">‘Appropriateness of hospital services’ </w:t>
            </w:r>
            <w:r>
              <w:t>is yet to be defined.</w:t>
            </w:r>
          </w:p>
          <w:p w14:paraId="7F915FC9" w14:textId="77777777" w:rsidR="00A77581" w:rsidRPr="00587530" w:rsidRDefault="00A77581" w:rsidP="007A6E54">
            <w:pPr>
              <w:pStyle w:val="Box"/>
            </w:pPr>
            <w:r>
              <w:t>This indicator has been identified for development and future reporting.</w:t>
            </w:r>
          </w:p>
        </w:tc>
      </w:tr>
      <w:tr w:rsidR="00A77581" w:rsidRPr="00587530" w14:paraId="03DBC199" w14:textId="77777777" w:rsidTr="007A6E54">
        <w:tc>
          <w:tcPr>
            <w:tcW w:w="5000" w:type="pct"/>
            <w:tcBorders>
              <w:top w:val="nil"/>
              <w:left w:val="nil"/>
              <w:bottom w:val="single" w:sz="6" w:space="0" w:color="78A22F"/>
              <w:right w:val="nil"/>
            </w:tcBorders>
            <w:shd w:val="clear" w:color="auto" w:fill="F2F2F2"/>
          </w:tcPr>
          <w:p w14:paraId="3AD476BB" w14:textId="77777777" w:rsidR="00A77581" w:rsidRPr="00587530" w:rsidRDefault="00A77581" w:rsidP="007A6E54">
            <w:pPr>
              <w:pStyle w:val="Box"/>
              <w:spacing w:before="0" w:line="120" w:lineRule="exact"/>
            </w:pPr>
          </w:p>
        </w:tc>
      </w:tr>
      <w:tr w:rsidR="00A77581" w:rsidRPr="000863A5" w14:paraId="0538D3C3" w14:textId="77777777" w:rsidTr="007A6E54">
        <w:tc>
          <w:tcPr>
            <w:tcW w:w="5000" w:type="pct"/>
            <w:tcBorders>
              <w:top w:val="single" w:sz="6" w:space="0" w:color="78A22F"/>
              <w:left w:val="nil"/>
              <w:bottom w:val="nil"/>
              <w:right w:val="nil"/>
            </w:tcBorders>
          </w:tcPr>
          <w:p w14:paraId="209EC002" w14:textId="77777777" w:rsidR="00A77581" w:rsidRPr="00626D32" w:rsidRDefault="00A77581" w:rsidP="007A6E54">
            <w:pPr>
              <w:pStyle w:val="BoxSpaceBelow"/>
            </w:pPr>
          </w:p>
        </w:tc>
      </w:tr>
    </w:tbl>
    <w:p w14:paraId="20E0CF5B" w14:textId="77777777" w:rsidR="00DF5D20" w:rsidRDefault="00DF5D20" w:rsidP="00A77581">
      <w:pPr>
        <w:pStyle w:val="Heading4"/>
      </w:pPr>
      <w:bookmarkStart w:id="27" w:name="_Toc31210606"/>
    </w:p>
    <w:p w14:paraId="1AD6EFE3" w14:textId="77777777" w:rsidR="00DF5D20" w:rsidRDefault="00DF5D20">
      <w:pPr>
        <w:rPr>
          <w:rFonts w:ascii="Arial" w:hAnsi="Arial"/>
          <w:szCs w:val="20"/>
        </w:rPr>
      </w:pPr>
      <w:r>
        <w:br w:type="page"/>
      </w:r>
    </w:p>
    <w:p w14:paraId="42BF7092" w14:textId="6B7FA482" w:rsidR="00A77581" w:rsidRDefault="00A77581" w:rsidP="00A77581">
      <w:pPr>
        <w:pStyle w:val="Heading4"/>
      </w:pPr>
      <w:r>
        <w:lastRenderedPageBreak/>
        <w:t>Quality — Safety — Accreditation</w:t>
      </w:r>
      <w:bookmarkEnd w:id="27"/>
      <w:r>
        <w:t xml:space="preserve"> </w:t>
      </w:r>
    </w:p>
    <w:p w14:paraId="454E6675" w14:textId="04AADC6E" w:rsidR="00A77581" w:rsidRDefault="00A77581" w:rsidP="00A77581">
      <w:pPr>
        <w:pStyle w:val="BodyText"/>
      </w:pPr>
      <w:r>
        <w:t>‘Accreditation’ is an indicator of governments’ objective to provide public hospital services that are high quality and safe (box 12.</w:t>
      </w:r>
      <w:r w:rsidR="00F26297">
        <w:t>6</w:t>
      </w:r>
      <w:r>
        <w:t>).</w:t>
      </w:r>
    </w:p>
    <w:p w14:paraId="6BBD730A"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rsidRPr="001D016C" w14:paraId="55119E2E" w14:textId="77777777" w:rsidTr="007A6E54">
        <w:tc>
          <w:tcPr>
            <w:tcW w:w="8789" w:type="dxa"/>
            <w:tcBorders>
              <w:top w:val="single" w:sz="6" w:space="0" w:color="78A22F"/>
              <w:left w:val="nil"/>
              <w:bottom w:val="nil"/>
              <w:right w:val="nil"/>
            </w:tcBorders>
            <w:shd w:val="clear" w:color="auto" w:fill="F2F2F2"/>
          </w:tcPr>
          <w:p w14:paraId="5DF32CFC" w14:textId="4067B6E1" w:rsidR="00A77581" w:rsidRPr="001D016C" w:rsidRDefault="00A77581" w:rsidP="00CA60F0">
            <w:pPr>
              <w:pStyle w:val="BoxTitle"/>
            </w:pPr>
            <w:r w:rsidRPr="001D016C">
              <w:rPr>
                <w:b w:val="0"/>
              </w:rPr>
              <w:t>Box 12.</w:t>
            </w:r>
            <w:r w:rsidR="00CA60F0">
              <w:rPr>
                <w:b w:val="0"/>
              </w:rPr>
              <w:t>6</w:t>
            </w:r>
            <w:r w:rsidRPr="001D016C">
              <w:tab/>
              <w:t>Accreditation</w:t>
            </w:r>
          </w:p>
        </w:tc>
      </w:tr>
      <w:tr w:rsidR="00A77581" w:rsidRPr="001D016C" w14:paraId="2640FECB" w14:textId="77777777" w:rsidTr="007A6E54">
        <w:trPr>
          <w:cantSplit/>
        </w:trPr>
        <w:tc>
          <w:tcPr>
            <w:tcW w:w="8789" w:type="dxa"/>
            <w:tcBorders>
              <w:top w:val="nil"/>
              <w:left w:val="nil"/>
              <w:bottom w:val="nil"/>
              <w:right w:val="nil"/>
            </w:tcBorders>
            <w:shd w:val="clear" w:color="auto" w:fill="F2F2F2"/>
          </w:tcPr>
          <w:p w14:paraId="1FEE345D" w14:textId="02CA867F" w:rsidR="00A77581" w:rsidRDefault="00A77581" w:rsidP="007A6E54">
            <w:pPr>
              <w:pStyle w:val="Box"/>
            </w:pPr>
            <w:r w:rsidRPr="001D016C">
              <w:t>‘Accreditation’ is defined by the proportion of hospitals accredited to the National Safety and Quality Health Service standards.</w:t>
            </w:r>
          </w:p>
          <w:p w14:paraId="4FB97CC7" w14:textId="77777777" w:rsidR="00F60140" w:rsidRDefault="00F60140" w:rsidP="00F60140">
            <w:pPr>
              <w:pStyle w:val="Box"/>
            </w:pPr>
            <w:r>
              <w:t xml:space="preserve">It is mandatory for all hospitals and day procedure services to be accredited to the Standards. Health service organisations must demonstrate that they meet </w:t>
            </w:r>
            <w:proofErr w:type="gramStart"/>
            <w:r>
              <w:t>all of</w:t>
            </w:r>
            <w:proofErr w:type="gramEnd"/>
            <w:r>
              <w:t xml:space="preserve"> the requirements in the Standards to achieve accreditation. Reaccreditation against the Standards is required every three years. The standards are: </w:t>
            </w:r>
          </w:p>
          <w:p w14:paraId="6359A7FE" w14:textId="49B56A3D" w:rsidR="00D40F7F" w:rsidRDefault="00D40F7F" w:rsidP="00F60140">
            <w:pPr>
              <w:pStyle w:val="BoxListBullet"/>
            </w:pPr>
            <w:r>
              <w:t>Clinical governance</w:t>
            </w:r>
          </w:p>
          <w:p w14:paraId="018EA108" w14:textId="77777777" w:rsidR="00D40F7F" w:rsidRDefault="00D40F7F" w:rsidP="00D40F7F">
            <w:pPr>
              <w:pStyle w:val="BoxListBullet"/>
            </w:pPr>
            <w:r>
              <w:t>Partnering with consumers</w:t>
            </w:r>
          </w:p>
          <w:p w14:paraId="57C456A5" w14:textId="77777777" w:rsidR="00D40F7F" w:rsidRDefault="00D40F7F" w:rsidP="00D40F7F">
            <w:pPr>
              <w:pStyle w:val="BoxListBullet"/>
            </w:pPr>
            <w:r>
              <w:t>Preventing and controlling healthcare-associated infection</w:t>
            </w:r>
          </w:p>
          <w:p w14:paraId="223CCE43" w14:textId="77777777" w:rsidR="00D40F7F" w:rsidRDefault="00D40F7F" w:rsidP="00D40F7F">
            <w:pPr>
              <w:pStyle w:val="BoxListBullet"/>
            </w:pPr>
            <w:r>
              <w:t>Medication safety</w:t>
            </w:r>
          </w:p>
          <w:p w14:paraId="11C1A8E0" w14:textId="77777777" w:rsidR="00D40F7F" w:rsidRDefault="00D40F7F" w:rsidP="00D40F7F">
            <w:pPr>
              <w:pStyle w:val="BoxListBullet"/>
            </w:pPr>
            <w:r>
              <w:t>Comprehensive care</w:t>
            </w:r>
          </w:p>
          <w:p w14:paraId="4D784642" w14:textId="77777777" w:rsidR="00D40F7F" w:rsidRDefault="00D40F7F" w:rsidP="00D40F7F">
            <w:pPr>
              <w:pStyle w:val="BoxListBullet"/>
            </w:pPr>
            <w:r>
              <w:t>Communicating for safety</w:t>
            </w:r>
          </w:p>
          <w:p w14:paraId="1A2C2440" w14:textId="77777777" w:rsidR="00D40F7F" w:rsidRDefault="00D40F7F" w:rsidP="00D40F7F">
            <w:pPr>
              <w:pStyle w:val="BoxListBullet"/>
            </w:pPr>
            <w:r>
              <w:t>Blood management</w:t>
            </w:r>
          </w:p>
          <w:p w14:paraId="2A776FA9" w14:textId="77777777" w:rsidR="00D40F7F" w:rsidRDefault="00D40F7F" w:rsidP="00D40F7F">
            <w:pPr>
              <w:pStyle w:val="BoxListBullet"/>
            </w:pPr>
            <w:r>
              <w:t>Recognising and responding to acute deterioration.</w:t>
            </w:r>
          </w:p>
          <w:p w14:paraId="002608FD" w14:textId="59D582B1" w:rsidR="00A77581" w:rsidRDefault="00E90074" w:rsidP="007A6E54">
            <w:pPr>
              <w:pStyle w:val="Box"/>
            </w:pPr>
            <w:r>
              <w:t xml:space="preserve">A high or increasing rate of accreditation is desirable. Accreditation against the Standards is evidence that a hospital has been able to demonstrate compliance with the Standards. It does not mean that an accredited hospital will always provide high quality and safe care. This indicator should be interpreted in conjunction with other indicators of public hospital quality and safety. </w:t>
            </w:r>
          </w:p>
          <w:p w14:paraId="4E336F48" w14:textId="77777777" w:rsidR="00A77581" w:rsidRPr="001D016C" w:rsidRDefault="00A77581" w:rsidP="007A6E54">
            <w:pPr>
              <w:pStyle w:val="Box"/>
            </w:pPr>
            <w:r w:rsidRPr="00517863">
              <w:t>Data are not available for reporting against this indicator</w:t>
            </w:r>
            <w:r>
              <w:t xml:space="preserve">. </w:t>
            </w:r>
          </w:p>
        </w:tc>
      </w:tr>
      <w:tr w:rsidR="00A77581" w:rsidRPr="001D016C" w14:paraId="6734A9E3" w14:textId="77777777" w:rsidTr="007A6E54">
        <w:trPr>
          <w:cantSplit/>
        </w:trPr>
        <w:tc>
          <w:tcPr>
            <w:tcW w:w="8789" w:type="dxa"/>
            <w:tcBorders>
              <w:top w:val="nil"/>
              <w:left w:val="nil"/>
              <w:bottom w:val="single" w:sz="6" w:space="0" w:color="78A22F"/>
              <w:right w:val="nil"/>
            </w:tcBorders>
            <w:shd w:val="clear" w:color="auto" w:fill="F2F2F2"/>
          </w:tcPr>
          <w:p w14:paraId="267B673F" w14:textId="77777777" w:rsidR="00A77581" w:rsidRPr="001D016C" w:rsidRDefault="00A77581" w:rsidP="007A6E54">
            <w:pPr>
              <w:pStyle w:val="Box"/>
              <w:spacing w:before="0" w:line="120" w:lineRule="exact"/>
              <w:rPr>
                <w:color w:val="FF0000"/>
              </w:rPr>
            </w:pPr>
          </w:p>
        </w:tc>
      </w:tr>
      <w:tr w:rsidR="00A77581" w:rsidRPr="001D016C" w14:paraId="70B2332F" w14:textId="77777777" w:rsidTr="007A6E54">
        <w:tc>
          <w:tcPr>
            <w:tcW w:w="8789" w:type="dxa"/>
            <w:tcBorders>
              <w:top w:val="single" w:sz="6" w:space="0" w:color="78A22F"/>
              <w:left w:val="nil"/>
              <w:bottom w:val="nil"/>
              <w:right w:val="nil"/>
            </w:tcBorders>
          </w:tcPr>
          <w:p w14:paraId="6A6646AC" w14:textId="77777777" w:rsidR="00A77581" w:rsidRPr="001D016C" w:rsidRDefault="00A77581" w:rsidP="007A6E54">
            <w:pPr>
              <w:pStyle w:val="BoxSpaceBelow"/>
              <w:rPr>
                <w:color w:val="FF00FF"/>
              </w:rPr>
            </w:pPr>
          </w:p>
        </w:tc>
      </w:tr>
    </w:tbl>
    <w:p w14:paraId="0826110C" w14:textId="195BC550" w:rsidR="00A77581" w:rsidRDefault="00A77581" w:rsidP="00A77581">
      <w:pPr>
        <w:pStyle w:val="Heading4"/>
      </w:pPr>
      <w:bookmarkStart w:id="28" w:name="_Toc31210607"/>
      <w:r>
        <w:t>Quality — Safety — Adverse events in public hospitals</w:t>
      </w:r>
      <w:bookmarkEnd w:id="28"/>
    </w:p>
    <w:p w14:paraId="3768AE8F" w14:textId="3A0E22D6" w:rsidR="00A77581" w:rsidRDefault="00A77581" w:rsidP="00A77581">
      <w:pPr>
        <w:pStyle w:val="BodyText"/>
      </w:pPr>
      <w:r>
        <w:t>‘Adverse events in public hospitals’ is an indicator of governments’ objective to provide public hospital services that are high quality and safe (box 12.</w:t>
      </w:r>
      <w:r w:rsidR="00F26297">
        <w:t>7</w:t>
      </w:r>
      <w:r>
        <w:t xml:space="preserve">). </w:t>
      </w:r>
      <w:r w:rsidRPr="00005662">
        <w:t>Sentinel events, which are a subset of adverse events that result in death or very serious harm to the patient, are reported as a separate output indicator.</w:t>
      </w:r>
    </w:p>
    <w:p w14:paraId="45FD7C71"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7A7D0071" w14:textId="77777777" w:rsidTr="007A6E54">
        <w:tc>
          <w:tcPr>
            <w:tcW w:w="8789" w:type="dxa"/>
            <w:tcBorders>
              <w:top w:val="single" w:sz="6" w:space="0" w:color="78A22F"/>
              <w:left w:val="nil"/>
              <w:bottom w:val="nil"/>
              <w:right w:val="nil"/>
            </w:tcBorders>
            <w:shd w:val="clear" w:color="auto" w:fill="F2F2F2"/>
          </w:tcPr>
          <w:p w14:paraId="289BC262" w14:textId="4FE70361" w:rsidR="00A77581" w:rsidRDefault="00A77581" w:rsidP="00CA60F0">
            <w:pPr>
              <w:pStyle w:val="BoxTitle"/>
            </w:pPr>
            <w:r>
              <w:rPr>
                <w:b w:val="0"/>
              </w:rPr>
              <w:t>Box 12.</w:t>
            </w:r>
            <w:r w:rsidR="00CA60F0">
              <w:rPr>
                <w:b w:val="0"/>
              </w:rPr>
              <w:t>7</w:t>
            </w:r>
            <w:r>
              <w:tab/>
            </w:r>
            <w:r w:rsidRPr="000539E3">
              <w:t>Adverse events in public hospitals</w:t>
            </w:r>
          </w:p>
        </w:tc>
      </w:tr>
      <w:tr w:rsidR="00A77581" w14:paraId="08F87580" w14:textId="77777777" w:rsidTr="007A6E54">
        <w:trPr>
          <w:cantSplit/>
        </w:trPr>
        <w:tc>
          <w:tcPr>
            <w:tcW w:w="8789" w:type="dxa"/>
            <w:tcBorders>
              <w:top w:val="nil"/>
              <w:left w:val="nil"/>
              <w:bottom w:val="nil"/>
              <w:right w:val="nil"/>
            </w:tcBorders>
            <w:shd w:val="clear" w:color="auto" w:fill="F2F2F2"/>
          </w:tcPr>
          <w:p w14:paraId="2886DCE6" w14:textId="77777777" w:rsidR="00A77581" w:rsidRDefault="00A77581" w:rsidP="007A6E54">
            <w:pPr>
              <w:pStyle w:val="Box"/>
            </w:pPr>
            <w:r>
              <w:t xml:space="preserve">‘Adverse events in public hospitals’ is defined by the following three measures: </w:t>
            </w:r>
          </w:p>
          <w:p w14:paraId="58D5221E" w14:textId="77777777" w:rsidR="00A77581" w:rsidRDefault="00A77581" w:rsidP="007A6E54">
            <w:pPr>
              <w:pStyle w:val="BoxListBullet"/>
            </w:pPr>
            <w:r>
              <w:t>S</w:t>
            </w:r>
            <w:r w:rsidRPr="000A750A">
              <w:t>elected h</w:t>
            </w:r>
            <w:r>
              <w:t>ealthcare-associated infections</w:t>
            </w:r>
          </w:p>
          <w:p w14:paraId="038ACC71" w14:textId="77777777" w:rsidR="00A77581" w:rsidRDefault="00A77581" w:rsidP="007A6E54">
            <w:pPr>
              <w:pStyle w:val="BoxListBullet"/>
            </w:pPr>
            <w:r>
              <w:t>Adverse events treated in hospitals</w:t>
            </w:r>
          </w:p>
          <w:p w14:paraId="7ED1C1F8" w14:textId="77777777" w:rsidR="00A77581" w:rsidRDefault="00A77581" w:rsidP="007A6E54">
            <w:pPr>
              <w:pStyle w:val="BoxListBullet"/>
            </w:pPr>
            <w:r>
              <w:t>F</w:t>
            </w:r>
            <w:r w:rsidRPr="00232AA2">
              <w:t>alls resulting in patient harm in hospitals</w:t>
            </w:r>
            <w:r>
              <w:t>.</w:t>
            </w:r>
          </w:p>
          <w:p w14:paraId="500B4CC4" w14:textId="77777777" w:rsidR="00A77581" w:rsidRDefault="00A77581" w:rsidP="007A6E54">
            <w:pPr>
              <w:pStyle w:val="BoxHeading2"/>
            </w:pPr>
            <w:r w:rsidRPr="000A750A">
              <w:t xml:space="preserve">Selected </w:t>
            </w:r>
            <w:r>
              <w:t xml:space="preserve">healthcare-associated infections </w:t>
            </w:r>
          </w:p>
          <w:p w14:paraId="5C8CD6D7" w14:textId="77777777" w:rsidR="00A77581" w:rsidRDefault="00A77581" w:rsidP="007A6E54">
            <w:pPr>
              <w:pStyle w:val="Box"/>
            </w:pPr>
            <w:r>
              <w:t>‘</w:t>
            </w:r>
            <w:r w:rsidRPr="000A750A">
              <w:t xml:space="preserve">Selected </w:t>
            </w:r>
            <w:r>
              <w:t xml:space="preserve">healthcare-associated infections’ is the number of </w:t>
            </w:r>
            <w:r w:rsidRPr="00254603">
              <w:rPr>
                <w:i/>
              </w:rPr>
              <w:t>Staphylococcus aureus</w:t>
            </w:r>
            <w:r>
              <w:t xml:space="preserve"> (including Methicillin-resistant </w:t>
            </w:r>
            <w:r w:rsidRPr="00254603">
              <w:rPr>
                <w:i/>
              </w:rPr>
              <w:t>Staphylococcus aureus</w:t>
            </w:r>
            <w:r>
              <w:t xml:space="preserve"> [MRSA]) bacteraemia (SAB) patient episodes associated with public hospitals (admitted and non-admitted patients), expressed as a rate per 10 000 patient days for public hospitals. </w:t>
            </w:r>
          </w:p>
          <w:p w14:paraId="221AD591" w14:textId="77777777" w:rsidR="00A77581" w:rsidRDefault="00A77581" w:rsidP="007A6E54">
            <w:pPr>
              <w:pStyle w:val="Box"/>
            </w:pPr>
            <w:r w:rsidRPr="00F70A15">
              <w:t>A patient episode of SAB is defined as a positive blood culture for SAB. Only the first isolate per patient is counted, unless at least 14 days has passed without a positive blood culture, after which an additional episode is recorded.</w:t>
            </w:r>
          </w:p>
          <w:p w14:paraId="7A7FDEE2" w14:textId="77777777" w:rsidR="00A77581" w:rsidRPr="00750251" w:rsidRDefault="00A77581" w:rsidP="007A6E54">
            <w:pPr>
              <w:pStyle w:val="Box"/>
            </w:pPr>
            <w:r w:rsidRPr="00750251">
              <w:t xml:space="preserve">SAB is considered to be healthcare-associated if the first positive blood culture is collected more than 48 hours after hospital admission or less than 48 hours after discharge, or if the first positive blood culture is collected </w:t>
            </w:r>
            <w:r w:rsidRPr="00F2288F">
              <w:t>less than or equal to</w:t>
            </w:r>
            <w:r w:rsidRPr="00750251">
              <w:t xml:space="preserve"> 48 hours after </w:t>
            </w:r>
            <w:r w:rsidRPr="00F2288F">
              <w:t>admission to hospital</w:t>
            </w:r>
            <w:r w:rsidRPr="00750251">
              <w:t xml:space="preserve"> and the patient episode of </w:t>
            </w:r>
            <w:r w:rsidRPr="00F2288F">
              <w:t>SAB meets at least one of the following criteria:</w:t>
            </w:r>
            <w:r w:rsidRPr="00750251">
              <w:t xml:space="preserve"> </w:t>
            </w:r>
          </w:p>
          <w:p w14:paraId="169681AF" w14:textId="77777777" w:rsidR="00A77581" w:rsidRDefault="00A77581" w:rsidP="007A6E54">
            <w:pPr>
              <w:pStyle w:val="BoxListBullet"/>
            </w:pPr>
            <w:r>
              <w:t>SAB is a complication of the presence of an indwelling medical device</w:t>
            </w:r>
          </w:p>
          <w:p w14:paraId="26F9DA89" w14:textId="77777777" w:rsidR="00A77581" w:rsidRDefault="00A77581" w:rsidP="007A6E54">
            <w:pPr>
              <w:pStyle w:val="BoxListBullet"/>
            </w:pPr>
            <w:r>
              <w:t xml:space="preserve">SAB occurs within 30 days of a surgical procedure </w:t>
            </w:r>
            <w:r w:rsidRPr="00F2288F">
              <w:t xml:space="preserve">where the </w:t>
            </w:r>
            <w:r>
              <w:t>SAB is related to the surgical site</w:t>
            </w:r>
          </w:p>
          <w:p w14:paraId="5A4189F1" w14:textId="77777777" w:rsidR="00A77581" w:rsidRDefault="00A77581" w:rsidP="007A6E54">
            <w:pPr>
              <w:pStyle w:val="BoxListBullet"/>
            </w:pPr>
            <w:r w:rsidRPr="00F2288F">
              <w:t>SAB was diagnosed within 48 hours of a related</w:t>
            </w:r>
            <w:r>
              <w:t xml:space="preserve"> invasive instrumentation or incision </w:t>
            </w:r>
          </w:p>
          <w:p w14:paraId="1F55CA07" w14:textId="77777777" w:rsidR="00A77581" w:rsidRDefault="00A77581" w:rsidP="007A6E54">
            <w:pPr>
              <w:pStyle w:val="BoxListBullet"/>
            </w:pPr>
            <w:r>
              <w:t xml:space="preserve">SAB is associated with neutropenia contributed to by cytotoxic therapy. </w:t>
            </w:r>
            <w:r w:rsidRPr="00BA2D4A">
              <w:t>Neutropenia is defined as at least two separate calendar days with values of absolute neutrophil count (ANC</w:t>
            </w:r>
            <w:r w:rsidRPr="00F2288F">
              <w:t>) or total white blood cell count &lt;</w:t>
            </w:r>
            <w:r w:rsidRPr="00BA2D4A">
              <w:t>500 cell/mm</w:t>
            </w:r>
            <w:r w:rsidRPr="00B86A29">
              <w:rPr>
                <w:vertAlign w:val="superscript"/>
              </w:rPr>
              <w:t>3</w:t>
            </w:r>
            <w:r w:rsidRPr="00BA2D4A">
              <w:t xml:space="preserve"> (0.5 × 10</w:t>
            </w:r>
            <w:r w:rsidRPr="00B86A29">
              <w:rPr>
                <w:vertAlign w:val="superscript"/>
              </w:rPr>
              <w:t>9</w:t>
            </w:r>
            <w:r w:rsidRPr="00BA2D4A">
              <w:t xml:space="preserve">/L) on or within a seven-day time period which includes the date the positive blood specimen was collected (Day 1), the </w:t>
            </w:r>
            <w:r>
              <w:t>three</w:t>
            </w:r>
            <w:r w:rsidRPr="00BA2D4A">
              <w:t xml:space="preserve"> calendar days before and the </w:t>
            </w:r>
            <w:r>
              <w:t>three</w:t>
            </w:r>
            <w:r w:rsidRPr="00BA2D4A">
              <w:t xml:space="preserve"> calendar days after.</w:t>
            </w:r>
          </w:p>
          <w:p w14:paraId="39344277" w14:textId="77777777" w:rsidR="00A77581" w:rsidRDefault="00A77581" w:rsidP="007A6E54">
            <w:pPr>
              <w:pStyle w:val="Box"/>
            </w:pPr>
            <w:r>
              <w:t>Cases where a known previous positive test has been obtained within the last 14 days are excluded. Patient days for unqualified newborns, hospital boarders and posthumous organ procurement are excluded.</w:t>
            </w:r>
          </w:p>
          <w:p w14:paraId="24E6937E" w14:textId="77777777" w:rsidR="00A77581" w:rsidRDefault="00A77581" w:rsidP="007A6E54">
            <w:pPr>
              <w:pStyle w:val="Box"/>
            </w:pPr>
            <w:r>
              <w:t>A low or decreasing rate of selected healthcare-associated infections is desirable.</w:t>
            </w:r>
          </w:p>
          <w:p w14:paraId="10E227B1" w14:textId="77777777" w:rsidR="001D5EDE" w:rsidRDefault="001D5EDE" w:rsidP="001D5EDE">
            <w:pPr>
              <w:pStyle w:val="Box"/>
            </w:pPr>
            <w:r>
              <w:t>Data reported for this measure are:</w:t>
            </w:r>
          </w:p>
          <w:p w14:paraId="4F19635A" w14:textId="77777777" w:rsidR="001D5EDE" w:rsidRDefault="001D5EDE" w:rsidP="001D5EDE">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0CCF89B2" w14:textId="146ABC33" w:rsidR="001D5EDE" w:rsidRDefault="001D5EDE" w:rsidP="00C24F2E">
            <w:pPr>
              <w:pStyle w:val="Box"/>
              <w:ind w:left="284"/>
            </w:pPr>
            <w:r w:rsidRPr="009273A9">
              <w:rPr>
                <w:shd w:val="clear" w:color="auto" w:fill="F15A25"/>
              </w:rPr>
              <w:t xml:space="preserve">    </w:t>
            </w:r>
            <w:r>
              <w:t xml:space="preserve"> complete (subject to caveats) for the current reporting period. All required 2019</w:t>
            </w:r>
            <w:r>
              <w:noBreakHyphen/>
              <w:t>20 data are available for all jurisdictions.</w:t>
            </w:r>
          </w:p>
          <w:p w14:paraId="3CB50E75" w14:textId="77777777" w:rsidR="00A77581" w:rsidRDefault="00A77581" w:rsidP="007A6E54">
            <w:pPr>
              <w:pStyle w:val="Continued"/>
            </w:pPr>
            <w:r>
              <w:t>(continued next page)</w:t>
            </w:r>
          </w:p>
        </w:tc>
      </w:tr>
      <w:tr w:rsidR="00A77581" w14:paraId="74F84A1F" w14:textId="77777777" w:rsidTr="007A6E54">
        <w:trPr>
          <w:cantSplit/>
        </w:trPr>
        <w:tc>
          <w:tcPr>
            <w:tcW w:w="8789" w:type="dxa"/>
            <w:tcBorders>
              <w:top w:val="nil"/>
              <w:left w:val="nil"/>
              <w:bottom w:val="single" w:sz="6" w:space="0" w:color="78A22F"/>
              <w:right w:val="nil"/>
            </w:tcBorders>
            <w:shd w:val="clear" w:color="auto" w:fill="F2F2F2"/>
          </w:tcPr>
          <w:p w14:paraId="3EC05E8E" w14:textId="77777777" w:rsidR="00A77581" w:rsidRDefault="00A77581" w:rsidP="007A6E54">
            <w:pPr>
              <w:pStyle w:val="Box"/>
              <w:spacing w:before="0" w:line="120" w:lineRule="exact"/>
            </w:pPr>
          </w:p>
        </w:tc>
      </w:tr>
      <w:tr w:rsidR="00A77581" w:rsidRPr="000863A5" w14:paraId="66B9FEAB" w14:textId="77777777" w:rsidTr="007A6E54">
        <w:tc>
          <w:tcPr>
            <w:tcW w:w="8789" w:type="dxa"/>
            <w:tcBorders>
              <w:top w:val="single" w:sz="6" w:space="0" w:color="78A22F"/>
              <w:left w:val="nil"/>
              <w:bottom w:val="nil"/>
              <w:right w:val="nil"/>
            </w:tcBorders>
          </w:tcPr>
          <w:p w14:paraId="74406D9C" w14:textId="77777777" w:rsidR="00A77581" w:rsidRPr="00626D32" w:rsidRDefault="00A77581" w:rsidP="007A6E54">
            <w:pPr>
              <w:pStyle w:val="BoxSpaceBelow"/>
            </w:pPr>
          </w:p>
        </w:tc>
      </w:tr>
    </w:tbl>
    <w:p w14:paraId="086BCFD9"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580093D7" w14:textId="77777777" w:rsidTr="007A6E54">
        <w:tc>
          <w:tcPr>
            <w:tcW w:w="8789" w:type="dxa"/>
            <w:tcBorders>
              <w:top w:val="single" w:sz="6" w:space="0" w:color="78A22F"/>
              <w:left w:val="nil"/>
              <w:bottom w:val="nil"/>
              <w:right w:val="nil"/>
            </w:tcBorders>
            <w:shd w:val="clear" w:color="auto" w:fill="F2F2F2"/>
          </w:tcPr>
          <w:p w14:paraId="2B1176A0" w14:textId="0BA63EEF" w:rsidR="00A77581" w:rsidRDefault="00A77581" w:rsidP="00CA60F0">
            <w:pPr>
              <w:pStyle w:val="BoxTitle"/>
            </w:pPr>
            <w:r>
              <w:rPr>
                <w:b w:val="0"/>
              </w:rPr>
              <w:t>Box 12.</w:t>
            </w:r>
            <w:r w:rsidR="00CA60F0">
              <w:rPr>
                <w:b w:val="0"/>
              </w:rPr>
              <w:t>7</w:t>
            </w:r>
            <w:r>
              <w:tab/>
            </w:r>
            <w:r w:rsidRPr="00462DF2">
              <w:rPr>
                <w:b w:val="0"/>
                <w:sz w:val="18"/>
                <w:szCs w:val="18"/>
              </w:rPr>
              <w:t>(continued)</w:t>
            </w:r>
          </w:p>
        </w:tc>
      </w:tr>
      <w:tr w:rsidR="00A77581" w14:paraId="1B021894" w14:textId="77777777" w:rsidTr="007A6E54">
        <w:trPr>
          <w:cantSplit/>
        </w:trPr>
        <w:tc>
          <w:tcPr>
            <w:tcW w:w="8789" w:type="dxa"/>
            <w:tcBorders>
              <w:top w:val="nil"/>
              <w:left w:val="nil"/>
              <w:bottom w:val="nil"/>
              <w:right w:val="nil"/>
            </w:tcBorders>
            <w:shd w:val="clear" w:color="auto" w:fill="F2F2F2"/>
          </w:tcPr>
          <w:p w14:paraId="3A4DC804" w14:textId="77777777" w:rsidR="00A77581" w:rsidRDefault="00A77581" w:rsidP="007A6E54">
            <w:pPr>
              <w:pStyle w:val="BoxHeading2"/>
            </w:pPr>
            <w:r>
              <w:t>Adverse events treated in hospitals</w:t>
            </w:r>
          </w:p>
          <w:p w14:paraId="54FF0A48" w14:textId="77777777" w:rsidR="00A77581" w:rsidRDefault="00A77581" w:rsidP="007A6E54">
            <w:pPr>
              <w:pStyle w:val="Box"/>
            </w:pPr>
            <w:r>
              <w:t>‘Adverse events treated in hospitals’ are incidents in which harm resulted to a person during hospitalisation and are measured by separations that had an adverse event (including infections, falls resulting in injuries and problems with medication and medical devices) that occurred during hospitalisation</w:t>
            </w:r>
            <w:r w:rsidRPr="00D2691D">
              <w:t xml:space="preserve">. Hospital separations data include information </w:t>
            </w:r>
            <w:r>
              <w:t xml:space="preserve">on diagnoses and place of occurrence </w:t>
            </w:r>
            <w:r w:rsidRPr="00D2691D">
              <w:t>that can indicate that an adverse event was treated and/or occurred during the hospitalisation</w:t>
            </w:r>
            <w:r>
              <w:t xml:space="preserve">, but </w:t>
            </w:r>
            <w:r w:rsidRPr="00D2691D">
              <w:t xml:space="preserve">some adverse events are not identifiable using </w:t>
            </w:r>
            <w:r>
              <w:t>these codes</w:t>
            </w:r>
            <w:r w:rsidRPr="00D2691D">
              <w:t>.</w:t>
            </w:r>
          </w:p>
          <w:p w14:paraId="573A5B46" w14:textId="5EEB815A" w:rsidR="00A77581" w:rsidRDefault="00A77581" w:rsidP="007A6E54">
            <w:pPr>
              <w:pStyle w:val="Box"/>
            </w:pPr>
            <w:r>
              <w:t xml:space="preserve">Low or decreasing adverse events treated in hospitals </w:t>
            </w:r>
            <w:r w:rsidR="00E46D43">
              <w:t>are</w:t>
            </w:r>
            <w:r>
              <w:t xml:space="preserve"> desirable.</w:t>
            </w:r>
          </w:p>
          <w:p w14:paraId="74CC7494" w14:textId="77777777" w:rsidR="00A77581" w:rsidRDefault="00A77581" w:rsidP="007A6E54">
            <w:pPr>
              <w:pStyle w:val="Box"/>
            </w:pPr>
            <w:r>
              <w:t>Data reported for this measure are:</w:t>
            </w:r>
          </w:p>
          <w:p w14:paraId="62A13E09" w14:textId="77777777" w:rsidR="00A77581" w:rsidRDefault="00A77581" w:rsidP="007A6E54">
            <w:pPr>
              <w:pStyle w:val="Box"/>
              <w:ind w:left="284"/>
            </w:pPr>
            <w:r w:rsidRPr="009273A9">
              <w:rPr>
                <w:shd w:val="clear" w:color="auto" w:fill="F15A25"/>
              </w:rPr>
              <w:t xml:space="preserve">    </w:t>
            </w:r>
            <w:r>
              <w:t xml:space="preserve"> comparable (subject to caveats) across jurisdictions and over time</w:t>
            </w:r>
          </w:p>
          <w:p w14:paraId="5ED5CB3D" w14:textId="31874D68" w:rsidR="00A77581" w:rsidRDefault="00A77581" w:rsidP="007A6E54">
            <w:pPr>
              <w:pStyle w:val="Box"/>
              <w:ind w:left="284"/>
            </w:pPr>
            <w:r w:rsidRPr="009273A9">
              <w:rPr>
                <w:shd w:val="clear" w:color="auto" w:fill="F15A25"/>
              </w:rPr>
              <w:t xml:space="preserve">    </w:t>
            </w:r>
            <w:r>
              <w:t xml:space="preserve"> complete (subject to caveats) for the current reporting period. All required </w:t>
            </w:r>
            <w:r w:rsidR="001B1B3E">
              <w:t>2018</w:t>
            </w:r>
            <w:r w:rsidR="001B1B3E">
              <w:noBreakHyphen/>
              <w:t>19</w:t>
            </w:r>
            <w:r>
              <w:t xml:space="preserve"> data are available for all jurisdictions.</w:t>
            </w:r>
          </w:p>
          <w:p w14:paraId="4AE2D98C" w14:textId="77777777" w:rsidR="00A77581" w:rsidRDefault="00A77581" w:rsidP="007A6E54">
            <w:pPr>
              <w:pStyle w:val="BoxHeading2"/>
            </w:pPr>
            <w:r w:rsidRPr="00A32FE4">
              <w:t>Falls resulting in patient harm in hospitals</w:t>
            </w:r>
          </w:p>
          <w:p w14:paraId="7BC0A965" w14:textId="77777777" w:rsidR="00A77581" w:rsidRPr="00232AA2" w:rsidRDefault="00A77581" w:rsidP="007A6E54">
            <w:pPr>
              <w:pStyle w:val="Box"/>
            </w:pPr>
            <w:r>
              <w:t>‘</w:t>
            </w:r>
            <w:r w:rsidRPr="00232AA2">
              <w:t xml:space="preserve">Falls </w:t>
            </w:r>
            <w:r w:rsidRPr="00427E55">
              <w:t>resulting in patient harm in hospitals</w:t>
            </w:r>
            <w:r>
              <w:t xml:space="preserve">’ </w:t>
            </w:r>
            <w:r w:rsidRPr="00232AA2">
              <w:t xml:space="preserve">is defined as the number of separations with an external cause code for fall and a place of occurrence of </w:t>
            </w:r>
            <w:r>
              <w:t>health service area</w:t>
            </w:r>
            <w:r w:rsidRPr="00232AA2">
              <w:t>, expressed as a rate per 1000 hospital separations.</w:t>
            </w:r>
            <w:r>
              <w:t xml:space="preserve"> It is not possible to determine if the place of occurrence was a public </w:t>
            </w:r>
            <w:r w:rsidRPr="00D2691D">
              <w:t>hospital</w:t>
            </w:r>
            <w:r>
              <w:t>, only that it was a health service area.</w:t>
            </w:r>
          </w:p>
          <w:p w14:paraId="292F8A38" w14:textId="77777777" w:rsidR="00A77581" w:rsidRPr="00232AA2" w:rsidRDefault="00A77581" w:rsidP="007A6E54">
            <w:pPr>
              <w:pStyle w:val="Box"/>
            </w:pPr>
            <w:r w:rsidRPr="00232AA2">
              <w:t>A low or decreasing rate of falls resulting in patient harm in hospitals is desirable.</w:t>
            </w:r>
          </w:p>
          <w:p w14:paraId="1FD64A02" w14:textId="77777777" w:rsidR="00A77581" w:rsidRDefault="00A77581" w:rsidP="007A6E54">
            <w:pPr>
              <w:pStyle w:val="Box"/>
            </w:pPr>
            <w:r w:rsidRPr="00232AA2">
              <w:t>Data reported for this measure are:</w:t>
            </w:r>
            <w:r>
              <w:t xml:space="preserve"> </w:t>
            </w:r>
          </w:p>
          <w:p w14:paraId="7AE1E306" w14:textId="77777777" w:rsidR="00A77581" w:rsidRDefault="00A77581" w:rsidP="007A6E54">
            <w:pPr>
              <w:pStyle w:val="Box"/>
              <w:ind w:left="284"/>
            </w:pPr>
            <w:r w:rsidRPr="009273A9">
              <w:rPr>
                <w:shd w:val="clear" w:color="auto" w:fill="F15A25"/>
              </w:rPr>
              <w:t xml:space="preserve">    </w:t>
            </w:r>
            <w:r>
              <w:t xml:space="preserve"> comparable (subject to caveats) across jurisdictions and over time</w:t>
            </w:r>
          </w:p>
          <w:p w14:paraId="46CF5524" w14:textId="2EB15238" w:rsidR="00A77581" w:rsidRPr="00F70A15" w:rsidRDefault="00A77581" w:rsidP="007A6E54">
            <w:pPr>
              <w:pStyle w:val="Box"/>
              <w:ind w:left="284"/>
            </w:pPr>
            <w:r w:rsidRPr="009273A9">
              <w:rPr>
                <w:shd w:val="clear" w:color="auto" w:fill="F15A25"/>
              </w:rPr>
              <w:t xml:space="preserve">    </w:t>
            </w:r>
            <w:r>
              <w:t xml:space="preserve"> complete (subject to caveats) for the current reporting period. All required </w:t>
            </w:r>
            <w:r w:rsidR="001B1B3E">
              <w:t>2018-19</w:t>
            </w:r>
            <w:r>
              <w:t xml:space="preserve"> data are available for all jurisdictions.</w:t>
            </w:r>
          </w:p>
        </w:tc>
      </w:tr>
      <w:tr w:rsidR="00A77581" w14:paraId="4C70921A" w14:textId="77777777" w:rsidTr="007A6E54">
        <w:trPr>
          <w:cantSplit/>
        </w:trPr>
        <w:tc>
          <w:tcPr>
            <w:tcW w:w="8789" w:type="dxa"/>
            <w:tcBorders>
              <w:top w:val="nil"/>
              <w:left w:val="nil"/>
              <w:bottom w:val="single" w:sz="6" w:space="0" w:color="78A22F"/>
              <w:right w:val="nil"/>
            </w:tcBorders>
            <w:shd w:val="clear" w:color="auto" w:fill="F2F2F2"/>
          </w:tcPr>
          <w:p w14:paraId="3A7598B8" w14:textId="77777777" w:rsidR="00A77581" w:rsidRDefault="00A77581" w:rsidP="007A6E54">
            <w:pPr>
              <w:pStyle w:val="Box"/>
              <w:spacing w:before="0" w:line="120" w:lineRule="exact"/>
            </w:pPr>
          </w:p>
        </w:tc>
      </w:tr>
      <w:tr w:rsidR="00A77581" w:rsidRPr="000863A5" w14:paraId="79357863" w14:textId="77777777" w:rsidTr="007A6E54">
        <w:tc>
          <w:tcPr>
            <w:tcW w:w="8789" w:type="dxa"/>
            <w:tcBorders>
              <w:top w:val="single" w:sz="6" w:space="0" w:color="78A22F"/>
              <w:left w:val="nil"/>
              <w:bottom w:val="nil"/>
              <w:right w:val="nil"/>
            </w:tcBorders>
          </w:tcPr>
          <w:p w14:paraId="15A1BF52" w14:textId="77777777" w:rsidR="00A77581" w:rsidRPr="00626D32" w:rsidRDefault="00A77581" w:rsidP="007A6E54">
            <w:pPr>
              <w:pStyle w:val="BoxSpaceBelow"/>
            </w:pPr>
          </w:p>
        </w:tc>
      </w:tr>
    </w:tbl>
    <w:p w14:paraId="7E5F7C02" w14:textId="77777777" w:rsidR="00DF5D20" w:rsidRDefault="00DF5D20" w:rsidP="00A77581">
      <w:pPr>
        <w:pStyle w:val="Heading4"/>
      </w:pPr>
      <w:bookmarkStart w:id="29" w:name="_Toc31210608"/>
    </w:p>
    <w:p w14:paraId="25F39BA3" w14:textId="77777777" w:rsidR="00DF5D20" w:rsidRDefault="00DF5D20">
      <w:pPr>
        <w:rPr>
          <w:rFonts w:ascii="Arial" w:hAnsi="Arial"/>
          <w:szCs w:val="20"/>
        </w:rPr>
      </w:pPr>
      <w:r>
        <w:br w:type="page"/>
      </w:r>
    </w:p>
    <w:p w14:paraId="2EF6F9AE" w14:textId="3025672B" w:rsidR="00A77581" w:rsidRDefault="00A77581" w:rsidP="00A77581">
      <w:pPr>
        <w:pStyle w:val="Heading4"/>
      </w:pPr>
      <w:r>
        <w:lastRenderedPageBreak/>
        <w:t>Quality — Safety — Sentinel events</w:t>
      </w:r>
      <w:bookmarkEnd w:id="29"/>
    </w:p>
    <w:p w14:paraId="53D542A7" w14:textId="08668CD9" w:rsidR="00A77581" w:rsidRDefault="00A77581" w:rsidP="00A77581">
      <w:pPr>
        <w:pStyle w:val="BodyText"/>
      </w:pPr>
      <w:r>
        <w:t>‘Sentinel events’ is an indicator of governments’ objective to deliver public hospital services that are high quality and safe (box 12.</w:t>
      </w:r>
      <w:r w:rsidR="00F26297">
        <w:t>8</w:t>
      </w:r>
      <w:r>
        <w:t xml:space="preserve">). </w:t>
      </w:r>
      <w:r w:rsidRPr="00671894">
        <w:t>Sentinel events are a subset of adverse events that result in death or very serious harm to the patient. Adverse events are reported as a separate output indicator.</w:t>
      </w:r>
    </w:p>
    <w:p w14:paraId="376AF495"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14:paraId="34C208E5" w14:textId="77777777" w:rsidTr="007A6E54">
        <w:trPr>
          <w:tblHeader/>
        </w:trPr>
        <w:tc>
          <w:tcPr>
            <w:tcW w:w="5000" w:type="pct"/>
            <w:tcBorders>
              <w:top w:val="single" w:sz="6" w:space="0" w:color="78A22F"/>
              <w:left w:val="nil"/>
              <w:bottom w:val="nil"/>
              <w:right w:val="nil"/>
            </w:tcBorders>
            <w:shd w:val="clear" w:color="auto" w:fill="F2F2F2"/>
          </w:tcPr>
          <w:p w14:paraId="1D35D1E5" w14:textId="3DE564ED" w:rsidR="00A77581" w:rsidRDefault="00A77581" w:rsidP="00CA60F0">
            <w:pPr>
              <w:pStyle w:val="BoxTitle"/>
            </w:pPr>
            <w:r>
              <w:rPr>
                <w:b w:val="0"/>
              </w:rPr>
              <w:t>Box 12.</w:t>
            </w:r>
            <w:r w:rsidR="00CA60F0">
              <w:rPr>
                <w:b w:val="0"/>
              </w:rPr>
              <w:t>8</w:t>
            </w:r>
            <w:r>
              <w:tab/>
            </w:r>
            <w:r w:rsidRPr="00E055D1">
              <w:t>Sentinel events</w:t>
            </w:r>
          </w:p>
        </w:tc>
      </w:tr>
      <w:tr w:rsidR="00A77581" w14:paraId="0A56D014" w14:textId="77777777" w:rsidTr="007A6E54">
        <w:tc>
          <w:tcPr>
            <w:tcW w:w="5000" w:type="pct"/>
            <w:tcBorders>
              <w:top w:val="nil"/>
              <w:left w:val="nil"/>
              <w:bottom w:val="nil"/>
              <w:right w:val="nil"/>
            </w:tcBorders>
            <w:shd w:val="clear" w:color="auto" w:fill="F2F2F2"/>
          </w:tcPr>
          <w:p w14:paraId="12DC16B4" w14:textId="77777777" w:rsidR="00A77581" w:rsidRDefault="00A77581" w:rsidP="007A6E54">
            <w:pPr>
              <w:pStyle w:val="Box"/>
            </w:pPr>
            <w:r>
              <w:t xml:space="preserve">‘Sentinel events’ is defined as the number of reported adverse events that occur because of hospital system and process deficiencies, and which result in the death of, or serious harm to, a patient. Sentinel events occur relatively infrequently and are independent of a patient’s condition. </w:t>
            </w:r>
          </w:p>
          <w:p w14:paraId="205FC53E" w14:textId="77777777" w:rsidR="00A77581" w:rsidRDefault="00A77581" w:rsidP="007A6E54">
            <w:pPr>
              <w:pStyle w:val="Box"/>
            </w:pPr>
            <w:r>
              <w:t xml:space="preserve">Australian health ministers have agreed on a national core set of sentinel events for which all public hospitals are required to provide data. The eight agreed core sentinel events are: </w:t>
            </w:r>
          </w:p>
          <w:p w14:paraId="151EAACD" w14:textId="77777777" w:rsidR="00A77581" w:rsidRDefault="00A77581" w:rsidP="007A6E54">
            <w:pPr>
              <w:pStyle w:val="BoxListNumber"/>
            </w:pPr>
            <w:r>
              <w:t>Procedures involving the wrong patient or body part resulting in death or major permanent loss of function.</w:t>
            </w:r>
          </w:p>
          <w:p w14:paraId="548B34B1" w14:textId="77777777" w:rsidR="00A77581" w:rsidRDefault="00A77581" w:rsidP="007A6E54">
            <w:pPr>
              <w:pStyle w:val="BoxListNumber"/>
            </w:pPr>
            <w:r>
              <w:t>Suicide of a patient in an inpatient unit.</w:t>
            </w:r>
          </w:p>
          <w:p w14:paraId="7B71494E" w14:textId="77777777" w:rsidR="00A77581" w:rsidRDefault="00A77581" w:rsidP="007A6E54">
            <w:pPr>
              <w:pStyle w:val="BoxListNumber"/>
            </w:pPr>
            <w:r>
              <w:t>Retained instruments or other material after surgery requiring re-operation or further surgical procedure.</w:t>
            </w:r>
          </w:p>
          <w:p w14:paraId="441641D4" w14:textId="77777777" w:rsidR="00A77581" w:rsidRDefault="00A77581" w:rsidP="007A6E54">
            <w:pPr>
              <w:pStyle w:val="BoxListNumber"/>
            </w:pPr>
            <w:r>
              <w:t>Intravascular gas embolism resulting in death or neurological damage.</w:t>
            </w:r>
          </w:p>
          <w:p w14:paraId="24E82BAC" w14:textId="77777777" w:rsidR="00A77581" w:rsidRDefault="00A77581" w:rsidP="007A6E54">
            <w:pPr>
              <w:pStyle w:val="BoxListNumber"/>
            </w:pPr>
            <w:r>
              <w:t>Haemolytic blood transfusion reaction resulting from ABO (blood group) incompatibility.</w:t>
            </w:r>
          </w:p>
          <w:p w14:paraId="79E02E29" w14:textId="77777777" w:rsidR="00A77581" w:rsidRDefault="00A77581" w:rsidP="007A6E54">
            <w:pPr>
              <w:pStyle w:val="BoxListNumber"/>
            </w:pPr>
            <w:r>
              <w:t>Medication error leading to the death of a patient reasonably believed to be due to incorrect administration of drugs.</w:t>
            </w:r>
          </w:p>
          <w:p w14:paraId="2857E271" w14:textId="77777777" w:rsidR="00A77581" w:rsidRDefault="00A77581" w:rsidP="007A6E54">
            <w:pPr>
              <w:pStyle w:val="BoxListNumber"/>
            </w:pPr>
            <w:r w:rsidRPr="0083330D">
              <w:t>Maternal death associated with pregnancy, birth or the puerperium.</w:t>
            </w:r>
          </w:p>
          <w:p w14:paraId="4E96D328" w14:textId="77777777" w:rsidR="00A77581" w:rsidRDefault="00A77581" w:rsidP="007A6E54">
            <w:pPr>
              <w:pStyle w:val="BoxListNumber"/>
            </w:pPr>
            <w:r>
              <w:t>Infant discharged to the wrong family.</w:t>
            </w:r>
          </w:p>
          <w:p w14:paraId="0B2F71A9" w14:textId="77777777" w:rsidR="00A77581" w:rsidRDefault="00A77581" w:rsidP="007A6E54">
            <w:pPr>
              <w:pStyle w:val="Box"/>
            </w:pPr>
            <w:r>
              <w:t xml:space="preserve">A low or decreasing number of sentinel events is desirable. </w:t>
            </w:r>
          </w:p>
          <w:p w14:paraId="31435674" w14:textId="75D3E4DD" w:rsidR="006C3496" w:rsidRDefault="006C3496" w:rsidP="007A6E54">
            <w:pPr>
              <w:pStyle w:val="Box"/>
            </w:pPr>
            <w:r w:rsidRPr="006C3496">
              <w:t xml:space="preserve">Sentinel event programs have been implemented by all State and Territory governments. The purpose of these programs is to facilitate a safe environment for patients by reducing the frequency of these events. The programs are not </w:t>
            </w:r>
            <w:proofErr w:type="gramStart"/>
            <w:r w:rsidRPr="006C3496">
              <w:t>punitive, and</w:t>
            </w:r>
            <w:proofErr w:type="gramEnd"/>
            <w:r w:rsidRPr="006C3496">
              <w:t xml:space="preserve"> are designed to facilitate self</w:t>
            </w:r>
            <w:r w:rsidR="00D236A8">
              <w:noBreakHyphen/>
            </w:r>
            <w:r w:rsidRPr="006C3496">
              <w:t>reporting of errors so that the underlying causes of the events can be examined, and action taken to reduce the risk of these events re-occurring.</w:t>
            </w:r>
          </w:p>
          <w:p w14:paraId="362828DA" w14:textId="601F711D" w:rsidR="00A77581" w:rsidRDefault="00A77581" w:rsidP="007A6E54">
            <w:pPr>
              <w:pStyle w:val="Box"/>
            </w:pPr>
            <w:r>
              <w:t xml:space="preserve">Changes in the number of sentinel events reported over time do not necessarily mean that Australian public hospitals have become more or less safe, but might reflect improvements in incident reporting mechanisms, organisational cultural change, and/or an increasing number of hospital admissions (these data are reported as numbers rather than rates). Trends need to be monitored to establish the underlying reasons. </w:t>
            </w:r>
          </w:p>
          <w:p w14:paraId="3DB3FF79" w14:textId="77777777" w:rsidR="00A77581" w:rsidRDefault="00A77581" w:rsidP="007A6E54">
            <w:pPr>
              <w:pStyle w:val="Box"/>
            </w:pPr>
            <w:r>
              <w:t>Data reported for this measure are:</w:t>
            </w:r>
          </w:p>
          <w:p w14:paraId="3D5C9B5A" w14:textId="77777777" w:rsidR="00A77581" w:rsidRDefault="00A77581"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24C08FBB" w14:textId="63ABF41A" w:rsidR="00A77581" w:rsidRPr="0064034C" w:rsidRDefault="00A77581" w:rsidP="007A6E54">
            <w:pPr>
              <w:pStyle w:val="Box"/>
              <w:ind w:left="284"/>
            </w:pPr>
            <w:r w:rsidRPr="009273A9">
              <w:rPr>
                <w:shd w:val="clear" w:color="auto" w:fill="F15A25"/>
              </w:rPr>
              <w:t xml:space="preserve">    </w:t>
            </w:r>
            <w:r>
              <w:t xml:space="preserve"> complete (subject to caveats) for the current reporting period. All required </w:t>
            </w:r>
            <w:r w:rsidR="001B1B3E">
              <w:t>2018</w:t>
            </w:r>
            <w:r w:rsidR="001B1B3E">
              <w:noBreakHyphen/>
              <w:t>19</w:t>
            </w:r>
            <w:r>
              <w:t xml:space="preserve"> data are available for all jurisdictions.</w:t>
            </w:r>
          </w:p>
        </w:tc>
      </w:tr>
      <w:tr w:rsidR="00A77581" w14:paraId="2B6F5446" w14:textId="77777777" w:rsidTr="007A6E54">
        <w:tc>
          <w:tcPr>
            <w:tcW w:w="5000" w:type="pct"/>
            <w:tcBorders>
              <w:top w:val="nil"/>
              <w:left w:val="nil"/>
              <w:bottom w:val="single" w:sz="6" w:space="0" w:color="78A22F"/>
              <w:right w:val="nil"/>
            </w:tcBorders>
            <w:shd w:val="clear" w:color="auto" w:fill="F2F2F2"/>
          </w:tcPr>
          <w:p w14:paraId="3F794C42" w14:textId="77777777" w:rsidR="00A77581" w:rsidRDefault="00A77581" w:rsidP="007A6E54">
            <w:pPr>
              <w:pStyle w:val="Box"/>
              <w:spacing w:before="0" w:line="120" w:lineRule="exact"/>
            </w:pPr>
          </w:p>
        </w:tc>
      </w:tr>
      <w:tr w:rsidR="00A77581" w:rsidRPr="000863A5" w14:paraId="5D25C310" w14:textId="77777777" w:rsidTr="007A6E54">
        <w:tc>
          <w:tcPr>
            <w:tcW w:w="5000" w:type="pct"/>
            <w:tcBorders>
              <w:top w:val="single" w:sz="6" w:space="0" w:color="78A22F"/>
              <w:left w:val="nil"/>
              <w:bottom w:val="nil"/>
              <w:right w:val="nil"/>
            </w:tcBorders>
          </w:tcPr>
          <w:p w14:paraId="6900C22A" w14:textId="77777777" w:rsidR="00A77581" w:rsidRPr="00626D32" w:rsidRDefault="00A77581" w:rsidP="007A6E54">
            <w:pPr>
              <w:pStyle w:val="BoxSpaceBelow"/>
            </w:pPr>
          </w:p>
        </w:tc>
      </w:tr>
    </w:tbl>
    <w:p w14:paraId="4202421B" w14:textId="77777777" w:rsidR="004749C8" w:rsidRDefault="004749C8" w:rsidP="004749C8">
      <w:pPr>
        <w:pStyle w:val="Heading4"/>
      </w:pPr>
      <w:bookmarkStart w:id="30" w:name="_Toc31210609"/>
      <w:r>
        <w:lastRenderedPageBreak/>
        <w:t xml:space="preserve">Quality — Responsiveness </w:t>
      </w:r>
      <w:r w:rsidRPr="00BC6697">
        <w:t>—</w:t>
      </w:r>
      <w:r>
        <w:t xml:space="preserve"> Patient satisfaction</w:t>
      </w:r>
      <w:bookmarkEnd w:id="30"/>
    </w:p>
    <w:p w14:paraId="6BAED801" w14:textId="71151F1F" w:rsidR="004749C8" w:rsidRDefault="004749C8" w:rsidP="004749C8">
      <w:pPr>
        <w:pStyle w:val="BodyText"/>
      </w:pPr>
      <w:r>
        <w:t>‘Patient satisfaction’ provides a proxy measure of governments’ objective to deliver services that are responsive to individuals throughout their lifespan and communities (box 12.</w:t>
      </w:r>
      <w:r w:rsidR="00F26297">
        <w:t>9</w:t>
      </w:r>
      <w:r>
        <w:t xml:space="preserve">). </w:t>
      </w:r>
    </w:p>
    <w:p w14:paraId="2DA1822B"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5CBB5529" w14:textId="77777777" w:rsidTr="007A6E54">
        <w:tc>
          <w:tcPr>
            <w:tcW w:w="8789" w:type="dxa"/>
            <w:tcBorders>
              <w:top w:val="single" w:sz="6" w:space="0" w:color="78A22F"/>
              <w:left w:val="nil"/>
              <w:bottom w:val="nil"/>
              <w:right w:val="nil"/>
            </w:tcBorders>
            <w:shd w:val="clear" w:color="auto" w:fill="F2F2F2"/>
          </w:tcPr>
          <w:p w14:paraId="280B835D" w14:textId="50F0EC8A" w:rsidR="004749C8" w:rsidRDefault="004749C8" w:rsidP="00CA60F0">
            <w:pPr>
              <w:pStyle w:val="BoxTitle"/>
            </w:pPr>
            <w:r>
              <w:rPr>
                <w:b w:val="0"/>
              </w:rPr>
              <w:t>Box 12.</w:t>
            </w:r>
            <w:r w:rsidR="00CA60F0">
              <w:rPr>
                <w:b w:val="0"/>
              </w:rPr>
              <w:t>9</w:t>
            </w:r>
            <w:r>
              <w:tab/>
            </w:r>
            <w:r w:rsidRPr="00E055D1">
              <w:t>Patient satisfaction</w:t>
            </w:r>
          </w:p>
        </w:tc>
      </w:tr>
      <w:tr w:rsidR="004749C8" w14:paraId="0A672188" w14:textId="77777777" w:rsidTr="007A6E54">
        <w:trPr>
          <w:cantSplit/>
        </w:trPr>
        <w:tc>
          <w:tcPr>
            <w:tcW w:w="8789" w:type="dxa"/>
            <w:tcBorders>
              <w:top w:val="nil"/>
              <w:left w:val="nil"/>
              <w:bottom w:val="nil"/>
              <w:right w:val="nil"/>
            </w:tcBorders>
            <w:shd w:val="clear" w:color="auto" w:fill="F2F2F2"/>
          </w:tcPr>
          <w:p w14:paraId="778F03A6" w14:textId="448BE9B8" w:rsidR="007C548F" w:rsidRDefault="004749C8" w:rsidP="007C548F">
            <w:pPr>
              <w:pStyle w:val="Box"/>
            </w:pPr>
            <w:r>
              <w:t xml:space="preserve">‘Patient satisfaction’ is defined by the following six measures for the purposes of this report: </w:t>
            </w:r>
          </w:p>
          <w:p w14:paraId="4A94413A" w14:textId="77777777" w:rsidR="004749C8" w:rsidRDefault="004749C8" w:rsidP="007A6E54">
            <w:pPr>
              <w:pStyle w:val="BoxListBullet"/>
            </w:pPr>
            <w:r>
              <w:t>Proportion of people who went to an emergency department in the last 12 months for their own health reporting that the emergency department doctors, specialists or nurses ‘always’ or ‘often’:</w:t>
            </w:r>
          </w:p>
          <w:p w14:paraId="34972FB4" w14:textId="77777777" w:rsidR="004749C8" w:rsidRDefault="004749C8" w:rsidP="007A6E54">
            <w:pPr>
              <w:pStyle w:val="BoxListBullet2"/>
            </w:pPr>
            <w:r>
              <w:t>listened carefully to them</w:t>
            </w:r>
          </w:p>
          <w:p w14:paraId="270DD9DE" w14:textId="77777777" w:rsidR="004749C8" w:rsidRDefault="004749C8" w:rsidP="007A6E54">
            <w:pPr>
              <w:pStyle w:val="BoxListBullet2"/>
            </w:pPr>
            <w:r>
              <w:t>showed respect to them</w:t>
            </w:r>
          </w:p>
          <w:p w14:paraId="596BEC71" w14:textId="77777777" w:rsidR="004749C8" w:rsidRDefault="004749C8" w:rsidP="007A6E54">
            <w:pPr>
              <w:pStyle w:val="BoxListBullet2"/>
            </w:pPr>
            <w:r>
              <w:t>spent enough time with them</w:t>
            </w:r>
          </w:p>
          <w:p w14:paraId="1C5AA03E" w14:textId="77777777" w:rsidR="004749C8" w:rsidRDefault="004749C8" w:rsidP="007A6E54">
            <w:pPr>
              <w:pStyle w:val="BoxListBullet"/>
            </w:pPr>
            <w:r>
              <w:t>Proportion of people who were admitted to hospital in the last 12 months reporting that the hospital doctors, specialists or nurses ‘always’ or ‘often’:</w:t>
            </w:r>
          </w:p>
          <w:p w14:paraId="5BC2214B" w14:textId="77777777" w:rsidR="004749C8" w:rsidRDefault="004749C8" w:rsidP="007A6E54">
            <w:pPr>
              <w:pStyle w:val="BoxListBullet2"/>
            </w:pPr>
            <w:r>
              <w:t>listened carefully to them</w:t>
            </w:r>
          </w:p>
          <w:p w14:paraId="418431FB" w14:textId="77777777" w:rsidR="004749C8" w:rsidRDefault="004749C8" w:rsidP="007A6E54">
            <w:pPr>
              <w:pStyle w:val="BoxListBullet2"/>
            </w:pPr>
            <w:r>
              <w:t>showed respect to them</w:t>
            </w:r>
          </w:p>
          <w:p w14:paraId="077E4E11" w14:textId="77777777" w:rsidR="004749C8" w:rsidRDefault="004749C8" w:rsidP="007A6E54">
            <w:pPr>
              <w:pStyle w:val="BoxListBullet2"/>
            </w:pPr>
            <w:r>
              <w:t>spent enough time with them.</w:t>
            </w:r>
          </w:p>
          <w:p w14:paraId="13859A86" w14:textId="77777777" w:rsidR="004749C8" w:rsidRDefault="004749C8" w:rsidP="007A6E54">
            <w:pPr>
              <w:pStyle w:val="Box"/>
            </w:pPr>
            <w:r>
              <w:t xml:space="preserve">A high or increasing proportion of patients who were satisfied is desirable, as it suggests the hospital care was of high quality and better met the expectations and needs of patients. </w:t>
            </w:r>
          </w:p>
          <w:p w14:paraId="0785D0F0" w14:textId="77777777" w:rsidR="004749C8" w:rsidRDefault="004749C8" w:rsidP="007A6E54">
            <w:pPr>
              <w:pStyle w:val="Box"/>
            </w:pPr>
            <w:r>
              <w:t>Data reported for these measures are:</w:t>
            </w:r>
          </w:p>
          <w:p w14:paraId="33AD3AE4"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w:t>
            </w:r>
          </w:p>
          <w:p w14:paraId="17B8FD0B" w14:textId="56C06768"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w:t>
            </w:r>
            <w:r w:rsidR="001B1B3E">
              <w:t>2019-20</w:t>
            </w:r>
            <w:r>
              <w:t xml:space="preserve"> data are available for all jurisdictions.</w:t>
            </w:r>
          </w:p>
          <w:p w14:paraId="2ED05C06" w14:textId="0F3D99FF" w:rsidR="004749C8" w:rsidRDefault="004749C8" w:rsidP="007A6E54">
            <w:pPr>
              <w:pStyle w:val="Box"/>
            </w:pPr>
            <w:r w:rsidRPr="009320C2">
              <w:t xml:space="preserve">The </w:t>
            </w:r>
            <w:r>
              <w:t>ABS Patient Experience Survey</w:t>
            </w:r>
            <w:r w:rsidRPr="009320C2">
              <w:t xml:space="preserve"> </w:t>
            </w:r>
            <w:r w:rsidR="00397C89">
              <w:t>of people aged 15 years and over</w:t>
            </w:r>
            <w:r w:rsidR="00397C89" w:rsidRPr="009320C2">
              <w:t xml:space="preserve"> </w:t>
            </w:r>
            <w:r w:rsidRPr="009320C2">
              <w:t xml:space="preserve">does not include people living in discrete Indigenous communities, which affects the </w:t>
            </w:r>
            <w:r>
              <w:t>representativeness</w:t>
            </w:r>
            <w:r w:rsidRPr="009320C2">
              <w:t xml:space="preserve"> of the NT results</w:t>
            </w:r>
            <w:r>
              <w:t>. Approximately 20 per cent of the resident population of the NT live in discrete Indigenous communities</w:t>
            </w:r>
            <w:r w:rsidRPr="009320C2">
              <w:t>.</w:t>
            </w:r>
          </w:p>
        </w:tc>
      </w:tr>
      <w:tr w:rsidR="004749C8" w14:paraId="4E8EE51B" w14:textId="77777777" w:rsidTr="007A6E54">
        <w:trPr>
          <w:cantSplit/>
        </w:trPr>
        <w:tc>
          <w:tcPr>
            <w:tcW w:w="8789" w:type="dxa"/>
            <w:tcBorders>
              <w:top w:val="nil"/>
              <w:left w:val="nil"/>
              <w:bottom w:val="single" w:sz="6" w:space="0" w:color="78A22F"/>
              <w:right w:val="nil"/>
            </w:tcBorders>
            <w:shd w:val="clear" w:color="auto" w:fill="F2F2F2"/>
          </w:tcPr>
          <w:p w14:paraId="317E1F98" w14:textId="77777777" w:rsidR="004749C8" w:rsidRDefault="004749C8" w:rsidP="007A6E54">
            <w:pPr>
              <w:pStyle w:val="Box"/>
              <w:spacing w:before="0" w:line="120" w:lineRule="exact"/>
            </w:pPr>
          </w:p>
        </w:tc>
      </w:tr>
      <w:tr w:rsidR="004749C8" w:rsidRPr="000863A5" w14:paraId="7C6F7A1E" w14:textId="77777777" w:rsidTr="007A6E54">
        <w:tc>
          <w:tcPr>
            <w:tcW w:w="8789" w:type="dxa"/>
            <w:tcBorders>
              <w:top w:val="single" w:sz="6" w:space="0" w:color="78A22F"/>
              <w:left w:val="nil"/>
              <w:bottom w:val="nil"/>
              <w:right w:val="nil"/>
            </w:tcBorders>
          </w:tcPr>
          <w:p w14:paraId="5AF8234F" w14:textId="77777777" w:rsidR="004749C8" w:rsidRPr="00626D32" w:rsidRDefault="004749C8" w:rsidP="007A6E54">
            <w:pPr>
              <w:pStyle w:val="BoxSpaceBelow"/>
            </w:pPr>
          </w:p>
        </w:tc>
      </w:tr>
    </w:tbl>
    <w:p w14:paraId="4975D8AA" w14:textId="77777777" w:rsidR="00DF5D20" w:rsidRDefault="00DF5D20" w:rsidP="004749C8">
      <w:pPr>
        <w:pStyle w:val="Heading4"/>
      </w:pPr>
      <w:bookmarkStart w:id="31" w:name="_Toc31210610"/>
    </w:p>
    <w:p w14:paraId="7F8890EE" w14:textId="77777777" w:rsidR="00DF5D20" w:rsidRDefault="00DF5D20">
      <w:pPr>
        <w:rPr>
          <w:rFonts w:ascii="Arial" w:hAnsi="Arial"/>
          <w:szCs w:val="20"/>
        </w:rPr>
      </w:pPr>
      <w:r>
        <w:br w:type="page"/>
      </w:r>
    </w:p>
    <w:p w14:paraId="5EED5313" w14:textId="4905D350" w:rsidR="004749C8" w:rsidRDefault="004749C8" w:rsidP="004749C8">
      <w:pPr>
        <w:pStyle w:val="Heading4"/>
      </w:pPr>
      <w:r w:rsidRPr="008059FE">
        <w:lastRenderedPageBreak/>
        <w:t>Quality — Continuity</w:t>
      </w:r>
      <w:r>
        <w:t xml:space="preserve"> — Continuity of care</w:t>
      </w:r>
      <w:bookmarkEnd w:id="31"/>
    </w:p>
    <w:p w14:paraId="5198F3AA" w14:textId="0EFCEBBF" w:rsidR="004749C8" w:rsidRDefault="004749C8" w:rsidP="004749C8">
      <w:pPr>
        <w:pStyle w:val="BodyText"/>
      </w:pPr>
      <w:r>
        <w:t>‘</w:t>
      </w:r>
      <w:r w:rsidRPr="00061543">
        <w:t xml:space="preserve">Continuity of care’ is an indicator of government’s objective </w:t>
      </w:r>
      <w:r>
        <w:t>to provide care that is well co</w:t>
      </w:r>
      <w:r>
        <w:noBreakHyphen/>
      </w:r>
      <w:r w:rsidRPr="00061543">
        <w:t xml:space="preserve">ordinated to ensure continuity of care where more than one service type, and/or ongoing service provision is required </w:t>
      </w:r>
      <w:r>
        <w:t>(box 12.1</w:t>
      </w:r>
      <w:r w:rsidR="00F26297">
        <w:t>0</w:t>
      </w:r>
      <w:r>
        <w:t>).</w:t>
      </w:r>
    </w:p>
    <w:p w14:paraId="73C8B2F2"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2D04528B" w14:textId="77777777" w:rsidTr="007A6E54">
        <w:tc>
          <w:tcPr>
            <w:tcW w:w="8789" w:type="dxa"/>
            <w:tcBorders>
              <w:top w:val="single" w:sz="6" w:space="0" w:color="78A22F"/>
              <w:left w:val="nil"/>
              <w:bottom w:val="nil"/>
              <w:right w:val="nil"/>
            </w:tcBorders>
            <w:shd w:val="clear" w:color="auto" w:fill="F2F2F2"/>
          </w:tcPr>
          <w:p w14:paraId="7585E738" w14:textId="6F2E805E" w:rsidR="004749C8" w:rsidRDefault="004749C8" w:rsidP="00CA60F0">
            <w:pPr>
              <w:pStyle w:val="BoxTitle"/>
            </w:pPr>
            <w:r>
              <w:rPr>
                <w:b w:val="0"/>
              </w:rPr>
              <w:t>Box 12.</w:t>
            </w:r>
            <w:r>
              <w:rPr>
                <w:b w:val="0"/>
                <w:noProof/>
              </w:rPr>
              <w:t>1</w:t>
            </w:r>
            <w:r w:rsidR="00CA60F0">
              <w:rPr>
                <w:b w:val="0"/>
                <w:noProof/>
              </w:rPr>
              <w:t>0</w:t>
            </w:r>
            <w:r>
              <w:tab/>
            </w:r>
            <w:r w:rsidRPr="00A376A3">
              <w:t>Continuity of care</w:t>
            </w:r>
          </w:p>
        </w:tc>
      </w:tr>
      <w:tr w:rsidR="004749C8" w14:paraId="00C88AF6" w14:textId="77777777" w:rsidTr="007A6E54">
        <w:trPr>
          <w:cantSplit/>
        </w:trPr>
        <w:tc>
          <w:tcPr>
            <w:tcW w:w="8789" w:type="dxa"/>
            <w:tcBorders>
              <w:top w:val="nil"/>
              <w:left w:val="nil"/>
              <w:bottom w:val="nil"/>
              <w:right w:val="nil"/>
            </w:tcBorders>
            <w:shd w:val="clear" w:color="auto" w:fill="F2F2F2"/>
          </w:tcPr>
          <w:p w14:paraId="577E299B" w14:textId="39CB1733" w:rsidR="00382002" w:rsidRDefault="004749C8" w:rsidP="007A6E54">
            <w:pPr>
              <w:pStyle w:val="Box"/>
            </w:pPr>
            <w:r>
              <w:t xml:space="preserve">‘Continuity of care’ </w:t>
            </w:r>
            <w:r w:rsidR="00382002">
              <w:t xml:space="preserve">is defined by four measures: </w:t>
            </w:r>
          </w:p>
          <w:p w14:paraId="33241101" w14:textId="77777777" w:rsidR="00213CDA" w:rsidRDefault="004749C8" w:rsidP="003C7C05">
            <w:pPr>
              <w:pStyle w:val="BoxListBullet"/>
            </w:pPr>
            <w:r>
              <w:t>the number of hospital patients with complex needs for which a discharge plan is provided within 5 days of discharge divided by all hospital patients with complex care needs expressed as a rate per 1000 separations</w:t>
            </w:r>
          </w:p>
          <w:p w14:paraId="6B8CF8D1" w14:textId="3C0E7197" w:rsidR="00213CDA" w:rsidRDefault="00213CDA" w:rsidP="003C7C05">
            <w:pPr>
              <w:pStyle w:val="BoxListBullet"/>
            </w:pPr>
            <w:r>
              <w:t xml:space="preserve">the proportion of patients reporting </w:t>
            </w:r>
            <w:r w:rsidR="00D92A7B">
              <w:t xml:space="preserve">that </w:t>
            </w:r>
            <w:r>
              <w:t>their usual GP</w:t>
            </w:r>
            <w:r w:rsidR="00D92A7B">
              <w:t>,</w:t>
            </w:r>
            <w:r>
              <w:t xml:space="preserve"> or others in their usual place of care</w:t>
            </w:r>
            <w:r w:rsidR="00D92A7B">
              <w:t>,</w:t>
            </w:r>
            <w:r>
              <w:t xml:space="preserve"> did not seem informed of their follow up needs or medication changes after the last time they went to a hospital emergency department</w:t>
            </w:r>
          </w:p>
          <w:p w14:paraId="17178417" w14:textId="098BB936" w:rsidR="00213CDA" w:rsidRDefault="00213CDA" w:rsidP="003C7C05">
            <w:pPr>
              <w:pStyle w:val="BoxListBullet"/>
            </w:pPr>
            <w:r>
              <w:t xml:space="preserve">the proportion of patients reporting </w:t>
            </w:r>
            <w:r w:rsidR="00D92A7B">
              <w:t xml:space="preserve">that </w:t>
            </w:r>
            <w:r>
              <w:t>their usual GP</w:t>
            </w:r>
            <w:r w:rsidR="00D92A7B">
              <w:t>,</w:t>
            </w:r>
            <w:r>
              <w:t xml:space="preserve"> or others in their usual place of care</w:t>
            </w:r>
            <w:r w:rsidR="00D92A7B">
              <w:t>,</w:t>
            </w:r>
            <w:r>
              <w:t xml:space="preserve"> did not seem informed of their follow up needs or medication changes after the last time they were</w:t>
            </w:r>
            <w:r w:rsidR="00D92A7B">
              <w:t xml:space="preserve"> </w:t>
            </w:r>
            <w:r>
              <w:t>admitted to hospital</w:t>
            </w:r>
          </w:p>
          <w:p w14:paraId="19DF7A70" w14:textId="7309BC48" w:rsidR="004749C8" w:rsidRDefault="00213CDA" w:rsidP="00902230">
            <w:pPr>
              <w:pStyle w:val="BoxListBullet"/>
            </w:pPr>
            <w:r>
              <w:t>the proportion of patients who reported that arrangements were not made by their hospital for any services needed after leaving hospital when last admitted.</w:t>
            </w:r>
          </w:p>
          <w:p w14:paraId="2D68C94B" w14:textId="439B3B8C" w:rsidR="004749C8" w:rsidRDefault="004749C8" w:rsidP="007A6E54">
            <w:pPr>
              <w:pStyle w:val="Box"/>
            </w:pPr>
            <w:r>
              <w:t>High or increasing rates of discharge plans provided to patients with complex care needs within 5 days is desirable. While it is desirable for discharge plans to be provided to patients, the indicator does not provide any information on whether the discharge plan was carried out or whether it was effective in improving patient outcomes.</w:t>
            </w:r>
          </w:p>
          <w:p w14:paraId="35484473" w14:textId="46C56FD7" w:rsidR="00902230" w:rsidRDefault="00902230" w:rsidP="00902230">
            <w:pPr>
              <w:pStyle w:val="Box"/>
            </w:pPr>
            <w:r>
              <w:t>Low or decreasing proportions of patients reporting that their GP</w:t>
            </w:r>
            <w:r w:rsidR="006A1E9D">
              <w:t>,</w:t>
            </w:r>
            <w:r>
              <w:t xml:space="preserve"> or </w:t>
            </w:r>
            <w:r w:rsidR="006A1E9D">
              <w:t xml:space="preserve">others in their </w:t>
            </w:r>
            <w:r>
              <w:t>usual place of care</w:t>
            </w:r>
            <w:r w:rsidR="006A1E9D">
              <w:t>,</w:t>
            </w:r>
            <w:r>
              <w:t xml:space="preserve"> did not seem informed of their follow up needs or medication changes after the last time they went to a hospital emergency department o</w:t>
            </w:r>
            <w:r w:rsidR="00D92A7B">
              <w:t>r</w:t>
            </w:r>
            <w:r>
              <w:t xml:space="preserve"> were admitted to hospital are desirable. A low or decreasing proportion of patients reporting that arrangements were not made by their hospital for any services needed after leaving hospital when last admitted is desirable.</w:t>
            </w:r>
          </w:p>
          <w:p w14:paraId="27FF1B56" w14:textId="02176FAD" w:rsidR="004749C8" w:rsidRDefault="004749C8" w:rsidP="007A6E54">
            <w:pPr>
              <w:pStyle w:val="Box"/>
            </w:pPr>
            <w:r>
              <w:t>Data are not yet available for reporting against th</w:t>
            </w:r>
            <w:r w:rsidR="0016734E">
              <w:t>ese</w:t>
            </w:r>
            <w:r>
              <w:t xml:space="preserve"> measure</w:t>
            </w:r>
            <w:r w:rsidR="0016734E">
              <w:t>s</w:t>
            </w:r>
            <w:r>
              <w:t>.</w:t>
            </w:r>
            <w:r w:rsidR="00D33D38">
              <w:t xml:space="preserve"> However, </w:t>
            </w:r>
            <w:r w:rsidR="00517863">
              <w:t xml:space="preserve">summary </w:t>
            </w:r>
            <w:r w:rsidR="00D33D38">
              <w:t xml:space="preserve">data from the 2016 ABS survey of health care are available to report </w:t>
            </w:r>
            <w:r w:rsidR="004A5008">
              <w:t xml:space="preserve">as contextual </w:t>
            </w:r>
            <w:r w:rsidR="00855AD4">
              <w:t>information for measures</w:t>
            </w:r>
            <w:r w:rsidR="001E2BC6">
              <w:t> </w:t>
            </w:r>
            <w:r w:rsidR="00855AD4">
              <w:t>2</w:t>
            </w:r>
            <w:r w:rsidR="001D5EDE">
              <w:t>–</w:t>
            </w:r>
            <w:r w:rsidR="00855AD4">
              <w:t xml:space="preserve">4 </w:t>
            </w:r>
            <w:r w:rsidR="00D33D38">
              <w:t>for people aged 45 years and over</w:t>
            </w:r>
            <w:r w:rsidR="004A5008">
              <w:t xml:space="preserve"> in table 12A.</w:t>
            </w:r>
            <w:r w:rsidR="001E2BC6">
              <w:t>51</w:t>
            </w:r>
            <w:r w:rsidR="00D33D38">
              <w:t>.</w:t>
            </w:r>
          </w:p>
        </w:tc>
      </w:tr>
      <w:tr w:rsidR="004749C8" w14:paraId="7940D600" w14:textId="77777777" w:rsidTr="007A6E54">
        <w:trPr>
          <w:cantSplit/>
        </w:trPr>
        <w:tc>
          <w:tcPr>
            <w:tcW w:w="8789" w:type="dxa"/>
            <w:tcBorders>
              <w:top w:val="nil"/>
              <w:left w:val="nil"/>
              <w:bottom w:val="single" w:sz="6" w:space="0" w:color="78A22F"/>
              <w:right w:val="nil"/>
            </w:tcBorders>
            <w:shd w:val="clear" w:color="auto" w:fill="F2F2F2"/>
          </w:tcPr>
          <w:p w14:paraId="2887B53E" w14:textId="77777777" w:rsidR="004749C8" w:rsidRDefault="004749C8" w:rsidP="007A6E54">
            <w:pPr>
              <w:pStyle w:val="Box"/>
              <w:spacing w:before="0" w:line="120" w:lineRule="exact"/>
            </w:pPr>
          </w:p>
        </w:tc>
      </w:tr>
      <w:tr w:rsidR="004749C8" w:rsidRPr="000863A5" w14:paraId="17D7BC92" w14:textId="77777777" w:rsidTr="007A6E54">
        <w:tc>
          <w:tcPr>
            <w:tcW w:w="8789" w:type="dxa"/>
            <w:tcBorders>
              <w:top w:val="single" w:sz="6" w:space="0" w:color="78A22F"/>
              <w:left w:val="nil"/>
              <w:bottom w:val="nil"/>
              <w:right w:val="nil"/>
            </w:tcBorders>
          </w:tcPr>
          <w:p w14:paraId="475EB878" w14:textId="77777777" w:rsidR="004749C8" w:rsidRPr="00626D32" w:rsidRDefault="004749C8" w:rsidP="007A6E54">
            <w:pPr>
              <w:pStyle w:val="BoxSpaceBelow"/>
            </w:pPr>
          </w:p>
        </w:tc>
      </w:tr>
    </w:tbl>
    <w:p w14:paraId="1929027A" w14:textId="77777777" w:rsidR="00DF5D20" w:rsidRDefault="00DF5D20" w:rsidP="004749C8">
      <w:pPr>
        <w:pStyle w:val="Heading4"/>
      </w:pPr>
      <w:bookmarkStart w:id="32" w:name="_Toc31210611"/>
    </w:p>
    <w:p w14:paraId="1560B904" w14:textId="77777777" w:rsidR="00DF5D20" w:rsidRDefault="00DF5D20">
      <w:pPr>
        <w:rPr>
          <w:rFonts w:ascii="Arial" w:hAnsi="Arial"/>
          <w:szCs w:val="20"/>
        </w:rPr>
      </w:pPr>
      <w:r>
        <w:br w:type="page"/>
      </w:r>
    </w:p>
    <w:p w14:paraId="4A69F2DF" w14:textId="5550BC9D" w:rsidR="004749C8" w:rsidRDefault="004749C8" w:rsidP="004749C8">
      <w:pPr>
        <w:pStyle w:val="Heading4"/>
      </w:pPr>
      <w:r>
        <w:lastRenderedPageBreak/>
        <w:t xml:space="preserve">Quality — Continuity </w:t>
      </w:r>
      <w:r w:rsidRPr="000A750A">
        <w:t>— Selected unplanned</w:t>
      </w:r>
      <w:r>
        <w:t xml:space="preserve"> hospital readmission rates</w:t>
      </w:r>
      <w:bookmarkEnd w:id="32"/>
    </w:p>
    <w:p w14:paraId="5D9739F0" w14:textId="6E1CE0B4" w:rsidR="004749C8" w:rsidRDefault="004749C8" w:rsidP="004749C8">
      <w:pPr>
        <w:pStyle w:val="BodyText"/>
      </w:pPr>
      <w:r>
        <w:t>‘</w:t>
      </w:r>
      <w:r w:rsidRPr="000A750A">
        <w:t xml:space="preserve">Selected </w:t>
      </w:r>
      <w:r>
        <w:t xml:space="preserve">unplanned hospital readmission rates’ is an indicator of governments’ objective to provide public hospital services that are of high quality and well-coordinated </w:t>
      </w:r>
      <w:r w:rsidRPr="00BC6697">
        <w:t xml:space="preserve">to ensure continuity of care </w:t>
      </w:r>
      <w:r>
        <w:t>(box 12.1</w:t>
      </w:r>
      <w:r w:rsidR="00F26297">
        <w:t>1</w:t>
      </w:r>
      <w:r>
        <w:t>).</w:t>
      </w:r>
    </w:p>
    <w:p w14:paraId="0D969FBB"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0487D3DF" w14:textId="77777777" w:rsidTr="007A6E54">
        <w:tc>
          <w:tcPr>
            <w:tcW w:w="8789" w:type="dxa"/>
            <w:tcBorders>
              <w:top w:val="single" w:sz="6" w:space="0" w:color="78A22F"/>
              <w:left w:val="nil"/>
              <w:bottom w:val="nil"/>
              <w:right w:val="nil"/>
            </w:tcBorders>
            <w:shd w:val="clear" w:color="auto" w:fill="F2F2F2"/>
          </w:tcPr>
          <w:p w14:paraId="667A7FDB" w14:textId="193D8C30" w:rsidR="004749C8" w:rsidRDefault="004749C8" w:rsidP="00CA60F0">
            <w:pPr>
              <w:pStyle w:val="BoxTitle"/>
            </w:pPr>
            <w:r>
              <w:rPr>
                <w:b w:val="0"/>
              </w:rPr>
              <w:t>Box 12.</w:t>
            </w:r>
            <w:r>
              <w:rPr>
                <w:b w:val="0"/>
                <w:noProof/>
              </w:rPr>
              <w:t>1</w:t>
            </w:r>
            <w:r w:rsidR="00CA60F0">
              <w:rPr>
                <w:b w:val="0"/>
                <w:noProof/>
              </w:rPr>
              <w:t>1</w:t>
            </w:r>
            <w:r>
              <w:tab/>
            </w:r>
            <w:r w:rsidRPr="000A750A">
              <w:t xml:space="preserve">Selected </w:t>
            </w:r>
            <w:r>
              <w:t>u</w:t>
            </w:r>
            <w:r w:rsidRPr="00A2571D">
              <w:t>nplanned hospital readmission rates</w:t>
            </w:r>
          </w:p>
        </w:tc>
      </w:tr>
      <w:tr w:rsidR="004749C8" w14:paraId="1240C509" w14:textId="77777777" w:rsidTr="007A6E54">
        <w:trPr>
          <w:cantSplit/>
        </w:trPr>
        <w:tc>
          <w:tcPr>
            <w:tcW w:w="8789" w:type="dxa"/>
            <w:tcBorders>
              <w:top w:val="nil"/>
              <w:left w:val="nil"/>
              <w:bottom w:val="nil"/>
              <w:right w:val="nil"/>
            </w:tcBorders>
            <w:shd w:val="clear" w:color="auto" w:fill="F2F2F2"/>
          </w:tcPr>
          <w:p w14:paraId="69D7C749" w14:textId="77777777" w:rsidR="004749C8" w:rsidRDefault="004749C8" w:rsidP="007A6E54">
            <w:pPr>
              <w:pStyle w:val="Box"/>
            </w:pPr>
            <w:r w:rsidRPr="006F3B52">
              <w:t>‘Selected unplanned hospital readmission rates’ is defined as the rate at which patients unexpectedly return to the same hospital within 28 days for further treatment where the original admission involved one of a selected set of procedures, and the readmission is identified as a post-operative complication. It is expressed as a rate per 1000 separations in which one of the selected surgical procedures was performed. The indicator is an underestimate of all possible unplanned/unexpected readmissions.</w:t>
            </w:r>
          </w:p>
          <w:p w14:paraId="16051AFB" w14:textId="77777777" w:rsidR="004749C8" w:rsidRDefault="004749C8" w:rsidP="007A6E54">
            <w:pPr>
              <w:pStyle w:val="Box"/>
            </w:pPr>
            <w:r>
              <w:t>The s</w:t>
            </w:r>
            <w:r w:rsidRPr="00A2571D">
              <w:t>elected surgical procedures are knee replacement, hip replacement, tonsillectomy and adenoidectomy, hysterectomy, prostatectomy, cataract surgery and appendectomy. Unplanned readmissions are those having a principal diagnosis of a post-operative adverse event for which a specified ICD-10-AM diagnosis code has been assigned.</w:t>
            </w:r>
          </w:p>
          <w:p w14:paraId="5CE8D265" w14:textId="77777777" w:rsidR="004749C8" w:rsidRDefault="004749C8" w:rsidP="007A6E54">
            <w:pPr>
              <w:pStyle w:val="Box"/>
            </w:pPr>
            <w:r>
              <w:t>Low or decreasing rates of unplanned readmissions are desirable. Conversely, high or increasing rates suggest the quality of care provided by hospitals, or post-discharge care or planning, should be examined, because there may be scope for improvement.</w:t>
            </w:r>
          </w:p>
          <w:p w14:paraId="6ADC43E8" w14:textId="77777777" w:rsidR="004749C8" w:rsidRDefault="004749C8" w:rsidP="007A6E54">
            <w:pPr>
              <w:pStyle w:val="Box"/>
            </w:pPr>
            <w:r>
              <w:t>Data reported for this measure are:</w:t>
            </w:r>
          </w:p>
          <w:p w14:paraId="1F26059B" w14:textId="77777777" w:rsidR="004749C8" w:rsidRDefault="004749C8"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10B1DB8F" w14:textId="2E4BD214"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w:t>
            </w:r>
            <w:r w:rsidR="000E6744">
              <w:t>2018</w:t>
            </w:r>
            <w:r w:rsidR="000E6744">
              <w:noBreakHyphen/>
              <w:t>19</w:t>
            </w:r>
            <w:r>
              <w:t xml:space="preserve"> data are available for all jurisdictions. </w:t>
            </w:r>
          </w:p>
        </w:tc>
      </w:tr>
      <w:tr w:rsidR="004749C8" w14:paraId="24D64B64" w14:textId="77777777" w:rsidTr="007A6E54">
        <w:trPr>
          <w:cantSplit/>
        </w:trPr>
        <w:tc>
          <w:tcPr>
            <w:tcW w:w="8789" w:type="dxa"/>
            <w:tcBorders>
              <w:top w:val="nil"/>
              <w:left w:val="nil"/>
              <w:bottom w:val="single" w:sz="6" w:space="0" w:color="78A22F"/>
              <w:right w:val="nil"/>
            </w:tcBorders>
            <w:shd w:val="clear" w:color="auto" w:fill="F2F2F2"/>
          </w:tcPr>
          <w:p w14:paraId="59D393B4" w14:textId="77777777" w:rsidR="004749C8" w:rsidRDefault="004749C8" w:rsidP="007A6E54">
            <w:pPr>
              <w:pStyle w:val="Box"/>
              <w:spacing w:before="0" w:line="120" w:lineRule="exact"/>
            </w:pPr>
          </w:p>
        </w:tc>
      </w:tr>
      <w:tr w:rsidR="004749C8" w:rsidRPr="000863A5" w14:paraId="29078D29" w14:textId="77777777" w:rsidTr="007A6E54">
        <w:tc>
          <w:tcPr>
            <w:tcW w:w="8789" w:type="dxa"/>
            <w:tcBorders>
              <w:top w:val="single" w:sz="6" w:space="0" w:color="78A22F"/>
              <w:left w:val="nil"/>
              <w:bottom w:val="nil"/>
              <w:right w:val="nil"/>
            </w:tcBorders>
          </w:tcPr>
          <w:p w14:paraId="4C16FD7D" w14:textId="77777777" w:rsidR="004749C8" w:rsidRPr="00626D32" w:rsidRDefault="004749C8" w:rsidP="007A6E54">
            <w:pPr>
              <w:pStyle w:val="BoxSpaceBelow"/>
            </w:pPr>
          </w:p>
        </w:tc>
      </w:tr>
    </w:tbl>
    <w:p w14:paraId="220CAB0A" w14:textId="77777777" w:rsidR="00DF5D20" w:rsidRDefault="00DF5D20" w:rsidP="004749C8">
      <w:pPr>
        <w:pStyle w:val="Heading4"/>
      </w:pPr>
      <w:bookmarkStart w:id="33" w:name="_Toc31210612"/>
    </w:p>
    <w:p w14:paraId="3797DB5A" w14:textId="77777777" w:rsidR="00DF5D20" w:rsidRDefault="00DF5D20">
      <w:pPr>
        <w:rPr>
          <w:rFonts w:ascii="Arial" w:hAnsi="Arial"/>
          <w:szCs w:val="20"/>
        </w:rPr>
      </w:pPr>
      <w:r>
        <w:br w:type="page"/>
      </w:r>
    </w:p>
    <w:p w14:paraId="47EBAACC" w14:textId="5B0A5CD2" w:rsidR="004749C8" w:rsidRDefault="004749C8" w:rsidP="004749C8">
      <w:pPr>
        <w:pStyle w:val="Heading4"/>
      </w:pPr>
      <w:r>
        <w:lastRenderedPageBreak/>
        <w:t>Sustainability — Workforce sustainability</w:t>
      </w:r>
      <w:bookmarkEnd w:id="33"/>
    </w:p>
    <w:p w14:paraId="370428DB" w14:textId="4E434709" w:rsidR="004749C8" w:rsidRDefault="004749C8" w:rsidP="004749C8">
      <w:pPr>
        <w:pStyle w:val="BodyText"/>
      </w:pPr>
      <w:r>
        <w:t>‘Workforce sustainability’ is an indicator of governments’ objective to provide sustainable public hospital services (box 12.1</w:t>
      </w:r>
      <w:r w:rsidR="00F26297">
        <w:t>2</w:t>
      </w:r>
      <w:r>
        <w:t xml:space="preserve">). </w:t>
      </w:r>
    </w:p>
    <w:p w14:paraId="35A01DBF"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102BAB90" w14:textId="77777777" w:rsidTr="007A6E54">
        <w:tc>
          <w:tcPr>
            <w:tcW w:w="8789" w:type="dxa"/>
            <w:tcBorders>
              <w:top w:val="single" w:sz="6" w:space="0" w:color="78A22F"/>
              <w:left w:val="nil"/>
              <w:bottom w:val="nil"/>
              <w:right w:val="nil"/>
            </w:tcBorders>
            <w:shd w:val="clear" w:color="auto" w:fill="F2F2F2"/>
          </w:tcPr>
          <w:p w14:paraId="5AA1E71A" w14:textId="1AAE85A8" w:rsidR="004749C8" w:rsidRDefault="004749C8" w:rsidP="00CA60F0">
            <w:pPr>
              <w:pStyle w:val="BoxTitle"/>
            </w:pPr>
            <w:r>
              <w:rPr>
                <w:b w:val="0"/>
              </w:rPr>
              <w:t>Box 12.</w:t>
            </w:r>
            <w:r>
              <w:rPr>
                <w:b w:val="0"/>
                <w:noProof/>
              </w:rPr>
              <w:t>1</w:t>
            </w:r>
            <w:r w:rsidR="00CA60F0">
              <w:rPr>
                <w:b w:val="0"/>
                <w:noProof/>
              </w:rPr>
              <w:t>2</w:t>
            </w:r>
            <w:r>
              <w:tab/>
            </w:r>
            <w:r w:rsidRPr="00A376A3">
              <w:t>Workforce sustainability</w:t>
            </w:r>
          </w:p>
        </w:tc>
      </w:tr>
      <w:tr w:rsidR="004749C8" w14:paraId="2A873CB6" w14:textId="77777777" w:rsidTr="007A6E54">
        <w:trPr>
          <w:cantSplit/>
        </w:trPr>
        <w:tc>
          <w:tcPr>
            <w:tcW w:w="8789" w:type="dxa"/>
            <w:tcBorders>
              <w:top w:val="nil"/>
              <w:left w:val="nil"/>
              <w:bottom w:val="nil"/>
              <w:right w:val="nil"/>
            </w:tcBorders>
            <w:shd w:val="clear" w:color="auto" w:fill="F2F2F2"/>
          </w:tcPr>
          <w:p w14:paraId="766161FD" w14:textId="51A25C11" w:rsidR="004749C8" w:rsidRDefault="004749C8" w:rsidP="007A6E54">
            <w:pPr>
              <w:pStyle w:val="Box"/>
            </w:pPr>
            <w:r>
              <w:t xml:space="preserve">‘Workforce sustainability’ reports age profiles for </w:t>
            </w:r>
            <w:r w:rsidR="00C1146F">
              <w:t xml:space="preserve">the </w:t>
            </w:r>
            <w:r>
              <w:t>nurs</w:t>
            </w:r>
            <w:r w:rsidR="00C1146F">
              <w:t xml:space="preserve">ing and midwifery workforce </w:t>
            </w:r>
            <w:r>
              <w:t xml:space="preserve">and </w:t>
            </w:r>
            <w:r w:rsidR="00C1146F">
              <w:t xml:space="preserve">the </w:t>
            </w:r>
            <w:r>
              <w:t>medical practitioner workforce. It shows the proportions of registered nurses</w:t>
            </w:r>
            <w:r w:rsidR="00C1146F">
              <w:t xml:space="preserve"> and midwives,</w:t>
            </w:r>
            <w:r>
              <w:t xml:space="preserve"> and medical practitioners in </w:t>
            </w:r>
            <w:proofErr w:type="gramStart"/>
            <w:r>
              <w:t>ten year</w:t>
            </w:r>
            <w:proofErr w:type="gramEnd"/>
            <w:r>
              <w:t xml:space="preserve"> age brackets, by jurisdiction and by region.</w:t>
            </w:r>
          </w:p>
          <w:p w14:paraId="10F92D56" w14:textId="77777777" w:rsidR="004749C8" w:rsidRDefault="004749C8" w:rsidP="007A6E54">
            <w:pPr>
              <w:pStyle w:val="Box"/>
            </w:pPr>
            <w:r>
              <w:t>High or increasing proportions of the workforce that are new entrants and/or low or decreasing proportions of the workforce that are close to retirement is desirable.</w:t>
            </w:r>
          </w:p>
          <w:p w14:paraId="424CEA9F" w14:textId="5CB2CBF2" w:rsidR="004749C8" w:rsidRDefault="004749C8" w:rsidP="007A6E54">
            <w:pPr>
              <w:pStyle w:val="Box"/>
            </w:pPr>
            <w:r>
              <w:t>All nurses</w:t>
            </w:r>
            <w:r w:rsidR="00C1146F">
              <w:t xml:space="preserve">, midwives </w:t>
            </w:r>
            <w:r>
              <w:t xml:space="preserve">and medical practitioners in the workforce are included in these measures, as crude indicators of the potential respective workforces for public hospitals. </w:t>
            </w:r>
          </w:p>
          <w:p w14:paraId="1BD1C050" w14:textId="77777777" w:rsidR="004749C8" w:rsidRDefault="004749C8" w:rsidP="007A6E54">
            <w:pPr>
              <w:pStyle w:val="Box"/>
            </w:pPr>
            <w:r>
              <w:t>These measures are not a substitute for a full workforce analysis that allows for migration, trends in full-time work and expected demand increases. They can, however, indicate that further attention should be given to workforce sustainability for public hospitals.</w:t>
            </w:r>
          </w:p>
          <w:p w14:paraId="58CB7BC7" w14:textId="77777777" w:rsidR="004749C8" w:rsidRDefault="004749C8" w:rsidP="007A6E54">
            <w:pPr>
              <w:pStyle w:val="Box"/>
            </w:pPr>
            <w:r>
              <w:t>Data reported for this measure are:</w:t>
            </w:r>
          </w:p>
          <w:p w14:paraId="11585C69"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05DDD6D4" w14:textId="2DC7262E"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w:t>
            </w:r>
            <w:r w:rsidR="000E6744">
              <w:t xml:space="preserve">2019 </w:t>
            </w:r>
            <w:r>
              <w:t>data are available for all jurisdictions.</w:t>
            </w:r>
          </w:p>
        </w:tc>
      </w:tr>
      <w:tr w:rsidR="004749C8" w14:paraId="6C0FB0BA" w14:textId="77777777" w:rsidTr="007A6E54">
        <w:trPr>
          <w:cantSplit/>
        </w:trPr>
        <w:tc>
          <w:tcPr>
            <w:tcW w:w="8789" w:type="dxa"/>
            <w:tcBorders>
              <w:top w:val="nil"/>
              <w:left w:val="nil"/>
              <w:bottom w:val="single" w:sz="6" w:space="0" w:color="78A22F"/>
              <w:right w:val="nil"/>
            </w:tcBorders>
            <w:shd w:val="clear" w:color="auto" w:fill="F2F2F2"/>
          </w:tcPr>
          <w:p w14:paraId="2130E6B7" w14:textId="77777777" w:rsidR="004749C8" w:rsidRDefault="004749C8" w:rsidP="007A6E54">
            <w:pPr>
              <w:pStyle w:val="Box"/>
              <w:spacing w:before="0" w:line="120" w:lineRule="exact"/>
            </w:pPr>
          </w:p>
        </w:tc>
      </w:tr>
      <w:tr w:rsidR="004749C8" w:rsidRPr="000863A5" w14:paraId="448A5144" w14:textId="77777777" w:rsidTr="007A6E54">
        <w:tc>
          <w:tcPr>
            <w:tcW w:w="8789" w:type="dxa"/>
            <w:tcBorders>
              <w:top w:val="single" w:sz="6" w:space="0" w:color="78A22F"/>
              <w:left w:val="nil"/>
              <w:bottom w:val="nil"/>
              <w:right w:val="nil"/>
            </w:tcBorders>
          </w:tcPr>
          <w:p w14:paraId="30FBBCE4" w14:textId="77777777" w:rsidR="004749C8" w:rsidRPr="00626D32" w:rsidRDefault="004749C8" w:rsidP="007A6E54">
            <w:pPr>
              <w:pStyle w:val="BoxSpaceBelow"/>
            </w:pPr>
          </w:p>
        </w:tc>
      </w:tr>
    </w:tbl>
    <w:p w14:paraId="7F60A9A8" w14:textId="77777777" w:rsidR="004749C8" w:rsidRDefault="004749C8" w:rsidP="004749C8">
      <w:pPr>
        <w:pStyle w:val="Heading3"/>
      </w:pPr>
      <w:bookmarkStart w:id="34" w:name="_Toc31210613"/>
      <w:r w:rsidRPr="00B52C5D">
        <w:t>Efficiency</w:t>
      </w:r>
      <w:bookmarkEnd w:id="34"/>
    </w:p>
    <w:p w14:paraId="3A5991DC" w14:textId="77777777" w:rsidR="004749C8" w:rsidRDefault="004749C8" w:rsidP="004749C8">
      <w:pPr>
        <w:pStyle w:val="Heading4"/>
      </w:pPr>
      <w:bookmarkStart w:id="35" w:name="_Toc31210614"/>
      <w:r>
        <w:t>C</w:t>
      </w:r>
      <w:r w:rsidRPr="0040352A">
        <w:t xml:space="preserve">ost per </w:t>
      </w:r>
      <w:r>
        <w:t xml:space="preserve">admitted patient </w:t>
      </w:r>
      <w:r w:rsidRPr="00B3446C">
        <w:t>separation</w:t>
      </w:r>
      <w:bookmarkEnd w:id="35"/>
    </w:p>
    <w:p w14:paraId="193D7A45" w14:textId="23BB5651" w:rsidR="004749C8" w:rsidRDefault="004749C8" w:rsidP="004749C8">
      <w:pPr>
        <w:pStyle w:val="BodyText"/>
      </w:pPr>
      <w:r>
        <w:t xml:space="preserve">‘Cost per admitted patient </w:t>
      </w:r>
      <w:r w:rsidRPr="00B3446C">
        <w:t>separation</w:t>
      </w:r>
      <w:r>
        <w:t>’ is an indicator of governments’ objective to deliver services in an efficient manner (box 12.1</w:t>
      </w:r>
      <w:r w:rsidR="00F26297">
        <w:t>3</w:t>
      </w:r>
      <w:r>
        <w:t>).</w:t>
      </w:r>
    </w:p>
    <w:p w14:paraId="66885845"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383F413E" w14:textId="77777777" w:rsidTr="007A6E54">
        <w:tc>
          <w:tcPr>
            <w:tcW w:w="8789" w:type="dxa"/>
            <w:tcBorders>
              <w:top w:val="single" w:sz="6" w:space="0" w:color="78A22F"/>
              <w:left w:val="nil"/>
              <w:bottom w:val="nil"/>
              <w:right w:val="nil"/>
            </w:tcBorders>
            <w:shd w:val="clear" w:color="auto" w:fill="F2F2F2"/>
          </w:tcPr>
          <w:p w14:paraId="17AF398B" w14:textId="1FFD9B82" w:rsidR="004749C8" w:rsidRDefault="004749C8" w:rsidP="00CA60F0">
            <w:pPr>
              <w:pStyle w:val="BoxTitle"/>
            </w:pPr>
            <w:r>
              <w:rPr>
                <w:b w:val="0"/>
              </w:rPr>
              <w:t>Box 12.</w:t>
            </w:r>
            <w:r>
              <w:rPr>
                <w:b w:val="0"/>
                <w:noProof/>
              </w:rPr>
              <w:t>1</w:t>
            </w:r>
            <w:r w:rsidR="00CA60F0">
              <w:rPr>
                <w:b w:val="0"/>
                <w:noProof/>
              </w:rPr>
              <w:t>3</w:t>
            </w:r>
            <w:r>
              <w:tab/>
            </w:r>
            <w:r w:rsidRPr="0025242A">
              <w:t xml:space="preserve">Cost per </w:t>
            </w:r>
            <w:r>
              <w:t xml:space="preserve">admitted patient </w:t>
            </w:r>
            <w:r w:rsidRPr="00B3446C">
              <w:t>separation</w:t>
            </w:r>
          </w:p>
        </w:tc>
      </w:tr>
      <w:tr w:rsidR="004749C8" w14:paraId="6B012F5A" w14:textId="77777777" w:rsidTr="007A6E54">
        <w:trPr>
          <w:cantSplit/>
          <w:trHeight w:val="9940"/>
        </w:trPr>
        <w:tc>
          <w:tcPr>
            <w:tcW w:w="8789" w:type="dxa"/>
            <w:tcBorders>
              <w:top w:val="nil"/>
              <w:left w:val="nil"/>
              <w:right w:val="nil"/>
            </w:tcBorders>
            <w:shd w:val="clear" w:color="auto" w:fill="F2F2F2"/>
          </w:tcPr>
          <w:p w14:paraId="6DB6C6C1" w14:textId="77777777" w:rsidR="004749C8" w:rsidRPr="00F2548B" w:rsidRDefault="004749C8" w:rsidP="007A6E54">
            <w:pPr>
              <w:pStyle w:val="Box"/>
            </w:pPr>
            <w:r w:rsidRPr="00F2548B">
              <w:t xml:space="preserve">‘Cost per </w:t>
            </w:r>
            <w:r>
              <w:t xml:space="preserve">admitted </w:t>
            </w:r>
            <w:r w:rsidRPr="00B3446C">
              <w:t>patient separation</w:t>
            </w:r>
            <w:r>
              <w:t xml:space="preserve">’ </w:t>
            </w:r>
            <w:r w:rsidRPr="00F2548B">
              <w:t>is defined by the following two measures:</w:t>
            </w:r>
          </w:p>
          <w:p w14:paraId="17F3D526" w14:textId="77777777" w:rsidR="004749C8" w:rsidRPr="00F2548B" w:rsidRDefault="004749C8" w:rsidP="007A6E54">
            <w:pPr>
              <w:pStyle w:val="BoxListBullet"/>
            </w:pPr>
            <w:r w:rsidRPr="00F2548B">
              <w:t xml:space="preserve">Recurrent cost per </w:t>
            </w:r>
            <w:r w:rsidRPr="00B3446C">
              <w:t>weighted</w:t>
            </w:r>
            <w:r w:rsidRPr="00F2548B">
              <w:t xml:space="preserve"> separation</w:t>
            </w:r>
          </w:p>
          <w:p w14:paraId="0044D02D" w14:textId="77777777" w:rsidR="004749C8" w:rsidRPr="00F2548B" w:rsidRDefault="004749C8" w:rsidP="007A6E54">
            <w:pPr>
              <w:pStyle w:val="BoxListBullet"/>
            </w:pPr>
            <w:r w:rsidRPr="00F2548B">
              <w:t xml:space="preserve">Capital cost per </w:t>
            </w:r>
            <w:r>
              <w:t xml:space="preserve">weighted </w:t>
            </w:r>
            <w:r w:rsidRPr="00F2548B">
              <w:t>separation.</w:t>
            </w:r>
          </w:p>
          <w:p w14:paraId="6AF2F8C1" w14:textId="77777777" w:rsidR="004749C8" w:rsidRPr="00F2548B" w:rsidRDefault="004749C8" w:rsidP="007A6E54">
            <w:pPr>
              <w:pStyle w:val="Box"/>
            </w:pPr>
            <w:r w:rsidRPr="00F2548B">
              <w:t xml:space="preserve">A low or decreasing recurrent cost per </w:t>
            </w:r>
            <w:r w:rsidRPr="00B3446C">
              <w:t>weighted</w:t>
            </w:r>
            <w:r w:rsidRPr="00F2548B">
              <w:t xml:space="preserve"> separation or capital cost per </w:t>
            </w:r>
            <w:r>
              <w:t xml:space="preserve">weighted </w:t>
            </w:r>
            <w:r w:rsidRPr="00F2548B">
              <w:t xml:space="preserve">separation can reflect more efficient service delivery in public hospitals. However, this indicator needs to be viewed in the context of the set of performance </w:t>
            </w:r>
            <w:proofErr w:type="gramStart"/>
            <w:r w:rsidRPr="00F2548B">
              <w:t>indicators as a whole, as</w:t>
            </w:r>
            <w:proofErr w:type="gramEnd"/>
            <w:r w:rsidRPr="00F2548B">
              <w:t xml:space="preserve"> decreasing cost could also be associated with decreasing quality and effectiveness.</w:t>
            </w:r>
          </w:p>
          <w:p w14:paraId="063DFCFA" w14:textId="77777777" w:rsidR="004749C8" w:rsidRPr="00F2548B" w:rsidRDefault="004749C8" w:rsidP="007A6E54">
            <w:pPr>
              <w:pStyle w:val="BoxHeading2"/>
            </w:pPr>
            <w:r w:rsidRPr="00F2548B">
              <w:t xml:space="preserve">Recurrent cost </w:t>
            </w:r>
            <w:r w:rsidRPr="00B3446C">
              <w:t>per weighted separation</w:t>
            </w:r>
          </w:p>
          <w:p w14:paraId="131EC43C" w14:textId="77777777" w:rsidR="004749C8" w:rsidRPr="00F2548B" w:rsidRDefault="004749C8" w:rsidP="007A6E54">
            <w:pPr>
              <w:pStyle w:val="Box"/>
            </w:pPr>
            <w:r w:rsidRPr="0090622A">
              <w:t xml:space="preserve">‘Recurrent cost per weighted separation’ is the average cost of providing care for an admitted patient (overnight stay or same day) adjusted for </w:t>
            </w:r>
            <w:proofErr w:type="spellStart"/>
            <w:r w:rsidRPr="0090622A">
              <w:t>casemix</w:t>
            </w:r>
            <w:proofErr w:type="spellEnd"/>
            <w:r w:rsidRPr="0090622A">
              <w:t xml:space="preserve">. </w:t>
            </w:r>
            <w:proofErr w:type="spellStart"/>
            <w:r w:rsidRPr="0090622A">
              <w:t>Casemix</w:t>
            </w:r>
            <w:proofErr w:type="spellEnd"/>
            <w:r w:rsidRPr="0090622A">
              <w:t xml:space="preserve"> adjustment takes account of variation in the relative complexity of the patient’s clinical condition and of the hospital services provided, but not other</w:t>
            </w:r>
            <w:r>
              <w:t xml:space="preserve"> influences on length of stay. </w:t>
            </w:r>
          </w:p>
          <w:p w14:paraId="1E5AFB3B" w14:textId="77777777" w:rsidR="004749C8" w:rsidRDefault="004749C8" w:rsidP="007A6E54">
            <w:pPr>
              <w:pStyle w:val="Box"/>
            </w:pPr>
            <w:r w:rsidRPr="0090622A">
              <w:t>Data reported for this measure are:</w:t>
            </w:r>
          </w:p>
          <w:p w14:paraId="2364BA36"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6A4870CC" w14:textId="4C106F2D"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w:t>
            </w:r>
            <w:r w:rsidR="000E6744">
              <w:t>2018-19</w:t>
            </w:r>
            <w:r>
              <w:t xml:space="preserve"> data are available for all jurisdictions.</w:t>
            </w:r>
          </w:p>
          <w:p w14:paraId="781C3160" w14:textId="77777777" w:rsidR="004749C8" w:rsidRPr="00F2548B" w:rsidRDefault="004749C8" w:rsidP="007A6E54">
            <w:pPr>
              <w:pStyle w:val="BoxHeading2"/>
            </w:pPr>
            <w:r w:rsidRPr="00F2548B">
              <w:t xml:space="preserve">Capital cost per </w:t>
            </w:r>
            <w:r>
              <w:t xml:space="preserve">weighted </w:t>
            </w:r>
            <w:r w:rsidRPr="00F2548B">
              <w:t>separation</w:t>
            </w:r>
          </w:p>
          <w:p w14:paraId="6C9F25F6" w14:textId="77777777" w:rsidR="004749C8" w:rsidRPr="00F2548B" w:rsidRDefault="004749C8" w:rsidP="007A6E54">
            <w:pPr>
              <w:pStyle w:val="Box"/>
            </w:pPr>
            <w:r w:rsidRPr="00F2548B">
              <w:t xml:space="preserve">‘Capital cost per </w:t>
            </w:r>
            <w:r>
              <w:t xml:space="preserve">weighted </w:t>
            </w:r>
            <w:r w:rsidRPr="00F2548B">
              <w:t xml:space="preserve">separation’ is calculated as </w:t>
            </w:r>
            <w:r>
              <w:t xml:space="preserve">the user cost of </w:t>
            </w:r>
            <w:r w:rsidRPr="00F2548B">
              <w:t>capital</w:t>
            </w:r>
            <w:r>
              <w:t xml:space="preserve"> (calculated as 8 per cent of the value of non-current physical assets including buildings and equipment but excluding land) plus depreciation,</w:t>
            </w:r>
            <w:r w:rsidRPr="00F2548B">
              <w:t xml:space="preserve"> divided by the number of </w:t>
            </w:r>
            <w:r>
              <w:t xml:space="preserve">weighted </w:t>
            </w:r>
            <w:r w:rsidRPr="00F2548B">
              <w:t xml:space="preserve">separations. </w:t>
            </w:r>
          </w:p>
          <w:p w14:paraId="30803266" w14:textId="77777777" w:rsidR="004749C8" w:rsidRPr="00F2548B" w:rsidRDefault="004749C8" w:rsidP="007A6E54">
            <w:pPr>
              <w:pStyle w:val="Box"/>
            </w:pPr>
            <w:r w:rsidRPr="00F2548B">
              <w:t xml:space="preserve">This measure allows the full cost of hospital services to be considered. Depreciation is defined as the cost of consuming an asset’s services. It is measured by the reduction in value of an asset over the financial year. The user cost of capital is the opportunity cost of the capital invested in an </w:t>
            </w:r>
            <w:proofErr w:type="gramStart"/>
            <w:r w:rsidRPr="00F2548B">
              <w:t>asset, and</w:t>
            </w:r>
            <w:proofErr w:type="gramEnd"/>
            <w:r w:rsidRPr="00F2548B">
              <w:t xml:space="preserve"> is equivalent to the return foregone from not using the funds to deliver other services or to retire debt. Interest payments represent a user cost of capital, so are deducted from capital costs to avoid double counting.</w:t>
            </w:r>
          </w:p>
          <w:p w14:paraId="411A396A" w14:textId="77777777" w:rsidR="004749C8" w:rsidRDefault="004749C8" w:rsidP="007A6E54">
            <w:pPr>
              <w:pStyle w:val="Box"/>
            </w:pPr>
            <w:r w:rsidRPr="00F2548B">
              <w:t>Data reported for this measure are:</w:t>
            </w:r>
          </w:p>
          <w:p w14:paraId="2619607D" w14:textId="77777777" w:rsidR="004749C8" w:rsidRDefault="004749C8"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7112FC52" w14:textId="4C3A002A" w:rsidR="004749C8" w:rsidRDefault="004749C8" w:rsidP="007A6E54">
            <w:pPr>
              <w:pStyle w:val="Box"/>
              <w:ind w:left="284"/>
            </w:pPr>
            <w:r w:rsidRPr="009273A9">
              <w:rPr>
                <w:shd w:val="clear" w:color="auto" w:fill="F15A25"/>
              </w:rPr>
              <w:t xml:space="preserve">    </w:t>
            </w:r>
            <w:r>
              <w:t xml:space="preserve"> complete (subject to caveats) for the current reporting period. All </w:t>
            </w:r>
            <w:r w:rsidRPr="009A3315">
              <w:t xml:space="preserve">required </w:t>
            </w:r>
            <w:r w:rsidR="000E6744">
              <w:t>2018-19</w:t>
            </w:r>
            <w:r w:rsidRPr="009A3315">
              <w:t xml:space="preserve"> data</w:t>
            </w:r>
            <w:r>
              <w:t xml:space="preserve"> are available for all jurisdictions.</w:t>
            </w:r>
          </w:p>
          <w:p w14:paraId="3697721A" w14:textId="5823F2CC" w:rsidR="00C02581" w:rsidRPr="00F2548B" w:rsidRDefault="00C02581">
            <w:pPr>
              <w:pStyle w:val="Box"/>
            </w:pPr>
            <w:r w:rsidRPr="00193A46">
              <w:t xml:space="preserve">The ‘Relative stay index’ can provide useful context for interpreting the cost per separation indicator as the length of stay per separation can influence cost. The relative stay index is defined as the actual number of acute care patient days divided by the expected number of acute care patient days, adjusted for </w:t>
            </w:r>
            <w:proofErr w:type="spellStart"/>
            <w:r w:rsidRPr="00193A46">
              <w:t>casemix</w:t>
            </w:r>
            <w:proofErr w:type="spellEnd"/>
            <w:r w:rsidRPr="00193A46">
              <w:t xml:space="preserve">. The relative stay index for Australia for all hospitals (public and private) is one. A relative stay index greater than one indicates that average length of patient stay is higher than expected given the jurisdiction’s </w:t>
            </w:r>
            <w:proofErr w:type="spellStart"/>
            <w:r w:rsidRPr="00193A46">
              <w:t>casemix</w:t>
            </w:r>
            <w:proofErr w:type="spellEnd"/>
            <w:r w:rsidRPr="00193A46">
              <w:t xml:space="preserve"> distribution. A relative stay index of less than one indicates that the number of bed days used was less than expected.</w:t>
            </w:r>
            <w:r w:rsidR="00114F23">
              <w:t xml:space="preserve"> </w:t>
            </w:r>
            <w:r w:rsidR="00114F23" w:rsidRPr="00114F23">
              <w:t>The relative stay index for public hospitals is reported in table 12A.6</w:t>
            </w:r>
            <w:r w:rsidR="001D5EDE">
              <w:t>1</w:t>
            </w:r>
            <w:r w:rsidR="00114F23" w:rsidRPr="00114F23">
              <w:t>.</w:t>
            </w:r>
          </w:p>
        </w:tc>
      </w:tr>
      <w:tr w:rsidR="004749C8" w14:paraId="53F75D68" w14:textId="77777777" w:rsidTr="007A6E54">
        <w:trPr>
          <w:cantSplit/>
        </w:trPr>
        <w:tc>
          <w:tcPr>
            <w:tcW w:w="8789" w:type="dxa"/>
            <w:tcBorders>
              <w:top w:val="nil"/>
              <w:left w:val="nil"/>
              <w:bottom w:val="single" w:sz="6" w:space="0" w:color="78A22F"/>
              <w:right w:val="nil"/>
            </w:tcBorders>
            <w:shd w:val="clear" w:color="auto" w:fill="F2F2F2"/>
          </w:tcPr>
          <w:p w14:paraId="27827CB8" w14:textId="77777777" w:rsidR="004749C8" w:rsidRDefault="004749C8" w:rsidP="007A6E54">
            <w:pPr>
              <w:pStyle w:val="Box"/>
              <w:spacing w:before="0" w:line="120" w:lineRule="exact"/>
            </w:pPr>
          </w:p>
        </w:tc>
      </w:tr>
      <w:tr w:rsidR="004749C8" w:rsidRPr="000863A5" w14:paraId="20ADF114" w14:textId="77777777" w:rsidTr="007A6E54">
        <w:tc>
          <w:tcPr>
            <w:tcW w:w="8789" w:type="dxa"/>
            <w:tcBorders>
              <w:top w:val="single" w:sz="6" w:space="0" w:color="78A22F"/>
              <w:left w:val="nil"/>
              <w:bottom w:val="nil"/>
              <w:right w:val="nil"/>
            </w:tcBorders>
          </w:tcPr>
          <w:p w14:paraId="53C75252" w14:textId="77777777" w:rsidR="004749C8" w:rsidRPr="00626D32" w:rsidRDefault="004749C8" w:rsidP="007A6E54">
            <w:pPr>
              <w:pStyle w:val="BoxSpaceBelow"/>
            </w:pPr>
          </w:p>
        </w:tc>
      </w:tr>
    </w:tbl>
    <w:p w14:paraId="58E7FCE2" w14:textId="77777777" w:rsidR="004749C8" w:rsidRPr="00AA6307" w:rsidRDefault="004749C8" w:rsidP="004749C8">
      <w:pPr>
        <w:pStyle w:val="Heading4"/>
      </w:pPr>
      <w:bookmarkStart w:id="36" w:name="_Toc31210615"/>
      <w:r w:rsidRPr="00AA6307">
        <w:lastRenderedPageBreak/>
        <w:t>Recurrent cost per non-admitted patient</w:t>
      </w:r>
      <w:bookmarkEnd w:id="36"/>
    </w:p>
    <w:p w14:paraId="56DD4F8E" w14:textId="2DF760C4" w:rsidR="004749C8" w:rsidRPr="00AA6307" w:rsidRDefault="004749C8" w:rsidP="004749C8">
      <w:pPr>
        <w:pStyle w:val="BodyText"/>
      </w:pPr>
      <w:r w:rsidRPr="00AA6307">
        <w:t>‘Recurrent cost per non-admitted patient’ is an indicator of governments’ objective to deliver services in an efficient manner (box 12.1</w:t>
      </w:r>
      <w:r w:rsidR="00F26297">
        <w:t>4</w:t>
      </w:r>
      <w:r w:rsidRPr="00AA6307">
        <w:t>).</w:t>
      </w:r>
    </w:p>
    <w:p w14:paraId="0341DDA5" w14:textId="77777777" w:rsidR="004749C8" w:rsidRPr="00AA6307"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rsidRPr="00AA6307" w14:paraId="1880B003" w14:textId="77777777" w:rsidTr="007A6E54">
        <w:tc>
          <w:tcPr>
            <w:tcW w:w="8789" w:type="dxa"/>
            <w:tcBorders>
              <w:top w:val="single" w:sz="6" w:space="0" w:color="78A22F"/>
              <w:left w:val="nil"/>
              <w:bottom w:val="nil"/>
              <w:right w:val="nil"/>
            </w:tcBorders>
            <w:shd w:val="clear" w:color="auto" w:fill="F2F2F2"/>
          </w:tcPr>
          <w:p w14:paraId="10E0BB5E" w14:textId="3F8162CA" w:rsidR="004749C8" w:rsidRPr="00AA6307" w:rsidRDefault="004749C8" w:rsidP="00CA60F0">
            <w:pPr>
              <w:pStyle w:val="BoxTitle"/>
            </w:pPr>
            <w:r w:rsidRPr="00AA6307">
              <w:rPr>
                <w:b w:val="0"/>
              </w:rPr>
              <w:t xml:space="preserve">Box </w:t>
            </w:r>
            <w:r>
              <w:rPr>
                <w:b w:val="0"/>
              </w:rPr>
              <w:t>12.</w:t>
            </w:r>
            <w:r>
              <w:rPr>
                <w:b w:val="0"/>
                <w:noProof/>
              </w:rPr>
              <w:t>1</w:t>
            </w:r>
            <w:r w:rsidR="00CA60F0">
              <w:rPr>
                <w:b w:val="0"/>
                <w:noProof/>
              </w:rPr>
              <w:t>4</w:t>
            </w:r>
            <w:r w:rsidRPr="00AA6307">
              <w:tab/>
              <w:t>Recurrent cost per non-admitted patient</w:t>
            </w:r>
          </w:p>
        </w:tc>
      </w:tr>
      <w:tr w:rsidR="004749C8" w:rsidRPr="00AA6307" w14:paraId="147705B2" w14:textId="77777777" w:rsidTr="007A6E54">
        <w:trPr>
          <w:cantSplit/>
        </w:trPr>
        <w:tc>
          <w:tcPr>
            <w:tcW w:w="8789" w:type="dxa"/>
            <w:tcBorders>
              <w:top w:val="nil"/>
              <w:left w:val="nil"/>
              <w:bottom w:val="nil"/>
              <w:right w:val="nil"/>
            </w:tcBorders>
            <w:shd w:val="clear" w:color="auto" w:fill="F2F2F2"/>
          </w:tcPr>
          <w:p w14:paraId="1BED29AD" w14:textId="77777777" w:rsidR="004749C8" w:rsidRPr="00AA6307" w:rsidRDefault="004749C8" w:rsidP="007A6E54">
            <w:pPr>
              <w:pStyle w:val="Box"/>
            </w:pPr>
            <w:r w:rsidRPr="00AA6307">
              <w:t>‘Recurrent cost per non-admitted patient’ is defined by the following two measures:</w:t>
            </w:r>
          </w:p>
          <w:p w14:paraId="7464895E" w14:textId="77777777" w:rsidR="004749C8" w:rsidRPr="00AA6307" w:rsidRDefault="004749C8" w:rsidP="007A6E54">
            <w:pPr>
              <w:pStyle w:val="BoxListBullet"/>
            </w:pPr>
            <w:r w:rsidRPr="00AA6307">
              <w:t>Average cost per non-admitted acute emergency department presentation</w:t>
            </w:r>
          </w:p>
          <w:p w14:paraId="4FF6CBD7" w14:textId="77777777" w:rsidR="004749C8" w:rsidRPr="00AA6307" w:rsidRDefault="004749C8" w:rsidP="007A6E54">
            <w:pPr>
              <w:pStyle w:val="BoxListBullet"/>
            </w:pPr>
            <w:r w:rsidRPr="00AA6307">
              <w:t>Average cost per non-admitted service event</w:t>
            </w:r>
            <w:r>
              <w:t>.</w:t>
            </w:r>
          </w:p>
          <w:p w14:paraId="49F6D823" w14:textId="77777777" w:rsidR="004749C8" w:rsidRPr="00AA6307" w:rsidRDefault="004749C8" w:rsidP="007A6E54">
            <w:pPr>
              <w:pStyle w:val="Box"/>
            </w:pPr>
            <w:r w:rsidRPr="00AA6307">
              <w:t xml:space="preserve">A low or decreasing recurrent cost per non-admitted patient can reflect more efficient service delivery in public hospitals. However, this indicator should be viewed in the context of the set of performance </w:t>
            </w:r>
            <w:proofErr w:type="gramStart"/>
            <w:r w:rsidRPr="00AA6307">
              <w:t>indicators as a whole, as</w:t>
            </w:r>
            <w:proofErr w:type="gramEnd"/>
            <w:r w:rsidRPr="00AA6307">
              <w:t xml:space="preserve"> decreasing cost could also be associated with decreasing quality and effectiveness. This indicator does not adjust for the complexity of service.</w:t>
            </w:r>
          </w:p>
          <w:p w14:paraId="1DCE992C" w14:textId="77777777" w:rsidR="004749C8" w:rsidRDefault="004749C8" w:rsidP="007A6E54">
            <w:pPr>
              <w:pStyle w:val="Box"/>
            </w:pPr>
            <w:r w:rsidRPr="00AA6307">
              <w:t xml:space="preserve">Data reported for </w:t>
            </w:r>
            <w:r>
              <w:t>both measures</w:t>
            </w:r>
            <w:r w:rsidRPr="00AA6307">
              <w:t xml:space="preserve"> are:</w:t>
            </w:r>
          </w:p>
          <w:p w14:paraId="19D6FA63"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675073CA" w14:textId="68252C37" w:rsidR="004749C8" w:rsidRPr="00AA6307" w:rsidRDefault="004749C8" w:rsidP="007A6E54">
            <w:pPr>
              <w:pStyle w:val="Box"/>
              <w:ind w:left="284"/>
            </w:pPr>
            <w:r w:rsidRPr="009273A9">
              <w:rPr>
                <w:shd w:val="clear" w:color="auto" w:fill="F15A25"/>
              </w:rPr>
              <w:t xml:space="preserve">    </w:t>
            </w:r>
            <w:r>
              <w:t xml:space="preserve"> complete (subject to caveats) for the current reporting period. All required </w:t>
            </w:r>
            <w:r w:rsidR="000E6744">
              <w:t>2018-19</w:t>
            </w:r>
            <w:r>
              <w:t xml:space="preserve"> data are available for all jurisdictions.</w:t>
            </w:r>
          </w:p>
        </w:tc>
      </w:tr>
      <w:tr w:rsidR="004749C8" w14:paraId="7C341EB4" w14:textId="77777777" w:rsidTr="007A6E54">
        <w:trPr>
          <w:cantSplit/>
        </w:trPr>
        <w:tc>
          <w:tcPr>
            <w:tcW w:w="8789" w:type="dxa"/>
            <w:tcBorders>
              <w:top w:val="nil"/>
              <w:left w:val="nil"/>
              <w:bottom w:val="single" w:sz="6" w:space="0" w:color="78A22F"/>
              <w:right w:val="nil"/>
            </w:tcBorders>
            <w:shd w:val="clear" w:color="auto" w:fill="F2F2F2"/>
          </w:tcPr>
          <w:p w14:paraId="35223410" w14:textId="77777777" w:rsidR="004749C8" w:rsidRDefault="004749C8" w:rsidP="007A6E54">
            <w:pPr>
              <w:pStyle w:val="Box"/>
              <w:spacing w:before="0" w:line="120" w:lineRule="exact"/>
            </w:pPr>
          </w:p>
        </w:tc>
      </w:tr>
      <w:tr w:rsidR="004749C8" w:rsidRPr="000863A5" w14:paraId="47888936" w14:textId="77777777" w:rsidTr="007A6E54">
        <w:tc>
          <w:tcPr>
            <w:tcW w:w="8789" w:type="dxa"/>
            <w:tcBorders>
              <w:top w:val="single" w:sz="6" w:space="0" w:color="78A22F"/>
              <w:left w:val="nil"/>
              <w:bottom w:val="nil"/>
              <w:right w:val="nil"/>
            </w:tcBorders>
          </w:tcPr>
          <w:p w14:paraId="768AD7DF" w14:textId="77777777" w:rsidR="004749C8" w:rsidRPr="00626D32" w:rsidRDefault="004749C8" w:rsidP="007A6E54">
            <w:pPr>
              <w:pStyle w:val="BoxSpaceBelow"/>
            </w:pPr>
          </w:p>
        </w:tc>
      </w:tr>
    </w:tbl>
    <w:p w14:paraId="73E68E3A" w14:textId="77777777" w:rsidR="00F166F5" w:rsidRDefault="00F166F5" w:rsidP="005E4E11">
      <w:pPr>
        <w:pStyle w:val="Heading3"/>
      </w:pPr>
      <w:bookmarkStart w:id="37" w:name="_Toc31210616"/>
      <w:r>
        <w:t>Outcomes</w:t>
      </w:r>
      <w:bookmarkEnd w:id="24"/>
      <w:bookmarkEnd w:id="37"/>
    </w:p>
    <w:p w14:paraId="7F1DDEF2" w14:textId="3C28F48E" w:rsidR="005C1E0E" w:rsidRDefault="005C1E0E" w:rsidP="005C1E0E">
      <w:pPr>
        <w:pStyle w:val="BodyText"/>
        <w:rPr>
          <w:szCs w:val="26"/>
        </w:rPr>
      </w:pPr>
      <w:r>
        <w:rPr>
          <w:szCs w:val="26"/>
        </w:rPr>
        <w:t>Outcomes are the impact of services on the status of an individual or group (see section 1).</w:t>
      </w:r>
    </w:p>
    <w:p w14:paraId="597F90E6" w14:textId="77777777" w:rsidR="004749C8" w:rsidRDefault="004749C8" w:rsidP="004749C8">
      <w:pPr>
        <w:pStyle w:val="Heading4"/>
      </w:pPr>
      <w:bookmarkStart w:id="38" w:name="_Toc31210617"/>
      <w:r>
        <w:t>Avoidable mortality in hospitals</w:t>
      </w:r>
      <w:bookmarkEnd w:id="38"/>
    </w:p>
    <w:p w14:paraId="0DE6BDDF" w14:textId="15A53BCD" w:rsidR="004749C8" w:rsidRDefault="004749C8" w:rsidP="004749C8">
      <w:pPr>
        <w:pStyle w:val="BodyText"/>
      </w:pPr>
      <w:r>
        <w:t>‘Avoidable mortality in hospitals’ is an indicator of governments’ objective to alleviate or manage illness and the effects of injury (box 12.1</w:t>
      </w:r>
      <w:r w:rsidR="00F26297">
        <w:t>5</w:t>
      </w:r>
      <w:r>
        <w:t>).</w:t>
      </w:r>
    </w:p>
    <w:p w14:paraId="680EC038" w14:textId="77777777" w:rsidR="004749C8" w:rsidRPr="009546C6" w:rsidRDefault="004749C8" w:rsidP="004749C8">
      <w:pPr>
        <w:pStyle w:val="BoxSpaceAbove"/>
        <w:rPr>
          <w:sz w:val="20"/>
        </w:rPr>
      </w:pPr>
    </w:p>
    <w:tbl>
      <w:tblPr>
        <w:tblW w:w="893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142"/>
        <w:gridCol w:w="8647"/>
        <w:gridCol w:w="142"/>
      </w:tblGrid>
      <w:tr w:rsidR="004749C8" w14:paraId="714B579F" w14:textId="77777777" w:rsidTr="00270870">
        <w:trPr>
          <w:gridBefore w:val="1"/>
          <w:wBefore w:w="142" w:type="dxa"/>
        </w:trPr>
        <w:tc>
          <w:tcPr>
            <w:tcW w:w="8789" w:type="dxa"/>
            <w:gridSpan w:val="2"/>
            <w:tcBorders>
              <w:top w:val="single" w:sz="6" w:space="0" w:color="78A22F"/>
              <w:left w:val="nil"/>
              <w:bottom w:val="nil"/>
              <w:right w:val="nil"/>
            </w:tcBorders>
            <w:shd w:val="clear" w:color="auto" w:fill="F2F2F2"/>
          </w:tcPr>
          <w:p w14:paraId="18F104A1" w14:textId="60A2AD5E" w:rsidR="004749C8" w:rsidRDefault="004749C8" w:rsidP="00CA60F0">
            <w:pPr>
              <w:pStyle w:val="BoxTitle"/>
            </w:pPr>
            <w:r>
              <w:rPr>
                <w:b w:val="0"/>
              </w:rPr>
              <w:t>Box 12.</w:t>
            </w:r>
            <w:r>
              <w:rPr>
                <w:b w:val="0"/>
                <w:noProof/>
              </w:rPr>
              <w:t>1</w:t>
            </w:r>
            <w:r w:rsidR="00CA60F0">
              <w:rPr>
                <w:b w:val="0"/>
                <w:noProof/>
              </w:rPr>
              <w:t>5</w:t>
            </w:r>
            <w:r>
              <w:tab/>
              <w:t>Avoidable m</w:t>
            </w:r>
            <w:r w:rsidRPr="003759EF">
              <w:t>ortality in hospitals</w:t>
            </w:r>
          </w:p>
        </w:tc>
      </w:tr>
      <w:tr w:rsidR="004749C8" w14:paraId="62B78E3B" w14:textId="77777777" w:rsidTr="00270870">
        <w:trPr>
          <w:gridBefore w:val="1"/>
          <w:wBefore w:w="142" w:type="dxa"/>
          <w:cantSplit/>
        </w:trPr>
        <w:tc>
          <w:tcPr>
            <w:tcW w:w="8789" w:type="dxa"/>
            <w:gridSpan w:val="2"/>
            <w:tcBorders>
              <w:top w:val="nil"/>
              <w:left w:val="nil"/>
              <w:bottom w:val="nil"/>
              <w:right w:val="nil"/>
            </w:tcBorders>
            <w:shd w:val="clear" w:color="auto" w:fill="F2F2F2"/>
          </w:tcPr>
          <w:p w14:paraId="726D655F" w14:textId="5AE15629" w:rsidR="004749C8" w:rsidRDefault="004749C8" w:rsidP="007A6E54">
            <w:pPr>
              <w:pStyle w:val="Box"/>
            </w:pPr>
            <w:r w:rsidRPr="008941B5">
              <w:t>‘</w:t>
            </w:r>
            <w:r>
              <w:t>Avoidable m</w:t>
            </w:r>
            <w:r w:rsidRPr="008941B5">
              <w:t>ortality in hospitals’ is defined as death in low-mortality diagnostic related groups</w:t>
            </w:r>
            <w:r w:rsidR="00E46D43">
              <w:t xml:space="preserve"> (DRGs)</w:t>
            </w:r>
            <w:r w:rsidRPr="008941B5">
              <w:t xml:space="preserve"> expressed as a rate.</w:t>
            </w:r>
          </w:p>
          <w:p w14:paraId="69D6DC07" w14:textId="77777777" w:rsidR="004749C8" w:rsidRDefault="004749C8" w:rsidP="007A6E54">
            <w:pPr>
              <w:pStyle w:val="Box"/>
            </w:pPr>
            <w:r>
              <w:t>Low or decreasing rates of avoidable mortality in hospitals indicate more successful management of illness and the effects of injury.</w:t>
            </w:r>
          </w:p>
          <w:p w14:paraId="72C3F5BF" w14:textId="6A2429CF" w:rsidR="004749C8" w:rsidRDefault="004749C8">
            <w:pPr>
              <w:pStyle w:val="Box"/>
            </w:pPr>
            <w:r>
              <w:t>Data are not yet available for reporting against this measure.</w:t>
            </w:r>
            <w:r w:rsidR="00040938">
              <w:t xml:space="preserve"> </w:t>
            </w:r>
            <w:r w:rsidR="00E46D43">
              <w:t>T</w:t>
            </w:r>
            <w:r w:rsidR="00040938" w:rsidRPr="00040938">
              <w:t>able 12.1 provides an overview of the review mechanisms in place across states and territories for examining in-hospital deaths in low</w:t>
            </w:r>
            <w:r w:rsidR="00E46D43">
              <w:t>-</w:t>
            </w:r>
            <w:r w:rsidR="00040938" w:rsidRPr="00040938">
              <w:t xml:space="preserve">mortality </w:t>
            </w:r>
            <w:r w:rsidR="00E46D43">
              <w:t>DRGs</w:t>
            </w:r>
            <w:r w:rsidR="00040938" w:rsidRPr="00040938">
              <w:t>.</w:t>
            </w:r>
          </w:p>
        </w:tc>
      </w:tr>
      <w:tr w:rsidR="004749C8" w14:paraId="23DC86F7" w14:textId="77777777" w:rsidTr="00270870">
        <w:trPr>
          <w:gridBefore w:val="1"/>
          <w:wBefore w:w="142" w:type="dxa"/>
          <w:cantSplit/>
        </w:trPr>
        <w:tc>
          <w:tcPr>
            <w:tcW w:w="8789" w:type="dxa"/>
            <w:gridSpan w:val="2"/>
            <w:tcBorders>
              <w:top w:val="nil"/>
              <w:left w:val="nil"/>
              <w:bottom w:val="single" w:sz="6" w:space="0" w:color="78A22F"/>
              <w:right w:val="nil"/>
            </w:tcBorders>
            <w:shd w:val="clear" w:color="auto" w:fill="F2F2F2"/>
          </w:tcPr>
          <w:p w14:paraId="36D8525D" w14:textId="77777777" w:rsidR="004749C8" w:rsidRDefault="004749C8" w:rsidP="007A6E54">
            <w:pPr>
              <w:pStyle w:val="Box"/>
              <w:spacing w:before="0" w:line="120" w:lineRule="exact"/>
            </w:pPr>
          </w:p>
        </w:tc>
      </w:tr>
      <w:tr w:rsidR="004749C8" w:rsidRPr="000863A5" w14:paraId="4EE5ADFA" w14:textId="77777777" w:rsidTr="00270870">
        <w:trPr>
          <w:gridBefore w:val="1"/>
          <w:wBefore w:w="142" w:type="dxa"/>
        </w:trPr>
        <w:tc>
          <w:tcPr>
            <w:tcW w:w="8789" w:type="dxa"/>
            <w:gridSpan w:val="2"/>
            <w:tcBorders>
              <w:top w:val="single" w:sz="6" w:space="0" w:color="78A22F"/>
              <w:left w:val="nil"/>
              <w:bottom w:val="nil"/>
              <w:right w:val="nil"/>
            </w:tcBorders>
          </w:tcPr>
          <w:p w14:paraId="5E3268A7" w14:textId="77777777" w:rsidR="004749C8" w:rsidRPr="00626D32" w:rsidRDefault="004749C8" w:rsidP="007A6E54">
            <w:pPr>
              <w:pStyle w:val="BoxSpaceBelow"/>
            </w:pPr>
          </w:p>
        </w:tc>
      </w:tr>
      <w:tr w:rsidR="00D95447" w:rsidRPr="00C52C8A" w14:paraId="1EC0F936"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trPr>
        <w:tc>
          <w:tcPr>
            <w:tcW w:w="8789" w:type="dxa"/>
            <w:gridSpan w:val="2"/>
            <w:tcBorders>
              <w:top w:val="single" w:sz="6" w:space="0" w:color="78A22F" w:themeColor="accent1"/>
              <w:left w:val="nil"/>
              <w:bottom w:val="nil"/>
              <w:right w:val="nil"/>
            </w:tcBorders>
            <w:shd w:val="clear" w:color="auto" w:fill="auto"/>
          </w:tcPr>
          <w:p w14:paraId="2C7EFD1D" w14:textId="506814D5" w:rsidR="00D95447" w:rsidRPr="00C52C8A" w:rsidRDefault="00D95447">
            <w:pPr>
              <w:pStyle w:val="TableTitle"/>
              <w:widowControl w:val="0"/>
            </w:pPr>
            <w:bookmarkStart w:id="39" w:name="_Toc340063215"/>
            <w:bookmarkStart w:id="40" w:name="_Toc458687992"/>
            <w:bookmarkStart w:id="41" w:name="_Toc21937656"/>
            <w:bookmarkStart w:id="42" w:name="_Toc31210618"/>
            <w:r w:rsidRPr="00C52C8A">
              <w:rPr>
                <w:b w:val="0"/>
              </w:rPr>
              <w:lastRenderedPageBreak/>
              <w:t xml:space="preserve">Table </w:t>
            </w:r>
            <w:r w:rsidR="00251A46">
              <w:rPr>
                <w:b w:val="0"/>
              </w:rPr>
              <w:t>12.1</w:t>
            </w:r>
            <w:r w:rsidRPr="00C52C8A">
              <w:tab/>
            </w:r>
            <w:r w:rsidR="00E46D43">
              <w:t>O</w:t>
            </w:r>
            <w:r w:rsidR="00251A46">
              <w:t>verview of review mechanisms across states and territories</w:t>
            </w:r>
            <w:r w:rsidR="00E46D43">
              <w:t xml:space="preserve"> for in-hospital deaths in low-mortality DRGs</w:t>
            </w:r>
          </w:p>
        </w:tc>
      </w:tr>
      <w:tr w:rsidR="00D95447" w:rsidRPr="00C52C8A" w14:paraId="325F4718"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701"/>
              <w:gridCol w:w="6804"/>
            </w:tblGrid>
            <w:tr w:rsidR="00DF0275" w:rsidRPr="00C52C8A" w14:paraId="34CDC039" w14:textId="77777777" w:rsidTr="00270870">
              <w:tc>
                <w:tcPr>
                  <w:tcW w:w="1000" w:type="pct"/>
                  <w:shd w:val="clear" w:color="auto" w:fill="auto"/>
                </w:tcPr>
                <w:p w14:paraId="38C06C05" w14:textId="253508CE" w:rsidR="00DF0275" w:rsidRPr="00DF0275" w:rsidRDefault="00DF0275" w:rsidP="008E7884">
                  <w:pPr>
                    <w:pStyle w:val="TableBodyText"/>
                    <w:widowControl w:val="0"/>
                    <w:jc w:val="left"/>
                  </w:pPr>
                  <w:r>
                    <w:t>NSW</w:t>
                  </w:r>
                </w:p>
              </w:tc>
              <w:tc>
                <w:tcPr>
                  <w:tcW w:w="4000" w:type="pct"/>
                  <w:shd w:val="clear" w:color="auto" w:fill="auto"/>
                  <w:vAlign w:val="center"/>
                </w:tcPr>
                <w:p w14:paraId="48FCD0DC" w14:textId="2F5BA0D2" w:rsidR="00DF0275" w:rsidRPr="00C52C8A" w:rsidRDefault="00AD7C4E" w:rsidP="008E7884">
                  <w:pPr>
                    <w:pStyle w:val="TableBodyText"/>
                    <w:widowControl w:val="0"/>
                    <w:jc w:val="left"/>
                  </w:pPr>
                  <w:r w:rsidRPr="00CE15E4">
                    <w:t xml:space="preserve">NSW reports publicly on selected mortality in hospitals data. The report 'Mortality following hospitalisation for seven clinical conditions' provides information on patient deaths within 30 days of admission across 73 public hospitals for seven clinical conditions during the period July 2015 to June 2018 http://www.bhi.nsw.gov.au/__data/assets/pdf_file/0007/557827/BHI_Mortality_2015-2018_REPORT.pdf). The seven clinical conditions are: acute myocardial infarction, ischaemic stroke, haemorrhagic stroke, congestive heart failure, pneumonia, chronic obstructive pulmonary disease, and hip fracture surgery. Together these conditions account for approximately 11 per cent of acute emergency hospitalisations for people aged 15 years and over in NSW, and approximately 28 per cent of in-hospital deaths following acute emergency hospitalisation. The NSW Bureau of Health Information uses 30-day risk-standardised mortality ratios (RSMRs) to assess mortality in hospital. The RSMRs </w:t>
                  </w:r>
                  <w:proofErr w:type="gramStart"/>
                  <w:r w:rsidRPr="00CE15E4">
                    <w:t>take into account</w:t>
                  </w:r>
                  <w:proofErr w:type="gramEnd"/>
                  <w:r w:rsidRPr="00CE15E4">
                    <w:t xml:space="preserve"> the volume of patients treated and key patient risk factors beyond the control of a hospital. However, not all relevant risk factors are recorded, such as sociological and environmental factors, so while results are useful for trend analysis and a guide for further investigation, they are not suitable for direct performance comparisons. A ratio of less than 1.0 indicates that mortality is lower than expected </w:t>
                  </w:r>
                  <w:proofErr w:type="gramStart"/>
                  <w:r w:rsidRPr="00CE15E4">
                    <w:t>in a given</w:t>
                  </w:r>
                  <w:proofErr w:type="gramEnd"/>
                  <w:r w:rsidRPr="00CE15E4">
                    <w:t xml:space="preserve"> hospital, while a ratio of greater than 1.0 indicates that mortality is higher than expected in a given hospital. Three years of data are used to create stable, reliable estimates of performance. Rates are also reported per 100 hospitalisations for each of the seven clinical conditions.</w:t>
                  </w:r>
                </w:p>
              </w:tc>
            </w:tr>
            <w:tr w:rsidR="00DF0275" w:rsidRPr="00C52C8A" w14:paraId="772EE59D" w14:textId="77777777" w:rsidTr="00900108">
              <w:tc>
                <w:tcPr>
                  <w:tcW w:w="1000" w:type="pct"/>
                  <w:shd w:val="clear" w:color="auto" w:fill="auto"/>
                </w:tcPr>
                <w:p w14:paraId="42157C55" w14:textId="71F6FB31" w:rsidR="00DF0275" w:rsidRPr="00DF0275" w:rsidRDefault="00DF0275" w:rsidP="008E7884">
                  <w:pPr>
                    <w:pStyle w:val="TableBodyText"/>
                    <w:widowControl w:val="0"/>
                    <w:jc w:val="left"/>
                  </w:pPr>
                  <w:r>
                    <w:t>Victoria</w:t>
                  </w:r>
                </w:p>
              </w:tc>
              <w:tc>
                <w:tcPr>
                  <w:tcW w:w="4000" w:type="pct"/>
                  <w:shd w:val="clear" w:color="auto" w:fill="auto"/>
                  <w:vAlign w:val="center"/>
                </w:tcPr>
                <w:p w14:paraId="2BF557CA" w14:textId="77777777" w:rsidR="006F4782" w:rsidRDefault="006F4782" w:rsidP="008E7884">
                  <w:pPr>
                    <w:pStyle w:val="TableBodyText"/>
                    <w:widowControl w:val="0"/>
                    <w:jc w:val="left"/>
                  </w:pPr>
                  <w:r>
                    <w:t xml:space="preserve">Victoria does not report publicly on these data. However, Victoria reports internally on five indicators based on the Core Hospital-Based Outcome Indicator (CHBOI) specifications published by the Australian Commission on Safety and Quality in Health Care (ACSQHC); Hospital Standardised Mortality Ratio and In-hospital Mortality (for Stroke, Fractured Neck-of-Femur, Acute Myocardial Infarction and Pneumonia). Outliers for these indicators are reviewed on a regular basis by Safer Care Victoria, the Department of Health and Human Services and respective health services as part of the performance monitoring process. In addition, the Victorian Perioperative Consultative Council oversees, reviews and analyses cases of perioperative mortality and morbidity in Victoria.  </w:t>
                  </w:r>
                </w:p>
                <w:p w14:paraId="7E35A6F6" w14:textId="77777777" w:rsidR="006F4782" w:rsidRDefault="006F4782" w:rsidP="008E7884">
                  <w:pPr>
                    <w:pStyle w:val="TableBodyText"/>
                    <w:widowControl w:val="0"/>
                    <w:jc w:val="left"/>
                  </w:pPr>
                  <w:r>
                    <w:t xml:space="preserve">Victoria also reports internally on four in-hospital mortality indicators (for Stroke, Fractured Neck of Femur, Acute Myocardial Infarction and Pneumonia) via the Victorian Agency for Health Information Private Hospitals Quality and Safety Report. </w:t>
                  </w:r>
                </w:p>
                <w:p w14:paraId="4D4FAE08" w14:textId="027D2D41" w:rsidR="00DF0275" w:rsidRPr="00C52C8A" w:rsidRDefault="006F4782" w:rsidP="008E7884">
                  <w:pPr>
                    <w:pStyle w:val="TableBodyText"/>
                    <w:widowControl w:val="0"/>
                    <w:jc w:val="left"/>
                  </w:pPr>
                  <w:r>
                    <w:t>The Victorian Agency for Health Information (VAHI) previously reported on deaths in low mortality DRGs based on the CHBOI specifications. Following further methodological review during 2018-19, an updated indicator has been defined and re-introduced for internal reporting as part of the Boards Quality and Safety Report. The calculation is restricted to acute-care separations where the DRG is classified as a low</w:t>
                  </w:r>
                  <w:r w:rsidR="00FD7416">
                    <w:t>-</w:t>
                  </w:r>
                  <w:r>
                    <w:t>mortality DRG, which is defined as a DRG with a national mortality rate of less than 0.5</w:t>
                  </w:r>
                  <w:r w:rsidR="00FD7416">
                    <w:t xml:space="preserve"> per cent</w:t>
                  </w:r>
                  <w:r>
                    <w:t xml:space="preserve"> over the previous 3 years, as at the time of calculation.</w:t>
                  </w:r>
                </w:p>
              </w:tc>
            </w:tr>
            <w:tr w:rsidR="00DF0275" w:rsidRPr="00C52C8A" w14:paraId="35DE64B8" w14:textId="77777777" w:rsidTr="00900108">
              <w:tc>
                <w:tcPr>
                  <w:tcW w:w="1000" w:type="pct"/>
                  <w:shd w:val="clear" w:color="auto" w:fill="auto"/>
                </w:tcPr>
                <w:p w14:paraId="545420A6" w14:textId="5A040865" w:rsidR="00DF0275" w:rsidRPr="00DF0275" w:rsidRDefault="00DF0275" w:rsidP="008E7884">
                  <w:pPr>
                    <w:pStyle w:val="TableBodyText"/>
                    <w:widowControl w:val="0"/>
                    <w:jc w:val="left"/>
                  </w:pPr>
                  <w:r>
                    <w:t>Queensland</w:t>
                  </w:r>
                </w:p>
              </w:tc>
              <w:tc>
                <w:tcPr>
                  <w:tcW w:w="4000" w:type="pct"/>
                  <w:shd w:val="clear" w:color="auto" w:fill="auto"/>
                  <w:vAlign w:val="center"/>
                </w:tcPr>
                <w:p w14:paraId="3A756742" w14:textId="1C3D3C57" w:rsidR="00DF0275" w:rsidRPr="00C52C8A" w:rsidRDefault="008E7884">
                  <w:pPr>
                    <w:pStyle w:val="TableBodyText"/>
                    <w:widowControl w:val="0"/>
                    <w:jc w:val="left"/>
                  </w:pPr>
                  <w:r w:rsidRPr="00B365F4">
                    <w:t xml:space="preserve">Queensland does not report publicly on these data. Queensland Hospital and Health Services undertake 'outlier' reviews of in-hospital deaths which are reviewed by a </w:t>
                  </w:r>
                  <w:proofErr w:type="spellStart"/>
                  <w:r w:rsidRPr="00B365F4">
                    <w:t>statewide</w:t>
                  </w:r>
                  <w:proofErr w:type="spellEnd"/>
                  <w:r w:rsidRPr="00B365F4">
                    <w:t xml:space="preserve"> committee to ensure the review is thorough and actions are identified for any issues found. The need for review is identified through monitoring condition or procedure specific indicators (AMI, Heart Failure, Stroke, Fractured Neck of Femur and Pneumonia) and system-wide mortality indicators i.e. low</w:t>
                  </w:r>
                  <w:r w:rsidR="00FD7416">
                    <w:t>-</w:t>
                  </w:r>
                  <w:r w:rsidRPr="00B365F4">
                    <w:t xml:space="preserve">mortality DRG and hospital standard mortality ratio (HSMR). In addition, morbidity and mortality meetings are held at a local level. Further, Quality Assurance Committees (QAC) identify common issues across the state to identify lessons learnt and/or recommendations for consideration </w:t>
                  </w:r>
                  <w:proofErr w:type="spellStart"/>
                  <w:r w:rsidRPr="00B365F4">
                    <w:t>statewide</w:t>
                  </w:r>
                  <w:proofErr w:type="spellEnd"/>
                  <w:r w:rsidRPr="00B365F4">
                    <w:t xml:space="preserve"> and locally. Other QACs e.g. Queensland Audit of Surgical Mortality provide individual feedback to practitioners to improve individual performance.</w:t>
                  </w:r>
                </w:p>
              </w:tc>
            </w:tr>
          </w:tbl>
          <w:p w14:paraId="26DAC90A" w14:textId="77777777" w:rsidR="00D95447" w:rsidRPr="00C52C8A" w:rsidRDefault="00D95447" w:rsidP="008E7884">
            <w:pPr>
              <w:pStyle w:val="Box"/>
              <w:keepLines/>
              <w:widowControl w:val="0"/>
            </w:pPr>
          </w:p>
        </w:tc>
      </w:tr>
      <w:tr w:rsidR="00D95447" w:rsidRPr="00C52C8A" w14:paraId="6ECCA35B"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nil"/>
              <w:right w:val="nil"/>
            </w:tcBorders>
            <w:shd w:val="clear" w:color="auto" w:fill="auto"/>
          </w:tcPr>
          <w:p w14:paraId="5891DCB3" w14:textId="41F9AFED" w:rsidR="00D95447" w:rsidRPr="00C52C8A" w:rsidRDefault="00EC5632" w:rsidP="00EC5632">
            <w:pPr>
              <w:pStyle w:val="Source"/>
              <w:keepNext/>
              <w:widowControl w:val="0"/>
              <w:jc w:val="right"/>
            </w:pPr>
            <w:r>
              <w:t>(continued over page)</w:t>
            </w:r>
          </w:p>
        </w:tc>
      </w:tr>
      <w:tr w:rsidR="00D95447" w:rsidRPr="00C52C8A" w14:paraId="13786206"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single" w:sz="6" w:space="0" w:color="78A22F" w:themeColor="accent1"/>
              <w:right w:val="nil"/>
            </w:tcBorders>
            <w:shd w:val="clear" w:color="auto" w:fill="auto"/>
          </w:tcPr>
          <w:p w14:paraId="3BA3BC37" w14:textId="77777777" w:rsidR="00D95447" w:rsidRPr="00C52C8A" w:rsidRDefault="00D95447" w:rsidP="008E7884">
            <w:pPr>
              <w:pStyle w:val="Box"/>
              <w:keepLines/>
              <w:widowControl w:val="0"/>
              <w:spacing w:before="0" w:line="120" w:lineRule="exact"/>
            </w:pPr>
          </w:p>
        </w:tc>
      </w:tr>
      <w:tr w:rsidR="00D95447" w:rsidRPr="00C52C8A" w14:paraId="3E210962"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trPr>
        <w:tc>
          <w:tcPr>
            <w:tcW w:w="8789" w:type="dxa"/>
            <w:gridSpan w:val="2"/>
            <w:tcBorders>
              <w:top w:val="single" w:sz="6" w:space="0" w:color="78A22F" w:themeColor="accent1"/>
              <w:left w:val="nil"/>
              <w:bottom w:val="nil"/>
              <w:right w:val="nil"/>
            </w:tcBorders>
          </w:tcPr>
          <w:p w14:paraId="0C554411" w14:textId="39ADFB42" w:rsidR="00D95447" w:rsidRPr="00C52C8A" w:rsidRDefault="00D95447" w:rsidP="008E7884">
            <w:pPr>
              <w:pStyle w:val="BoxSpaceBelow"/>
              <w:keepNext/>
              <w:keepLines/>
              <w:widowControl w:val="0"/>
            </w:pPr>
          </w:p>
        </w:tc>
      </w:tr>
      <w:tr w:rsidR="00900108" w:rsidRPr="00C52C8A" w14:paraId="067CE0C1"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trPr>
        <w:tc>
          <w:tcPr>
            <w:tcW w:w="8789" w:type="dxa"/>
            <w:gridSpan w:val="2"/>
            <w:tcBorders>
              <w:top w:val="single" w:sz="6" w:space="0" w:color="78A22F" w:themeColor="accent1"/>
              <w:left w:val="nil"/>
              <w:bottom w:val="nil"/>
              <w:right w:val="nil"/>
            </w:tcBorders>
            <w:shd w:val="clear" w:color="auto" w:fill="auto"/>
          </w:tcPr>
          <w:p w14:paraId="490957DF" w14:textId="3D5D1A27" w:rsidR="00900108" w:rsidRPr="00C52C8A" w:rsidRDefault="00900108" w:rsidP="00D0676F">
            <w:pPr>
              <w:pStyle w:val="TableTitle"/>
              <w:widowControl w:val="0"/>
            </w:pPr>
            <w:r w:rsidRPr="00C52C8A">
              <w:rPr>
                <w:b w:val="0"/>
              </w:rPr>
              <w:lastRenderedPageBreak/>
              <w:t xml:space="preserve">Table </w:t>
            </w:r>
            <w:r>
              <w:rPr>
                <w:b w:val="0"/>
              </w:rPr>
              <w:t>12.1</w:t>
            </w:r>
            <w:r w:rsidRPr="00C52C8A">
              <w:tab/>
            </w:r>
            <w:r w:rsidR="0040733D" w:rsidRPr="0040733D">
              <w:rPr>
                <w:b w:val="0"/>
                <w:bCs/>
                <w:sz w:val="20"/>
                <w:szCs w:val="20"/>
              </w:rPr>
              <w:t>(continued)</w:t>
            </w:r>
          </w:p>
        </w:tc>
      </w:tr>
      <w:tr w:rsidR="00900108" w:rsidRPr="00C52C8A" w14:paraId="2B1B1C20"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701"/>
              <w:gridCol w:w="6804"/>
            </w:tblGrid>
            <w:tr w:rsidR="00900108" w:rsidRPr="00C52C8A" w14:paraId="3980A21D" w14:textId="77777777" w:rsidTr="00EC5632">
              <w:tc>
                <w:tcPr>
                  <w:tcW w:w="1000" w:type="pct"/>
                  <w:shd w:val="clear" w:color="auto" w:fill="auto"/>
                </w:tcPr>
                <w:p w14:paraId="058D6BC0" w14:textId="77777777" w:rsidR="00900108" w:rsidRPr="00DF0275" w:rsidRDefault="00900108" w:rsidP="00D0676F">
                  <w:pPr>
                    <w:pStyle w:val="TableBodyText"/>
                    <w:widowControl w:val="0"/>
                    <w:spacing w:before="40"/>
                    <w:ind w:right="28"/>
                    <w:jc w:val="left"/>
                  </w:pPr>
                  <w:r>
                    <w:t>South Australia</w:t>
                  </w:r>
                </w:p>
              </w:tc>
              <w:tc>
                <w:tcPr>
                  <w:tcW w:w="4000" w:type="pct"/>
                  <w:shd w:val="clear" w:color="auto" w:fill="auto"/>
                  <w:vAlign w:val="center"/>
                </w:tcPr>
                <w:p w14:paraId="1D6B53F5" w14:textId="7440955E" w:rsidR="00900108" w:rsidRPr="00C52C8A" w:rsidRDefault="00900108">
                  <w:pPr>
                    <w:pStyle w:val="TableBodyText"/>
                    <w:widowControl w:val="0"/>
                    <w:jc w:val="left"/>
                  </w:pPr>
                  <w:r w:rsidRPr="001E48EC">
                    <w:t xml:space="preserve">SA does not report publicly on these data. For internal mortality analysis, SA uses </w:t>
                  </w:r>
                  <w:r>
                    <w:t xml:space="preserve">national </w:t>
                  </w:r>
                  <w:r w:rsidRPr="001E48EC">
                    <w:t xml:space="preserve">Core </w:t>
                  </w:r>
                  <w:proofErr w:type="gramStart"/>
                  <w:r>
                    <w:t>h</w:t>
                  </w:r>
                  <w:r w:rsidRPr="001E48EC">
                    <w:t xml:space="preserve">ospital </w:t>
                  </w:r>
                  <w:r>
                    <w:t>b</w:t>
                  </w:r>
                  <w:r w:rsidRPr="001E48EC">
                    <w:t>ased</w:t>
                  </w:r>
                  <w:proofErr w:type="gramEnd"/>
                  <w:r w:rsidRPr="001E48EC">
                    <w:t xml:space="preserve"> </w:t>
                  </w:r>
                  <w:r>
                    <w:t>o</w:t>
                  </w:r>
                  <w:r w:rsidRPr="001E48EC">
                    <w:t xml:space="preserve">utcome </w:t>
                  </w:r>
                  <w:r>
                    <w:t>i</w:t>
                  </w:r>
                  <w:r w:rsidRPr="001E48EC">
                    <w:t xml:space="preserve">ndicators (CHBOI) developed by </w:t>
                  </w:r>
                  <w:r>
                    <w:t xml:space="preserve">the </w:t>
                  </w:r>
                  <w:r w:rsidR="00FD7416">
                    <w:t>ACSQHC</w:t>
                  </w:r>
                  <w:r w:rsidRPr="001E48EC">
                    <w:t xml:space="preserve">. </w:t>
                  </w:r>
                  <w:r>
                    <w:t>E</w:t>
                  </w:r>
                  <w:r w:rsidRPr="001E48EC">
                    <w:t>xample</w:t>
                  </w:r>
                  <w:r>
                    <w:t>s</w:t>
                  </w:r>
                  <w:r w:rsidRPr="001E48EC">
                    <w:t xml:space="preserve"> </w:t>
                  </w:r>
                  <w:proofErr w:type="gramStart"/>
                  <w:r w:rsidRPr="001E48EC">
                    <w:t>include:</w:t>
                  </w:r>
                  <w:proofErr w:type="gramEnd"/>
                  <w:r w:rsidRPr="001E48EC">
                    <w:t xml:space="preserve"> </w:t>
                  </w:r>
                  <w:r>
                    <w:t xml:space="preserve">monitoring </w:t>
                  </w:r>
                  <w:r w:rsidRPr="00517863">
                    <w:t xml:space="preserve">Hospital standardised mortality ratios </w:t>
                  </w:r>
                  <w:r>
                    <w:t>(</w:t>
                  </w:r>
                  <w:r w:rsidRPr="001E48EC">
                    <w:t>HSMR</w:t>
                  </w:r>
                  <w:r>
                    <w:t>)</w:t>
                  </w:r>
                  <w:r w:rsidRPr="001E48EC">
                    <w:t xml:space="preserve"> </w:t>
                  </w:r>
                  <w:r>
                    <w:t xml:space="preserve">(included as a key performance indicator </w:t>
                  </w:r>
                  <w:r w:rsidRPr="001E48EC">
                    <w:t xml:space="preserve">in </w:t>
                  </w:r>
                  <w:r>
                    <w:t>se</w:t>
                  </w:r>
                  <w:r w:rsidRPr="001E48EC">
                    <w:t xml:space="preserve">rvice </w:t>
                  </w:r>
                  <w:r>
                    <w:t>a</w:t>
                  </w:r>
                  <w:r w:rsidRPr="001E48EC">
                    <w:t>greements)</w:t>
                  </w:r>
                  <w:r>
                    <w:t xml:space="preserve"> and monitoring</w:t>
                  </w:r>
                  <w:r w:rsidRPr="001E48EC">
                    <w:t xml:space="preserve"> CHBOI condition</w:t>
                  </w:r>
                  <w:r>
                    <w:t>-</w:t>
                  </w:r>
                  <w:r w:rsidRPr="001E48EC">
                    <w:t xml:space="preserve">specific </w:t>
                  </w:r>
                  <w:r>
                    <w:t>mortality measures (f</w:t>
                  </w:r>
                  <w:r w:rsidRPr="001E48EC">
                    <w:t xml:space="preserve">ractured neck of femur, </w:t>
                  </w:r>
                  <w:r>
                    <w:t>s</w:t>
                  </w:r>
                  <w:r w:rsidRPr="001E48EC">
                    <w:t xml:space="preserve">troke, AMI and </w:t>
                  </w:r>
                  <w:r>
                    <w:t>p</w:t>
                  </w:r>
                  <w:r w:rsidRPr="001E48EC">
                    <w:t>neumonia</w:t>
                  </w:r>
                  <w:r>
                    <w:t>)</w:t>
                  </w:r>
                  <w:r w:rsidRPr="001E48EC">
                    <w:t>.</w:t>
                  </w:r>
                </w:p>
              </w:tc>
            </w:tr>
            <w:tr w:rsidR="00900108" w:rsidRPr="00C52C8A" w14:paraId="012E5530" w14:textId="77777777" w:rsidTr="00EC5632">
              <w:tc>
                <w:tcPr>
                  <w:tcW w:w="1000" w:type="pct"/>
                  <w:shd w:val="clear" w:color="auto" w:fill="auto"/>
                </w:tcPr>
                <w:p w14:paraId="16D810A6" w14:textId="77777777" w:rsidR="00900108" w:rsidRPr="00DF0275" w:rsidRDefault="00900108" w:rsidP="00D0676F">
                  <w:pPr>
                    <w:pStyle w:val="TableBodyText"/>
                    <w:widowControl w:val="0"/>
                    <w:jc w:val="left"/>
                  </w:pPr>
                  <w:r>
                    <w:t>Tasmania</w:t>
                  </w:r>
                </w:p>
              </w:tc>
              <w:tc>
                <w:tcPr>
                  <w:tcW w:w="4000" w:type="pct"/>
                  <w:shd w:val="clear" w:color="auto" w:fill="auto"/>
                  <w:vAlign w:val="center"/>
                </w:tcPr>
                <w:p w14:paraId="7A03692C" w14:textId="1BC07215" w:rsidR="00900108" w:rsidRDefault="00900108" w:rsidP="00D0676F">
                  <w:pPr>
                    <w:pStyle w:val="TableBodyText"/>
                    <w:widowControl w:val="0"/>
                    <w:jc w:val="both"/>
                  </w:pPr>
                  <w:r w:rsidRPr="001E48EC">
                    <w:t>Tasmania does not report publicly on these data. Tasmania uses Diagnosis Standardised Mortality Ratios as used by Health Round Table for reporting within hospitals (https://www.healthroundtable.org/Join-Us/Core-Services/Mortality-Comparisons).</w:t>
                  </w:r>
                </w:p>
                <w:p w14:paraId="6FE6B804" w14:textId="53439391" w:rsidR="00900108" w:rsidRPr="00C52C8A" w:rsidRDefault="00900108">
                  <w:pPr>
                    <w:pStyle w:val="TableBodyText"/>
                    <w:widowControl w:val="0"/>
                    <w:jc w:val="left"/>
                  </w:pPr>
                  <w:r w:rsidRPr="002D7699">
                    <w:t>Tasmania also uses Core hospital-based outcome indicators of safety and quality (CHBOI). This reporting system has included in-hospital mortality and unplanned/unexpected hospital re-admissions, as developed by the ACSQHC. These indicators are designed as screening tools for internal safety and quality improvement, and they are not intended to be used as performance measures.</w:t>
                  </w:r>
                </w:p>
              </w:tc>
            </w:tr>
            <w:tr w:rsidR="00900108" w:rsidRPr="00C52C8A" w14:paraId="3B581C2F" w14:textId="77777777" w:rsidTr="00EC5632">
              <w:tc>
                <w:tcPr>
                  <w:tcW w:w="1000" w:type="pct"/>
                  <w:shd w:val="clear" w:color="auto" w:fill="auto"/>
                </w:tcPr>
                <w:p w14:paraId="6986BCEB" w14:textId="77777777" w:rsidR="00900108" w:rsidRPr="00DF0275" w:rsidRDefault="00900108" w:rsidP="00D0676F">
                  <w:pPr>
                    <w:pStyle w:val="TableBodyText"/>
                    <w:widowControl w:val="0"/>
                    <w:jc w:val="left"/>
                  </w:pPr>
                  <w:r>
                    <w:t>Australian Capital Territory</w:t>
                  </w:r>
                </w:p>
              </w:tc>
              <w:tc>
                <w:tcPr>
                  <w:tcW w:w="4000" w:type="pct"/>
                  <w:shd w:val="clear" w:color="auto" w:fill="auto"/>
                  <w:vAlign w:val="center"/>
                </w:tcPr>
                <w:p w14:paraId="710A8332" w14:textId="658116CE" w:rsidR="00900108" w:rsidRPr="00C52C8A" w:rsidRDefault="00900108">
                  <w:pPr>
                    <w:pStyle w:val="TableBodyText"/>
                    <w:widowControl w:val="0"/>
                    <w:jc w:val="left"/>
                  </w:pPr>
                  <w:r w:rsidRPr="001E48EC">
                    <w:t xml:space="preserve">The ACT does not report publicly on these data. Mortality information from Canberra Health Services (CHS) is collated by the Health Round Table (HRT) and includes deaths in low </w:t>
                  </w:r>
                  <w:r w:rsidR="00C52BAD">
                    <w:t>mortality</w:t>
                  </w:r>
                  <w:r w:rsidR="00C52BAD" w:rsidRPr="001E48EC">
                    <w:t xml:space="preserve"> </w:t>
                  </w:r>
                  <w:r w:rsidR="00FD7416">
                    <w:t>DRGs</w:t>
                  </w:r>
                  <w:r w:rsidRPr="001E48EC">
                    <w:t xml:space="preserve"> and is defined by the ACSQHC and adopted by IHPA. These may not necessarily be avoidable when investigated. Sentinel events are reported to ACT Health Directorate for inclusion in IHPA reporting. There is no specific policy on the review of deaths though </w:t>
                  </w:r>
                  <w:r w:rsidR="00FD7416">
                    <w:t xml:space="preserve">the </w:t>
                  </w:r>
                  <w:r w:rsidRPr="001E48EC">
                    <w:t xml:space="preserve">CHS has an Incident Management Procedure. Mortality data published by HRT however is only available to the hospital concerned, and although benchmarking can occur sites are not identified. There is a formal death review committee that focuses on children and young people and another that focuses on maternal and perinatal deaths. The ACT Children and Young People Death Review Committee reviews all deaths of children and young people aged from birth to 18 years. This committee reports annually to the Minister for Children, Youth and Families and the statistics are published here: https://www.childdeathcommittee.act.gov.au/publications. The ACT Maternal and Perinatal Mortality Committee reviews all deaths of women who died while pregnant or up to 42 days post-partum and all deaths of </w:t>
                  </w:r>
                  <w:proofErr w:type="spellStart"/>
                  <w:r w:rsidRPr="001E48EC">
                    <w:t>fetuses</w:t>
                  </w:r>
                  <w:proofErr w:type="spellEnd"/>
                  <w:r w:rsidRPr="001E48EC">
                    <w:t xml:space="preserve"> from 20 weeks gestation and babies up to 28 days of life. Maternal death information is included in national reports but is not published specifically for the ACT due to the very small number of deaths in the ACT. The perinatal death rate is published annually here: https://health.act.gov.au/about-our-health-system/data-and-publications/healthstats/statistics-and-indicators/perinatal and a detailed report is provided by the Committee to the ACT Chief Health Officer and published every five years https://health.act.gov.au/about-our-health-system/data-and-publications/healthstats/epidemiology-publications.</w:t>
                  </w:r>
                </w:p>
              </w:tc>
            </w:tr>
            <w:tr w:rsidR="00900108" w:rsidRPr="00C52C8A" w14:paraId="5CBE6CAB" w14:textId="77777777" w:rsidTr="00EC5632">
              <w:tc>
                <w:tcPr>
                  <w:tcW w:w="1000" w:type="pct"/>
                  <w:shd w:val="clear" w:color="auto" w:fill="auto"/>
                </w:tcPr>
                <w:p w14:paraId="3E3E1D34" w14:textId="77777777" w:rsidR="00900108" w:rsidRPr="00DF0275" w:rsidRDefault="00900108" w:rsidP="00D0676F">
                  <w:pPr>
                    <w:pStyle w:val="TableBodyText"/>
                    <w:widowControl w:val="0"/>
                    <w:jc w:val="left"/>
                  </w:pPr>
                  <w:r>
                    <w:t>Norther Territory</w:t>
                  </w:r>
                </w:p>
              </w:tc>
              <w:tc>
                <w:tcPr>
                  <w:tcW w:w="4000" w:type="pct"/>
                  <w:shd w:val="clear" w:color="auto" w:fill="auto"/>
                  <w:vAlign w:val="center"/>
                </w:tcPr>
                <w:p w14:paraId="6FF31D78" w14:textId="4842A0BD" w:rsidR="00900108" w:rsidRPr="00C52C8A" w:rsidRDefault="00900108">
                  <w:pPr>
                    <w:pStyle w:val="TableBodyText"/>
                    <w:widowControl w:val="0"/>
                    <w:jc w:val="left"/>
                    <w:rPr>
                      <w:b/>
                    </w:rPr>
                  </w:pPr>
                  <w:r w:rsidRPr="001E48EC">
                    <w:t xml:space="preserve">The NT does not report publicly on these data. The NT </w:t>
                  </w:r>
                  <w:r w:rsidR="00FD7416">
                    <w:t xml:space="preserve">uses </w:t>
                  </w:r>
                  <w:r>
                    <w:t>national C</w:t>
                  </w:r>
                  <w:r w:rsidRPr="001E48EC">
                    <w:t xml:space="preserve">ore </w:t>
                  </w:r>
                  <w:proofErr w:type="gramStart"/>
                  <w:r w:rsidRPr="001E48EC">
                    <w:t>hospital</w:t>
                  </w:r>
                  <w:r>
                    <w:t xml:space="preserve"> </w:t>
                  </w:r>
                  <w:r w:rsidRPr="001E48EC">
                    <w:t>based</w:t>
                  </w:r>
                  <w:proofErr w:type="gramEnd"/>
                  <w:r w:rsidRPr="001E48EC">
                    <w:t xml:space="preserve"> outcome indicators (CHBOIs)</w:t>
                  </w:r>
                  <w:r w:rsidR="00FD7416">
                    <w:t xml:space="preserve"> developed by the ACSQHC</w:t>
                  </w:r>
                  <w:r w:rsidRPr="001E48EC">
                    <w:t>. CHBOI 1 - Hospital Standardised Mortality Ratio (HSMR); CHBOI 2 - Death in low-mortality Diagnosis Related Groups (DRGs); CHBOI 3: Condition Specific Mortality Measures. These data are included in the internal NT Health Patient Quality and Safety Surveillance Quarterly Report. The NT also provides data on coronial recommendations, Incident Severity Rating 1 events (ISR1s), and national sentinel events.</w:t>
                  </w:r>
                </w:p>
              </w:tc>
            </w:tr>
          </w:tbl>
          <w:p w14:paraId="105BC181" w14:textId="77777777" w:rsidR="00900108" w:rsidRPr="00C52C8A" w:rsidRDefault="00900108" w:rsidP="00D0676F">
            <w:pPr>
              <w:pStyle w:val="Box"/>
              <w:keepLines/>
              <w:widowControl w:val="0"/>
            </w:pPr>
          </w:p>
        </w:tc>
      </w:tr>
      <w:tr w:rsidR="00900108" w:rsidRPr="00C52C8A" w14:paraId="4BCA38A1"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nil"/>
              <w:right w:val="nil"/>
            </w:tcBorders>
            <w:shd w:val="clear" w:color="auto" w:fill="auto"/>
          </w:tcPr>
          <w:p w14:paraId="4A12BC2F" w14:textId="77777777" w:rsidR="00900108" w:rsidRPr="00C52C8A" w:rsidRDefault="00900108" w:rsidP="00D0676F">
            <w:pPr>
              <w:pStyle w:val="Source"/>
              <w:keepNext/>
              <w:widowControl w:val="0"/>
            </w:pPr>
            <w:r w:rsidRPr="00C52C8A">
              <w:rPr>
                <w:i/>
              </w:rPr>
              <w:t>Sources</w:t>
            </w:r>
            <w:r w:rsidRPr="00C52C8A">
              <w:t>: State and Territory governments (unpublished</w:t>
            </w:r>
            <w:r>
              <w:t>)</w:t>
            </w:r>
            <w:r w:rsidRPr="00C52C8A">
              <w:t>.</w:t>
            </w:r>
          </w:p>
        </w:tc>
      </w:tr>
      <w:tr w:rsidR="00900108" w:rsidRPr="00C52C8A" w14:paraId="0C9C5158"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cantSplit/>
        </w:trPr>
        <w:tc>
          <w:tcPr>
            <w:tcW w:w="8789" w:type="dxa"/>
            <w:gridSpan w:val="2"/>
            <w:tcBorders>
              <w:top w:val="nil"/>
              <w:left w:val="nil"/>
              <w:bottom w:val="single" w:sz="6" w:space="0" w:color="78A22F" w:themeColor="accent1"/>
              <w:right w:val="nil"/>
            </w:tcBorders>
            <w:shd w:val="clear" w:color="auto" w:fill="auto"/>
          </w:tcPr>
          <w:p w14:paraId="27EB655C" w14:textId="77777777" w:rsidR="00900108" w:rsidRPr="00C52C8A" w:rsidRDefault="00900108" w:rsidP="00D0676F">
            <w:pPr>
              <w:pStyle w:val="Box"/>
              <w:keepLines/>
              <w:widowControl w:val="0"/>
              <w:spacing w:before="0" w:line="120" w:lineRule="exact"/>
            </w:pPr>
          </w:p>
        </w:tc>
      </w:tr>
      <w:tr w:rsidR="00900108" w:rsidRPr="00C52C8A" w14:paraId="070B0ABF" w14:textId="77777777" w:rsidTr="00270870">
        <w:tblPrEx>
          <w:tblBorders>
            <w:top w:val="single" w:sz="6" w:space="0" w:color="auto"/>
            <w:left w:val="single" w:sz="6" w:space="0" w:color="auto"/>
            <w:bottom w:val="single" w:sz="6" w:space="0" w:color="auto"/>
            <w:right w:val="single" w:sz="6" w:space="0" w:color="auto"/>
          </w:tblBorders>
        </w:tblPrEx>
        <w:trPr>
          <w:gridAfter w:val="1"/>
          <w:wAfter w:w="142" w:type="dxa"/>
        </w:trPr>
        <w:tc>
          <w:tcPr>
            <w:tcW w:w="8789" w:type="dxa"/>
            <w:gridSpan w:val="2"/>
            <w:tcBorders>
              <w:top w:val="single" w:sz="6" w:space="0" w:color="78A22F" w:themeColor="accent1"/>
              <w:left w:val="nil"/>
              <w:bottom w:val="nil"/>
              <w:right w:val="nil"/>
            </w:tcBorders>
          </w:tcPr>
          <w:p w14:paraId="63E9450E" w14:textId="628CDB6E" w:rsidR="00900108" w:rsidRPr="00C52C8A" w:rsidRDefault="00900108" w:rsidP="00D0676F">
            <w:pPr>
              <w:pStyle w:val="BoxSpaceBelow"/>
              <w:keepNext/>
              <w:keepLines/>
              <w:widowControl w:val="0"/>
            </w:pPr>
          </w:p>
        </w:tc>
      </w:tr>
    </w:tbl>
    <w:p w14:paraId="4C5EAB76" w14:textId="460172F9" w:rsidR="005E4E11" w:rsidRDefault="00D0081B" w:rsidP="005860D6">
      <w:pPr>
        <w:pStyle w:val="Heading2"/>
        <w:keepLines/>
        <w:widowControl w:val="0"/>
      </w:pPr>
      <w:r>
        <w:t>12</w:t>
      </w:r>
      <w:r w:rsidR="005E4E11">
        <w:t>.</w:t>
      </w:r>
      <w:r w:rsidR="0087554C">
        <w:t>2</w:t>
      </w:r>
      <w:r w:rsidR="005E4E11" w:rsidRPr="005E4E11">
        <w:tab/>
        <w:t>Definitions of key terms</w:t>
      </w:r>
      <w:bookmarkEnd w:id="39"/>
      <w:bookmarkEnd w:id="40"/>
      <w:bookmarkEnd w:id="41"/>
      <w:bookmarkEnd w:id="42"/>
    </w:p>
    <w:tbl>
      <w:tblPr>
        <w:tblW w:w="0" w:type="auto"/>
        <w:tblInd w:w="108" w:type="dxa"/>
        <w:tblLook w:val="01E0" w:firstRow="1" w:lastRow="1" w:firstColumn="1" w:lastColumn="1" w:noHBand="0" w:noVBand="0"/>
      </w:tblPr>
      <w:tblGrid>
        <w:gridCol w:w="2268"/>
        <w:gridCol w:w="6413"/>
      </w:tblGrid>
      <w:tr w:rsidR="004749C8" w:rsidRPr="004C557B" w14:paraId="79753BD8" w14:textId="77777777" w:rsidTr="00C52BAD">
        <w:tc>
          <w:tcPr>
            <w:tcW w:w="2268" w:type="dxa"/>
            <w:shd w:val="clear" w:color="auto" w:fill="auto"/>
          </w:tcPr>
          <w:p w14:paraId="16DF22F9" w14:textId="77777777" w:rsidR="004749C8" w:rsidRPr="00407F56" w:rsidRDefault="004749C8" w:rsidP="007A6E54">
            <w:pPr>
              <w:pStyle w:val="TableBodyText"/>
              <w:keepNext w:val="0"/>
              <w:keepLines w:val="0"/>
              <w:spacing w:before="60" w:after="60"/>
              <w:jc w:val="left"/>
              <w:rPr>
                <w:b/>
              </w:rPr>
            </w:pPr>
            <w:r w:rsidRPr="00407F56">
              <w:rPr>
                <w:b/>
              </w:rPr>
              <w:t>Accreditation</w:t>
            </w:r>
          </w:p>
        </w:tc>
        <w:tc>
          <w:tcPr>
            <w:tcW w:w="6413" w:type="dxa"/>
            <w:shd w:val="clear" w:color="auto" w:fill="auto"/>
          </w:tcPr>
          <w:p w14:paraId="094D6701" w14:textId="77777777" w:rsidR="004749C8" w:rsidRPr="00CA7E93" w:rsidRDefault="004749C8" w:rsidP="007A6E54">
            <w:pPr>
              <w:pStyle w:val="TableBodyText"/>
              <w:keepNext w:val="0"/>
              <w:keepLines w:val="0"/>
              <w:spacing w:before="60" w:after="60"/>
              <w:jc w:val="left"/>
            </w:pPr>
            <w:r w:rsidRPr="00CA7E93">
              <w:t xml:space="preserve">Professional recognition awarded to hospitals and other healthcare facilities that meet defined industry standards. Public hospitals can seek accreditation through the Australian Council on Healthcare Standards Evaluation and Quality Improvement Program, the Australian Quality Council (now known as Business Excellence Australia), the Quality </w:t>
            </w:r>
            <w:r w:rsidRPr="00CA7E93">
              <w:lastRenderedPageBreak/>
              <w:t>Improvement Council, the International Organisation for Standardization 9000 Quality Management System or other equivalent programs.</w:t>
            </w:r>
          </w:p>
        </w:tc>
      </w:tr>
      <w:tr w:rsidR="004749C8" w:rsidRPr="004C557B" w14:paraId="18B4B336" w14:textId="77777777" w:rsidTr="00C52BAD">
        <w:tc>
          <w:tcPr>
            <w:tcW w:w="2268" w:type="dxa"/>
            <w:shd w:val="clear" w:color="auto" w:fill="auto"/>
          </w:tcPr>
          <w:p w14:paraId="2185CD4C" w14:textId="77777777" w:rsidR="004749C8" w:rsidRPr="00407F56" w:rsidRDefault="004749C8" w:rsidP="007A6E54">
            <w:pPr>
              <w:pStyle w:val="TableBodyText"/>
              <w:keepNext w:val="0"/>
              <w:keepLines w:val="0"/>
              <w:spacing w:before="60" w:after="60"/>
              <w:jc w:val="left"/>
              <w:rPr>
                <w:b/>
              </w:rPr>
            </w:pPr>
            <w:r w:rsidRPr="00407F56">
              <w:rPr>
                <w:b/>
              </w:rPr>
              <w:lastRenderedPageBreak/>
              <w:t>Acute care</w:t>
            </w:r>
          </w:p>
        </w:tc>
        <w:tc>
          <w:tcPr>
            <w:tcW w:w="6413" w:type="dxa"/>
            <w:shd w:val="clear" w:color="auto" w:fill="auto"/>
          </w:tcPr>
          <w:p w14:paraId="2521B1F4" w14:textId="77777777" w:rsidR="004749C8" w:rsidRPr="004C557B" w:rsidRDefault="004749C8" w:rsidP="007A6E54">
            <w:pPr>
              <w:pStyle w:val="TableBodyText"/>
              <w:keepNext w:val="0"/>
              <w:keepLines w:val="0"/>
              <w:spacing w:before="60" w:after="60"/>
              <w:jc w:val="left"/>
            </w:pPr>
            <w:r w:rsidRPr="004C557B">
              <w:t>Clinical services provided to admitted patients, including managing labour, curing illness or treating injury, performing surgery, relieving symptoms and/or reducing the severity of illness or injury, and performing diagnostic and therapeutic procedures</w:t>
            </w:r>
            <w:r>
              <w:t>.</w:t>
            </w:r>
          </w:p>
        </w:tc>
      </w:tr>
      <w:tr w:rsidR="004749C8" w:rsidRPr="004C557B" w14:paraId="43700D72" w14:textId="77777777" w:rsidTr="00C52BAD">
        <w:tc>
          <w:tcPr>
            <w:tcW w:w="2268" w:type="dxa"/>
            <w:shd w:val="clear" w:color="auto" w:fill="auto"/>
          </w:tcPr>
          <w:p w14:paraId="674BE2BA" w14:textId="77777777" w:rsidR="004749C8" w:rsidRPr="00407F56" w:rsidRDefault="004749C8" w:rsidP="007A6E54">
            <w:pPr>
              <w:pStyle w:val="TableBodyText"/>
              <w:keepNext w:val="0"/>
              <w:keepLines w:val="0"/>
              <w:spacing w:before="60" w:after="60"/>
              <w:jc w:val="left"/>
              <w:rPr>
                <w:b/>
              </w:rPr>
            </w:pPr>
            <w:r w:rsidRPr="00407F56">
              <w:rPr>
                <w:b/>
              </w:rPr>
              <w:t>Admitted patient</w:t>
            </w:r>
          </w:p>
        </w:tc>
        <w:tc>
          <w:tcPr>
            <w:tcW w:w="6413" w:type="dxa"/>
            <w:shd w:val="clear" w:color="auto" w:fill="auto"/>
          </w:tcPr>
          <w:p w14:paraId="6545D7AE" w14:textId="77777777" w:rsidR="004749C8" w:rsidRPr="004C557B" w:rsidRDefault="004749C8" w:rsidP="007A6E54">
            <w:pPr>
              <w:pStyle w:val="TableBodyText"/>
              <w:keepNext w:val="0"/>
              <w:keepLines w:val="0"/>
              <w:spacing w:before="60" w:after="60"/>
              <w:jc w:val="left"/>
            </w:pPr>
            <w:r>
              <w:t xml:space="preserve">A patient who undergoes a hospital’s admission process to receive treatment and/or care. This treatment and/or care is provided over </w:t>
            </w:r>
            <w:proofErr w:type="gramStart"/>
            <w:r>
              <w:t>a period of time</w:t>
            </w:r>
            <w:proofErr w:type="gramEnd"/>
            <w:r>
              <w:t xml:space="preserve"> and can occur in hospital and/or in the person’s home (for hospital-in-the-home patients).</w:t>
            </w:r>
          </w:p>
        </w:tc>
      </w:tr>
      <w:tr w:rsidR="004749C8" w:rsidRPr="004C557B" w14:paraId="59D51A74" w14:textId="77777777" w:rsidTr="00C52BAD">
        <w:tc>
          <w:tcPr>
            <w:tcW w:w="2268" w:type="dxa"/>
            <w:shd w:val="clear" w:color="auto" w:fill="auto"/>
          </w:tcPr>
          <w:p w14:paraId="3CC0A315" w14:textId="77777777" w:rsidR="004749C8" w:rsidRPr="00407F56" w:rsidRDefault="004749C8" w:rsidP="007A6E54">
            <w:pPr>
              <w:pStyle w:val="TableBodyText"/>
              <w:keepNext w:val="0"/>
              <w:keepLines w:val="0"/>
              <w:spacing w:before="60" w:after="60"/>
              <w:jc w:val="left"/>
              <w:rPr>
                <w:b/>
              </w:rPr>
            </w:pPr>
            <w:r w:rsidRPr="00407F56">
              <w:rPr>
                <w:b/>
              </w:rPr>
              <w:t>Allied health (non</w:t>
            </w:r>
            <w:r w:rsidRPr="00407F56">
              <w:rPr>
                <w:b/>
              </w:rPr>
              <w:noBreakHyphen/>
              <w:t>admitted)</w:t>
            </w:r>
          </w:p>
        </w:tc>
        <w:tc>
          <w:tcPr>
            <w:tcW w:w="6413" w:type="dxa"/>
            <w:shd w:val="clear" w:color="auto" w:fill="auto"/>
          </w:tcPr>
          <w:p w14:paraId="453D4035" w14:textId="77777777" w:rsidR="004749C8" w:rsidRPr="004C557B" w:rsidRDefault="004749C8" w:rsidP="007A6E54">
            <w:pPr>
              <w:pStyle w:val="TableBodyText"/>
              <w:keepNext w:val="0"/>
              <w:keepLines w:val="0"/>
              <w:spacing w:before="60" w:after="60"/>
              <w:jc w:val="left"/>
            </w:pPr>
            <w:r>
              <w:t>Occasions of service to non-admitted patients at units/clinics providing treatment/counselling to patients. These include units providing physiotherapy, speech therapy, family planning, dietary advice, optometry and occupational therapy.</w:t>
            </w:r>
          </w:p>
        </w:tc>
      </w:tr>
      <w:tr w:rsidR="004749C8" w14:paraId="70E56CA2" w14:textId="77777777" w:rsidTr="00C52BAD">
        <w:tc>
          <w:tcPr>
            <w:tcW w:w="2268" w:type="dxa"/>
            <w:shd w:val="clear" w:color="auto" w:fill="auto"/>
          </w:tcPr>
          <w:p w14:paraId="5F64AEE1" w14:textId="77777777" w:rsidR="004749C8" w:rsidRPr="00407F56" w:rsidRDefault="004749C8" w:rsidP="007A6E54">
            <w:pPr>
              <w:pStyle w:val="TableBodyText"/>
              <w:keepNext w:val="0"/>
              <w:keepLines w:val="0"/>
              <w:spacing w:before="60" w:after="60"/>
              <w:jc w:val="left"/>
              <w:rPr>
                <w:b/>
              </w:rPr>
            </w:pPr>
            <w:r w:rsidRPr="00407F56">
              <w:rPr>
                <w:b/>
              </w:rPr>
              <w:t>AR-DRG</w:t>
            </w:r>
          </w:p>
        </w:tc>
        <w:tc>
          <w:tcPr>
            <w:tcW w:w="6413" w:type="dxa"/>
            <w:shd w:val="clear" w:color="auto" w:fill="auto"/>
          </w:tcPr>
          <w:p w14:paraId="3495C64E" w14:textId="77777777" w:rsidR="004749C8" w:rsidRDefault="004749C8" w:rsidP="007A6E54">
            <w:pPr>
              <w:pStyle w:val="TableBodyText"/>
              <w:keepNext w:val="0"/>
              <w:keepLines w:val="0"/>
              <w:spacing w:before="60" w:after="60"/>
              <w:jc w:val="left"/>
            </w:pPr>
            <w:r>
              <w:t xml:space="preserve">Australian Refined Diagnosis Related Group - a patient classification system that hospitals use to match their patient services (hospital procedures and diagnoses) with their resource needs. AR-DRG version </w:t>
            </w:r>
            <w:r w:rsidRPr="00671F9E">
              <w:t>6.0x</w:t>
            </w:r>
            <w:r>
              <w:t xml:space="preserve"> is based on the ICD-10-AM classification.</w:t>
            </w:r>
          </w:p>
        </w:tc>
      </w:tr>
      <w:tr w:rsidR="004749C8" w:rsidRPr="004F0A5A" w14:paraId="7DBA7D40" w14:textId="77777777" w:rsidTr="00C52BAD">
        <w:tc>
          <w:tcPr>
            <w:tcW w:w="2268" w:type="dxa"/>
            <w:shd w:val="clear" w:color="auto" w:fill="auto"/>
          </w:tcPr>
          <w:p w14:paraId="2C857BF0" w14:textId="77777777" w:rsidR="004749C8" w:rsidRPr="00407F56" w:rsidRDefault="004749C8" w:rsidP="007A6E54">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w:t>
            </w:r>
          </w:p>
        </w:tc>
        <w:tc>
          <w:tcPr>
            <w:tcW w:w="6413" w:type="dxa"/>
            <w:shd w:val="clear" w:color="auto" w:fill="auto"/>
          </w:tcPr>
          <w:p w14:paraId="17F06E0C" w14:textId="77777777" w:rsidR="004749C8" w:rsidRPr="004F0A5A" w:rsidRDefault="004749C8" w:rsidP="007A6E54">
            <w:pPr>
              <w:pStyle w:val="TableBodyText"/>
              <w:keepNext w:val="0"/>
              <w:keepLines w:val="0"/>
              <w:spacing w:before="60" w:after="60"/>
              <w:jc w:val="left"/>
            </w:pPr>
            <w:r w:rsidRPr="004F0A5A">
              <w:t>Adjustment of data on cases treated to account for the number and type of cases. Cases are sorted by AR</w:t>
            </w:r>
            <w:r>
              <w:noBreakHyphen/>
            </w:r>
            <w:r w:rsidRPr="004F0A5A">
              <w:t xml:space="preserve">DRG into categories of patients with similar clinical conditions and requiring similar hospital services. </w:t>
            </w:r>
            <w:proofErr w:type="spellStart"/>
            <w:r w:rsidRPr="004F0A5A">
              <w:t>Casemix</w:t>
            </w:r>
            <w:proofErr w:type="spellEnd"/>
            <w:r w:rsidRPr="004F0A5A">
              <w:t xml:space="preserve"> adjustment is an important step to achieving comparable measures of efficiency across hospitals and jurisdictions.</w:t>
            </w:r>
          </w:p>
        </w:tc>
      </w:tr>
      <w:tr w:rsidR="004749C8" w:rsidRPr="00AF2819" w14:paraId="64C89CCC" w14:textId="77777777" w:rsidTr="00C52BAD">
        <w:tc>
          <w:tcPr>
            <w:tcW w:w="2268" w:type="dxa"/>
            <w:shd w:val="clear" w:color="auto" w:fill="auto"/>
          </w:tcPr>
          <w:p w14:paraId="7663F79C" w14:textId="77777777" w:rsidR="004749C8" w:rsidRPr="00407F56" w:rsidRDefault="004749C8" w:rsidP="007A6E54">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 separations</w:t>
            </w:r>
          </w:p>
        </w:tc>
        <w:tc>
          <w:tcPr>
            <w:tcW w:w="6413" w:type="dxa"/>
            <w:shd w:val="clear" w:color="auto" w:fill="auto"/>
          </w:tcPr>
          <w:p w14:paraId="741F0325" w14:textId="77777777" w:rsidR="004749C8" w:rsidRPr="00AF2819" w:rsidRDefault="004749C8" w:rsidP="007A6E54">
            <w:pPr>
              <w:pStyle w:val="TableBodyText"/>
              <w:keepNext w:val="0"/>
              <w:keepLines w:val="0"/>
              <w:spacing w:before="60" w:after="60"/>
              <w:jc w:val="left"/>
            </w:pPr>
            <w:r w:rsidRPr="00AF2819">
              <w:t>The number of separations adjusted to account for differences across hospitals in the complexity of episodes of care.</w:t>
            </w:r>
          </w:p>
        </w:tc>
      </w:tr>
      <w:tr w:rsidR="004749C8" w:rsidRPr="00040114" w14:paraId="442E4AE6" w14:textId="77777777" w:rsidTr="00C52BAD">
        <w:tc>
          <w:tcPr>
            <w:tcW w:w="2268" w:type="dxa"/>
            <w:shd w:val="clear" w:color="auto" w:fill="auto"/>
          </w:tcPr>
          <w:p w14:paraId="7F342FC6" w14:textId="77777777" w:rsidR="004749C8" w:rsidRPr="00407F56" w:rsidRDefault="004749C8" w:rsidP="007A6E54">
            <w:pPr>
              <w:pStyle w:val="TableBodyText"/>
              <w:keepNext w:val="0"/>
              <w:keepLines w:val="0"/>
              <w:spacing w:before="60" w:after="60"/>
              <w:jc w:val="left"/>
              <w:rPr>
                <w:b/>
              </w:rPr>
            </w:pPr>
            <w:r w:rsidRPr="00407F56">
              <w:rPr>
                <w:b/>
              </w:rPr>
              <w:t>Community health services</w:t>
            </w:r>
          </w:p>
        </w:tc>
        <w:tc>
          <w:tcPr>
            <w:tcW w:w="6413" w:type="dxa"/>
            <w:shd w:val="clear" w:color="auto" w:fill="auto"/>
          </w:tcPr>
          <w:p w14:paraId="1019ADD4" w14:textId="77777777" w:rsidR="004749C8" w:rsidRPr="00040114" w:rsidRDefault="004749C8" w:rsidP="007A6E54">
            <w:pPr>
              <w:pStyle w:val="TableBodyText"/>
              <w:keepNext w:val="0"/>
              <w:keepLines w:val="0"/>
              <w:spacing w:before="60" w:after="60"/>
              <w:jc w:val="left"/>
            </w:pPr>
            <w:r w:rsidRPr="00040114">
              <w:t>Health services for individuals and groups delivered in a community setting, rather than via hospitals or private facilities.</w:t>
            </w:r>
          </w:p>
        </w:tc>
      </w:tr>
      <w:tr w:rsidR="004749C8" w:rsidRPr="002E4310" w14:paraId="4B5DB138" w14:textId="77777777" w:rsidTr="00C52BAD">
        <w:tc>
          <w:tcPr>
            <w:tcW w:w="2268" w:type="dxa"/>
            <w:shd w:val="clear" w:color="auto" w:fill="auto"/>
          </w:tcPr>
          <w:p w14:paraId="3EFC2BD4" w14:textId="77777777" w:rsidR="004749C8" w:rsidRPr="00407F56" w:rsidRDefault="004749C8" w:rsidP="007A6E54">
            <w:pPr>
              <w:pStyle w:val="TableBodyText"/>
              <w:keepNext w:val="0"/>
              <w:keepLines w:val="0"/>
              <w:spacing w:before="60" w:after="60"/>
              <w:jc w:val="left"/>
              <w:rPr>
                <w:b/>
              </w:rPr>
            </w:pPr>
            <w:r>
              <w:rPr>
                <w:b/>
              </w:rPr>
              <w:t>Comparability</w:t>
            </w:r>
          </w:p>
        </w:tc>
        <w:tc>
          <w:tcPr>
            <w:tcW w:w="6413" w:type="dxa"/>
            <w:shd w:val="clear" w:color="auto" w:fill="auto"/>
          </w:tcPr>
          <w:p w14:paraId="6B2A286C" w14:textId="77777777" w:rsidR="004749C8" w:rsidRPr="002E4310" w:rsidRDefault="004749C8" w:rsidP="007A6E54">
            <w:pPr>
              <w:pStyle w:val="TableBodyText"/>
              <w:keepNext w:val="0"/>
              <w:keepLines w:val="0"/>
              <w:spacing w:before="60" w:after="60"/>
              <w:jc w:val="left"/>
            </w:pPr>
            <w:r w:rsidRPr="001E496A">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4749C8" w:rsidRPr="002E4310" w14:paraId="65E34FF5" w14:textId="77777777" w:rsidTr="00C52BAD">
        <w:tc>
          <w:tcPr>
            <w:tcW w:w="2268" w:type="dxa"/>
            <w:shd w:val="clear" w:color="auto" w:fill="auto"/>
          </w:tcPr>
          <w:p w14:paraId="64648017" w14:textId="77777777" w:rsidR="004749C8" w:rsidRPr="00407F56" w:rsidRDefault="004749C8" w:rsidP="007A6E54">
            <w:pPr>
              <w:pStyle w:val="TableBodyText"/>
              <w:keepNext w:val="0"/>
              <w:keepLines w:val="0"/>
              <w:spacing w:before="60" w:after="60"/>
              <w:jc w:val="left"/>
              <w:rPr>
                <w:b/>
              </w:rPr>
            </w:pPr>
            <w:r>
              <w:rPr>
                <w:b/>
              </w:rPr>
              <w:t>Completeness</w:t>
            </w:r>
          </w:p>
        </w:tc>
        <w:tc>
          <w:tcPr>
            <w:tcW w:w="6413" w:type="dxa"/>
            <w:shd w:val="clear" w:color="auto" w:fill="auto"/>
          </w:tcPr>
          <w:p w14:paraId="7E92EEE2" w14:textId="77777777" w:rsidR="004749C8" w:rsidRPr="002E4310" w:rsidRDefault="004749C8" w:rsidP="007A6E54">
            <w:pPr>
              <w:pStyle w:val="TableBodyText"/>
              <w:keepNext w:val="0"/>
              <w:keepLines w:val="0"/>
              <w:spacing w:before="60" w:after="60"/>
              <w:jc w:val="left"/>
            </w:pPr>
            <w:r w:rsidRPr="001E496A">
              <w:t>Data are considered complete if all required data are available for all jurisdictions that provide the service.</w:t>
            </w:r>
          </w:p>
        </w:tc>
      </w:tr>
      <w:tr w:rsidR="004749C8" w:rsidRPr="002E4310" w14:paraId="40C10F41" w14:textId="77777777" w:rsidTr="00C52BAD">
        <w:tc>
          <w:tcPr>
            <w:tcW w:w="2268" w:type="dxa"/>
            <w:shd w:val="clear" w:color="auto" w:fill="auto"/>
          </w:tcPr>
          <w:p w14:paraId="5C7F4D95" w14:textId="77777777" w:rsidR="004749C8" w:rsidRPr="00407F56" w:rsidRDefault="004749C8" w:rsidP="007A6E54">
            <w:pPr>
              <w:pStyle w:val="TableBodyText"/>
              <w:keepNext w:val="0"/>
              <w:keepLines w:val="0"/>
              <w:spacing w:before="60" w:after="60"/>
              <w:jc w:val="left"/>
              <w:rPr>
                <w:b/>
              </w:rPr>
            </w:pPr>
            <w:r w:rsidRPr="00407F56">
              <w:rPr>
                <w:b/>
              </w:rPr>
              <w:t>Cost of capital</w:t>
            </w:r>
          </w:p>
        </w:tc>
        <w:tc>
          <w:tcPr>
            <w:tcW w:w="6413" w:type="dxa"/>
            <w:shd w:val="clear" w:color="auto" w:fill="auto"/>
          </w:tcPr>
          <w:p w14:paraId="1AD03655" w14:textId="77777777" w:rsidR="004749C8" w:rsidRPr="002E4310" w:rsidRDefault="004749C8" w:rsidP="007A6E54">
            <w:pPr>
              <w:pStyle w:val="TableBodyText"/>
              <w:keepNext w:val="0"/>
              <w:keepLines w:val="0"/>
              <w:spacing w:before="60" w:after="60"/>
              <w:jc w:val="left"/>
            </w:pPr>
            <w:r w:rsidRPr="002E4310">
              <w:t>The return foregone on the next best investment, estimated at a rate of 8</w:t>
            </w:r>
            <w:r>
              <w:t> </w:t>
            </w:r>
            <w:r w:rsidRPr="002E4310">
              <w:t>per</w:t>
            </w:r>
            <w:r>
              <w:t> </w:t>
            </w:r>
            <w:r w:rsidRPr="002E4310">
              <w:t>cent of the depreciated replacement value of buildings, equipment and land. Also called the ‘opportunity cost’ of capital.</w:t>
            </w:r>
          </w:p>
        </w:tc>
      </w:tr>
      <w:tr w:rsidR="004749C8" w:rsidRPr="00EA0600" w14:paraId="2DBE5DD0" w14:textId="77777777" w:rsidTr="00C52BAD">
        <w:tc>
          <w:tcPr>
            <w:tcW w:w="2268" w:type="dxa"/>
            <w:shd w:val="clear" w:color="auto" w:fill="auto"/>
          </w:tcPr>
          <w:p w14:paraId="4973092E" w14:textId="77777777" w:rsidR="004749C8" w:rsidRPr="00407F56" w:rsidRDefault="004749C8" w:rsidP="007A6E54">
            <w:pPr>
              <w:pStyle w:val="TableBodyText"/>
              <w:keepNext w:val="0"/>
              <w:keepLines w:val="0"/>
              <w:spacing w:before="60" w:after="60"/>
              <w:jc w:val="left"/>
              <w:rPr>
                <w:b/>
              </w:rPr>
            </w:pPr>
            <w:r w:rsidRPr="00407F56">
              <w:rPr>
                <w:b/>
              </w:rPr>
              <w:t>Elective surgery waiting times</w:t>
            </w:r>
          </w:p>
        </w:tc>
        <w:tc>
          <w:tcPr>
            <w:tcW w:w="6413" w:type="dxa"/>
            <w:shd w:val="clear" w:color="auto" w:fill="auto"/>
          </w:tcPr>
          <w:p w14:paraId="5D33F802" w14:textId="77777777" w:rsidR="004749C8" w:rsidRPr="00EA0600" w:rsidRDefault="004749C8" w:rsidP="007A6E54">
            <w:pPr>
              <w:pStyle w:val="TableBodyText"/>
              <w:keepNext w:val="0"/>
              <w:keepLines w:val="0"/>
              <w:spacing w:before="60" w:after="60"/>
              <w:jc w:val="left"/>
            </w:pPr>
            <w:r w:rsidRPr="002C4278">
              <w:t xml:space="preserve">Elective </w:t>
            </w:r>
            <w:r>
              <w:t>surgery waiting times</w:t>
            </w:r>
            <w:r w:rsidRPr="002C4278">
              <w:t xml:space="preserve"> are calculated by comparing the date on which </w:t>
            </w:r>
            <w:r w:rsidRPr="00671F9E">
              <w:t>patients are added to a waiting list with the date on which they are admitted for the awaited procedure.</w:t>
            </w:r>
            <w:r w:rsidRPr="002C4278">
              <w:t xml:space="preserve"> Days on which the patient was no</w:t>
            </w:r>
            <w:r>
              <w:t xml:space="preserve">t ready for care are excluded. </w:t>
            </w:r>
          </w:p>
        </w:tc>
      </w:tr>
      <w:tr w:rsidR="004749C8" w:rsidRPr="00C26327" w14:paraId="18976123" w14:textId="77777777" w:rsidTr="00C52BAD">
        <w:tc>
          <w:tcPr>
            <w:tcW w:w="2268" w:type="dxa"/>
            <w:shd w:val="clear" w:color="auto" w:fill="auto"/>
          </w:tcPr>
          <w:p w14:paraId="7B21BC6A" w14:textId="77777777" w:rsidR="004749C8" w:rsidRPr="00407F56" w:rsidRDefault="004749C8" w:rsidP="007A6E54">
            <w:pPr>
              <w:pStyle w:val="TableBodyText"/>
              <w:keepNext w:val="0"/>
              <w:keepLines w:val="0"/>
              <w:spacing w:before="60" w:after="60"/>
              <w:jc w:val="left"/>
              <w:rPr>
                <w:b/>
              </w:rPr>
            </w:pPr>
            <w:r w:rsidRPr="00407F56">
              <w:rPr>
                <w:b/>
              </w:rPr>
              <w:t xml:space="preserve">Emergency department waiting time to </w:t>
            </w:r>
            <w:r>
              <w:rPr>
                <w:b/>
              </w:rPr>
              <w:t>commencement of clinical care</w:t>
            </w:r>
          </w:p>
        </w:tc>
        <w:tc>
          <w:tcPr>
            <w:tcW w:w="6413" w:type="dxa"/>
            <w:shd w:val="clear" w:color="auto" w:fill="auto"/>
          </w:tcPr>
          <w:p w14:paraId="58463620" w14:textId="77777777" w:rsidR="004749C8" w:rsidRPr="00C26327" w:rsidRDefault="004749C8" w:rsidP="007A6E54">
            <w:pPr>
              <w:pStyle w:val="TableBodyText"/>
              <w:keepNext w:val="0"/>
              <w:keepLines w:val="0"/>
              <w:spacing w:before="60" w:after="60"/>
              <w:jc w:val="left"/>
            </w:pPr>
            <w:r w:rsidRPr="00C26327">
              <w:t>The time elapsed for each patient from presentation to the emergency department (that is, the time at which the patient is clerically registered or triaged, whichever occurs earlier) to the commencement of service by a treating medical officer or nurse.</w:t>
            </w:r>
          </w:p>
        </w:tc>
      </w:tr>
      <w:tr w:rsidR="004749C8" w:rsidRPr="00583AD5" w14:paraId="46F79539" w14:textId="77777777" w:rsidTr="00C52BAD">
        <w:tc>
          <w:tcPr>
            <w:tcW w:w="2268" w:type="dxa"/>
            <w:shd w:val="clear" w:color="auto" w:fill="auto"/>
          </w:tcPr>
          <w:p w14:paraId="02764AB1" w14:textId="77777777" w:rsidR="004749C8" w:rsidRPr="00407F56" w:rsidRDefault="004749C8" w:rsidP="007A6E54">
            <w:pPr>
              <w:pStyle w:val="TableBodyText"/>
              <w:keepNext w:val="0"/>
              <w:keepLines w:val="0"/>
              <w:spacing w:before="60" w:after="60"/>
              <w:jc w:val="left"/>
              <w:rPr>
                <w:b/>
              </w:rPr>
            </w:pPr>
            <w:r w:rsidRPr="00407F56">
              <w:rPr>
                <w:b/>
              </w:rPr>
              <w:t>Emergency department waiting times to admission</w:t>
            </w:r>
          </w:p>
        </w:tc>
        <w:tc>
          <w:tcPr>
            <w:tcW w:w="6413" w:type="dxa"/>
            <w:shd w:val="clear" w:color="auto" w:fill="auto"/>
          </w:tcPr>
          <w:p w14:paraId="0F1C2D03" w14:textId="77777777" w:rsidR="004749C8" w:rsidRPr="00583AD5" w:rsidRDefault="004749C8" w:rsidP="007A6E54">
            <w:pPr>
              <w:pStyle w:val="TableBodyText"/>
              <w:keepNext w:val="0"/>
              <w:keepLines w:val="0"/>
              <w:spacing w:before="60" w:after="60"/>
              <w:jc w:val="left"/>
            </w:pPr>
            <w:r w:rsidRPr="00583AD5">
              <w:t>The time elapsed for each patient from presentation to the emergency department to admission to hospital.</w:t>
            </w:r>
          </w:p>
        </w:tc>
      </w:tr>
      <w:tr w:rsidR="004749C8" w14:paraId="7CC68876" w14:textId="77777777" w:rsidTr="00C52BAD">
        <w:tc>
          <w:tcPr>
            <w:tcW w:w="2268" w:type="dxa"/>
            <w:shd w:val="clear" w:color="auto" w:fill="auto"/>
          </w:tcPr>
          <w:p w14:paraId="232480FA" w14:textId="77777777" w:rsidR="004749C8" w:rsidRPr="00407F56" w:rsidRDefault="004749C8" w:rsidP="007A6E54">
            <w:pPr>
              <w:pStyle w:val="TableBodyText"/>
              <w:keepNext w:val="0"/>
              <w:keepLines w:val="0"/>
              <w:spacing w:before="60" w:after="60"/>
              <w:jc w:val="left"/>
              <w:rPr>
                <w:b/>
              </w:rPr>
            </w:pPr>
            <w:r w:rsidRPr="00407F56">
              <w:rPr>
                <w:b/>
              </w:rPr>
              <w:t>ICD-10-AM</w:t>
            </w:r>
          </w:p>
        </w:tc>
        <w:tc>
          <w:tcPr>
            <w:tcW w:w="6413" w:type="dxa"/>
            <w:shd w:val="clear" w:color="auto" w:fill="auto"/>
          </w:tcPr>
          <w:p w14:paraId="4A74C56B" w14:textId="77777777" w:rsidR="004749C8" w:rsidRDefault="004749C8" w:rsidP="007A6E54">
            <w:pPr>
              <w:pStyle w:val="TableBodyText"/>
              <w:keepNext w:val="0"/>
              <w:keepLines w:val="0"/>
              <w:spacing w:before="60" w:after="60"/>
              <w:jc w:val="left"/>
            </w:pPr>
            <w:r w:rsidRPr="000B2ED3">
              <w:t xml:space="preserve">The Australian modification of the International Standard Classification of Diseases and Related </w:t>
            </w:r>
            <w:r w:rsidRPr="00671F9E">
              <w:t>Health Conditions</w:t>
            </w:r>
            <w:r w:rsidRPr="000B2ED3">
              <w:t>. This is the current classification of diagnoses in Australia.</w:t>
            </w:r>
          </w:p>
        </w:tc>
      </w:tr>
      <w:tr w:rsidR="004749C8" w:rsidRPr="00C05C33" w14:paraId="490B5631" w14:textId="77777777" w:rsidTr="00C52BAD">
        <w:tc>
          <w:tcPr>
            <w:tcW w:w="2268" w:type="dxa"/>
            <w:shd w:val="clear" w:color="auto" w:fill="auto"/>
          </w:tcPr>
          <w:p w14:paraId="676E1AF7" w14:textId="77777777" w:rsidR="004749C8" w:rsidRPr="00407F56" w:rsidRDefault="004749C8" w:rsidP="007A6E54">
            <w:pPr>
              <w:pStyle w:val="TableBodyText"/>
              <w:keepNext w:val="0"/>
              <w:keepLines w:val="0"/>
              <w:spacing w:before="60" w:after="60"/>
              <w:jc w:val="left"/>
              <w:rPr>
                <w:b/>
              </w:rPr>
            </w:pPr>
            <w:r>
              <w:rPr>
                <w:b/>
              </w:rPr>
              <w:lastRenderedPageBreak/>
              <w:t>Hospital boarder</w:t>
            </w:r>
          </w:p>
        </w:tc>
        <w:tc>
          <w:tcPr>
            <w:tcW w:w="6413" w:type="dxa"/>
            <w:shd w:val="clear" w:color="auto" w:fill="auto"/>
          </w:tcPr>
          <w:p w14:paraId="060D5891" w14:textId="77777777" w:rsidR="004749C8" w:rsidRPr="00C05C33" w:rsidRDefault="004749C8" w:rsidP="007A6E54">
            <w:pPr>
              <w:pStyle w:val="TableBodyText"/>
              <w:keepNext w:val="0"/>
              <w:keepLines w:val="0"/>
              <w:spacing w:before="60" w:after="60"/>
              <w:jc w:val="left"/>
            </w:pPr>
            <w:r w:rsidRPr="00C05C33">
              <w:t>A person who is receiving food and/or accommodation but for whom the hospital does not accept responsibility for treatment and/or care.</w:t>
            </w:r>
          </w:p>
        </w:tc>
      </w:tr>
      <w:tr w:rsidR="004749C8" w14:paraId="72DAF72B" w14:textId="77777777" w:rsidTr="00C52BAD">
        <w:tc>
          <w:tcPr>
            <w:tcW w:w="2268" w:type="dxa"/>
            <w:shd w:val="clear" w:color="auto" w:fill="auto"/>
          </w:tcPr>
          <w:p w14:paraId="52F67363" w14:textId="77777777" w:rsidR="004749C8" w:rsidRPr="00407F56" w:rsidRDefault="004749C8" w:rsidP="007A6E54">
            <w:pPr>
              <w:pStyle w:val="TableBodyText"/>
              <w:keepNext w:val="0"/>
              <w:keepLines w:val="0"/>
              <w:spacing w:before="60" w:after="60"/>
              <w:jc w:val="left"/>
              <w:rPr>
                <w:b/>
              </w:rPr>
            </w:pPr>
            <w:r w:rsidRPr="00407F56">
              <w:rPr>
                <w:b/>
              </w:rPr>
              <w:t>Length of stay</w:t>
            </w:r>
          </w:p>
        </w:tc>
        <w:tc>
          <w:tcPr>
            <w:tcW w:w="6413" w:type="dxa"/>
            <w:shd w:val="clear" w:color="auto" w:fill="auto"/>
          </w:tcPr>
          <w:p w14:paraId="53B571C8" w14:textId="77777777" w:rsidR="004749C8" w:rsidRDefault="004749C8" w:rsidP="007A6E54">
            <w:pPr>
              <w:pStyle w:val="TableBodyText"/>
              <w:keepNext w:val="0"/>
              <w:keepLines w:val="0"/>
              <w:spacing w:before="60" w:after="60"/>
              <w:jc w:val="left"/>
            </w:pPr>
            <w:r w:rsidRPr="000B2ED3">
              <w:t>The period from admission to separation less any days spent away from the hospital (leave days).</w:t>
            </w:r>
          </w:p>
        </w:tc>
      </w:tr>
      <w:tr w:rsidR="004749C8" w14:paraId="4EF490E5" w14:textId="77777777" w:rsidTr="00C52BAD">
        <w:tc>
          <w:tcPr>
            <w:tcW w:w="2268" w:type="dxa"/>
            <w:shd w:val="clear" w:color="auto" w:fill="auto"/>
          </w:tcPr>
          <w:p w14:paraId="554933F1" w14:textId="77777777" w:rsidR="004749C8" w:rsidRPr="00407F56" w:rsidRDefault="004749C8" w:rsidP="007A6E54">
            <w:pPr>
              <w:pStyle w:val="TableBodyText"/>
              <w:keepNext w:val="0"/>
              <w:keepLines w:val="0"/>
              <w:spacing w:before="60" w:after="60"/>
              <w:jc w:val="left"/>
              <w:rPr>
                <w:b/>
              </w:rPr>
            </w:pPr>
            <w:r w:rsidRPr="00407F56">
              <w:rPr>
                <w:b/>
              </w:rPr>
              <w:t>Medicare</w:t>
            </w:r>
          </w:p>
        </w:tc>
        <w:tc>
          <w:tcPr>
            <w:tcW w:w="6413" w:type="dxa"/>
            <w:shd w:val="clear" w:color="auto" w:fill="auto"/>
          </w:tcPr>
          <w:p w14:paraId="745A802F" w14:textId="77777777" w:rsidR="004749C8" w:rsidRDefault="004749C8" w:rsidP="007A6E54">
            <w:pPr>
              <w:pStyle w:val="TableBodyText"/>
              <w:keepNext w:val="0"/>
              <w:keepLines w:val="0"/>
              <w:spacing w:before="60" w:after="60"/>
              <w:jc w:val="left"/>
            </w:pPr>
            <w:r w:rsidRPr="000B2ED3">
              <w:t xml:space="preserve">Australian Government funding of private medical and </w:t>
            </w:r>
            <w:proofErr w:type="spellStart"/>
            <w:r w:rsidRPr="000B2ED3">
              <w:t>optometrical</w:t>
            </w:r>
            <w:proofErr w:type="spellEnd"/>
            <w:r w:rsidRPr="000B2ED3">
              <w:t xml:space="preserve"> services (under the Medicare Benefits Schedule). Sometimes defined to include other forms of Australian Government funding such as subsidisation of selected pharmaceuticals (under the Pharmaceutical Benefits Scheme) and public hospital funding (under the Australian Health Care Agreements), which provides public hospital services free of charge to public patients.</w:t>
            </w:r>
          </w:p>
        </w:tc>
      </w:tr>
      <w:tr w:rsidR="004749C8" w:rsidRPr="000B2ED3" w14:paraId="434046EC" w14:textId="77777777" w:rsidTr="00C52BAD">
        <w:tc>
          <w:tcPr>
            <w:tcW w:w="2268" w:type="dxa"/>
            <w:shd w:val="clear" w:color="auto" w:fill="auto"/>
          </w:tcPr>
          <w:p w14:paraId="261B4DD2" w14:textId="77777777" w:rsidR="004749C8" w:rsidRPr="00407F56" w:rsidRDefault="004749C8" w:rsidP="007A6E54">
            <w:pPr>
              <w:pStyle w:val="TableBodyText"/>
              <w:keepNext w:val="0"/>
              <w:keepLines w:val="0"/>
              <w:spacing w:before="60" w:after="60"/>
              <w:jc w:val="left"/>
              <w:rPr>
                <w:b/>
              </w:rPr>
            </w:pPr>
            <w:r w:rsidRPr="00FB644E">
              <w:rPr>
                <w:b/>
              </w:rPr>
              <w:t>Newborn qualification status</w:t>
            </w:r>
          </w:p>
        </w:tc>
        <w:tc>
          <w:tcPr>
            <w:tcW w:w="6413" w:type="dxa"/>
            <w:shd w:val="clear" w:color="auto" w:fill="auto"/>
          </w:tcPr>
          <w:p w14:paraId="00853255" w14:textId="77777777" w:rsidR="004749C8" w:rsidRDefault="004749C8" w:rsidP="007A6E54">
            <w:pPr>
              <w:pStyle w:val="TableBodyText"/>
              <w:keepNext w:val="0"/>
              <w:keepLines w:val="0"/>
              <w:spacing w:before="60" w:after="60"/>
              <w:jc w:val="left"/>
            </w:pPr>
            <w:r>
              <w:t>A newborn qualification status is assigned to each patient day within a newborn episode of care.</w:t>
            </w:r>
          </w:p>
          <w:p w14:paraId="10E88D78" w14:textId="77777777" w:rsidR="004749C8" w:rsidRDefault="004749C8" w:rsidP="007A6E54">
            <w:pPr>
              <w:pStyle w:val="TableBodyText"/>
              <w:keepNext w:val="0"/>
              <w:keepLines w:val="0"/>
              <w:spacing w:before="60" w:after="60"/>
              <w:jc w:val="left"/>
            </w:pPr>
            <w:r>
              <w:t>A newborn patient day is qualified if the infant meets at least one of the following criteria:</w:t>
            </w:r>
          </w:p>
          <w:p w14:paraId="4487FCFA" w14:textId="3F1D43F5" w:rsidR="004749C8" w:rsidRDefault="004749C8" w:rsidP="007A6E54">
            <w:pPr>
              <w:pStyle w:val="TableBullet0"/>
              <w:keepNext w:val="0"/>
              <w:keepLines w:val="0"/>
            </w:pPr>
            <w:r>
              <w:t xml:space="preserve">is the second or subsequent live born infant of a multiple birth, whose mother is currently an admitted patient </w:t>
            </w:r>
          </w:p>
          <w:p w14:paraId="3000D3A2" w14:textId="60C4EAEA" w:rsidR="004749C8" w:rsidRDefault="004749C8" w:rsidP="007A6E54">
            <w:pPr>
              <w:pStyle w:val="TableBullet0"/>
              <w:keepNext w:val="0"/>
              <w:keepLines w:val="0"/>
            </w:pPr>
            <w:r>
              <w:t xml:space="preserve">is admitted to an intensive care facility in a hospital, being a facility approved by the Commonwealth Minister for the purpose of the provision of special care </w:t>
            </w:r>
          </w:p>
          <w:p w14:paraId="2AC3B0B0" w14:textId="77777777" w:rsidR="004749C8" w:rsidRDefault="004749C8" w:rsidP="007A6E54">
            <w:pPr>
              <w:pStyle w:val="TableBullet0"/>
              <w:keepNext w:val="0"/>
              <w:keepLines w:val="0"/>
            </w:pPr>
            <w:r>
              <w:t xml:space="preserve">is admitted </w:t>
            </w:r>
            <w:proofErr w:type="gramStart"/>
            <w:r>
              <w:t>to, or</w:t>
            </w:r>
            <w:proofErr w:type="gramEnd"/>
            <w:r>
              <w:t xml:space="preserve"> remains in hospital without its mother.</w:t>
            </w:r>
          </w:p>
          <w:p w14:paraId="305E2AAD" w14:textId="77777777" w:rsidR="004749C8" w:rsidRDefault="004749C8" w:rsidP="007A6E54">
            <w:pPr>
              <w:pStyle w:val="TableBodyText"/>
              <w:keepNext w:val="0"/>
              <w:keepLines w:val="0"/>
              <w:spacing w:before="60" w:after="60"/>
              <w:jc w:val="left"/>
            </w:pPr>
            <w:r>
              <w:t>A newborn patient day is unqualified if the infant does not meet any of the above criteria.</w:t>
            </w:r>
          </w:p>
          <w:p w14:paraId="2798076A" w14:textId="77777777" w:rsidR="004749C8" w:rsidRDefault="004749C8" w:rsidP="007A6E54">
            <w:pPr>
              <w:pStyle w:val="TableBodyText"/>
              <w:keepNext w:val="0"/>
              <w:keepLines w:val="0"/>
              <w:spacing w:before="60" w:after="60"/>
              <w:jc w:val="left"/>
            </w:pPr>
            <w:r>
              <w:t>The day on which a change in qualification status occurs is counted as a day of the new qualification status.</w:t>
            </w:r>
          </w:p>
          <w:p w14:paraId="0E613BD0" w14:textId="77777777" w:rsidR="004749C8" w:rsidRPr="000B2ED3" w:rsidRDefault="004749C8" w:rsidP="007A6E54">
            <w:pPr>
              <w:pStyle w:val="TableBodyText"/>
              <w:keepNext w:val="0"/>
              <w:keepLines w:val="0"/>
              <w:spacing w:before="60" w:after="60"/>
              <w:jc w:val="left"/>
            </w:pPr>
            <w:r>
              <w:t>If there is more than one qualification status in a single day, the day is counted as a day of the final qualification status for that day.</w:t>
            </w:r>
          </w:p>
        </w:tc>
      </w:tr>
      <w:tr w:rsidR="004749C8" w:rsidRPr="000B2ED3" w14:paraId="7452CE88" w14:textId="77777777" w:rsidTr="00C52BAD">
        <w:tc>
          <w:tcPr>
            <w:tcW w:w="2268" w:type="dxa"/>
            <w:shd w:val="clear" w:color="auto" w:fill="auto"/>
          </w:tcPr>
          <w:p w14:paraId="13ED9398" w14:textId="718CE1AD" w:rsidR="004749C8" w:rsidRPr="00407F56" w:rsidRDefault="004749C8" w:rsidP="007A6E54">
            <w:pPr>
              <w:pStyle w:val="TableBodyText"/>
              <w:keepNext w:val="0"/>
              <w:keepLines w:val="0"/>
              <w:spacing w:before="60" w:after="60"/>
              <w:jc w:val="left"/>
              <w:rPr>
                <w:b/>
              </w:rPr>
            </w:pPr>
            <w:r w:rsidRPr="00407F56">
              <w:rPr>
                <w:b/>
              </w:rPr>
              <w:t xml:space="preserve">Nursing </w:t>
            </w:r>
            <w:r w:rsidR="00C1146F">
              <w:rPr>
                <w:b/>
              </w:rPr>
              <w:t xml:space="preserve">and midwifery </w:t>
            </w:r>
            <w:r w:rsidRPr="00407F56">
              <w:rPr>
                <w:b/>
              </w:rPr>
              <w:t>workforce</w:t>
            </w:r>
          </w:p>
        </w:tc>
        <w:tc>
          <w:tcPr>
            <w:tcW w:w="6413" w:type="dxa"/>
            <w:shd w:val="clear" w:color="auto" w:fill="auto"/>
          </w:tcPr>
          <w:p w14:paraId="1C43E91D" w14:textId="77777777" w:rsidR="004749C8" w:rsidRPr="000B2ED3" w:rsidRDefault="004749C8" w:rsidP="007A6E54">
            <w:pPr>
              <w:pStyle w:val="TableBodyText"/>
              <w:keepNext w:val="0"/>
              <w:keepLines w:val="0"/>
              <w:spacing w:before="60" w:after="60"/>
              <w:jc w:val="left"/>
            </w:pPr>
            <w:r>
              <w:t>Registered nurses, enrolled nurses and midwives who are employed in nursing and/or midwifery in Australia excluding those on extended leave.</w:t>
            </w:r>
          </w:p>
        </w:tc>
      </w:tr>
      <w:tr w:rsidR="004749C8" w:rsidRPr="000B2ED3" w14:paraId="5301788C" w14:textId="77777777" w:rsidTr="00C52BAD">
        <w:tc>
          <w:tcPr>
            <w:tcW w:w="2268" w:type="dxa"/>
            <w:shd w:val="clear" w:color="auto" w:fill="auto"/>
          </w:tcPr>
          <w:p w14:paraId="27CA1ECF" w14:textId="77777777" w:rsidR="004749C8" w:rsidRPr="00407F56" w:rsidRDefault="004749C8" w:rsidP="007A6E54">
            <w:pPr>
              <w:pStyle w:val="TableBodyText"/>
              <w:keepNext w:val="0"/>
              <w:keepLines w:val="0"/>
              <w:spacing w:before="60" w:after="60"/>
              <w:jc w:val="left"/>
              <w:rPr>
                <w:b/>
              </w:rPr>
            </w:pPr>
            <w:r w:rsidRPr="00407F56">
              <w:rPr>
                <w:b/>
              </w:rPr>
              <w:t>Medical practitioner workforce</w:t>
            </w:r>
          </w:p>
        </w:tc>
        <w:tc>
          <w:tcPr>
            <w:tcW w:w="6413" w:type="dxa"/>
            <w:shd w:val="clear" w:color="auto" w:fill="auto"/>
          </w:tcPr>
          <w:p w14:paraId="100CB827" w14:textId="77777777" w:rsidR="004749C8" w:rsidRPr="000B2ED3" w:rsidRDefault="004749C8" w:rsidP="007A6E54">
            <w:pPr>
              <w:pStyle w:val="TableBodyText"/>
              <w:keepNext w:val="0"/>
              <w:keepLines w:val="0"/>
              <w:spacing w:before="60" w:after="60"/>
              <w:jc w:val="left"/>
            </w:pPr>
            <w:r>
              <w:t>Registered medical practitioners who are employed in medicine in Australia excluding those on extended leave.</w:t>
            </w:r>
          </w:p>
        </w:tc>
      </w:tr>
      <w:tr w:rsidR="004749C8" w:rsidRPr="00A96D3B" w14:paraId="00377E66" w14:textId="77777777" w:rsidTr="00C52BAD">
        <w:tc>
          <w:tcPr>
            <w:tcW w:w="2268" w:type="dxa"/>
            <w:shd w:val="clear" w:color="auto" w:fill="auto"/>
          </w:tcPr>
          <w:p w14:paraId="7A7A7E87" w14:textId="77777777" w:rsidR="004749C8" w:rsidRPr="00407F56" w:rsidRDefault="004749C8" w:rsidP="007A6E54">
            <w:pPr>
              <w:pStyle w:val="TableBodyText"/>
              <w:keepNext w:val="0"/>
              <w:keepLines w:val="0"/>
              <w:spacing w:before="60" w:after="60"/>
              <w:jc w:val="left"/>
              <w:rPr>
                <w:b/>
              </w:rPr>
            </w:pPr>
            <w:r w:rsidRPr="00407F56">
              <w:rPr>
                <w:b/>
              </w:rPr>
              <w:t>Non-acute care</w:t>
            </w:r>
          </w:p>
        </w:tc>
        <w:tc>
          <w:tcPr>
            <w:tcW w:w="6413" w:type="dxa"/>
            <w:shd w:val="clear" w:color="auto" w:fill="auto"/>
          </w:tcPr>
          <w:p w14:paraId="485501EB" w14:textId="77777777" w:rsidR="004749C8" w:rsidRPr="00A96D3B" w:rsidRDefault="004749C8" w:rsidP="007A6E54">
            <w:pPr>
              <w:pStyle w:val="TableBodyText"/>
              <w:keepNext w:val="0"/>
              <w:keepLines w:val="0"/>
              <w:spacing w:before="60" w:after="60"/>
              <w:jc w:val="left"/>
            </w:pPr>
            <w:r w:rsidRPr="00A96D3B">
              <w:t>Includes maintenance care and newborn care</w:t>
            </w:r>
            <w:r>
              <w:t xml:space="preserve"> </w:t>
            </w:r>
            <w:r w:rsidRPr="00671F9E">
              <w:t>(where the newborn does not require acute care).</w:t>
            </w:r>
          </w:p>
        </w:tc>
      </w:tr>
      <w:tr w:rsidR="004749C8" w:rsidRPr="000B2ED3" w14:paraId="4C424CEA" w14:textId="77777777" w:rsidTr="00C52BAD">
        <w:tc>
          <w:tcPr>
            <w:tcW w:w="2268" w:type="dxa"/>
            <w:shd w:val="clear" w:color="auto" w:fill="auto"/>
          </w:tcPr>
          <w:p w14:paraId="6BF8C35A" w14:textId="77777777" w:rsidR="004749C8" w:rsidRPr="00BD69F2" w:rsidRDefault="004749C8" w:rsidP="007A6E54">
            <w:pPr>
              <w:pStyle w:val="TableBodyText"/>
              <w:keepNext w:val="0"/>
              <w:keepLines w:val="0"/>
              <w:spacing w:before="60" w:after="60"/>
              <w:jc w:val="left"/>
              <w:rPr>
                <w:b/>
              </w:rPr>
            </w:pPr>
            <w:r w:rsidRPr="00BD69F2">
              <w:rPr>
                <w:b/>
              </w:rPr>
              <w:t>Non-admitted occasions of service</w:t>
            </w:r>
          </w:p>
        </w:tc>
        <w:tc>
          <w:tcPr>
            <w:tcW w:w="6413" w:type="dxa"/>
            <w:shd w:val="clear" w:color="auto" w:fill="auto"/>
          </w:tcPr>
          <w:p w14:paraId="416B4BA8" w14:textId="77777777" w:rsidR="004749C8" w:rsidRPr="00BD69F2" w:rsidRDefault="004749C8" w:rsidP="007A6E54">
            <w:pPr>
              <w:pStyle w:val="TableBodyText"/>
              <w:keepNext w:val="0"/>
              <w:keepLines w:val="0"/>
              <w:spacing w:before="60" w:after="60"/>
              <w:jc w:val="left"/>
            </w:pPr>
            <w:r w:rsidRPr="00BD69F2">
              <w:t>Occasion of examination, consultation, treatment or other service provided to a non-admitted patient in a functional unit of a health service establishment. Services can include emergency department visits, outpatient services (such as pathology, radiology and imaging, and allied health services, including speech therapy and family planning) and other services to non-admitted patients. Hospital non-admitted occasions of service are not yet recorded consistently across states and territories, and relative differences in the complexity of services provided are not yet documented.</w:t>
            </w:r>
          </w:p>
        </w:tc>
      </w:tr>
      <w:tr w:rsidR="004749C8" w:rsidRPr="000B2ED3" w14:paraId="5AE14404" w14:textId="77777777" w:rsidTr="00C52BAD">
        <w:tc>
          <w:tcPr>
            <w:tcW w:w="2268" w:type="dxa"/>
            <w:shd w:val="clear" w:color="auto" w:fill="auto"/>
          </w:tcPr>
          <w:p w14:paraId="268D8187" w14:textId="77777777" w:rsidR="004749C8" w:rsidRPr="00BD69F2" w:rsidRDefault="004749C8" w:rsidP="007A6E54">
            <w:pPr>
              <w:pStyle w:val="TableBodyText"/>
              <w:keepNext w:val="0"/>
              <w:keepLines w:val="0"/>
              <w:spacing w:before="60" w:after="60"/>
              <w:jc w:val="left"/>
              <w:rPr>
                <w:b/>
              </w:rPr>
            </w:pPr>
            <w:r w:rsidRPr="00BD69F2">
              <w:rPr>
                <w:b/>
              </w:rPr>
              <w:t>Non-admitted patient</w:t>
            </w:r>
          </w:p>
        </w:tc>
        <w:tc>
          <w:tcPr>
            <w:tcW w:w="6413" w:type="dxa"/>
            <w:shd w:val="clear" w:color="auto" w:fill="auto"/>
          </w:tcPr>
          <w:p w14:paraId="1DAEEDB0" w14:textId="77777777" w:rsidR="004749C8" w:rsidRPr="00BD69F2" w:rsidRDefault="004749C8" w:rsidP="007A6E54">
            <w:pPr>
              <w:pStyle w:val="TableBodyText"/>
              <w:keepNext w:val="0"/>
              <w:keepLines w:val="0"/>
              <w:spacing w:before="60" w:after="60"/>
              <w:jc w:val="left"/>
            </w:pPr>
            <w:r w:rsidRPr="00BD69F2">
              <w:t>A patient who has not undergone a formal admission process, but who may receive care through an emergency department, outpatient or other non-admitted service.</w:t>
            </w:r>
          </w:p>
        </w:tc>
      </w:tr>
      <w:tr w:rsidR="004749C8" w:rsidRPr="000B2ED3" w14:paraId="6205EAA1" w14:textId="77777777" w:rsidTr="00C52BAD">
        <w:tc>
          <w:tcPr>
            <w:tcW w:w="2268" w:type="dxa"/>
            <w:shd w:val="clear" w:color="auto" w:fill="auto"/>
          </w:tcPr>
          <w:p w14:paraId="0EFB2772" w14:textId="77777777" w:rsidR="004749C8" w:rsidRPr="00BD69F2" w:rsidRDefault="004749C8" w:rsidP="007A6E54">
            <w:pPr>
              <w:pStyle w:val="TableBodyText"/>
              <w:keepNext w:val="0"/>
              <w:keepLines w:val="0"/>
              <w:widowControl w:val="0"/>
              <w:spacing w:before="60" w:after="60"/>
              <w:jc w:val="left"/>
              <w:rPr>
                <w:b/>
              </w:rPr>
            </w:pPr>
            <w:r w:rsidRPr="00BD69F2">
              <w:rPr>
                <w:b/>
              </w:rPr>
              <w:t>Peer group(s)</w:t>
            </w:r>
          </w:p>
        </w:tc>
        <w:tc>
          <w:tcPr>
            <w:tcW w:w="6413" w:type="dxa"/>
            <w:shd w:val="clear" w:color="auto" w:fill="auto"/>
          </w:tcPr>
          <w:p w14:paraId="5424F9A9" w14:textId="77777777" w:rsidR="004749C8" w:rsidRPr="00BD69F2" w:rsidRDefault="004749C8" w:rsidP="007A6E54">
            <w:pPr>
              <w:pStyle w:val="TableBodyText"/>
              <w:keepNext w:val="0"/>
              <w:keepLines w:val="0"/>
              <w:widowControl w:val="0"/>
              <w:spacing w:before="60" w:after="60"/>
              <w:jc w:val="left"/>
            </w:pPr>
            <w:r w:rsidRPr="00BD69F2">
              <w:t xml:space="preserve">Peer groups are used to categorise similar hospitals with shared characteristics. Categorising hospitals in peer groups allows for valid comparisons to be made across similar hospitals providing similar services. </w:t>
            </w:r>
          </w:p>
          <w:p w14:paraId="298A998B" w14:textId="77777777" w:rsidR="004749C8" w:rsidRPr="00BD69F2" w:rsidRDefault="004749C8" w:rsidP="007A6E54">
            <w:pPr>
              <w:pStyle w:val="TableBodyText"/>
              <w:keepNext w:val="0"/>
              <w:keepLines w:val="0"/>
              <w:widowControl w:val="0"/>
              <w:spacing w:before="60" w:after="60"/>
              <w:jc w:val="left"/>
            </w:pPr>
            <w:r w:rsidRPr="00BD69F2">
              <w:t>The peer groups are:</w:t>
            </w:r>
          </w:p>
          <w:p w14:paraId="45313878" w14:textId="77777777" w:rsidR="004749C8" w:rsidRPr="00BD69F2" w:rsidRDefault="004749C8" w:rsidP="007A6E54">
            <w:pPr>
              <w:pStyle w:val="TableBullet0"/>
              <w:keepNext w:val="0"/>
              <w:keepLines w:val="0"/>
              <w:widowControl w:val="0"/>
            </w:pPr>
            <w:r w:rsidRPr="00BD69F2">
              <w:t>Acute public hospitals</w:t>
            </w:r>
          </w:p>
          <w:p w14:paraId="0C503EAB" w14:textId="77777777" w:rsidR="004749C8" w:rsidRPr="00BD69F2" w:rsidRDefault="004749C8" w:rsidP="007A6E54">
            <w:pPr>
              <w:pStyle w:val="TableBullet0"/>
              <w:keepNext w:val="0"/>
              <w:keepLines w:val="0"/>
              <w:widowControl w:val="0"/>
            </w:pPr>
            <w:r w:rsidRPr="00BD69F2">
              <w:t>Acute private hospitals</w:t>
            </w:r>
          </w:p>
          <w:p w14:paraId="7D80EF3F" w14:textId="77777777" w:rsidR="004749C8" w:rsidRPr="00BD69F2" w:rsidRDefault="004749C8" w:rsidP="007A6E54">
            <w:pPr>
              <w:pStyle w:val="TableBullet0"/>
              <w:keepNext w:val="0"/>
              <w:keepLines w:val="0"/>
              <w:widowControl w:val="0"/>
            </w:pPr>
            <w:r w:rsidRPr="00BD69F2">
              <w:t>Very small hospitals</w:t>
            </w:r>
          </w:p>
          <w:p w14:paraId="56674EE1" w14:textId="77777777" w:rsidR="004749C8" w:rsidRPr="00BD69F2" w:rsidRDefault="004749C8" w:rsidP="007A6E54">
            <w:pPr>
              <w:pStyle w:val="TableBullet0"/>
              <w:keepNext w:val="0"/>
              <w:keepLines w:val="0"/>
              <w:widowControl w:val="0"/>
            </w:pPr>
            <w:r w:rsidRPr="00BD69F2">
              <w:t>Women’s and children’s hospitals</w:t>
            </w:r>
          </w:p>
          <w:p w14:paraId="5449E57A" w14:textId="77777777" w:rsidR="004749C8" w:rsidRPr="00BD69F2" w:rsidRDefault="004749C8" w:rsidP="007A6E54">
            <w:pPr>
              <w:pStyle w:val="TableBullet0"/>
              <w:keepNext w:val="0"/>
              <w:keepLines w:val="0"/>
              <w:widowControl w:val="0"/>
            </w:pPr>
            <w:r w:rsidRPr="00BD69F2">
              <w:t>Early parenting centres</w:t>
            </w:r>
          </w:p>
          <w:p w14:paraId="31F56E0F" w14:textId="77777777" w:rsidR="004749C8" w:rsidRPr="00BD69F2" w:rsidRDefault="004749C8" w:rsidP="007A6E54">
            <w:pPr>
              <w:pStyle w:val="TableBullet0"/>
              <w:keepNext w:val="0"/>
              <w:keepLines w:val="0"/>
              <w:widowControl w:val="0"/>
            </w:pPr>
            <w:r w:rsidRPr="00BD69F2">
              <w:t>Drug and alcohol hospitals</w:t>
            </w:r>
          </w:p>
          <w:p w14:paraId="2F8C0F24" w14:textId="77777777" w:rsidR="004749C8" w:rsidRPr="00BD69F2" w:rsidRDefault="004749C8" w:rsidP="007A6E54">
            <w:pPr>
              <w:pStyle w:val="TableBullet0"/>
              <w:keepNext w:val="0"/>
              <w:keepLines w:val="0"/>
              <w:widowControl w:val="0"/>
            </w:pPr>
            <w:r w:rsidRPr="00BD69F2">
              <w:t>Psychiatric hospitals</w:t>
            </w:r>
          </w:p>
          <w:p w14:paraId="2B2D9BD1" w14:textId="77777777" w:rsidR="004749C8" w:rsidRPr="00BD69F2" w:rsidRDefault="004749C8" w:rsidP="007A6E54">
            <w:pPr>
              <w:pStyle w:val="TableBullet0"/>
              <w:keepNext w:val="0"/>
              <w:keepLines w:val="0"/>
              <w:widowControl w:val="0"/>
            </w:pPr>
            <w:r w:rsidRPr="00BD69F2">
              <w:lastRenderedPageBreak/>
              <w:t>Other acute specialised hospitals</w:t>
            </w:r>
          </w:p>
          <w:p w14:paraId="0FBF5C33" w14:textId="77777777" w:rsidR="004749C8" w:rsidRPr="00BD69F2" w:rsidRDefault="004749C8" w:rsidP="007A6E54">
            <w:pPr>
              <w:pStyle w:val="TableBullet0"/>
              <w:keepNext w:val="0"/>
              <w:keepLines w:val="0"/>
              <w:widowControl w:val="0"/>
            </w:pPr>
            <w:r w:rsidRPr="00BD69F2">
              <w:t>Same day hospitals</w:t>
            </w:r>
          </w:p>
          <w:p w14:paraId="3B40B7A4" w14:textId="77777777" w:rsidR="004749C8" w:rsidRPr="00BD69F2" w:rsidRDefault="004749C8" w:rsidP="007A6E54">
            <w:pPr>
              <w:pStyle w:val="TableBullet0"/>
              <w:keepNext w:val="0"/>
              <w:keepLines w:val="0"/>
              <w:widowControl w:val="0"/>
            </w:pPr>
            <w:r w:rsidRPr="00BD69F2">
              <w:t>Sub- and non-acute hospitals</w:t>
            </w:r>
          </w:p>
          <w:p w14:paraId="3CD1E160" w14:textId="77777777" w:rsidR="004749C8" w:rsidRPr="00BD69F2" w:rsidRDefault="004749C8" w:rsidP="007A6E54">
            <w:pPr>
              <w:pStyle w:val="TableBullet0"/>
              <w:keepNext w:val="0"/>
              <w:keepLines w:val="0"/>
              <w:widowControl w:val="0"/>
            </w:pPr>
            <w:r w:rsidRPr="00BD69F2">
              <w:t>Outpatient hospitals</w:t>
            </w:r>
          </w:p>
          <w:p w14:paraId="5ABFEEB3" w14:textId="77777777" w:rsidR="004749C8" w:rsidRPr="00BD69F2" w:rsidRDefault="004749C8" w:rsidP="007A6E54">
            <w:pPr>
              <w:pStyle w:val="TableBullet0"/>
              <w:keepNext w:val="0"/>
              <w:keepLines w:val="0"/>
              <w:widowControl w:val="0"/>
            </w:pPr>
            <w:proofErr w:type="spellStart"/>
            <w:r w:rsidRPr="00BD69F2">
              <w:t>Unpeered</w:t>
            </w:r>
            <w:proofErr w:type="spellEnd"/>
            <w:r w:rsidRPr="00BD69F2">
              <w:t xml:space="preserve"> hospitals</w:t>
            </w:r>
          </w:p>
          <w:p w14:paraId="1035262B" w14:textId="77777777" w:rsidR="004749C8" w:rsidRPr="00BD69F2" w:rsidRDefault="004749C8" w:rsidP="007A6E54">
            <w:pPr>
              <w:pStyle w:val="TableBodyText"/>
              <w:keepNext w:val="0"/>
              <w:keepLines w:val="0"/>
              <w:widowControl w:val="0"/>
              <w:jc w:val="left"/>
            </w:pPr>
            <w:r w:rsidRPr="00BD69F2">
              <w:t xml:space="preserve">For further details on hospital peer groups, see AIHW (2015) </w:t>
            </w:r>
            <w:r w:rsidRPr="00BD69F2">
              <w:rPr>
                <w:i/>
              </w:rPr>
              <w:t>Australian hospital peer groups</w:t>
            </w:r>
            <w:r w:rsidRPr="00BD69F2">
              <w:t>, Health services series no. 66. Cat no. HSW 170. Canberra: AIHW (https://www.aihw.gov.au/getmedia/79e7d756-7cfe-49bf-b8c0-0bbb0daa2430/14825.pdf.aspx?inline=true).</w:t>
            </w:r>
          </w:p>
        </w:tc>
      </w:tr>
      <w:tr w:rsidR="004749C8" w14:paraId="7B221C2C" w14:textId="77777777" w:rsidTr="00C52BAD">
        <w:tc>
          <w:tcPr>
            <w:tcW w:w="2268" w:type="dxa"/>
            <w:shd w:val="clear" w:color="auto" w:fill="auto"/>
          </w:tcPr>
          <w:p w14:paraId="1807065F" w14:textId="77777777" w:rsidR="004749C8" w:rsidRPr="00407F56" w:rsidRDefault="004749C8" w:rsidP="007A6E54">
            <w:pPr>
              <w:pStyle w:val="TableBodyText"/>
              <w:keepNext w:val="0"/>
              <w:keepLines w:val="0"/>
              <w:spacing w:before="60" w:after="60"/>
              <w:jc w:val="left"/>
              <w:rPr>
                <w:b/>
              </w:rPr>
            </w:pPr>
            <w:r>
              <w:rPr>
                <w:b/>
              </w:rPr>
              <w:lastRenderedPageBreak/>
              <w:t>P</w:t>
            </w:r>
            <w:r w:rsidRPr="00C43033">
              <w:rPr>
                <w:b/>
              </w:rPr>
              <w:t>osthumous organ procurement</w:t>
            </w:r>
          </w:p>
        </w:tc>
        <w:tc>
          <w:tcPr>
            <w:tcW w:w="6413" w:type="dxa"/>
            <w:shd w:val="clear" w:color="auto" w:fill="auto"/>
          </w:tcPr>
          <w:p w14:paraId="608C22DB" w14:textId="77777777" w:rsidR="004749C8" w:rsidRDefault="004749C8" w:rsidP="007A6E54">
            <w:pPr>
              <w:pStyle w:val="TableBodyText"/>
              <w:keepNext w:val="0"/>
              <w:keepLines w:val="0"/>
              <w:spacing w:before="60" w:after="60"/>
              <w:jc w:val="left"/>
            </w:pPr>
            <w:r w:rsidRPr="00C43033">
              <w:t>An activity undertaken by hospitals in which human tissue is procured for the purpose of transplantation from a donor who has been declared brain dead.</w:t>
            </w:r>
          </w:p>
        </w:tc>
      </w:tr>
      <w:tr w:rsidR="004749C8" w14:paraId="77C603F9" w14:textId="77777777" w:rsidTr="00C52BAD">
        <w:tc>
          <w:tcPr>
            <w:tcW w:w="2268" w:type="dxa"/>
            <w:shd w:val="clear" w:color="auto" w:fill="auto"/>
          </w:tcPr>
          <w:p w14:paraId="669FC469" w14:textId="77777777" w:rsidR="004749C8" w:rsidRPr="00407F56" w:rsidRDefault="004749C8" w:rsidP="007A6E54">
            <w:pPr>
              <w:pStyle w:val="TableBodyText"/>
              <w:keepNext w:val="0"/>
              <w:keepLines w:val="0"/>
              <w:spacing w:before="60" w:after="60"/>
              <w:jc w:val="left"/>
              <w:rPr>
                <w:b/>
              </w:rPr>
            </w:pPr>
            <w:r w:rsidRPr="00407F56">
              <w:rPr>
                <w:b/>
              </w:rPr>
              <w:t>Public hospital</w:t>
            </w:r>
          </w:p>
        </w:tc>
        <w:tc>
          <w:tcPr>
            <w:tcW w:w="6413" w:type="dxa"/>
            <w:shd w:val="clear" w:color="auto" w:fill="auto"/>
          </w:tcPr>
          <w:p w14:paraId="1A3ED6E0" w14:textId="77777777" w:rsidR="004749C8" w:rsidRDefault="004749C8" w:rsidP="007A6E54">
            <w:pPr>
              <w:pStyle w:val="TableBodyText"/>
              <w:keepNext w:val="0"/>
              <w:keepLines w:val="0"/>
              <w:spacing w:before="60" w:after="60"/>
              <w:jc w:val="left"/>
            </w:pPr>
            <w:r>
              <w:t>A hospital that provides free treatment and accommodation to eligible admitted persons who elect to be treated as public patients. It also provides free services to eligible non-admitted patients and can provide (and charge for) treatment and accommodation services to private patients. Charges to non-admitted patients and admitted patients on discharge can be levied in accordance with the Australian Health Care Agreements (for example, aids and appliances).</w:t>
            </w:r>
          </w:p>
        </w:tc>
      </w:tr>
      <w:tr w:rsidR="004749C8" w14:paraId="226F2CC6" w14:textId="77777777" w:rsidTr="00C52BAD">
        <w:tc>
          <w:tcPr>
            <w:tcW w:w="2268" w:type="dxa"/>
            <w:shd w:val="clear" w:color="auto" w:fill="auto"/>
          </w:tcPr>
          <w:p w14:paraId="029354EE" w14:textId="77777777" w:rsidR="004749C8" w:rsidRPr="00407F56" w:rsidRDefault="004749C8" w:rsidP="007A6E54">
            <w:pPr>
              <w:pStyle w:val="TableBodyText"/>
              <w:keepNext w:val="0"/>
              <w:keepLines w:val="0"/>
              <w:spacing w:before="60" w:after="60"/>
              <w:jc w:val="left"/>
              <w:rPr>
                <w:b/>
              </w:rPr>
            </w:pPr>
            <w:r w:rsidRPr="00407F56">
              <w:rPr>
                <w:b/>
              </w:rPr>
              <w:t>Real expenditure</w:t>
            </w:r>
          </w:p>
        </w:tc>
        <w:tc>
          <w:tcPr>
            <w:tcW w:w="6413" w:type="dxa"/>
            <w:shd w:val="clear" w:color="auto" w:fill="auto"/>
          </w:tcPr>
          <w:p w14:paraId="692DF078" w14:textId="77777777" w:rsidR="004749C8" w:rsidRDefault="004749C8" w:rsidP="007A6E54">
            <w:pPr>
              <w:pStyle w:val="TableBodyText"/>
              <w:keepNext w:val="0"/>
              <w:keepLines w:val="0"/>
              <w:spacing w:before="60" w:after="60"/>
              <w:jc w:val="left"/>
            </w:pPr>
            <w:r>
              <w:t>Actual expenditure adjusted for changes in prices.</w:t>
            </w:r>
          </w:p>
        </w:tc>
      </w:tr>
      <w:tr w:rsidR="004749C8" w14:paraId="6F0585A7" w14:textId="77777777" w:rsidTr="00C52BAD">
        <w:tc>
          <w:tcPr>
            <w:tcW w:w="2268" w:type="dxa"/>
            <w:shd w:val="clear" w:color="auto" w:fill="auto"/>
          </w:tcPr>
          <w:p w14:paraId="1E15781B" w14:textId="77777777" w:rsidR="004749C8" w:rsidRPr="00407F56" w:rsidRDefault="004749C8" w:rsidP="007A6E54">
            <w:pPr>
              <w:pStyle w:val="TableBodyText"/>
              <w:keepNext w:val="0"/>
              <w:keepLines w:val="0"/>
              <w:spacing w:before="60" w:after="60"/>
              <w:jc w:val="left"/>
              <w:rPr>
                <w:b/>
              </w:rPr>
            </w:pPr>
            <w:r w:rsidRPr="00407F56">
              <w:rPr>
                <w:b/>
              </w:rPr>
              <w:t>Relative stay index</w:t>
            </w:r>
          </w:p>
        </w:tc>
        <w:tc>
          <w:tcPr>
            <w:tcW w:w="6413" w:type="dxa"/>
            <w:shd w:val="clear" w:color="auto" w:fill="auto"/>
          </w:tcPr>
          <w:p w14:paraId="38AD64EC" w14:textId="77777777" w:rsidR="004749C8" w:rsidRDefault="004749C8" w:rsidP="007A6E54">
            <w:pPr>
              <w:pStyle w:val="TableBodyText"/>
              <w:keepNext w:val="0"/>
              <w:keepLines w:val="0"/>
              <w:spacing w:before="60" w:after="60"/>
              <w:jc w:val="left"/>
            </w:pPr>
            <w:r>
              <w:t xml:space="preserve">The actual number of patient days for acute care separations in selected AR–DRGs divided by the expected number of patient days adjusted for </w:t>
            </w:r>
            <w:proofErr w:type="spellStart"/>
            <w:r>
              <w:t>casemix</w:t>
            </w:r>
            <w:proofErr w:type="spellEnd"/>
            <w:r>
              <w:t>. Includes acute care separations only. Excludes: patients who died or were transferred within 2 days of admission, or separations with length of stay greater than 120 days, AR-DRGs which are for ‘rehabilitation’, AR</w:t>
            </w:r>
            <w:r>
              <w:noBreakHyphen/>
              <w:t>DRGs which are predominantly same day (such as R63Z chemotherapy and L61Z admit for renal dialysis), AR-DRGs which have a length of stay component in the definition, and error AR-DRGs.</w:t>
            </w:r>
          </w:p>
        </w:tc>
      </w:tr>
      <w:tr w:rsidR="004749C8" w14:paraId="3FF2ED53" w14:textId="77777777" w:rsidTr="00C52BAD">
        <w:tc>
          <w:tcPr>
            <w:tcW w:w="2268" w:type="dxa"/>
            <w:shd w:val="clear" w:color="auto" w:fill="auto"/>
          </w:tcPr>
          <w:p w14:paraId="41E5424B" w14:textId="77777777" w:rsidR="004749C8" w:rsidRPr="00407F56" w:rsidRDefault="004749C8" w:rsidP="007A6E54">
            <w:pPr>
              <w:pStyle w:val="TableBodyText"/>
              <w:keepNext w:val="0"/>
              <w:keepLines w:val="0"/>
              <w:spacing w:before="60" w:after="60"/>
              <w:jc w:val="left"/>
              <w:rPr>
                <w:b/>
              </w:rPr>
            </w:pPr>
            <w:r w:rsidRPr="00407F56">
              <w:rPr>
                <w:b/>
              </w:rPr>
              <w:t>Same day patients</w:t>
            </w:r>
          </w:p>
        </w:tc>
        <w:tc>
          <w:tcPr>
            <w:tcW w:w="6413" w:type="dxa"/>
            <w:shd w:val="clear" w:color="auto" w:fill="auto"/>
          </w:tcPr>
          <w:p w14:paraId="132CFD02" w14:textId="77777777" w:rsidR="004749C8" w:rsidRDefault="004749C8" w:rsidP="007A6E54">
            <w:pPr>
              <w:pStyle w:val="TableBodyText"/>
              <w:keepNext w:val="0"/>
              <w:keepLines w:val="0"/>
              <w:spacing w:before="60" w:after="60"/>
              <w:jc w:val="left"/>
            </w:pPr>
            <w:r>
              <w:t>A patient whose admission date is the same as the separation date.</w:t>
            </w:r>
          </w:p>
        </w:tc>
      </w:tr>
      <w:tr w:rsidR="004749C8" w14:paraId="375DA4C5" w14:textId="77777777" w:rsidTr="00C52BAD">
        <w:tc>
          <w:tcPr>
            <w:tcW w:w="2268" w:type="dxa"/>
            <w:shd w:val="clear" w:color="auto" w:fill="auto"/>
          </w:tcPr>
          <w:p w14:paraId="65875A73" w14:textId="77777777" w:rsidR="004749C8" w:rsidRPr="00407F56" w:rsidRDefault="004749C8" w:rsidP="007A6E54">
            <w:pPr>
              <w:pStyle w:val="TableBodyText"/>
              <w:keepNext w:val="0"/>
              <w:keepLines w:val="0"/>
              <w:spacing w:before="60" w:after="60"/>
              <w:jc w:val="left"/>
              <w:rPr>
                <w:b/>
              </w:rPr>
            </w:pPr>
            <w:r w:rsidRPr="00407F56">
              <w:rPr>
                <w:b/>
              </w:rPr>
              <w:t>Sentinel events</w:t>
            </w:r>
          </w:p>
        </w:tc>
        <w:tc>
          <w:tcPr>
            <w:tcW w:w="6413" w:type="dxa"/>
            <w:shd w:val="clear" w:color="auto" w:fill="auto"/>
          </w:tcPr>
          <w:p w14:paraId="14A5CAB1" w14:textId="77777777" w:rsidR="004749C8" w:rsidRDefault="004749C8" w:rsidP="007A6E54">
            <w:pPr>
              <w:pStyle w:val="TableBodyText"/>
              <w:keepNext w:val="0"/>
              <w:keepLines w:val="0"/>
              <w:spacing w:before="60" w:after="60"/>
              <w:jc w:val="left"/>
            </w:pPr>
            <w:r>
              <w:t>Adverse events that cause serious harm to patients and that have the potential to undermine public confidence in the healthcare system.</w:t>
            </w:r>
          </w:p>
        </w:tc>
      </w:tr>
      <w:tr w:rsidR="004749C8" w14:paraId="517F56D1" w14:textId="77777777" w:rsidTr="00C52BAD">
        <w:tc>
          <w:tcPr>
            <w:tcW w:w="2268" w:type="dxa"/>
            <w:shd w:val="clear" w:color="auto" w:fill="auto"/>
          </w:tcPr>
          <w:p w14:paraId="1E86E373" w14:textId="77777777" w:rsidR="004749C8" w:rsidRPr="00407F56" w:rsidRDefault="004749C8" w:rsidP="007A6E54">
            <w:pPr>
              <w:pStyle w:val="TableBodyText"/>
              <w:keepNext w:val="0"/>
              <w:keepLines w:val="0"/>
              <w:spacing w:before="60" w:after="60"/>
              <w:jc w:val="left"/>
              <w:rPr>
                <w:b/>
              </w:rPr>
            </w:pPr>
            <w:r w:rsidRPr="00407F56">
              <w:rPr>
                <w:b/>
              </w:rPr>
              <w:t>Separation</w:t>
            </w:r>
          </w:p>
        </w:tc>
        <w:tc>
          <w:tcPr>
            <w:tcW w:w="6413" w:type="dxa"/>
            <w:shd w:val="clear" w:color="auto" w:fill="auto"/>
          </w:tcPr>
          <w:p w14:paraId="37D06A00" w14:textId="429BFF48" w:rsidR="004749C8" w:rsidRDefault="004749C8" w:rsidP="007A6E54">
            <w:pPr>
              <w:pStyle w:val="TableBodyText"/>
              <w:keepNext w:val="0"/>
              <w:keepLines w:val="0"/>
              <w:spacing w:before="60" w:after="60"/>
              <w:jc w:val="left"/>
            </w:pPr>
            <w:r>
              <w:t xml:space="preserve">A total hospital </w:t>
            </w:r>
            <w:proofErr w:type="gramStart"/>
            <w:r>
              <w:t>stay</w:t>
            </w:r>
            <w:proofErr w:type="gramEnd"/>
            <w:r>
              <w:t xml:space="preserve"> (from admission to discharge, transfer or death) or a portion of a hospital stay beginning or ending in a change in the type of care for an admitted patient (for example, acute to rehabilitation). Includes admitted patients who receive same day procedures (for example, dialysis).</w:t>
            </w:r>
          </w:p>
        </w:tc>
      </w:tr>
      <w:tr w:rsidR="004749C8" w14:paraId="56A60137" w14:textId="77777777" w:rsidTr="00C52BAD">
        <w:tc>
          <w:tcPr>
            <w:tcW w:w="2268" w:type="dxa"/>
            <w:shd w:val="clear" w:color="auto" w:fill="auto"/>
          </w:tcPr>
          <w:p w14:paraId="1D328172" w14:textId="77777777" w:rsidR="004749C8" w:rsidRPr="00407F56" w:rsidRDefault="004749C8" w:rsidP="007A6E54">
            <w:pPr>
              <w:pStyle w:val="TableBodyText"/>
              <w:keepNext w:val="0"/>
              <w:keepLines w:val="0"/>
              <w:spacing w:before="60" w:after="60"/>
              <w:jc w:val="left"/>
              <w:rPr>
                <w:b/>
              </w:rPr>
            </w:pPr>
            <w:r>
              <w:rPr>
                <w:b/>
              </w:rPr>
              <w:t>Service event</w:t>
            </w:r>
          </w:p>
        </w:tc>
        <w:tc>
          <w:tcPr>
            <w:tcW w:w="6413" w:type="dxa"/>
            <w:shd w:val="clear" w:color="auto" w:fill="auto"/>
          </w:tcPr>
          <w:p w14:paraId="359CAD02" w14:textId="77777777" w:rsidR="004749C8" w:rsidRDefault="004749C8" w:rsidP="007A6E54">
            <w:pPr>
              <w:pStyle w:val="TableBodyText"/>
              <w:keepNext w:val="0"/>
              <w:keepLines w:val="0"/>
              <w:spacing w:before="60" w:after="60"/>
              <w:jc w:val="left"/>
            </w:pPr>
            <w:r>
              <w:t>An interaction between one or more health-care provider(s) with one non-admitted patient, which must contain therapeutic/clinical content and result in dated entry in the patient’s medical record.</w:t>
            </w:r>
          </w:p>
        </w:tc>
      </w:tr>
      <w:tr w:rsidR="004749C8" w:rsidRPr="008A64B8" w14:paraId="0C1FCD33" w14:textId="77777777" w:rsidTr="00C52BAD">
        <w:tc>
          <w:tcPr>
            <w:tcW w:w="2268" w:type="dxa"/>
            <w:shd w:val="clear" w:color="auto" w:fill="auto"/>
          </w:tcPr>
          <w:p w14:paraId="39896C81" w14:textId="77777777" w:rsidR="004749C8" w:rsidRPr="00407F56" w:rsidRDefault="004749C8" w:rsidP="007A6E54">
            <w:pPr>
              <w:pStyle w:val="TableBodyText"/>
              <w:keepNext w:val="0"/>
              <w:keepLines w:val="0"/>
              <w:spacing w:before="60" w:after="60"/>
              <w:jc w:val="left"/>
              <w:rPr>
                <w:b/>
              </w:rPr>
            </w:pPr>
            <w:r w:rsidRPr="00407F56">
              <w:rPr>
                <w:b/>
              </w:rPr>
              <w:t>Subacute care</w:t>
            </w:r>
          </w:p>
        </w:tc>
        <w:tc>
          <w:tcPr>
            <w:tcW w:w="6413" w:type="dxa"/>
            <w:shd w:val="clear" w:color="auto" w:fill="auto"/>
          </w:tcPr>
          <w:p w14:paraId="68145C50" w14:textId="77777777" w:rsidR="004749C8" w:rsidRDefault="004749C8" w:rsidP="007A6E54">
            <w:pPr>
              <w:pStyle w:val="TableBodyText"/>
              <w:keepNext w:val="0"/>
              <w:keepLines w:val="0"/>
              <w:spacing w:before="60" w:after="60"/>
              <w:jc w:val="left"/>
            </w:pPr>
            <w:r>
              <w:t>Specialised multidisciplinary care in which the primary need for care is optimisation of the patient’s functioning and quality of life. A person’s functioning may relate to their whole body or a body part, the whole person, or the whole person in a social context, and to impairment of a body function or structure, activity limitation and/or participation restriction.</w:t>
            </w:r>
          </w:p>
          <w:p w14:paraId="702665E4" w14:textId="77777777" w:rsidR="004749C8" w:rsidRPr="008A64B8" w:rsidRDefault="004749C8" w:rsidP="007A6E54">
            <w:pPr>
              <w:pStyle w:val="TableBodyText"/>
              <w:keepNext w:val="0"/>
              <w:keepLines w:val="0"/>
              <w:spacing w:before="60" w:after="60"/>
              <w:jc w:val="left"/>
            </w:pPr>
            <w:r>
              <w:t>Subacute care comprises the defined care types of rehabilitation, palliative care, geriatric evaluation and management and psychogeriatric care.</w:t>
            </w:r>
          </w:p>
        </w:tc>
      </w:tr>
      <w:tr w:rsidR="004749C8" w14:paraId="47FF404D" w14:textId="77777777" w:rsidTr="00C52BAD">
        <w:tc>
          <w:tcPr>
            <w:tcW w:w="2268" w:type="dxa"/>
            <w:shd w:val="clear" w:color="auto" w:fill="auto"/>
          </w:tcPr>
          <w:p w14:paraId="3B0FCA43" w14:textId="77777777" w:rsidR="004749C8" w:rsidRPr="00407F56" w:rsidRDefault="004749C8" w:rsidP="007A6E54">
            <w:pPr>
              <w:pStyle w:val="TableBodyText"/>
              <w:keepNext w:val="0"/>
              <w:keepLines w:val="0"/>
              <w:spacing w:before="60" w:after="60"/>
              <w:jc w:val="left"/>
              <w:rPr>
                <w:b/>
              </w:rPr>
            </w:pPr>
            <w:r w:rsidRPr="00407F56">
              <w:rPr>
                <w:b/>
              </w:rPr>
              <w:t>Triage category</w:t>
            </w:r>
          </w:p>
        </w:tc>
        <w:tc>
          <w:tcPr>
            <w:tcW w:w="6413" w:type="dxa"/>
            <w:shd w:val="clear" w:color="auto" w:fill="auto"/>
          </w:tcPr>
          <w:p w14:paraId="67CF30AC" w14:textId="77777777" w:rsidR="004749C8" w:rsidRDefault="004749C8" w:rsidP="007A6E54">
            <w:pPr>
              <w:pStyle w:val="TableBodyText"/>
              <w:keepNext w:val="0"/>
              <w:keepLines w:val="0"/>
              <w:spacing w:before="60" w:after="60"/>
              <w:jc w:val="left"/>
            </w:pPr>
            <w:r>
              <w:t xml:space="preserve">The urgency of the patient’s </w:t>
            </w:r>
            <w:proofErr w:type="gramStart"/>
            <w:r>
              <w:t>need</w:t>
            </w:r>
            <w:proofErr w:type="gramEnd"/>
            <w:r>
              <w:t xml:space="preserve"> for medical and nursing care:</w:t>
            </w:r>
          </w:p>
          <w:p w14:paraId="128B2981" w14:textId="77777777" w:rsidR="004749C8" w:rsidRDefault="004749C8" w:rsidP="007A6E54">
            <w:pPr>
              <w:pStyle w:val="TableBodyText"/>
              <w:keepNext w:val="0"/>
              <w:keepLines w:val="0"/>
              <w:spacing w:before="60" w:after="60"/>
              <w:jc w:val="left"/>
            </w:pPr>
            <w:r>
              <w:t>category 1 — resuscitation (immediate within seconds)</w:t>
            </w:r>
          </w:p>
          <w:p w14:paraId="7FC3E65E" w14:textId="77777777" w:rsidR="004749C8" w:rsidRDefault="004749C8" w:rsidP="007A6E54">
            <w:pPr>
              <w:pStyle w:val="TableBodyText"/>
              <w:keepNext w:val="0"/>
              <w:keepLines w:val="0"/>
              <w:spacing w:before="60" w:after="60"/>
              <w:jc w:val="left"/>
            </w:pPr>
            <w:r>
              <w:t>category 2 — emergency (within 10 minutes)</w:t>
            </w:r>
          </w:p>
          <w:p w14:paraId="1969A04F" w14:textId="77777777" w:rsidR="004749C8" w:rsidRDefault="004749C8" w:rsidP="007A6E54">
            <w:pPr>
              <w:pStyle w:val="TableBodyText"/>
              <w:keepNext w:val="0"/>
              <w:keepLines w:val="0"/>
              <w:spacing w:before="60" w:after="60"/>
              <w:jc w:val="left"/>
            </w:pPr>
            <w:r>
              <w:t>category 3 — urgent (within 30 minutes)</w:t>
            </w:r>
          </w:p>
          <w:p w14:paraId="0437A96E" w14:textId="77777777" w:rsidR="004749C8" w:rsidRDefault="004749C8" w:rsidP="007A6E54">
            <w:pPr>
              <w:pStyle w:val="TableBodyText"/>
              <w:keepNext w:val="0"/>
              <w:keepLines w:val="0"/>
              <w:spacing w:before="60" w:after="60"/>
              <w:jc w:val="left"/>
            </w:pPr>
            <w:r>
              <w:t>category 4 — semi-urgent (within 60 minutes)</w:t>
            </w:r>
          </w:p>
          <w:p w14:paraId="666B9350" w14:textId="77777777" w:rsidR="004749C8" w:rsidRDefault="004749C8" w:rsidP="007A6E54">
            <w:pPr>
              <w:pStyle w:val="TableBodyText"/>
              <w:keepNext w:val="0"/>
              <w:keepLines w:val="0"/>
              <w:spacing w:before="60" w:after="60"/>
              <w:jc w:val="left"/>
            </w:pPr>
            <w:r>
              <w:t>category 5 — non-urgent (within 120 minutes).</w:t>
            </w:r>
          </w:p>
        </w:tc>
      </w:tr>
      <w:tr w:rsidR="004749C8" w14:paraId="3CE844DE" w14:textId="77777777" w:rsidTr="00C52BAD">
        <w:tc>
          <w:tcPr>
            <w:tcW w:w="2268" w:type="dxa"/>
            <w:shd w:val="clear" w:color="auto" w:fill="auto"/>
          </w:tcPr>
          <w:p w14:paraId="26529474" w14:textId="77777777" w:rsidR="004749C8" w:rsidRPr="00407F56" w:rsidRDefault="004749C8" w:rsidP="007A6E54">
            <w:pPr>
              <w:pStyle w:val="TableBodyText"/>
              <w:keepNext w:val="0"/>
              <w:keepLines w:val="0"/>
              <w:spacing w:before="60" w:after="60"/>
              <w:jc w:val="left"/>
              <w:rPr>
                <w:b/>
              </w:rPr>
            </w:pPr>
            <w:r w:rsidRPr="00407F56">
              <w:rPr>
                <w:b/>
              </w:rPr>
              <w:t>Urgency category for elective surgery</w:t>
            </w:r>
          </w:p>
        </w:tc>
        <w:tc>
          <w:tcPr>
            <w:tcW w:w="6413" w:type="dxa"/>
            <w:shd w:val="clear" w:color="auto" w:fill="auto"/>
          </w:tcPr>
          <w:p w14:paraId="4915EEBF" w14:textId="77777777" w:rsidR="004749C8" w:rsidRPr="00B372D7" w:rsidRDefault="004749C8" w:rsidP="007A6E54">
            <w:pPr>
              <w:pStyle w:val="TableBodyText"/>
              <w:keepNext w:val="0"/>
              <w:keepLines w:val="0"/>
              <w:spacing w:before="60" w:after="60"/>
              <w:jc w:val="left"/>
            </w:pPr>
            <w:r w:rsidRPr="00B372D7">
              <w:t xml:space="preserve">Category 1 patients — admission within 30 days is desirable for a condition that has the potential to deteriorate quickly to the point that it </w:t>
            </w:r>
            <w:r>
              <w:t>can</w:t>
            </w:r>
            <w:r w:rsidRPr="00B372D7">
              <w:t xml:space="preserve"> become an emergency. </w:t>
            </w:r>
          </w:p>
          <w:p w14:paraId="6974EF99" w14:textId="77777777" w:rsidR="004749C8" w:rsidRPr="00B372D7" w:rsidRDefault="004749C8" w:rsidP="007A6E54">
            <w:pPr>
              <w:pStyle w:val="TableBodyText"/>
              <w:keepNext w:val="0"/>
              <w:keepLines w:val="0"/>
              <w:spacing w:before="60" w:after="60"/>
              <w:jc w:val="left"/>
            </w:pPr>
            <w:r w:rsidRPr="00B372D7">
              <w:lastRenderedPageBreak/>
              <w:t>Category 2 patients — admission within 90 days is desirable for a condition that is causing some pain, dysfunction or disability, but that is not likely to deteriorate quickly or become an emergency.</w:t>
            </w:r>
          </w:p>
          <w:p w14:paraId="4618B518" w14:textId="77777777" w:rsidR="004749C8" w:rsidRDefault="004749C8" w:rsidP="007A6E54">
            <w:pPr>
              <w:pStyle w:val="TableBodyText"/>
              <w:keepNext w:val="0"/>
              <w:keepLines w:val="0"/>
              <w:spacing w:before="60" w:after="60"/>
              <w:jc w:val="left"/>
            </w:pPr>
            <w:r w:rsidRPr="00B372D7">
              <w:t>Category 3 patients — admission at some time in the future is acceptable for a condition causing minimal or no pain, dysfunction or disability, that is unlikely to deteriorate quickly and that does not have the potential to become an emergency.</w:t>
            </w:r>
          </w:p>
        </w:tc>
      </w:tr>
    </w:tbl>
    <w:p w14:paraId="6C818BCC" w14:textId="2173040C" w:rsidR="00547992" w:rsidRPr="003D59D7" w:rsidRDefault="00547992" w:rsidP="00270492">
      <w:pPr>
        <w:pStyle w:val="BodyText"/>
      </w:pPr>
    </w:p>
    <w:sectPr w:rsidR="00547992" w:rsidRPr="003D59D7" w:rsidSect="008076E1">
      <w:headerReference w:type="even" r:id="rId8"/>
      <w:headerReference w:type="default" r:id="rId9"/>
      <w:footerReference w:type="even" r:id="rId10"/>
      <w:footerReference w:type="default" r:id="rId11"/>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5924" w14:textId="77777777" w:rsidR="00C24F2E" w:rsidRDefault="00C24F2E">
      <w:r>
        <w:separator/>
      </w:r>
    </w:p>
  </w:endnote>
  <w:endnote w:type="continuationSeparator" w:id="0">
    <w:p w14:paraId="1379954B" w14:textId="77777777" w:rsidR="00C24F2E" w:rsidRDefault="00C2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C24F2E" w14:paraId="28428853" w14:textId="77777777" w:rsidTr="007A6E54">
      <w:trPr>
        <w:trHeight w:hRule="exact" w:val="567"/>
      </w:trPr>
      <w:tc>
        <w:tcPr>
          <w:tcW w:w="510" w:type="dxa"/>
        </w:tcPr>
        <w:p w14:paraId="7979B32F" w14:textId="77777777" w:rsidR="00C24F2E" w:rsidRPr="00A24443" w:rsidRDefault="00C24F2E" w:rsidP="007E592E">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w:t>
          </w:r>
          <w:r w:rsidRPr="00A24443">
            <w:rPr>
              <w:rStyle w:val="PageNumber"/>
              <w:caps w:val="0"/>
            </w:rPr>
            <w:fldChar w:fldCharType="end"/>
          </w:r>
        </w:p>
      </w:tc>
      <w:tc>
        <w:tcPr>
          <w:tcW w:w="7767" w:type="dxa"/>
        </w:tcPr>
        <w:p w14:paraId="4CDC0F0E" w14:textId="4F392E1B" w:rsidR="00C24F2E" w:rsidRPr="0013739A" w:rsidRDefault="00C24F2E" w:rsidP="007E592E">
          <w:pPr>
            <w:pStyle w:val="Footer"/>
            <w:rPr>
              <w:rFonts w:cs="Arial"/>
            </w:rPr>
          </w:pPr>
          <w:r>
            <w:rPr>
              <w:rFonts w:cs="Arial"/>
            </w:rPr>
            <w:t>report on government services 202</w:t>
          </w:r>
          <w:bookmarkStart w:id="43" w:name="DraftReportEven"/>
          <w:bookmarkEnd w:id="43"/>
          <w:r>
            <w:rPr>
              <w:rFonts w:cs="Arial"/>
            </w:rPr>
            <w:t>1</w:t>
          </w:r>
        </w:p>
      </w:tc>
      <w:tc>
        <w:tcPr>
          <w:tcW w:w="654" w:type="dxa"/>
        </w:tcPr>
        <w:p w14:paraId="313A6507" w14:textId="77777777" w:rsidR="00C24F2E" w:rsidRDefault="00C24F2E" w:rsidP="007E592E">
          <w:pPr>
            <w:pStyle w:val="Footer"/>
          </w:pPr>
        </w:p>
      </w:tc>
    </w:tr>
  </w:tbl>
  <w:p w14:paraId="22DC2258" w14:textId="77777777" w:rsidR="00C24F2E" w:rsidRDefault="00C24F2E" w:rsidP="007E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24F2E" w14:paraId="4DFBC539" w14:textId="77777777" w:rsidTr="00104AF2">
      <w:trPr>
        <w:trHeight w:hRule="exact" w:val="567"/>
      </w:trPr>
      <w:tc>
        <w:tcPr>
          <w:tcW w:w="510" w:type="dxa"/>
        </w:tcPr>
        <w:p w14:paraId="4530E78D" w14:textId="77777777" w:rsidR="00C24F2E" w:rsidRDefault="00C24F2E" w:rsidP="00104AF2">
          <w:pPr>
            <w:pStyle w:val="Footer"/>
            <w:ind w:right="360" w:firstLine="360"/>
          </w:pPr>
        </w:p>
      </w:tc>
      <w:tc>
        <w:tcPr>
          <w:tcW w:w="7767" w:type="dxa"/>
        </w:tcPr>
        <w:p w14:paraId="002FEFCE" w14:textId="582893E6" w:rsidR="00C24F2E" w:rsidRPr="00BA5B14" w:rsidRDefault="00C24F2E" w:rsidP="00104AF2">
          <w:pPr>
            <w:pStyle w:val="Footer"/>
            <w:jc w:val="right"/>
            <w:rPr>
              <w:rFonts w:cs="Arial"/>
            </w:rPr>
          </w:pPr>
          <w:r>
            <w:rPr>
              <w:rFonts w:cs="Arial"/>
            </w:rPr>
            <w:t>PUBLIC HOSPITALS INTERPRETATIVE MATERIAl</w:t>
          </w:r>
        </w:p>
      </w:tc>
      <w:tc>
        <w:tcPr>
          <w:tcW w:w="510" w:type="dxa"/>
        </w:tcPr>
        <w:p w14:paraId="4A0F74AC" w14:textId="5D4FAE5C" w:rsidR="00C24F2E" w:rsidRPr="00A24443" w:rsidRDefault="00C24F2E" w:rsidP="00104AF2">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585EADAF" w14:textId="77777777" w:rsidR="00C24F2E" w:rsidRDefault="00C24F2E">
    <w:pPr>
      <w:pStyle w:val="FooterEnd"/>
    </w:pPr>
  </w:p>
  <w:p w14:paraId="4339F3E8" w14:textId="77777777" w:rsidR="00C24F2E" w:rsidRDefault="00C24F2E">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95CC" w14:textId="77777777" w:rsidR="00C24F2E" w:rsidRDefault="00C24F2E">
      <w:r>
        <w:separator/>
      </w:r>
    </w:p>
  </w:footnote>
  <w:footnote w:type="continuationSeparator" w:id="0">
    <w:p w14:paraId="0E07BDB7" w14:textId="77777777" w:rsidR="00C24F2E" w:rsidRDefault="00C2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C24F2E" w14:paraId="1709D67B" w14:textId="77777777" w:rsidTr="007A6E54">
      <w:tc>
        <w:tcPr>
          <w:tcW w:w="2155" w:type="dxa"/>
          <w:tcBorders>
            <w:top w:val="single" w:sz="24" w:space="0" w:color="auto"/>
          </w:tcBorders>
        </w:tcPr>
        <w:p w14:paraId="0CC8E503" w14:textId="77777777" w:rsidR="00C24F2E" w:rsidRDefault="00C24F2E" w:rsidP="000704BC">
          <w:pPr>
            <w:pStyle w:val="HeaderEven"/>
          </w:pPr>
        </w:p>
      </w:tc>
      <w:tc>
        <w:tcPr>
          <w:tcW w:w="6634" w:type="dxa"/>
          <w:tcBorders>
            <w:top w:val="single" w:sz="6" w:space="0" w:color="auto"/>
          </w:tcBorders>
        </w:tcPr>
        <w:p w14:paraId="12064ECD" w14:textId="3CE17366" w:rsidR="00C24F2E" w:rsidRDefault="00C24F2E" w:rsidP="000704BC">
          <w:pPr>
            <w:pStyle w:val="Header"/>
            <w:jc w:val="right"/>
          </w:pPr>
        </w:p>
      </w:tc>
    </w:tr>
  </w:tbl>
  <w:p w14:paraId="7C8C4B52" w14:textId="77777777" w:rsidR="00C24F2E" w:rsidRDefault="00C24F2E" w:rsidP="0007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24F2E" w14:paraId="45E96877" w14:textId="77777777" w:rsidTr="00C941CF">
      <w:tc>
        <w:tcPr>
          <w:tcW w:w="6634" w:type="dxa"/>
          <w:tcBorders>
            <w:top w:val="single" w:sz="6" w:space="0" w:color="auto"/>
          </w:tcBorders>
        </w:tcPr>
        <w:p w14:paraId="2C20DC28" w14:textId="2605858F" w:rsidR="00C24F2E" w:rsidRPr="00264CBA" w:rsidRDefault="00C24F2E" w:rsidP="00C941CF">
          <w:pPr>
            <w:pStyle w:val="Header"/>
            <w:rPr>
              <w:rFonts w:cs="Arial"/>
            </w:rPr>
          </w:pPr>
        </w:p>
      </w:tc>
      <w:tc>
        <w:tcPr>
          <w:tcW w:w="2155" w:type="dxa"/>
          <w:tcBorders>
            <w:top w:val="single" w:sz="24" w:space="0" w:color="auto"/>
          </w:tcBorders>
        </w:tcPr>
        <w:p w14:paraId="03AAAE32" w14:textId="77777777" w:rsidR="00C24F2E" w:rsidRDefault="00C24F2E" w:rsidP="00C941CF">
          <w:pPr>
            <w:pStyle w:val="HeaderOdd"/>
          </w:pPr>
        </w:p>
      </w:tc>
    </w:tr>
  </w:tbl>
  <w:p w14:paraId="39A2EEE9" w14:textId="77777777" w:rsidR="00C24F2E" w:rsidRDefault="00C24F2E" w:rsidP="00403101">
    <w:pPr>
      <w:pStyle w:val="HeaderEnd"/>
    </w:pPr>
  </w:p>
  <w:p w14:paraId="3AB425F4" w14:textId="77777777" w:rsidR="00C24F2E" w:rsidRDefault="00C24F2E">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560AAB"/>
    <w:multiLevelType w:val="multilevel"/>
    <w:tmpl w:val="E1C6E66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4782D6F"/>
    <w:multiLevelType w:val="multilevel"/>
    <w:tmpl w:val="80A48F50"/>
    <w:lvl w:ilvl="0">
      <w:start w:val="12"/>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3"/>
  </w:num>
  <w:num w:numId="3">
    <w:abstractNumId w:val="5"/>
  </w:num>
  <w:num w:numId="4">
    <w:abstractNumId w:val="8"/>
  </w:num>
  <w:num w:numId="5">
    <w:abstractNumId w:val="16"/>
  </w:num>
  <w:num w:numId="6">
    <w:abstractNumId w:val="14"/>
  </w:num>
  <w:num w:numId="7">
    <w:abstractNumId w:val="23"/>
  </w:num>
  <w:num w:numId="8">
    <w:abstractNumId w:val="24"/>
  </w:num>
  <w:num w:numId="9">
    <w:abstractNumId w:val="11"/>
  </w:num>
  <w:num w:numId="10">
    <w:abstractNumId w:val="17"/>
  </w:num>
  <w:num w:numId="11">
    <w:abstractNumId w:val="18"/>
  </w:num>
  <w:num w:numId="12">
    <w:abstractNumId w:val="2"/>
  </w:num>
  <w:num w:numId="13">
    <w:abstractNumId w:val="7"/>
  </w:num>
  <w:num w:numId="14">
    <w:abstractNumId w:val="6"/>
  </w:num>
  <w:num w:numId="15">
    <w:abstractNumId w:val="13"/>
  </w:num>
  <w:num w:numId="16">
    <w:abstractNumId w:val="15"/>
  </w:num>
  <w:num w:numId="17">
    <w:abstractNumId w:val="19"/>
  </w:num>
  <w:num w:numId="18">
    <w:abstractNumId w:val="20"/>
  </w:num>
  <w:num w:numId="19">
    <w:abstractNumId w:val="9"/>
  </w:num>
  <w:num w:numId="20">
    <w:abstractNumId w:val="12"/>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2"/>
  </w:num>
  <w:num w:numId="25">
    <w:abstractNumId w:val="10"/>
  </w:num>
  <w:num w:numId="26">
    <w:abstractNumId w:val="14"/>
  </w:num>
  <w:num w:numId="27">
    <w:abstractNumId w:val="14"/>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activeWritingStyle w:appName="MSWord" w:lang="en-AU" w:vendorID="8" w:dllVersion="513" w:checkStyle="1"/>
  <w:proofState w:spelling="clean" w:grammar="clean"/>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5E7"/>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998"/>
    <w:rsid w:val="00007D81"/>
    <w:rsid w:val="000101A9"/>
    <w:rsid w:val="00010224"/>
    <w:rsid w:val="00010890"/>
    <w:rsid w:val="00010ACD"/>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30C6"/>
    <w:rsid w:val="000232B5"/>
    <w:rsid w:val="00023BCF"/>
    <w:rsid w:val="00023D67"/>
    <w:rsid w:val="000240D8"/>
    <w:rsid w:val="00024295"/>
    <w:rsid w:val="00024A10"/>
    <w:rsid w:val="00024A77"/>
    <w:rsid w:val="00024A83"/>
    <w:rsid w:val="000254EB"/>
    <w:rsid w:val="000255D6"/>
    <w:rsid w:val="0002580E"/>
    <w:rsid w:val="00025A80"/>
    <w:rsid w:val="00025BFD"/>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3F39"/>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AA7"/>
    <w:rsid w:val="00037B51"/>
    <w:rsid w:val="00037C49"/>
    <w:rsid w:val="000408FB"/>
    <w:rsid w:val="00040938"/>
    <w:rsid w:val="000409A4"/>
    <w:rsid w:val="00040AF1"/>
    <w:rsid w:val="00040B0B"/>
    <w:rsid w:val="0004156F"/>
    <w:rsid w:val="00041735"/>
    <w:rsid w:val="0004184B"/>
    <w:rsid w:val="00041891"/>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E01"/>
    <w:rsid w:val="00050FB5"/>
    <w:rsid w:val="000518A0"/>
    <w:rsid w:val="00051A63"/>
    <w:rsid w:val="000524A2"/>
    <w:rsid w:val="00052C52"/>
    <w:rsid w:val="00052DBE"/>
    <w:rsid w:val="000535B2"/>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4BC"/>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198"/>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950"/>
    <w:rsid w:val="00091B10"/>
    <w:rsid w:val="00091BB7"/>
    <w:rsid w:val="000922BB"/>
    <w:rsid w:val="00092CF6"/>
    <w:rsid w:val="00092F50"/>
    <w:rsid w:val="0009300C"/>
    <w:rsid w:val="000931F9"/>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06"/>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185"/>
    <w:rsid w:val="000A6B42"/>
    <w:rsid w:val="000A6C52"/>
    <w:rsid w:val="000A7A04"/>
    <w:rsid w:val="000A7C7E"/>
    <w:rsid w:val="000A7F22"/>
    <w:rsid w:val="000B001B"/>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51F9"/>
    <w:rsid w:val="000E52C4"/>
    <w:rsid w:val="000E59B9"/>
    <w:rsid w:val="000E59EC"/>
    <w:rsid w:val="000E5DA9"/>
    <w:rsid w:val="000E5DEF"/>
    <w:rsid w:val="000E5EBA"/>
    <w:rsid w:val="000E6744"/>
    <w:rsid w:val="000E741A"/>
    <w:rsid w:val="000E7547"/>
    <w:rsid w:val="000E7574"/>
    <w:rsid w:val="000E7B7B"/>
    <w:rsid w:val="000F07F7"/>
    <w:rsid w:val="000F0818"/>
    <w:rsid w:val="000F0BED"/>
    <w:rsid w:val="000F0D5A"/>
    <w:rsid w:val="000F0F95"/>
    <w:rsid w:val="000F10A3"/>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AF2"/>
    <w:rsid w:val="00104CC8"/>
    <w:rsid w:val="00104D9B"/>
    <w:rsid w:val="00105127"/>
    <w:rsid w:val="001051D2"/>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7B0"/>
    <w:rsid w:val="0011286C"/>
    <w:rsid w:val="001128A0"/>
    <w:rsid w:val="00112B3B"/>
    <w:rsid w:val="001130D0"/>
    <w:rsid w:val="001133B7"/>
    <w:rsid w:val="001147F4"/>
    <w:rsid w:val="001149E0"/>
    <w:rsid w:val="00114D20"/>
    <w:rsid w:val="00114F23"/>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896"/>
    <w:rsid w:val="00135A48"/>
    <w:rsid w:val="00135F31"/>
    <w:rsid w:val="00135FCD"/>
    <w:rsid w:val="00136038"/>
    <w:rsid w:val="00136170"/>
    <w:rsid w:val="0013625F"/>
    <w:rsid w:val="00136484"/>
    <w:rsid w:val="00136C4F"/>
    <w:rsid w:val="00137023"/>
    <w:rsid w:val="00137267"/>
    <w:rsid w:val="001372DC"/>
    <w:rsid w:val="00137F63"/>
    <w:rsid w:val="00140390"/>
    <w:rsid w:val="0014046D"/>
    <w:rsid w:val="001406F8"/>
    <w:rsid w:val="00141516"/>
    <w:rsid w:val="0014160B"/>
    <w:rsid w:val="0014162E"/>
    <w:rsid w:val="00141738"/>
    <w:rsid w:val="00141F22"/>
    <w:rsid w:val="001424A8"/>
    <w:rsid w:val="00142A81"/>
    <w:rsid w:val="0014311C"/>
    <w:rsid w:val="001432EC"/>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94F"/>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961"/>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B40"/>
    <w:rsid w:val="00161C0A"/>
    <w:rsid w:val="00161DEB"/>
    <w:rsid w:val="00161E63"/>
    <w:rsid w:val="001621AF"/>
    <w:rsid w:val="0016223A"/>
    <w:rsid w:val="00162250"/>
    <w:rsid w:val="001627EE"/>
    <w:rsid w:val="00162D39"/>
    <w:rsid w:val="00162DEB"/>
    <w:rsid w:val="00162F6C"/>
    <w:rsid w:val="00163233"/>
    <w:rsid w:val="00163274"/>
    <w:rsid w:val="0016393B"/>
    <w:rsid w:val="00163BE4"/>
    <w:rsid w:val="00163CDC"/>
    <w:rsid w:val="00163E04"/>
    <w:rsid w:val="00164908"/>
    <w:rsid w:val="001652D2"/>
    <w:rsid w:val="00165A9D"/>
    <w:rsid w:val="00165BF4"/>
    <w:rsid w:val="00166142"/>
    <w:rsid w:val="0016625E"/>
    <w:rsid w:val="001671A0"/>
    <w:rsid w:val="0016734E"/>
    <w:rsid w:val="001676AB"/>
    <w:rsid w:val="001677C1"/>
    <w:rsid w:val="001679ED"/>
    <w:rsid w:val="00167B69"/>
    <w:rsid w:val="00167BB6"/>
    <w:rsid w:val="00170170"/>
    <w:rsid w:val="001701A4"/>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4F9"/>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254"/>
    <w:rsid w:val="00187558"/>
    <w:rsid w:val="0018776A"/>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A05"/>
    <w:rsid w:val="00193A46"/>
    <w:rsid w:val="00193FF2"/>
    <w:rsid w:val="0019412C"/>
    <w:rsid w:val="001942A7"/>
    <w:rsid w:val="0019469B"/>
    <w:rsid w:val="0019481F"/>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298"/>
    <w:rsid w:val="001B03A9"/>
    <w:rsid w:val="001B061B"/>
    <w:rsid w:val="001B08E5"/>
    <w:rsid w:val="001B0A94"/>
    <w:rsid w:val="001B0DC2"/>
    <w:rsid w:val="001B0E14"/>
    <w:rsid w:val="001B13BF"/>
    <w:rsid w:val="001B18B5"/>
    <w:rsid w:val="001B18D9"/>
    <w:rsid w:val="001B1B3E"/>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BDB"/>
    <w:rsid w:val="001B4D22"/>
    <w:rsid w:val="001B4FA0"/>
    <w:rsid w:val="001B563E"/>
    <w:rsid w:val="001B6B6A"/>
    <w:rsid w:val="001B6BD1"/>
    <w:rsid w:val="001B6E4F"/>
    <w:rsid w:val="001B704F"/>
    <w:rsid w:val="001B71E7"/>
    <w:rsid w:val="001B7647"/>
    <w:rsid w:val="001B7895"/>
    <w:rsid w:val="001B78EA"/>
    <w:rsid w:val="001B799A"/>
    <w:rsid w:val="001B7BFD"/>
    <w:rsid w:val="001B7C78"/>
    <w:rsid w:val="001B7D7E"/>
    <w:rsid w:val="001C0FAA"/>
    <w:rsid w:val="001C1441"/>
    <w:rsid w:val="001C1785"/>
    <w:rsid w:val="001C18BA"/>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66"/>
    <w:rsid w:val="001D12A3"/>
    <w:rsid w:val="001D13D0"/>
    <w:rsid w:val="001D16DC"/>
    <w:rsid w:val="001D1A82"/>
    <w:rsid w:val="001D1B30"/>
    <w:rsid w:val="001D1ED3"/>
    <w:rsid w:val="001D2003"/>
    <w:rsid w:val="001D230D"/>
    <w:rsid w:val="001D26B1"/>
    <w:rsid w:val="001D2791"/>
    <w:rsid w:val="001D27A0"/>
    <w:rsid w:val="001D28C2"/>
    <w:rsid w:val="001D2A1C"/>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5EDE"/>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252"/>
    <w:rsid w:val="001E140D"/>
    <w:rsid w:val="001E14A2"/>
    <w:rsid w:val="001E1558"/>
    <w:rsid w:val="001E1EA3"/>
    <w:rsid w:val="001E2106"/>
    <w:rsid w:val="001E2A1C"/>
    <w:rsid w:val="001E2BC6"/>
    <w:rsid w:val="001E3514"/>
    <w:rsid w:val="001E3810"/>
    <w:rsid w:val="001E3904"/>
    <w:rsid w:val="001E3A2E"/>
    <w:rsid w:val="001E4298"/>
    <w:rsid w:val="001E45C1"/>
    <w:rsid w:val="001E48EC"/>
    <w:rsid w:val="001E491A"/>
    <w:rsid w:val="001E4D63"/>
    <w:rsid w:val="001E5193"/>
    <w:rsid w:val="001E51D2"/>
    <w:rsid w:val="001E52A7"/>
    <w:rsid w:val="001E53C0"/>
    <w:rsid w:val="001E55C6"/>
    <w:rsid w:val="001E597B"/>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1023"/>
    <w:rsid w:val="001F1088"/>
    <w:rsid w:val="001F19C5"/>
    <w:rsid w:val="001F1D38"/>
    <w:rsid w:val="001F2633"/>
    <w:rsid w:val="001F2D09"/>
    <w:rsid w:val="001F3805"/>
    <w:rsid w:val="001F43EF"/>
    <w:rsid w:val="001F4506"/>
    <w:rsid w:val="001F45EE"/>
    <w:rsid w:val="001F467F"/>
    <w:rsid w:val="001F4C02"/>
    <w:rsid w:val="001F4E94"/>
    <w:rsid w:val="001F4F04"/>
    <w:rsid w:val="001F5452"/>
    <w:rsid w:val="001F5700"/>
    <w:rsid w:val="001F584A"/>
    <w:rsid w:val="001F5D3A"/>
    <w:rsid w:val="001F5D40"/>
    <w:rsid w:val="001F5DBB"/>
    <w:rsid w:val="001F5E1D"/>
    <w:rsid w:val="001F5F57"/>
    <w:rsid w:val="001F60C9"/>
    <w:rsid w:val="001F64FC"/>
    <w:rsid w:val="001F661A"/>
    <w:rsid w:val="001F68D5"/>
    <w:rsid w:val="001F69F0"/>
    <w:rsid w:val="001F6ADD"/>
    <w:rsid w:val="001F6C36"/>
    <w:rsid w:val="001F6FE7"/>
    <w:rsid w:val="001F730D"/>
    <w:rsid w:val="001F7832"/>
    <w:rsid w:val="001F799C"/>
    <w:rsid w:val="001F7F44"/>
    <w:rsid w:val="002008B1"/>
    <w:rsid w:val="002008E0"/>
    <w:rsid w:val="00200AD2"/>
    <w:rsid w:val="00200C62"/>
    <w:rsid w:val="00200E2E"/>
    <w:rsid w:val="00200E3A"/>
    <w:rsid w:val="00200E90"/>
    <w:rsid w:val="0020175F"/>
    <w:rsid w:val="00201A70"/>
    <w:rsid w:val="002020B3"/>
    <w:rsid w:val="00202699"/>
    <w:rsid w:val="00202CCB"/>
    <w:rsid w:val="00202D56"/>
    <w:rsid w:val="00202DF7"/>
    <w:rsid w:val="00202EE1"/>
    <w:rsid w:val="00203018"/>
    <w:rsid w:val="0020315D"/>
    <w:rsid w:val="002034DD"/>
    <w:rsid w:val="0020350A"/>
    <w:rsid w:val="0020373E"/>
    <w:rsid w:val="002037BF"/>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544"/>
    <w:rsid w:val="00213CDA"/>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6DFE"/>
    <w:rsid w:val="00227032"/>
    <w:rsid w:val="00227BFA"/>
    <w:rsid w:val="0023003B"/>
    <w:rsid w:val="0023017B"/>
    <w:rsid w:val="00230AB6"/>
    <w:rsid w:val="00230E9A"/>
    <w:rsid w:val="0023115C"/>
    <w:rsid w:val="002316AA"/>
    <w:rsid w:val="0023198B"/>
    <w:rsid w:val="00231F2E"/>
    <w:rsid w:val="002323AF"/>
    <w:rsid w:val="00232431"/>
    <w:rsid w:val="002325B3"/>
    <w:rsid w:val="00232644"/>
    <w:rsid w:val="002328F2"/>
    <w:rsid w:val="00233182"/>
    <w:rsid w:val="002334B0"/>
    <w:rsid w:val="00233CF4"/>
    <w:rsid w:val="00233FB3"/>
    <w:rsid w:val="002341F6"/>
    <w:rsid w:val="00234637"/>
    <w:rsid w:val="0023473F"/>
    <w:rsid w:val="00234871"/>
    <w:rsid w:val="00234B2C"/>
    <w:rsid w:val="00234E17"/>
    <w:rsid w:val="00234E1E"/>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0D8D"/>
    <w:rsid w:val="00241063"/>
    <w:rsid w:val="00241B46"/>
    <w:rsid w:val="00241D17"/>
    <w:rsid w:val="00241DEA"/>
    <w:rsid w:val="0024216B"/>
    <w:rsid w:val="00242411"/>
    <w:rsid w:val="00242A3B"/>
    <w:rsid w:val="00242B8C"/>
    <w:rsid w:val="00242BDB"/>
    <w:rsid w:val="0024414E"/>
    <w:rsid w:val="0024447C"/>
    <w:rsid w:val="00244714"/>
    <w:rsid w:val="002447D9"/>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77F"/>
    <w:rsid w:val="00251A46"/>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68D2"/>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492"/>
    <w:rsid w:val="00270870"/>
    <w:rsid w:val="00270BA7"/>
    <w:rsid w:val="00270F57"/>
    <w:rsid w:val="0027124D"/>
    <w:rsid w:val="002716A1"/>
    <w:rsid w:val="0027181C"/>
    <w:rsid w:val="00272317"/>
    <w:rsid w:val="00272DEF"/>
    <w:rsid w:val="00272E43"/>
    <w:rsid w:val="002731F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A8E"/>
    <w:rsid w:val="00281C23"/>
    <w:rsid w:val="0028201F"/>
    <w:rsid w:val="002825DF"/>
    <w:rsid w:val="002827C9"/>
    <w:rsid w:val="00282A10"/>
    <w:rsid w:val="00283478"/>
    <w:rsid w:val="00283CBD"/>
    <w:rsid w:val="0028417C"/>
    <w:rsid w:val="002844AB"/>
    <w:rsid w:val="00284C86"/>
    <w:rsid w:val="00284FA3"/>
    <w:rsid w:val="00285107"/>
    <w:rsid w:val="0028516E"/>
    <w:rsid w:val="00285BB7"/>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964"/>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912"/>
    <w:rsid w:val="002A2D81"/>
    <w:rsid w:val="002A312E"/>
    <w:rsid w:val="002A364D"/>
    <w:rsid w:val="002A36D6"/>
    <w:rsid w:val="002A3B48"/>
    <w:rsid w:val="002A3DDB"/>
    <w:rsid w:val="002A3DE5"/>
    <w:rsid w:val="002A3F2B"/>
    <w:rsid w:val="002A481E"/>
    <w:rsid w:val="002A49AE"/>
    <w:rsid w:val="002A4A6A"/>
    <w:rsid w:val="002A51BD"/>
    <w:rsid w:val="002A53B7"/>
    <w:rsid w:val="002A5592"/>
    <w:rsid w:val="002A56B3"/>
    <w:rsid w:val="002A56F4"/>
    <w:rsid w:val="002A5702"/>
    <w:rsid w:val="002A58A7"/>
    <w:rsid w:val="002A5E9D"/>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F8"/>
    <w:rsid w:val="002C517F"/>
    <w:rsid w:val="002C535D"/>
    <w:rsid w:val="002C5934"/>
    <w:rsid w:val="002C5B43"/>
    <w:rsid w:val="002C5B52"/>
    <w:rsid w:val="002C61AD"/>
    <w:rsid w:val="002C64D9"/>
    <w:rsid w:val="002C65D5"/>
    <w:rsid w:val="002C67E4"/>
    <w:rsid w:val="002C6BDE"/>
    <w:rsid w:val="002C6D07"/>
    <w:rsid w:val="002C6E1D"/>
    <w:rsid w:val="002C6F55"/>
    <w:rsid w:val="002C7364"/>
    <w:rsid w:val="002C73A4"/>
    <w:rsid w:val="002C7979"/>
    <w:rsid w:val="002C7B11"/>
    <w:rsid w:val="002D00D4"/>
    <w:rsid w:val="002D05D2"/>
    <w:rsid w:val="002D0826"/>
    <w:rsid w:val="002D0C55"/>
    <w:rsid w:val="002D1642"/>
    <w:rsid w:val="002D1BAB"/>
    <w:rsid w:val="002D1DF6"/>
    <w:rsid w:val="002D24FC"/>
    <w:rsid w:val="002D263D"/>
    <w:rsid w:val="002D2713"/>
    <w:rsid w:val="002D27EB"/>
    <w:rsid w:val="002D2D84"/>
    <w:rsid w:val="002D3194"/>
    <w:rsid w:val="002D3A2F"/>
    <w:rsid w:val="002D3CF1"/>
    <w:rsid w:val="002D3F26"/>
    <w:rsid w:val="002D41EF"/>
    <w:rsid w:val="002D4D88"/>
    <w:rsid w:val="002D4E60"/>
    <w:rsid w:val="002D52A0"/>
    <w:rsid w:val="002D5529"/>
    <w:rsid w:val="002D59EA"/>
    <w:rsid w:val="002D5DCE"/>
    <w:rsid w:val="002D6286"/>
    <w:rsid w:val="002D6AC8"/>
    <w:rsid w:val="002D6AFB"/>
    <w:rsid w:val="002D7047"/>
    <w:rsid w:val="002D7313"/>
    <w:rsid w:val="002D7699"/>
    <w:rsid w:val="002D76B7"/>
    <w:rsid w:val="002D78FE"/>
    <w:rsid w:val="002E0008"/>
    <w:rsid w:val="002E017E"/>
    <w:rsid w:val="002E094A"/>
    <w:rsid w:val="002E0A5A"/>
    <w:rsid w:val="002E1352"/>
    <w:rsid w:val="002E1715"/>
    <w:rsid w:val="002E17C7"/>
    <w:rsid w:val="002E21AD"/>
    <w:rsid w:val="002E2209"/>
    <w:rsid w:val="002E23BD"/>
    <w:rsid w:val="002E2932"/>
    <w:rsid w:val="002E2A4B"/>
    <w:rsid w:val="002E2C56"/>
    <w:rsid w:val="002E2E35"/>
    <w:rsid w:val="002E32DD"/>
    <w:rsid w:val="002E33A7"/>
    <w:rsid w:val="002E349B"/>
    <w:rsid w:val="002E3898"/>
    <w:rsid w:val="002E3B05"/>
    <w:rsid w:val="002E3C82"/>
    <w:rsid w:val="002E3E59"/>
    <w:rsid w:val="002E42C3"/>
    <w:rsid w:val="002E46E2"/>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8A"/>
    <w:rsid w:val="002F3588"/>
    <w:rsid w:val="002F38B9"/>
    <w:rsid w:val="002F3C71"/>
    <w:rsid w:val="002F3CFE"/>
    <w:rsid w:val="002F4282"/>
    <w:rsid w:val="002F43AD"/>
    <w:rsid w:val="002F451C"/>
    <w:rsid w:val="002F4530"/>
    <w:rsid w:val="002F495D"/>
    <w:rsid w:val="002F5085"/>
    <w:rsid w:val="002F52D4"/>
    <w:rsid w:val="002F55B4"/>
    <w:rsid w:val="002F5D51"/>
    <w:rsid w:val="002F5DBB"/>
    <w:rsid w:val="002F633E"/>
    <w:rsid w:val="002F63FD"/>
    <w:rsid w:val="002F679C"/>
    <w:rsid w:val="002F67F8"/>
    <w:rsid w:val="002F69E5"/>
    <w:rsid w:val="002F6A98"/>
    <w:rsid w:val="002F6C11"/>
    <w:rsid w:val="002F7189"/>
    <w:rsid w:val="002F729B"/>
    <w:rsid w:val="002F73DC"/>
    <w:rsid w:val="002F760A"/>
    <w:rsid w:val="002F76C5"/>
    <w:rsid w:val="002F7735"/>
    <w:rsid w:val="002F7750"/>
    <w:rsid w:val="002F7A5F"/>
    <w:rsid w:val="0030027C"/>
    <w:rsid w:val="003009C7"/>
    <w:rsid w:val="00301327"/>
    <w:rsid w:val="003014F1"/>
    <w:rsid w:val="003015BE"/>
    <w:rsid w:val="00301A30"/>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C97"/>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4A4"/>
    <w:rsid w:val="003168CF"/>
    <w:rsid w:val="00316D5E"/>
    <w:rsid w:val="00316ED5"/>
    <w:rsid w:val="00316F28"/>
    <w:rsid w:val="0031707D"/>
    <w:rsid w:val="003170C0"/>
    <w:rsid w:val="00317A1F"/>
    <w:rsid w:val="003204E4"/>
    <w:rsid w:val="00320922"/>
    <w:rsid w:val="00320CE8"/>
    <w:rsid w:val="00320DBA"/>
    <w:rsid w:val="00321007"/>
    <w:rsid w:val="00321217"/>
    <w:rsid w:val="003212AE"/>
    <w:rsid w:val="0032177C"/>
    <w:rsid w:val="0032189E"/>
    <w:rsid w:val="00321CF8"/>
    <w:rsid w:val="00322965"/>
    <w:rsid w:val="003235FC"/>
    <w:rsid w:val="00323DCB"/>
    <w:rsid w:val="0032403A"/>
    <w:rsid w:val="00324385"/>
    <w:rsid w:val="003246CB"/>
    <w:rsid w:val="00324725"/>
    <w:rsid w:val="00324C59"/>
    <w:rsid w:val="003251F9"/>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6F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DBA"/>
    <w:rsid w:val="00350EF3"/>
    <w:rsid w:val="00351CCB"/>
    <w:rsid w:val="00352C1B"/>
    <w:rsid w:val="00352F6C"/>
    <w:rsid w:val="003530AB"/>
    <w:rsid w:val="00353BF7"/>
    <w:rsid w:val="00353F8F"/>
    <w:rsid w:val="00354487"/>
    <w:rsid w:val="003545C9"/>
    <w:rsid w:val="00354BD3"/>
    <w:rsid w:val="003551D9"/>
    <w:rsid w:val="003554B4"/>
    <w:rsid w:val="003559F9"/>
    <w:rsid w:val="00355A2D"/>
    <w:rsid w:val="00355E69"/>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4A2"/>
    <w:rsid w:val="0036187A"/>
    <w:rsid w:val="00361DC4"/>
    <w:rsid w:val="00361F51"/>
    <w:rsid w:val="00362378"/>
    <w:rsid w:val="003624D1"/>
    <w:rsid w:val="00362661"/>
    <w:rsid w:val="00362910"/>
    <w:rsid w:val="00362952"/>
    <w:rsid w:val="00362A8A"/>
    <w:rsid w:val="00362E3C"/>
    <w:rsid w:val="00362E8D"/>
    <w:rsid w:val="00363026"/>
    <w:rsid w:val="00363332"/>
    <w:rsid w:val="00363B76"/>
    <w:rsid w:val="003640B9"/>
    <w:rsid w:val="003641CF"/>
    <w:rsid w:val="00364D9A"/>
    <w:rsid w:val="00364FDC"/>
    <w:rsid w:val="00365203"/>
    <w:rsid w:val="0036524B"/>
    <w:rsid w:val="0036539C"/>
    <w:rsid w:val="00365465"/>
    <w:rsid w:val="00365A83"/>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8D1"/>
    <w:rsid w:val="00377DD5"/>
    <w:rsid w:val="00377DEB"/>
    <w:rsid w:val="00380041"/>
    <w:rsid w:val="0038020B"/>
    <w:rsid w:val="003807FE"/>
    <w:rsid w:val="00380809"/>
    <w:rsid w:val="00380865"/>
    <w:rsid w:val="003814E2"/>
    <w:rsid w:val="003815A7"/>
    <w:rsid w:val="003817DD"/>
    <w:rsid w:val="00382002"/>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C89"/>
    <w:rsid w:val="00397F7A"/>
    <w:rsid w:val="003A0233"/>
    <w:rsid w:val="003A1204"/>
    <w:rsid w:val="003A1320"/>
    <w:rsid w:val="003A1444"/>
    <w:rsid w:val="003A26EC"/>
    <w:rsid w:val="003A3233"/>
    <w:rsid w:val="003A356B"/>
    <w:rsid w:val="003A3741"/>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0D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377"/>
    <w:rsid w:val="003B58B9"/>
    <w:rsid w:val="003B5A56"/>
    <w:rsid w:val="003B65EF"/>
    <w:rsid w:val="003B67CC"/>
    <w:rsid w:val="003B6914"/>
    <w:rsid w:val="003B6F3E"/>
    <w:rsid w:val="003B7448"/>
    <w:rsid w:val="003B7651"/>
    <w:rsid w:val="003B788E"/>
    <w:rsid w:val="003C04C7"/>
    <w:rsid w:val="003C0991"/>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3FAD"/>
    <w:rsid w:val="003C4BB2"/>
    <w:rsid w:val="003C4D5A"/>
    <w:rsid w:val="003C4E86"/>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C7C05"/>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1F9C"/>
    <w:rsid w:val="003E2741"/>
    <w:rsid w:val="003E2ABD"/>
    <w:rsid w:val="003E2B97"/>
    <w:rsid w:val="003E2D00"/>
    <w:rsid w:val="003E3027"/>
    <w:rsid w:val="003E3212"/>
    <w:rsid w:val="003E38DC"/>
    <w:rsid w:val="003E3995"/>
    <w:rsid w:val="003E3CA4"/>
    <w:rsid w:val="003E3DCB"/>
    <w:rsid w:val="003E42EC"/>
    <w:rsid w:val="003E4348"/>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CAE"/>
    <w:rsid w:val="003F3E0E"/>
    <w:rsid w:val="003F4406"/>
    <w:rsid w:val="003F526B"/>
    <w:rsid w:val="003F52A3"/>
    <w:rsid w:val="003F53AD"/>
    <w:rsid w:val="003F5612"/>
    <w:rsid w:val="003F5661"/>
    <w:rsid w:val="003F5662"/>
    <w:rsid w:val="003F5C9F"/>
    <w:rsid w:val="003F61E5"/>
    <w:rsid w:val="003F67B5"/>
    <w:rsid w:val="003F6C9C"/>
    <w:rsid w:val="003F7288"/>
    <w:rsid w:val="003F7A1A"/>
    <w:rsid w:val="003F7A34"/>
    <w:rsid w:val="003F7A5B"/>
    <w:rsid w:val="003F7DC9"/>
    <w:rsid w:val="0040053D"/>
    <w:rsid w:val="00400849"/>
    <w:rsid w:val="00400E38"/>
    <w:rsid w:val="00400E86"/>
    <w:rsid w:val="00401025"/>
    <w:rsid w:val="0040129F"/>
    <w:rsid w:val="004021D7"/>
    <w:rsid w:val="00402446"/>
    <w:rsid w:val="004024E4"/>
    <w:rsid w:val="00402F51"/>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33D"/>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28CB"/>
    <w:rsid w:val="004232B3"/>
    <w:rsid w:val="00423320"/>
    <w:rsid w:val="004234FD"/>
    <w:rsid w:val="004235D0"/>
    <w:rsid w:val="0042362C"/>
    <w:rsid w:val="00423968"/>
    <w:rsid w:val="00423AC7"/>
    <w:rsid w:val="00424224"/>
    <w:rsid w:val="0042484E"/>
    <w:rsid w:val="00424FC1"/>
    <w:rsid w:val="00425098"/>
    <w:rsid w:val="004252F6"/>
    <w:rsid w:val="00425593"/>
    <w:rsid w:val="004255FC"/>
    <w:rsid w:val="004256BA"/>
    <w:rsid w:val="00425768"/>
    <w:rsid w:val="00425823"/>
    <w:rsid w:val="00425A69"/>
    <w:rsid w:val="00425D07"/>
    <w:rsid w:val="00425D7A"/>
    <w:rsid w:val="00426FA1"/>
    <w:rsid w:val="00427558"/>
    <w:rsid w:val="004275EB"/>
    <w:rsid w:val="00427799"/>
    <w:rsid w:val="00427BD8"/>
    <w:rsid w:val="00427CAD"/>
    <w:rsid w:val="0043006C"/>
    <w:rsid w:val="004303A4"/>
    <w:rsid w:val="004306CD"/>
    <w:rsid w:val="00430CA2"/>
    <w:rsid w:val="00431419"/>
    <w:rsid w:val="004317E7"/>
    <w:rsid w:val="00431C54"/>
    <w:rsid w:val="00431D49"/>
    <w:rsid w:val="00431DA3"/>
    <w:rsid w:val="00431DD7"/>
    <w:rsid w:val="0043279B"/>
    <w:rsid w:val="00432A69"/>
    <w:rsid w:val="00432B6E"/>
    <w:rsid w:val="00432D72"/>
    <w:rsid w:val="00432EE7"/>
    <w:rsid w:val="004332DD"/>
    <w:rsid w:val="004332DE"/>
    <w:rsid w:val="004334A7"/>
    <w:rsid w:val="00433679"/>
    <w:rsid w:val="004337F0"/>
    <w:rsid w:val="00433A16"/>
    <w:rsid w:val="00433B0A"/>
    <w:rsid w:val="00433EA3"/>
    <w:rsid w:val="004343B6"/>
    <w:rsid w:val="004344EB"/>
    <w:rsid w:val="004345AF"/>
    <w:rsid w:val="00434720"/>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7D9"/>
    <w:rsid w:val="004517E8"/>
    <w:rsid w:val="004518F2"/>
    <w:rsid w:val="00451F3A"/>
    <w:rsid w:val="004523F7"/>
    <w:rsid w:val="0045289C"/>
    <w:rsid w:val="00452A02"/>
    <w:rsid w:val="00452BCB"/>
    <w:rsid w:val="00452CAD"/>
    <w:rsid w:val="00453A37"/>
    <w:rsid w:val="00453B3B"/>
    <w:rsid w:val="00453F06"/>
    <w:rsid w:val="00453FF2"/>
    <w:rsid w:val="004542E0"/>
    <w:rsid w:val="004545D4"/>
    <w:rsid w:val="00454D6B"/>
    <w:rsid w:val="00454E58"/>
    <w:rsid w:val="004551C5"/>
    <w:rsid w:val="004559EE"/>
    <w:rsid w:val="00455B4D"/>
    <w:rsid w:val="00455DA8"/>
    <w:rsid w:val="00456359"/>
    <w:rsid w:val="004570A0"/>
    <w:rsid w:val="0045715A"/>
    <w:rsid w:val="0045718A"/>
    <w:rsid w:val="00457729"/>
    <w:rsid w:val="0046068B"/>
    <w:rsid w:val="004609BE"/>
    <w:rsid w:val="00460BCD"/>
    <w:rsid w:val="00460ED9"/>
    <w:rsid w:val="0046117E"/>
    <w:rsid w:val="00461750"/>
    <w:rsid w:val="00461A31"/>
    <w:rsid w:val="00461B69"/>
    <w:rsid w:val="00461D57"/>
    <w:rsid w:val="00461EEE"/>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5B62"/>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803"/>
    <w:rsid w:val="004749C8"/>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31B0"/>
    <w:rsid w:val="004A32CA"/>
    <w:rsid w:val="004A33FB"/>
    <w:rsid w:val="004A35BE"/>
    <w:rsid w:val="004A3668"/>
    <w:rsid w:val="004A3DBA"/>
    <w:rsid w:val="004A403E"/>
    <w:rsid w:val="004A4056"/>
    <w:rsid w:val="004A4088"/>
    <w:rsid w:val="004A40D4"/>
    <w:rsid w:val="004A462E"/>
    <w:rsid w:val="004A49D9"/>
    <w:rsid w:val="004A4EF2"/>
    <w:rsid w:val="004A5008"/>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59"/>
    <w:rsid w:val="004A7CEE"/>
    <w:rsid w:val="004B01D6"/>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5CB2"/>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0E2F"/>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C6"/>
    <w:rsid w:val="004D397D"/>
    <w:rsid w:val="004D3BA5"/>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ACE"/>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502"/>
    <w:rsid w:val="00503797"/>
    <w:rsid w:val="005037D1"/>
    <w:rsid w:val="00503FC9"/>
    <w:rsid w:val="0050404C"/>
    <w:rsid w:val="005044E4"/>
    <w:rsid w:val="005045E8"/>
    <w:rsid w:val="00504986"/>
    <w:rsid w:val="00504F9C"/>
    <w:rsid w:val="0050513B"/>
    <w:rsid w:val="00505751"/>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D8A"/>
    <w:rsid w:val="00514E0D"/>
    <w:rsid w:val="0051512D"/>
    <w:rsid w:val="0051543B"/>
    <w:rsid w:val="00515817"/>
    <w:rsid w:val="00515A67"/>
    <w:rsid w:val="005163FB"/>
    <w:rsid w:val="0051648A"/>
    <w:rsid w:val="00516507"/>
    <w:rsid w:val="00516B7D"/>
    <w:rsid w:val="00516FC4"/>
    <w:rsid w:val="00516FC9"/>
    <w:rsid w:val="0051713B"/>
    <w:rsid w:val="00517695"/>
    <w:rsid w:val="005177C0"/>
    <w:rsid w:val="00517863"/>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224"/>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B98"/>
    <w:rsid w:val="00584FFF"/>
    <w:rsid w:val="005850DE"/>
    <w:rsid w:val="005851D8"/>
    <w:rsid w:val="0058522C"/>
    <w:rsid w:val="005855D4"/>
    <w:rsid w:val="005856DD"/>
    <w:rsid w:val="00585897"/>
    <w:rsid w:val="00585933"/>
    <w:rsid w:val="00585B3D"/>
    <w:rsid w:val="00585E2E"/>
    <w:rsid w:val="00585E4C"/>
    <w:rsid w:val="00585FEB"/>
    <w:rsid w:val="005860D6"/>
    <w:rsid w:val="00586378"/>
    <w:rsid w:val="0058677F"/>
    <w:rsid w:val="00586802"/>
    <w:rsid w:val="00586849"/>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BC1"/>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57"/>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4AE"/>
    <w:rsid w:val="005C17C9"/>
    <w:rsid w:val="005C1C28"/>
    <w:rsid w:val="005C1E0E"/>
    <w:rsid w:val="005C2319"/>
    <w:rsid w:val="005C2B7B"/>
    <w:rsid w:val="005C2D8F"/>
    <w:rsid w:val="005C3254"/>
    <w:rsid w:val="005C3860"/>
    <w:rsid w:val="005C3AB3"/>
    <w:rsid w:val="005C3B51"/>
    <w:rsid w:val="005C3DCD"/>
    <w:rsid w:val="005C4277"/>
    <w:rsid w:val="005C4983"/>
    <w:rsid w:val="005C4CAE"/>
    <w:rsid w:val="005C5412"/>
    <w:rsid w:val="005C5501"/>
    <w:rsid w:val="005C5A16"/>
    <w:rsid w:val="005C5F0B"/>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370"/>
    <w:rsid w:val="005E3758"/>
    <w:rsid w:val="005E3914"/>
    <w:rsid w:val="005E3C68"/>
    <w:rsid w:val="005E3DA8"/>
    <w:rsid w:val="005E3DCA"/>
    <w:rsid w:val="005E4925"/>
    <w:rsid w:val="005E4C8F"/>
    <w:rsid w:val="005E4E11"/>
    <w:rsid w:val="005E4E74"/>
    <w:rsid w:val="005E56B7"/>
    <w:rsid w:val="005E580F"/>
    <w:rsid w:val="005E5BC7"/>
    <w:rsid w:val="005E6047"/>
    <w:rsid w:val="005E60F6"/>
    <w:rsid w:val="005E67D2"/>
    <w:rsid w:val="005E69F9"/>
    <w:rsid w:val="005E6DA1"/>
    <w:rsid w:val="005E6EFB"/>
    <w:rsid w:val="005E7024"/>
    <w:rsid w:val="005E7060"/>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DBE"/>
    <w:rsid w:val="005F5061"/>
    <w:rsid w:val="005F5103"/>
    <w:rsid w:val="005F5180"/>
    <w:rsid w:val="005F5193"/>
    <w:rsid w:val="005F5740"/>
    <w:rsid w:val="005F5847"/>
    <w:rsid w:val="005F5C72"/>
    <w:rsid w:val="005F6675"/>
    <w:rsid w:val="005F66BD"/>
    <w:rsid w:val="005F66EB"/>
    <w:rsid w:val="005F6A69"/>
    <w:rsid w:val="005F7740"/>
    <w:rsid w:val="005F78ED"/>
    <w:rsid w:val="005F7A78"/>
    <w:rsid w:val="006000CB"/>
    <w:rsid w:val="00600324"/>
    <w:rsid w:val="006004DD"/>
    <w:rsid w:val="00600591"/>
    <w:rsid w:val="00600921"/>
    <w:rsid w:val="006009F9"/>
    <w:rsid w:val="00600A2D"/>
    <w:rsid w:val="00600F1E"/>
    <w:rsid w:val="0060179B"/>
    <w:rsid w:val="0060180C"/>
    <w:rsid w:val="00601913"/>
    <w:rsid w:val="006028F8"/>
    <w:rsid w:val="00602909"/>
    <w:rsid w:val="00602C3F"/>
    <w:rsid w:val="00602D05"/>
    <w:rsid w:val="00603AF7"/>
    <w:rsid w:val="00603C81"/>
    <w:rsid w:val="00603CBA"/>
    <w:rsid w:val="00603ED2"/>
    <w:rsid w:val="00603FCA"/>
    <w:rsid w:val="0060497D"/>
    <w:rsid w:val="00604AD1"/>
    <w:rsid w:val="00604ADA"/>
    <w:rsid w:val="00604C88"/>
    <w:rsid w:val="00604CE1"/>
    <w:rsid w:val="00605098"/>
    <w:rsid w:val="0060532D"/>
    <w:rsid w:val="00605EBB"/>
    <w:rsid w:val="00606075"/>
    <w:rsid w:val="00606AD0"/>
    <w:rsid w:val="00606DE9"/>
    <w:rsid w:val="00606FC9"/>
    <w:rsid w:val="0060788A"/>
    <w:rsid w:val="00607CD0"/>
    <w:rsid w:val="00607D34"/>
    <w:rsid w:val="00607E38"/>
    <w:rsid w:val="006106C6"/>
    <w:rsid w:val="00610869"/>
    <w:rsid w:val="00610E72"/>
    <w:rsid w:val="00611696"/>
    <w:rsid w:val="00611975"/>
    <w:rsid w:val="0061199B"/>
    <w:rsid w:val="006119FB"/>
    <w:rsid w:val="00611CA3"/>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97D"/>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702"/>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3C0"/>
    <w:rsid w:val="00656571"/>
    <w:rsid w:val="006567BA"/>
    <w:rsid w:val="00656A49"/>
    <w:rsid w:val="00656CC7"/>
    <w:rsid w:val="006577C5"/>
    <w:rsid w:val="00660253"/>
    <w:rsid w:val="00660B9B"/>
    <w:rsid w:val="00661125"/>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E55"/>
    <w:rsid w:val="00666053"/>
    <w:rsid w:val="00666409"/>
    <w:rsid w:val="00666832"/>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80003"/>
    <w:rsid w:val="0068079F"/>
    <w:rsid w:val="00680A52"/>
    <w:rsid w:val="00680BA1"/>
    <w:rsid w:val="0068100C"/>
    <w:rsid w:val="0068106B"/>
    <w:rsid w:val="0068128E"/>
    <w:rsid w:val="00681961"/>
    <w:rsid w:val="00681A42"/>
    <w:rsid w:val="00681B7B"/>
    <w:rsid w:val="00681EB4"/>
    <w:rsid w:val="00682064"/>
    <w:rsid w:val="00682689"/>
    <w:rsid w:val="00682D51"/>
    <w:rsid w:val="00683018"/>
    <w:rsid w:val="006842E2"/>
    <w:rsid w:val="00684486"/>
    <w:rsid w:val="006855BD"/>
    <w:rsid w:val="006856FF"/>
    <w:rsid w:val="00685A4C"/>
    <w:rsid w:val="00685B52"/>
    <w:rsid w:val="00686263"/>
    <w:rsid w:val="006871DA"/>
    <w:rsid w:val="0068781E"/>
    <w:rsid w:val="00687DBB"/>
    <w:rsid w:val="006902E1"/>
    <w:rsid w:val="00690564"/>
    <w:rsid w:val="0069063C"/>
    <w:rsid w:val="0069072C"/>
    <w:rsid w:val="006907F1"/>
    <w:rsid w:val="00690977"/>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1E9D"/>
    <w:rsid w:val="006A2089"/>
    <w:rsid w:val="006A20A3"/>
    <w:rsid w:val="006A22B8"/>
    <w:rsid w:val="006A24BE"/>
    <w:rsid w:val="006A29D6"/>
    <w:rsid w:val="006A2C78"/>
    <w:rsid w:val="006A324F"/>
    <w:rsid w:val="006A345A"/>
    <w:rsid w:val="006A3588"/>
    <w:rsid w:val="006A421D"/>
    <w:rsid w:val="006A4F0D"/>
    <w:rsid w:val="006A507D"/>
    <w:rsid w:val="006A57A3"/>
    <w:rsid w:val="006A5D7C"/>
    <w:rsid w:val="006A5E58"/>
    <w:rsid w:val="006A5EF5"/>
    <w:rsid w:val="006A6E8D"/>
    <w:rsid w:val="006A7663"/>
    <w:rsid w:val="006A775A"/>
    <w:rsid w:val="006A7A2D"/>
    <w:rsid w:val="006B0318"/>
    <w:rsid w:val="006B036E"/>
    <w:rsid w:val="006B072E"/>
    <w:rsid w:val="006B0BD4"/>
    <w:rsid w:val="006B0E71"/>
    <w:rsid w:val="006B1633"/>
    <w:rsid w:val="006B1C06"/>
    <w:rsid w:val="006B24DE"/>
    <w:rsid w:val="006B2CA0"/>
    <w:rsid w:val="006B38AA"/>
    <w:rsid w:val="006B39C4"/>
    <w:rsid w:val="006B3C8C"/>
    <w:rsid w:val="006B4609"/>
    <w:rsid w:val="006B4C55"/>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B07"/>
    <w:rsid w:val="006C1DC8"/>
    <w:rsid w:val="006C22BB"/>
    <w:rsid w:val="006C233D"/>
    <w:rsid w:val="006C28A2"/>
    <w:rsid w:val="006C3496"/>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92A"/>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64E"/>
    <w:rsid w:val="006E1930"/>
    <w:rsid w:val="006E1C8B"/>
    <w:rsid w:val="006E1CA5"/>
    <w:rsid w:val="006E2D86"/>
    <w:rsid w:val="006E450D"/>
    <w:rsid w:val="006E48AE"/>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DE4"/>
    <w:rsid w:val="006F3FB8"/>
    <w:rsid w:val="006F412F"/>
    <w:rsid w:val="006F4782"/>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610E"/>
    <w:rsid w:val="0070627F"/>
    <w:rsid w:val="007063BB"/>
    <w:rsid w:val="0070702B"/>
    <w:rsid w:val="0070738D"/>
    <w:rsid w:val="00707439"/>
    <w:rsid w:val="00707D18"/>
    <w:rsid w:val="00707D44"/>
    <w:rsid w:val="00710389"/>
    <w:rsid w:val="00710BE1"/>
    <w:rsid w:val="00710BFC"/>
    <w:rsid w:val="00710E3C"/>
    <w:rsid w:val="007110B0"/>
    <w:rsid w:val="007112AD"/>
    <w:rsid w:val="00711524"/>
    <w:rsid w:val="00711C1D"/>
    <w:rsid w:val="00711EFE"/>
    <w:rsid w:val="007124C2"/>
    <w:rsid w:val="00712673"/>
    <w:rsid w:val="00713269"/>
    <w:rsid w:val="007132BB"/>
    <w:rsid w:val="00713E0D"/>
    <w:rsid w:val="00714108"/>
    <w:rsid w:val="00715567"/>
    <w:rsid w:val="00715BBA"/>
    <w:rsid w:val="00716213"/>
    <w:rsid w:val="007165F5"/>
    <w:rsid w:val="00716CAC"/>
    <w:rsid w:val="007170E2"/>
    <w:rsid w:val="007177DA"/>
    <w:rsid w:val="00717857"/>
    <w:rsid w:val="00717A82"/>
    <w:rsid w:val="00717AFA"/>
    <w:rsid w:val="00717C0E"/>
    <w:rsid w:val="0072038B"/>
    <w:rsid w:val="007207EC"/>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1F9"/>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C96"/>
    <w:rsid w:val="00756E5E"/>
    <w:rsid w:val="00756ECB"/>
    <w:rsid w:val="00757478"/>
    <w:rsid w:val="00757BD0"/>
    <w:rsid w:val="00757F11"/>
    <w:rsid w:val="00757F2A"/>
    <w:rsid w:val="007606DE"/>
    <w:rsid w:val="007608F7"/>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091"/>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16CA"/>
    <w:rsid w:val="00781F96"/>
    <w:rsid w:val="00782000"/>
    <w:rsid w:val="007823A0"/>
    <w:rsid w:val="00782588"/>
    <w:rsid w:val="00782807"/>
    <w:rsid w:val="007828FB"/>
    <w:rsid w:val="007829ED"/>
    <w:rsid w:val="00782A51"/>
    <w:rsid w:val="0078305A"/>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59A"/>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4970"/>
    <w:rsid w:val="007A5284"/>
    <w:rsid w:val="007A59CD"/>
    <w:rsid w:val="007A6294"/>
    <w:rsid w:val="007A658E"/>
    <w:rsid w:val="007A6C9C"/>
    <w:rsid w:val="007A6E54"/>
    <w:rsid w:val="007A6FF8"/>
    <w:rsid w:val="007A7201"/>
    <w:rsid w:val="007A7486"/>
    <w:rsid w:val="007A7939"/>
    <w:rsid w:val="007A7B4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3"/>
    <w:rsid w:val="007B680D"/>
    <w:rsid w:val="007B6A08"/>
    <w:rsid w:val="007B6CA8"/>
    <w:rsid w:val="007B79F9"/>
    <w:rsid w:val="007B7E78"/>
    <w:rsid w:val="007C018D"/>
    <w:rsid w:val="007C02D4"/>
    <w:rsid w:val="007C0355"/>
    <w:rsid w:val="007C035D"/>
    <w:rsid w:val="007C04CE"/>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48F"/>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2D2"/>
    <w:rsid w:val="007E03E6"/>
    <w:rsid w:val="007E0438"/>
    <w:rsid w:val="007E047D"/>
    <w:rsid w:val="007E0660"/>
    <w:rsid w:val="007E0AA8"/>
    <w:rsid w:val="007E0ED9"/>
    <w:rsid w:val="007E118D"/>
    <w:rsid w:val="007E16EF"/>
    <w:rsid w:val="007E17BC"/>
    <w:rsid w:val="007E1A7E"/>
    <w:rsid w:val="007E2198"/>
    <w:rsid w:val="007E23B2"/>
    <w:rsid w:val="007E278F"/>
    <w:rsid w:val="007E2DE7"/>
    <w:rsid w:val="007E305B"/>
    <w:rsid w:val="007E30AF"/>
    <w:rsid w:val="007E3787"/>
    <w:rsid w:val="007E37CF"/>
    <w:rsid w:val="007E3C26"/>
    <w:rsid w:val="007E3E1F"/>
    <w:rsid w:val="007E4154"/>
    <w:rsid w:val="007E43CB"/>
    <w:rsid w:val="007E43FE"/>
    <w:rsid w:val="007E4BB2"/>
    <w:rsid w:val="007E4DDC"/>
    <w:rsid w:val="007E5545"/>
    <w:rsid w:val="007E592E"/>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4A1"/>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4FC"/>
    <w:rsid w:val="008047AA"/>
    <w:rsid w:val="00804817"/>
    <w:rsid w:val="0080666C"/>
    <w:rsid w:val="0080699B"/>
    <w:rsid w:val="00806B1D"/>
    <w:rsid w:val="00806B93"/>
    <w:rsid w:val="00806DAA"/>
    <w:rsid w:val="00806EBC"/>
    <w:rsid w:val="008076E1"/>
    <w:rsid w:val="00807766"/>
    <w:rsid w:val="00807E2C"/>
    <w:rsid w:val="00810CDE"/>
    <w:rsid w:val="00810D05"/>
    <w:rsid w:val="00810DB9"/>
    <w:rsid w:val="00810E92"/>
    <w:rsid w:val="008116F7"/>
    <w:rsid w:val="00811869"/>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722"/>
    <w:rsid w:val="008259CC"/>
    <w:rsid w:val="00825A11"/>
    <w:rsid w:val="00825E0A"/>
    <w:rsid w:val="00826011"/>
    <w:rsid w:val="008263B4"/>
    <w:rsid w:val="008265E2"/>
    <w:rsid w:val="00826B8E"/>
    <w:rsid w:val="00827387"/>
    <w:rsid w:val="00827589"/>
    <w:rsid w:val="00827724"/>
    <w:rsid w:val="008278FA"/>
    <w:rsid w:val="00827BF1"/>
    <w:rsid w:val="008305F2"/>
    <w:rsid w:val="0083061E"/>
    <w:rsid w:val="00830A7C"/>
    <w:rsid w:val="0083123C"/>
    <w:rsid w:val="0083147E"/>
    <w:rsid w:val="008317F7"/>
    <w:rsid w:val="008319CD"/>
    <w:rsid w:val="00831AE1"/>
    <w:rsid w:val="00831BBC"/>
    <w:rsid w:val="00831EB6"/>
    <w:rsid w:val="00832365"/>
    <w:rsid w:val="00832ACA"/>
    <w:rsid w:val="00832E64"/>
    <w:rsid w:val="0083325A"/>
    <w:rsid w:val="00833604"/>
    <w:rsid w:val="0083362B"/>
    <w:rsid w:val="00833718"/>
    <w:rsid w:val="0083380D"/>
    <w:rsid w:val="00833962"/>
    <w:rsid w:val="00833F02"/>
    <w:rsid w:val="00833F59"/>
    <w:rsid w:val="00834023"/>
    <w:rsid w:val="00834077"/>
    <w:rsid w:val="008340CB"/>
    <w:rsid w:val="00834617"/>
    <w:rsid w:val="008347C3"/>
    <w:rsid w:val="00834D3A"/>
    <w:rsid w:val="00834F4C"/>
    <w:rsid w:val="00835255"/>
    <w:rsid w:val="00835256"/>
    <w:rsid w:val="0083529F"/>
    <w:rsid w:val="0083572F"/>
    <w:rsid w:val="008357A5"/>
    <w:rsid w:val="00835836"/>
    <w:rsid w:val="008358A0"/>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448"/>
    <w:rsid w:val="0085256B"/>
    <w:rsid w:val="0085261A"/>
    <w:rsid w:val="008527A1"/>
    <w:rsid w:val="00852F2A"/>
    <w:rsid w:val="00853300"/>
    <w:rsid w:val="008535B4"/>
    <w:rsid w:val="008537C1"/>
    <w:rsid w:val="00853871"/>
    <w:rsid w:val="008539EF"/>
    <w:rsid w:val="00853EC1"/>
    <w:rsid w:val="008548D3"/>
    <w:rsid w:val="00854AC7"/>
    <w:rsid w:val="00854F0D"/>
    <w:rsid w:val="00854FBC"/>
    <w:rsid w:val="00855834"/>
    <w:rsid w:val="00855AD4"/>
    <w:rsid w:val="00855DF6"/>
    <w:rsid w:val="008560BF"/>
    <w:rsid w:val="0085638F"/>
    <w:rsid w:val="0085677B"/>
    <w:rsid w:val="008568AC"/>
    <w:rsid w:val="00856E8A"/>
    <w:rsid w:val="00857208"/>
    <w:rsid w:val="00857508"/>
    <w:rsid w:val="008578D3"/>
    <w:rsid w:val="008603C4"/>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4C"/>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C2B"/>
    <w:rsid w:val="00886034"/>
    <w:rsid w:val="00886129"/>
    <w:rsid w:val="0088699E"/>
    <w:rsid w:val="00886A65"/>
    <w:rsid w:val="00886A89"/>
    <w:rsid w:val="0088708E"/>
    <w:rsid w:val="00891124"/>
    <w:rsid w:val="0089125A"/>
    <w:rsid w:val="008914F7"/>
    <w:rsid w:val="00891A6F"/>
    <w:rsid w:val="00891BD4"/>
    <w:rsid w:val="00891C62"/>
    <w:rsid w:val="00891E3E"/>
    <w:rsid w:val="0089216C"/>
    <w:rsid w:val="00892512"/>
    <w:rsid w:val="008925AF"/>
    <w:rsid w:val="0089277E"/>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C27"/>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5F3A"/>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D30"/>
    <w:rsid w:val="008B5D34"/>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5026"/>
    <w:rsid w:val="008C5307"/>
    <w:rsid w:val="008C5786"/>
    <w:rsid w:val="008C5D70"/>
    <w:rsid w:val="008C696A"/>
    <w:rsid w:val="008C6B5F"/>
    <w:rsid w:val="008C6BE4"/>
    <w:rsid w:val="008C6CAD"/>
    <w:rsid w:val="008C6F6C"/>
    <w:rsid w:val="008C753A"/>
    <w:rsid w:val="008D0127"/>
    <w:rsid w:val="008D05CD"/>
    <w:rsid w:val="008D12EC"/>
    <w:rsid w:val="008D1993"/>
    <w:rsid w:val="008D1E06"/>
    <w:rsid w:val="008D2514"/>
    <w:rsid w:val="008D2A86"/>
    <w:rsid w:val="008D2C7F"/>
    <w:rsid w:val="008D300A"/>
    <w:rsid w:val="008D38A2"/>
    <w:rsid w:val="008D3920"/>
    <w:rsid w:val="008D3EA1"/>
    <w:rsid w:val="008D417B"/>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E8"/>
    <w:rsid w:val="008E5AF6"/>
    <w:rsid w:val="008E5E2C"/>
    <w:rsid w:val="008E5F3C"/>
    <w:rsid w:val="008E672B"/>
    <w:rsid w:val="008E68D8"/>
    <w:rsid w:val="008E6A94"/>
    <w:rsid w:val="008E6B11"/>
    <w:rsid w:val="008E7087"/>
    <w:rsid w:val="008E72C5"/>
    <w:rsid w:val="008E7311"/>
    <w:rsid w:val="008E7884"/>
    <w:rsid w:val="008E7BEF"/>
    <w:rsid w:val="008E7C04"/>
    <w:rsid w:val="008F08C6"/>
    <w:rsid w:val="008F119E"/>
    <w:rsid w:val="008F13B1"/>
    <w:rsid w:val="008F1572"/>
    <w:rsid w:val="008F1EDA"/>
    <w:rsid w:val="008F1F5C"/>
    <w:rsid w:val="008F1F87"/>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108"/>
    <w:rsid w:val="00900A89"/>
    <w:rsid w:val="00900FC4"/>
    <w:rsid w:val="0090136C"/>
    <w:rsid w:val="009016A0"/>
    <w:rsid w:val="009016FD"/>
    <w:rsid w:val="0090197C"/>
    <w:rsid w:val="00901B8C"/>
    <w:rsid w:val="00902230"/>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3A5"/>
    <w:rsid w:val="00922676"/>
    <w:rsid w:val="00922736"/>
    <w:rsid w:val="0092279A"/>
    <w:rsid w:val="009229B6"/>
    <w:rsid w:val="00922BEF"/>
    <w:rsid w:val="00922F48"/>
    <w:rsid w:val="00923134"/>
    <w:rsid w:val="00923239"/>
    <w:rsid w:val="00923280"/>
    <w:rsid w:val="0092393F"/>
    <w:rsid w:val="00923A4E"/>
    <w:rsid w:val="00923C58"/>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92B"/>
    <w:rsid w:val="00927BEE"/>
    <w:rsid w:val="00927D10"/>
    <w:rsid w:val="00930697"/>
    <w:rsid w:val="0093099F"/>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0EE6"/>
    <w:rsid w:val="00951BC3"/>
    <w:rsid w:val="009529E2"/>
    <w:rsid w:val="00952C06"/>
    <w:rsid w:val="00952FB6"/>
    <w:rsid w:val="009532B6"/>
    <w:rsid w:val="009538B0"/>
    <w:rsid w:val="00953F2A"/>
    <w:rsid w:val="00953FF8"/>
    <w:rsid w:val="0095403D"/>
    <w:rsid w:val="00954103"/>
    <w:rsid w:val="0095414F"/>
    <w:rsid w:val="0095454C"/>
    <w:rsid w:val="0095456D"/>
    <w:rsid w:val="00954583"/>
    <w:rsid w:val="009546C6"/>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3DBE"/>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3A5"/>
    <w:rsid w:val="00980A43"/>
    <w:rsid w:val="00980F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8C9"/>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94F"/>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559"/>
    <w:rsid w:val="009D1637"/>
    <w:rsid w:val="009D2071"/>
    <w:rsid w:val="009D2096"/>
    <w:rsid w:val="009D21A0"/>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6C4B"/>
    <w:rsid w:val="009D7D61"/>
    <w:rsid w:val="009D7EDA"/>
    <w:rsid w:val="009D7F1E"/>
    <w:rsid w:val="009E0D48"/>
    <w:rsid w:val="009E106A"/>
    <w:rsid w:val="009E150D"/>
    <w:rsid w:val="009E1F0F"/>
    <w:rsid w:val="009E1F57"/>
    <w:rsid w:val="009E1F78"/>
    <w:rsid w:val="009E26F4"/>
    <w:rsid w:val="009E2D81"/>
    <w:rsid w:val="009E2E0E"/>
    <w:rsid w:val="009E3266"/>
    <w:rsid w:val="009E35D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588"/>
    <w:rsid w:val="009F66D6"/>
    <w:rsid w:val="009F6705"/>
    <w:rsid w:val="009F6757"/>
    <w:rsid w:val="009F7679"/>
    <w:rsid w:val="009F78D4"/>
    <w:rsid w:val="009F7C62"/>
    <w:rsid w:val="00A002EC"/>
    <w:rsid w:val="00A004BC"/>
    <w:rsid w:val="00A00633"/>
    <w:rsid w:val="00A00802"/>
    <w:rsid w:val="00A00818"/>
    <w:rsid w:val="00A00B1A"/>
    <w:rsid w:val="00A00DBB"/>
    <w:rsid w:val="00A00E44"/>
    <w:rsid w:val="00A00F42"/>
    <w:rsid w:val="00A00F57"/>
    <w:rsid w:val="00A0157B"/>
    <w:rsid w:val="00A01EB6"/>
    <w:rsid w:val="00A02890"/>
    <w:rsid w:val="00A02999"/>
    <w:rsid w:val="00A029CB"/>
    <w:rsid w:val="00A02A3B"/>
    <w:rsid w:val="00A02AA8"/>
    <w:rsid w:val="00A02EE3"/>
    <w:rsid w:val="00A031DD"/>
    <w:rsid w:val="00A04565"/>
    <w:rsid w:val="00A046AB"/>
    <w:rsid w:val="00A04AB4"/>
    <w:rsid w:val="00A04EA5"/>
    <w:rsid w:val="00A0508B"/>
    <w:rsid w:val="00A053F6"/>
    <w:rsid w:val="00A05646"/>
    <w:rsid w:val="00A05A3E"/>
    <w:rsid w:val="00A05AAC"/>
    <w:rsid w:val="00A06421"/>
    <w:rsid w:val="00A06A38"/>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261"/>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5D8"/>
    <w:rsid w:val="00A5768D"/>
    <w:rsid w:val="00A577CD"/>
    <w:rsid w:val="00A57A45"/>
    <w:rsid w:val="00A57A94"/>
    <w:rsid w:val="00A57BD8"/>
    <w:rsid w:val="00A57E50"/>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E60"/>
    <w:rsid w:val="00A74F08"/>
    <w:rsid w:val="00A751FB"/>
    <w:rsid w:val="00A75805"/>
    <w:rsid w:val="00A75C61"/>
    <w:rsid w:val="00A76022"/>
    <w:rsid w:val="00A76A9C"/>
    <w:rsid w:val="00A76D57"/>
    <w:rsid w:val="00A76F58"/>
    <w:rsid w:val="00A77424"/>
    <w:rsid w:val="00A7750E"/>
    <w:rsid w:val="00A77581"/>
    <w:rsid w:val="00A77970"/>
    <w:rsid w:val="00A8006A"/>
    <w:rsid w:val="00A802E6"/>
    <w:rsid w:val="00A80413"/>
    <w:rsid w:val="00A8096C"/>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336"/>
    <w:rsid w:val="00A85792"/>
    <w:rsid w:val="00A8582E"/>
    <w:rsid w:val="00A85A0A"/>
    <w:rsid w:val="00A86074"/>
    <w:rsid w:val="00A8617D"/>
    <w:rsid w:val="00A861D1"/>
    <w:rsid w:val="00A8636E"/>
    <w:rsid w:val="00A863CB"/>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104"/>
    <w:rsid w:val="00A914CF"/>
    <w:rsid w:val="00A9156C"/>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6E5"/>
    <w:rsid w:val="00A957F6"/>
    <w:rsid w:val="00A95E81"/>
    <w:rsid w:val="00A9634A"/>
    <w:rsid w:val="00A968AF"/>
    <w:rsid w:val="00A968B0"/>
    <w:rsid w:val="00A973C6"/>
    <w:rsid w:val="00A97610"/>
    <w:rsid w:val="00A97D3E"/>
    <w:rsid w:val="00AA0C69"/>
    <w:rsid w:val="00AA0FAA"/>
    <w:rsid w:val="00AA0FB5"/>
    <w:rsid w:val="00AA10BF"/>
    <w:rsid w:val="00AA143C"/>
    <w:rsid w:val="00AA1613"/>
    <w:rsid w:val="00AA1F7F"/>
    <w:rsid w:val="00AA209F"/>
    <w:rsid w:val="00AA2BB4"/>
    <w:rsid w:val="00AA2DFD"/>
    <w:rsid w:val="00AA33BE"/>
    <w:rsid w:val="00AA375C"/>
    <w:rsid w:val="00AA45C2"/>
    <w:rsid w:val="00AA49D4"/>
    <w:rsid w:val="00AA4D18"/>
    <w:rsid w:val="00AA585C"/>
    <w:rsid w:val="00AA5B16"/>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4B2"/>
    <w:rsid w:val="00AB2651"/>
    <w:rsid w:val="00AB288A"/>
    <w:rsid w:val="00AB28A0"/>
    <w:rsid w:val="00AB28E1"/>
    <w:rsid w:val="00AB29B9"/>
    <w:rsid w:val="00AB33DD"/>
    <w:rsid w:val="00AB3953"/>
    <w:rsid w:val="00AB3963"/>
    <w:rsid w:val="00AB3CD3"/>
    <w:rsid w:val="00AB3D06"/>
    <w:rsid w:val="00AB3DFE"/>
    <w:rsid w:val="00AB3EB5"/>
    <w:rsid w:val="00AB4060"/>
    <w:rsid w:val="00AB4649"/>
    <w:rsid w:val="00AB47AC"/>
    <w:rsid w:val="00AB4D4D"/>
    <w:rsid w:val="00AB512C"/>
    <w:rsid w:val="00AB522D"/>
    <w:rsid w:val="00AB5333"/>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4B29"/>
    <w:rsid w:val="00AD4E83"/>
    <w:rsid w:val="00AD5009"/>
    <w:rsid w:val="00AD519D"/>
    <w:rsid w:val="00AD556D"/>
    <w:rsid w:val="00AD5ACF"/>
    <w:rsid w:val="00AD62D6"/>
    <w:rsid w:val="00AD644B"/>
    <w:rsid w:val="00AD6612"/>
    <w:rsid w:val="00AD67BE"/>
    <w:rsid w:val="00AD6D24"/>
    <w:rsid w:val="00AD7104"/>
    <w:rsid w:val="00AD7143"/>
    <w:rsid w:val="00AD77D9"/>
    <w:rsid w:val="00AD7C4E"/>
    <w:rsid w:val="00AD7E8D"/>
    <w:rsid w:val="00AE041E"/>
    <w:rsid w:val="00AE0EBA"/>
    <w:rsid w:val="00AE10EA"/>
    <w:rsid w:val="00AE11F6"/>
    <w:rsid w:val="00AE144A"/>
    <w:rsid w:val="00AE171F"/>
    <w:rsid w:val="00AE1845"/>
    <w:rsid w:val="00AE1C99"/>
    <w:rsid w:val="00AE2480"/>
    <w:rsid w:val="00AE24E6"/>
    <w:rsid w:val="00AE260F"/>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6290"/>
    <w:rsid w:val="00AE6337"/>
    <w:rsid w:val="00AE65B3"/>
    <w:rsid w:val="00AE6766"/>
    <w:rsid w:val="00AE6A45"/>
    <w:rsid w:val="00AE6CC7"/>
    <w:rsid w:val="00AE73A1"/>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949"/>
    <w:rsid w:val="00AF2A5F"/>
    <w:rsid w:val="00AF2A64"/>
    <w:rsid w:val="00AF3C6B"/>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0AB"/>
    <w:rsid w:val="00B00546"/>
    <w:rsid w:val="00B005BA"/>
    <w:rsid w:val="00B0084D"/>
    <w:rsid w:val="00B00A13"/>
    <w:rsid w:val="00B00E25"/>
    <w:rsid w:val="00B01470"/>
    <w:rsid w:val="00B01944"/>
    <w:rsid w:val="00B01977"/>
    <w:rsid w:val="00B01A4B"/>
    <w:rsid w:val="00B01BB7"/>
    <w:rsid w:val="00B01C04"/>
    <w:rsid w:val="00B01CEF"/>
    <w:rsid w:val="00B02440"/>
    <w:rsid w:val="00B03135"/>
    <w:rsid w:val="00B038A4"/>
    <w:rsid w:val="00B03CF9"/>
    <w:rsid w:val="00B043DC"/>
    <w:rsid w:val="00B046A6"/>
    <w:rsid w:val="00B0487F"/>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748"/>
    <w:rsid w:val="00B21B41"/>
    <w:rsid w:val="00B21F3E"/>
    <w:rsid w:val="00B220C3"/>
    <w:rsid w:val="00B2315C"/>
    <w:rsid w:val="00B233AC"/>
    <w:rsid w:val="00B24A87"/>
    <w:rsid w:val="00B24C2F"/>
    <w:rsid w:val="00B25539"/>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5F4"/>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D29"/>
    <w:rsid w:val="00B46E4C"/>
    <w:rsid w:val="00B47169"/>
    <w:rsid w:val="00B473D5"/>
    <w:rsid w:val="00B475AD"/>
    <w:rsid w:val="00B4773E"/>
    <w:rsid w:val="00B477DC"/>
    <w:rsid w:val="00B47A34"/>
    <w:rsid w:val="00B47BC5"/>
    <w:rsid w:val="00B50897"/>
    <w:rsid w:val="00B50B07"/>
    <w:rsid w:val="00B50FE2"/>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57F4B"/>
    <w:rsid w:val="00B602FA"/>
    <w:rsid w:val="00B6068F"/>
    <w:rsid w:val="00B606B4"/>
    <w:rsid w:val="00B60BCE"/>
    <w:rsid w:val="00B60FA5"/>
    <w:rsid w:val="00B61251"/>
    <w:rsid w:val="00B61277"/>
    <w:rsid w:val="00B61B57"/>
    <w:rsid w:val="00B61C2A"/>
    <w:rsid w:val="00B61D21"/>
    <w:rsid w:val="00B61D96"/>
    <w:rsid w:val="00B624B6"/>
    <w:rsid w:val="00B62804"/>
    <w:rsid w:val="00B62945"/>
    <w:rsid w:val="00B62FBA"/>
    <w:rsid w:val="00B63299"/>
    <w:rsid w:val="00B635E4"/>
    <w:rsid w:val="00B63649"/>
    <w:rsid w:val="00B636B2"/>
    <w:rsid w:val="00B63B59"/>
    <w:rsid w:val="00B6403B"/>
    <w:rsid w:val="00B64AD2"/>
    <w:rsid w:val="00B65279"/>
    <w:rsid w:val="00B65A65"/>
    <w:rsid w:val="00B65D25"/>
    <w:rsid w:val="00B65E60"/>
    <w:rsid w:val="00B65FB5"/>
    <w:rsid w:val="00B6691F"/>
    <w:rsid w:val="00B670C5"/>
    <w:rsid w:val="00B674AD"/>
    <w:rsid w:val="00B679F8"/>
    <w:rsid w:val="00B67CD6"/>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D77"/>
    <w:rsid w:val="00B73E4B"/>
    <w:rsid w:val="00B749F3"/>
    <w:rsid w:val="00B74CAC"/>
    <w:rsid w:val="00B75107"/>
    <w:rsid w:val="00B75433"/>
    <w:rsid w:val="00B75F43"/>
    <w:rsid w:val="00B75F61"/>
    <w:rsid w:val="00B76326"/>
    <w:rsid w:val="00B76373"/>
    <w:rsid w:val="00B764D5"/>
    <w:rsid w:val="00B76671"/>
    <w:rsid w:val="00B76C78"/>
    <w:rsid w:val="00B76CA6"/>
    <w:rsid w:val="00B77325"/>
    <w:rsid w:val="00B775CA"/>
    <w:rsid w:val="00B775DF"/>
    <w:rsid w:val="00B77690"/>
    <w:rsid w:val="00B77793"/>
    <w:rsid w:val="00B7795E"/>
    <w:rsid w:val="00B77BE6"/>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589"/>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0DE"/>
    <w:rsid w:val="00BA2713"/>
    <w:rsid w:val="00BA2D95"/>
    <w:rsid w:val="00BA31BE"/>
    <w:rsid w:val="00BA34F9"/>
    <w:rsid w:val="00BA3797"/>
    <w:rsid w:val="00BA386C"/>
    <w:rsid w:val="00BA39A3"/>
    <w:rsid w:val="00BA4FC0"/>
    <w:rsid w:val="00BA5057"/>
    <w:rsid w:val="00BA51F6"/>
    <w:rsid w:val="00BA54F1"/>
    <w:rsid w:val="00BA5514"/>
    <w:rsid w:val="00BA55DC"/>
    <w:rsid w:val="00BA584C"/>
    <w:rsid w:val="00BA5EBC"/>
    <w:rsid w:val="00BA65C0"/>
    <w:rsid w:val="00BA6C9A"/>
    <w:rsid w:val="00BA6D35"/>
    <w:rsid w:val="00BA6DE5"/>
    <w:rsid w:val="00BA7230"/>
    <w:rsid w:val="00BB02DD"/>
    <w:rsid w:val="00BB081A"/>
    <w:rsid w:val="00BB0AC9"/>
    <w:rsid w:val="00BB0C4A"/>
    <w:rsid w:val="00BB0E03"/>
    <w:rsid w:val="00BB1B1E"/>
    <w:rsid w:val="00BB1F98"/>
    <w:rsid w:val="00BB2E72"/>
    <w:rsid w:val="00BB4185"/>
    <w:rsid w:val="00BB47D8"/>
    <w:rsid w:val="00BB4881"/>
    <w:rsid w:val="00BB4984"/>
    <w:rsid w:val="00BB4999"/>
    <w:rsid w:val="00BB4D07"/>
    <w:rsid w:val="00BB50E4"/>
    <w:rsid w:val="00BB5326"/>
    <w:rsid w:val="00BB5661"/>
    <w:rsid w:val="00BB5785"/>
    <w:rsid w:val="00BB5AD0"/>
    <w:rsid w:val="00BB5BCE"/>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D2E"/>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3DEE"/>
    <w:rsid w:val="00BD4320"/>
    <w:rsid w:val="00BD4382"/>
    <w:rsid w:val="00BD479E"/>
    <w:rsid w:val="00BD4D21"/>
    <w:rsid w:val="00BD4F61"/>
    <w:rsid w:val="00BD5042"/>
    <w:rsid w:val="00BD54F8"/>
    <w:rsid w:val="00BD5CC0"/>
    <w:rsid w:val="00BD5E22"/>
    <w:rsid w:val="00BD6227"/>
    <w:rsid w:val="00BD6A71"/>
    <w:rsid w:val="00BD6BD0"/>
    <w:rsid w:val="00BD6ED6"/>
    <w:rsid w:val="00BD72D8"/>
    <w:rsid w:val="00BD7779"/>
    <w:rsid w:val="00BE05ED"/>
    <w:rsid w:val="00BE0760"/>
    <w:rsid w:val="00BE0BDA"/>
    <w:rsid w:val="00BE0C8A"/>
    <w:rsid w:val="00BE1202"/>
    <w:rsid w:val="00BE146B"/>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217"/>
    <w:rsid w:val="00BF0984"/>
    <w:rsid w:val="00BF0C8E"/>
    <w:rsid w:val="00BF0F6A"/>
    <w:rsid w:val="00BF143B"/>
    <w:rsid w:val="00BF19E9"/>
    <w:rsid w:val="00BF1ECB"/>
    <w:rsid w:val="00BF200F"/>
    <w:rsid w:val="00BF21DD"/>
    <w:rsid w:val="00BF229A"/>
    <w:rsid w:val="00BF2ADA"/>
    <w:rsid w:val="00BF3221"/>
    <w:rsid w:val="00BF3CA2"/>
    <w:rsid w:val="00BF4BA9"/>
    <w:rsid w:val="00BF4DF7"/>
    <w:rsid w:val="00BF4F06"/>
    <w:rsid w:val="00BF5203"/>
    <w:rsid w:val="00BF570D"/>
    <w:rsid w:val="00BF5922"/>
    <w:rsid w:val="00BF5B93"/>
    <w:rsid w:val="00BF5BC0"/>
    <w:rsid w:val="00BF5E1F"/>
    <w:rsid w:val="00BF660A"/>
    <w:rsid w:val="00BF667B"/>
    <w:rsid w:val="00BF6E30"/>
    <w:rsid w:val="00BF6F6A"/>
    <w:rsid w:val="00BF7231"/>
    <w:rsid w:val="00BF7414"/>
    <w:rsid w:val="00BF7434"/>
    <w:rsid w:val="00BF758A"/>
    <w:rsid w:val="00BF7706"/>
    <w:rsid w:val="00BF7881"/>
    <w:rsid w:val="00BF7D6D"/>
    <w:rsid w:val="00BF7E41"/>
    <w:rsid w:val="00C00075"/>
    <w:rsid w:val="00C0042E"/>
    <w:rsid w:val="00C0085D"/>
    <w:rsid w:val="00C00B39"/>
    <w:rsid w:val="00C01054"/>
    <w:rsid w:val="00C01418"/>
    <w:rsid w:val="00C0148E"/>
    <w:rsid w:val="00C014EB"/>
    <w:rsid w:val="00C01BF7"/>
    <w:rsid w:val="00C01EF3"/>
    <w:rsid w:val="00C022E2"/>
    <w:rsid w:val="00C02581"/>
    <w:rsid w:val="00C02858"/>
    <w:rsid w:val="00C03005"/>
    <w:rsid w:val="00C033C5"/>
    <w:rsid w:val="00C0356B"/>
    <w:rsid w:val="00C03649"/>
    <w:rsid w:val="00C039D9"/>
    <w:rsid w:val="00C03BCE"/>
    <w:rsid w:val="00C0455D"/>
    <w:rsid w:val="00C04A59"/>
    <w:rsid w:val="00C04CFE"/>
    <w:rsid w:val="00C053C7"/>
    <w:rsid w:val="00C05BAA"/>
    <w:rsid w:val="00C06663"/>
    <w:rsid w:val="00C067B5"/>
    <w:rsid w:val="00C0681A"/>
    <w:rsid w:val="00C074BA"/>
    <w:rsid w:val="00C10197"/>
    <w:rsid w:val="00C106D4"/>
    <w:rsid w:val="00C1080E"/>
    <w:rsid w:val="00C10813"/>
    <w:rsid w:val="00C10889"/>
    <w:rsid w:val="00C10A7E"/>
    <w:rsid w:val="00C10C9C"/>
    <w:rsid w:val="00C1129B"/>
    <w:rsid w:val="00C11459"/>
    <w:rsid w:val="00C1146F"/>
    <w:rsid w:val="00C11AE1"/>
    <w:rsid w:val="00C11D5B"/>
    <w:rsid w:val="00C123C7"/>
    <w:rsid w:val="00C125FA"/>
    <w:rsid w:val="00C129BA"/>
    <w:rsid w:val="00C12D27"/>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58D"/>
    <w:rsid w:val="00C17A28"/>
    <w:rsid w:val="00C17CCC"/>
    <w:rsid w:val="00C20038"/>
    <w:rsid w:val="00C200A4"/>
    <w:rsid w:val="00C201B3"/>
    <w:rsid w:val="00C201FE"/>
    <w:rsid w:val="00C21436"/>
    <w:rsid w:val="00C218F1"/>
    <w:rsid w:val="00C21DF4"/>
    <w:rsid w:val="00C22008"/>
    <w:rsid w:val="00C22060"/>
    <w:rsid w:val="00C220FC"/>
    <w:rsid w:val="00C2253B"/>
    <w:rsid w:val="00C2284A"/>
    <w:rsid w:val="00C23564"/>
    <w:rsid w:val="00C23917"/>
    <w:rsid w:val="00C24171"/>
    <w:rsid w:val="00C24753"/>
    <w:rsid w:val="00C248C5"/>
    <w:rsid w:val="00C24CA4"/>
    <w:rsid w:val="00C24F2E"/>
    <w:rsid w:val="00C250D7"/>
    <w:rsid w:val="00C25355"/>
    <w:rsid w:val="00C25CD3"/>
    <w:rsid w:val="00C263A8"/>
    <w:rsid w:val="00C26A01"/>
    <w:rsid w:val="00C26B3A"/>
    <w:rsid w:val="00C2780D"/>
    <w:rsid w:val="00C27BB0"/>
    <w:rsid w:val="00C27C06"/>
    <w:rsid w:val="00C27D8D"/>
    <w:rsid w:val="00C27E77"/>
    <w:rsid w:val="00C30970"/>
    <w:rsid w:val="00C30A12"/>
    <w:rsid w:val="00C30F65"/>
    <w:rsid w:val="00C311BA"/>
    <w:rsid w:val="00C3126A"/>
    <w:rsid w:val="00C31E39"/>
    <w:rsid w:val="00C32AB3"/>
    <w:rsid w:val="00C32C7A"/>
    <w:rsid w:val="00C32CFE"/>
    <w:rsid w:val="00C32E19"/>
    <w:rsid w:val="00C33052"/>
    <w:rsid w:val="00C3324E"/>
    <w:rsid w:val="00C33AC9"/>
    <w:rsid w:val="00C348B7"/>
    <w:rsid w:val="00C34A38"/>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3769"/>
    <w:rsid w:val="00C43847"/>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89F"/>
    <w:rsid w:val="00C50DBA"/>
    <w:rsid w:val="00C512C6"/>
    <w:rsid w:val="00C51A87"/>
    <w:rsid w:val="00C51C4A"/>
    <w:rsid w:val="00C52327"/>
    <w:rsid w:val="00C52BAD"/>
    <w:rsid w:val="00C537A9"/>
    <w:rsid w:val="00C53A5D"/>
    <w:rsid w:val="00C53E3D"/>
    <w:rsid w:val="00C54351"/>
    <w:rsid w:val="00C5439B"/>
    <w:rsid w:val="00C545A1"/>
    <w:rsid w:val="00C54731"/>
    <w:rsid w:val="00C549B5"/>
    <w:rsid w:val="00C54FB0"/>
    <w:rsid w:val="00C55561"/>
    <w:rsid w:val="00C55D77"/>
    <w:rsid w:val="00C55E59"/>
    <w:rsid w:val="00C56030"/>
    <w:rsid w:val="00C560D5"/>
    <w:rsid w:val="00C56351"/>
    <w:rsid w:val="00C563E1"/>
    <w:rsid w:val="00C5657F"/>
    <w:rsid w:val="00C56889"/>
    <w:rsid w:val="00C56EE4"/>
    <w:rsid w:val="00C60062"/>
    <w:rsid w:val="00C603E7"/>
    <w:rsid w:val="00C60BD9"/>
    <w:rsid w:val="00C61040"/>
    <w:rsid w:val="00C6139C"/>
    <w:rsid w:val="00C6196F"/>
    <w:rsid w:val="00C619FA"/>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BF1"/>
    <w:rsid w:val="00C66CF6"/>
    <w:rsid w:val="00C678FF"/>
    <w:rsid w:val="00C67D75"/>
    <w:rsid w:val="00C705F4"/>
    <w:rsid w:val="00C70C24"/>
    <w:rsid w:val="00C70C5B"/>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B51"/>
    <w:rsid w:val="00C76C64"/>
    <w:rsid w:val="00C779F3"/>
    <w:rsid w:val="00C77F4C"/>
    <w:rsid w:val="00C80118"/>
    <w:rsid w:val="00C8069C"/>
    <w:rsid w:val="00C80E83"/>
    <w:rsid w:val="00C8116E"/>
    <w:rsid w:val="00C81170"/>
    <w:rsid w:val="00C8177A"/>
    <w:rsid w:val="00C81843"/>
    <w:rsid w:val="00C8186B"/>
    <w:rsid w:val="00C81B4E"/>
    <w:rsid w:val="00C81E6F"/>
    <w:rsid w:val="00C82082"/>
    <w:rsid w:val="00C822BA"/>
    <w:rsid w:val="00C828BA"/>
    <w:rsid w:val="00C82EC2"/>
    <w:rsid w:val="00C82F20"/>
    <w:rsid w:val="00C83190"/>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8F6"/>
    <w:rsid w:val="00C92903"/>
    <w:rsid w:val="00C92B2F"/>
    <w:rsid w:val="00C92F33"/>
    <w:rsid w:val="00C92FDC"/>
    <w:rsid w:val="00C93EF5"/>
    <w:rsid w:val="00C941CF"/>
    <w:rsid w:val="00C942BF"/>
    <w:rsid w:val="00C943CE"/>
    <w:rsid w:val="00C947E5"/>
    <w:rsid w:val="00C94CA0"/>
    <w:rsid w:val="00C94D0F"/>
    <w:rsid w:val="00C94E34"/>
    <w:rsid w:val="00C9560F"/>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126"/>
    <w:rsid w:val="00CA4357"/>
    <w:rsid w:val="00CA4785"/>
    <w:rsid w:val="00CA4BAC"/>
    <w:rsid w:val="00CA4D6E"/>
    <w:rsid w:val="00CA5846"/>
    <w:rsid w:val="00CA5B4A"/>
    <w:rsid w:val="00CA5EE0"/>
    <w:rsid w:val="00CA5F24"/>
    <w:rsid w:val="00CA60F0"/>
    <w:rsid w:val="00CA6318"/>
    <w:rsid w:val="00CA64E0"/>
    <w:rsid w:val="00CA6C44"/>
    <w:rsid w:val="00CA6EED"/>
    <w:rsid w:val="00CA6F21"/>
    <w:rsid w:val="00CA6F92"/>
    <w:rsid w:val="00CA7645"/>
    <w:rsid w:val="00CA7BB3"/>
    <w:rsid w:val="00CB03FA"/>
    <w:rsid w:val="00CB1F46"/>
    <w:rsid w:val="00CB1FA4"/>
    <w:rsid w:val="00CB23AE"/>
    <w:rsid w:val="00CB2AA5"/>
    <w:rsid w:val="00CB2E7A"/>
    <w:rsid w:val="00CB36D9"/>
    <w:rsid w:val="00CB3E5D"/>
    <w:rsid w:val="00CB43A9"/>
    <w:rsid w:val="00CB45F3"/>
    <w:rsid w:val="00CB4C0F"/>
    <w:rsid w:val="00CB5E7B"/>
    <w:rsid w:val="00CB5F0D"/>
    <w:rsid w:val="00CB62BB"/>
    <w:rsid w:val="00CB644C"/>
    <w:rsid w:val="00CB67BF"/>
    <w:rsid w:val="00CB71FF"/>
    <w:rsid w:val="00CB7226"/>
    <w:rsid w:val="00CB730A"/>
    <w:rsid w:val="00CB77C0"/>
    <w:rsid w:val="00CB79CD"/>
    <w:rsid w:val="00CB7AC3"/>
    <w:rsid w:val="00CB7DFB"/>
    <w:rsid w:val="00CC04D8"/>
    <w:rsid w:val="00CC104A"/>
    <w:rsid w:val="00CC1053"/>
    <w:rsid w:val="00CC10A9"/>
    <w:rsid w:val="00CC10D3"/>
    <w:rsid w:val="00CC1131"/>
    <w:rsid w:val="00CC1667"/>
    <w:rsid w:val="00CC17AC"/>
    <w:rsid w:val="00CC1A0B"/>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C7DCB"/>
    <w:rsid w:val="00CD0008"/>
    <w:rsid w:val="00CD00F0"/>
    <w:rsid w:val="00CD07D8"/>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56D"/>
    <w:rsid w:val="00CD373E"/>
    <w:rsid w:val="00CD37F7"/>
    <w:rsid w:val="00CD3A4A"/>
    <w:rsid w:val="00CD4B49"/>
    <w:rsid w:val="00CD52B3"/>
    <w:rsid w:val="00CD5B6A"/>
    <w:rsid w:val="00CD6976"/>
    <w:rsid w:val="00CD6A1B"/>
    <w:rsid w:val="00CD6E51"/>
    <w:rsid w:val="00CD73CB"/>
    <w:rsid w:val="00CD7E65"/>
    <w:rsid w:val="00CE001C"/>
    <w:rsid w:val="00CE0130"/>
    <w:rsid w:val="00CE0563"/>
    <w:rsid w:val="00CE0B1C"/>
    <w:rsid w:val="00CE15E4"/>
    <w:rsid w:val="00CE17A0"/>
    <w:rsid w:val="00CE180F"/>
    <w:rsid w:val="00CE2155"/>
    <w:rsid w:val="00CE2387"/>
    <w:rsid w:val="00CE24DB"/>
    <w:rsid w:val="00CE25E6"/>
    <w:rsid w:val="00CE2915"/>
    <w:rsid w:val="00CE2D24"/>
    <w:rsid w:val="00CE37DA"/>
    <w:rsid w:val="00CE3859"/>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C75"/>
    <w:rsid w:val="00CF6DD9"/>
    <w:rsid w:val="00CF6E96"/>
    <w:rsid w:val="00CF71D4"/>
    <w:rsid w:val="00CF7351"/>
    <w:rsid w:val="00CF7482"/>
    <w:rsid w:val="00CF76EB"/>
    <w:rsid w:val="00CF7A01"/>
    <w:rsid w:val="00CF7FEB"/>
    <w:rsid w:val="00D00478"/>
    <w:rsid w:val="00D0081B"/>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6F"/>
    <w:rsid w:val="00D067E4"/>
    <w:rsid w:val="00D0698D"/>
    <w:rsid w:val="00D07464"/>
    <w:rsid w:val="00D07925"/>
    <w:rsid w:val="00D07F0B"/>
    <w:rsid w:val="00D10018"/>
    <w:rsid w:val="00D100F4"/>
    <w:rsid w:val="00D10AC4"/>
    <w:rsid w:val="00D10BA4"/>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0B03"/>
    <w:rsid w:val="00D21E3A"/>
    <w:rsid w:val="00D22484"/>
    <w:rsid w:val="00D225AF"/>
    <w:rsid w:val="00D227E6"/>
    <w:rsid w:val="00D229A0"/>
    <w:rsid w:val="00D22DB1"/>
    <w:rsid w:val="00D22EEC"/>
    <w:rsid w:val="00D236A8"/>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06D"/>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3D38"/>
    <w:rsid w:val="00D34112"/>
    <w:rsid w:val="00D34254"/>
    <w:rsid w:val="00D34293"/>
    <w:rsid w:val="00D347E7"/>
    <w:rsid w:val="00D34C36"/>
    <w:rsid w:val="00D3513E"/>
    <w:rsid w:val="00D35685"/>
    <w:rsid w:val="00D35720"/>
    <w:rsid w:val="00D35A20"/>
    <w:rsid w:val="00D3645A"/>
    <w:rsid w:val="00D36538"/>
    <w:rsid w:val="00D3666A"/>
    <w:rsid w:val="00D36CDF"/>
    <w:rsid w:val="00D379EC"/>
    <w:rsid w:val="00D37BEF"/>
    <w:rsid w:val="00D37F10"/>
    <w:rsid w:val="00D37FD9"/>
    <w:rsid w:val="00D402DE"/>
    <w:rsid w:val="00D404AF"/>
    <w:rsid w:val="00D406CC"/>
    <w:rsid w:val="00D40A1C"/>
    <w:rsid w:val="00D40F22"/>
    <w:rsid w:val="00D40F7F"/>
    <w:rsid w:val="00D4118A"/>
    <w:rsid w:val="00D41234"/>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097"/>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D28"/>
    <w:rsid w:val="00D62EE8"/>
    <w:rsid w:val="00D64523"/>
    <w:rsid w:val="00D64A33"/>
    <w:rsid w:val="00D64EA5"/>
    <w:rsid w:val="00D65159"/>
    <w:rsid w:val="00D653A6"/>
    <w:rsid w:val="00D65C50"/>
    <w:rsid w:val="00D6614C"/>
    <w:rsid w:val="00D66186"/>
    <w:rsid w:val="00D66493"/>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590"/>
    <w:rsid w:val="00D72689"/>
    <w:rsid w:val="00D728D2"/>
    <w:rsid w:val="00D72D78"/>
    <w:rsid w:val="00D72F3A"/>
    <w:rsid w:val="00D7321E"/>
    <w:rsid w:val="00D7332A"/>
    <w:rsid w:val="00D73B39"/>
    <w:rsid w:val="00D73F68"/>
    <w:rsid w:val="00D742BA"/>
    <w:rsid w:val="00D74BC9"/>
    <w:rsid w:val="00D74DB1"/>
    <w:rsid w:val="00D74ED9"/>
    <w:rsid w:val="00D7500A"/>
    <w:rsid w:val="00D75529"/>
    <w:rsid w:val="00D7553B"/>
    <w:rsid w:val="00D757CC"/>
    <w:rsid w:val="00D75810"/>
    <w:rsid w:val="00D75CB3"/>
    <w:rsid w:val="00D76003"/>
    <w:rsid w:val="00D76F1B"/>
    <w:rsid w:val="00D7723F"/>
    <w:rsid w:val="00D77377"/>
    <w:rsid w:val="00D77BB9"/>
    <w:rsid w:val="00D77E9B"/>
    <w:rsid w:val="00D80323"/>
    <w:rsid w:val="00D816D8"/>
    <w:rsid w:val="00D81865"/>
    <w:rsid w:val="00D818A0"/>
    <w:rsid w:val="00D81F0F"/>
    <w:rsid w:val="00D8235F"/>
    <w:rsid w:val="00D8277A"/>
    <w:rsid w:val="00D82B90"/>
    <w:rsid w:val="00D82F97"/>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1FAD"/>
    <w:rsid w:val="00D92349"/>
    <w:rsid w:val="00D92A7B"/>
    <w:rsid w:val="00D93004"/>
    <w:rsid w:val="00D934B6"/>
    <w:rsid w:val="00D93502"/>
    <w:rsid w:val="00D93A1C"/>
    <w:rsid w:val="00D93A81"/>
    <w:rsid w:val="00D93C46"/>
    <w:rsid w:val="00D94D7E"/>
    <w:rsid w:val="00D94DAD"/>
    <w:rsid w:val="00D95084"/>
    <w:rsid w:val="00D950B4"/>
    <w:rsid w:val="00D95447"/>
    <w:rsid w:val="00D95655"/>
    <w:rsid w:val="00D956EC"/>
    <w:rsid w:val="00D957E7"/>
    <w:rsid w:val="00D95B64"/>
    <w:rsid w:val="00D95F3A"/>
    <w:rsid w:val="00D95FAE"/>
    <w:rsid w:val="00D962C0"/>
    <w:rsid w:val="00D96328"/>
    <w:rsid w:val="00D9665D"/>
    <w:rsid w:val="00D967FB"/>
    <w:rsid w:val="00D96A88"/>
    <w:rsid w:val="00D96AB8"/>
    <w:rsid w:val="00D97916"/>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0FF"/>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701"/>
    <w:rsid w:val="00DB6D03"/>
    <w:rsid w:val="00DB6FA6"/>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5E7"/>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9"/>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D7B23"/>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275"/>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D20"/>
    <w:rsid w:val="00DF5DE8"/>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913"/>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502"/>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BCD"/>
    <w:rsid w:val="00E23FF1"/>
    <w:rsid w:val="00E240B0"/>
    <w:rsid w:val="00E2424E"/>
    <w:rsid w:val="00E2434D"/>
    <w:rsid w:val="00E2447F"/>
    <w:rsid w:val="00E249B3"/>
    <w:rsid w:val="00E24E7F"/>
    <w:rsid w:val="00E250F2"/>
    <w:rsid w:val="00E2513D"/>
    <w:rsid w:val="00E25E92"/>
    <w:rsid w:val="00E264A2"/>
    <w:rsid w:val="00E265DA"/>
    <w:rsid w:val="00E274AC"/>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1DC4"/>
    <w:rsid w:val="00E421A8"/>
    <w:rsid w:val="00E422C9"/>
    <w:rsid w:val="00E42641"/>
    <w:rsid w:val="00E4272C"/>
    <w:rsid w:val="00E42AAA"/>
    <w:rsid w:val="00E42E70"/>
    <w:rsid w:val="00E4313B"/>
    <w:rsid w:val="00E432A0"/>
    <w:rsid w:val="00E43A6C"/>
    <w:rsid w:val="00E43CE8"/>
    <w:rsid w:val="00E44650"/>
    <w:rsid w:val="00E45374"/>
    <w:rsid w:val="00E45A6F"/>
    <w:rsid w:val="00E46B76"/>
    <w:rsid w:val="00E46D43"/>
    <w:rsid w:val="00E471EF"/>
    <w:rsid w:val="00E47547"/>
    <w:rsid w:val="00E475ED"/>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AD4"/>
    <w:rsid w:val="00E65E25"/>
    <w:rsid w:val="00E66488"/>
    <w:rsid w:val="00E66A84"/>
    <w:rsid w:val="00E66CF0"/>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523"/>
    <w:rsid w:val="00E84644"/>
    <w:rsid w:val="00E84748"/>
    <w:rsid w:val="00E84867"/>
    <w:rsid w:val="00E8488C"/>
    <w:rsid w:val="00E84900"/>
    <w:rsid w:val="00E84B63"/>
    <w:rsid w:val="00E85018"/>
    <w:rsid w:val="00E8510D"/>
    <w:rsid w:val="00E85152"/>
    <w:rsid w:val="00E8545E"/>
    <w:rsid w:val="00E856DB"/>
    <w:rsid w:val="00E85964"/>
    <w:rsid w:val="00E85D23"/>
    <w:rsid w:val="00E85DAA"/>
    <w:rsid w:val="00E85F0D"/>
    <w:rsid w:val="00E8633C"/>
    <w:rsid w:val="00E865F9"/>
    <w:rsid w:val="00E86ABF"/>
    <w:rsid w:val="00E86ED2"/>
    <w:rsid w:val="00E8714B"/>
    <w:rsid w:val="00E87BF0"/>
    <w:rsid w:val="00E87F28"/>
    <w:rsid w:val="00E90074"/>
    <w:rsid w:val="00E900A4"/>
    <w:rsid w:val="00E908B2"/>
    <w:rsid w:val="00E90D4F"/>
    <w:rsid w:val="00E91470"/>
    <w:rsid w:val="00E91C20"/>
    <w:rsid w:val="00E9260E"/>
    <w:rsid w:val="00E92ADD"/>
    <w:rsid w:val="00E92BA4"/>
    <w:rsid w:val="00E93649"/>
    <w:rsid w:val="00E940F7"/>
    <w:rsid w:val="00E9447C"/>
    <w:rsid w:val="00E945A6"/>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6E3"/>
    <w:rsid w:val="00EA0847"/>
    <w:rsid w:val="00EA0B3E"/>
    <w:rsid w:val="00EA0D2E"/>
    <w:rsid w:val="00EA0EB9"/>
    <w:rsid w:val="00EA1007"/>
    <w:rsid w:val="00EA12F6"/>
    <w:rsid w:val="00EA1E57"/>
    <w:rsid w:val="00EA24E0"/>
    <w:rsid w:val="00EA28DB"/>
    <w:rsid w:val="00EA2B40"/>
    <w:rsid w:val="00EA3050"/>
    <w:rsid w:val="00EA328A"/>
    <w:rsid w:val="00EA3E42"/>
    <w:rsid w:val="00EA3F11"/>
    <w:rsid w:val="00EA4040"/>
    <w:rsid w:val="00EA4328"/>
    <w:rsid w:val="00EA4826"/>
    <w:rsid w:val="00EA510B"/>
    <w:rsid w:val="00EA51CE"/>
    <w:rsid w:val="00EA5255"/>
    <w:rsid w:val="00EA542C"/>
    <w:rsid w:val="00EA54A1"/>
    <w:rsid w:val="00EA54EE"/>
    <w:rsid w:val="00EA5949"/>
    <w:rsid w:val="00EA5952"/>
    <w:rsid w:val="00EA5A78"/>
    <w:rsid w:val="00EA5AFC"/>
    <w:rsid w:val="00EA5CD0"/>
    <w:rsid w:val="00EA5D5E"/>
    <w:rsid w:val="00EA5DB9"/>
    <w:rsid w:val="00EA5ED6"/>
    <w:rsid w:val="00EA69D1"/>
    <w:rsid w:val="00EB0264"/>
    <w:rsid w:val="00EB02D9"/>
    <w:rsid w:val="00EB093F"/>
    <w:rsid w:val="00EB0B4D"/>
    <w:rsid w:val="00EB11EE"/>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8AA"/>
    <w:rsid w:val="00EB4A22"/>
    <w:rsid w:val="00EB5278"/>
    <w:rsid w:val="00EB5646"/>
    <w:rsid w:val="00EB5A26"/>
    <w:rsid w:val="00EB5A81"/>
    <w:rsid w:val="00EB5E7E"/>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1F0D"/>
    <w:rsid w:val="00EC25BB"/>
    <w:rsid w:val="00EC27BD"/>
    <w:rsid w:val="00EC2B59"/>
    <w:rsid w:val="00EC2E92"/>
    <w:rsid w:val="00EC37E4"/>
    <w:rsid w:val="00EC3CD5"/>
    <w:rsid w:val="00EC3EE5"/>
    <w:rsid w:val="00EC4A90"/>
    <w:rsid w:val="00EC5442"/>
    <w:rsid w:val="00EC563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66A"/>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68A"/>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2C"/>
    <w:rsid w:val="00EE7ECC"/>
    <w:rsid w:val="00EF0183"/>
    <w:rsid w:val="00EF0257"/>
    <w:rsid w:val="00EF0740"/>
    <w:rsid w:val="00EF0A7A"/>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6D8"/>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297"/>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FF"/>
    <w:rsid w:val="00F5403C"/>
    <w:rsid w:val="00F54417"/>
    <w:rsid w:val="00F54553"/>
    <w:rsid w:val="00F546B3"/>
    <w:rsid w:val="00F5506D"/>
    <w:rsid w:val="00F56883"/>
    <w:rsid w:val="00F56A4A"/>
    <w:rsid w:val="00F56C72"/>
    <w:rsid w:val="00F56D5B"/>
    <w:rsid w:val="00F56E22"/>
    <w:rsid w:val="00F57240"/>
    <w:rsid w:val="00F573C8"/>
    <w:rsid w:val="00F574C0"/>
    <w:rsid w:val="00F574DE"/>
    <w:rsid w:val="00F578D8"/>
    <w:rsid w:val="00F578F6"/>
    <w:rsid w:val="00F57AE9"/>
    <w:rsid w:val="00F57D0E"/>
    <w:rsid w:val="00F57E0A"/>
    <w:rsid w:val="00F60140"/>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4F34"/>
    <w:rsid w:val="00F65249"/>
    <w:rsid w:val="00F655AE"/>
    <w:rsid w:val="00F658A9"/>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838"/>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C8"/>
    <w:rsid w:val="00F823FF"/>
    <w:rsid w:val="00F82431"/>
    <w:rsid w:val="00F82593"/>
    <w:rsid w:val="00F82796"/>
    <w:rsid w:val="00F8295A"/>
    <w:rsid w:val="00F83015"/>
    <w:rsid w:val="00F83229"/>
    <w:rsid w:val="00F8406B"/>
    <w:rsid w:val="00F84680"/>
    <w:rsid w:val="00F8470F"/>
    <w:rsid w:val="00F849AE"/>
    <w:rsid w:val="00F8527F"/>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739"/>
    <w:rsid w:val="00F95C92"/>
    <w:rsid w:val="00F95E57"/>
    <w:rsid w:val="00F9628F"/>
    <w:rsid w:val="00F9629A"/>
    <w:rsid w:val="00F966E9"/>
    <w:rsid w:val="00F96CD0"/>
    <w:rsid w:val="00F9723F"/>
    <w:rsid w:val="00F97521"/>
    <w:rsid w:val="00F9761C"/>
    <w:rsid w:val="00F97832"/>
    <w:rsid w:val="00FA02D9"/>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491B"/>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A7F1F"/>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17"/>
    <w:rsid w:val="00FC257F"/>
    <w:rsid w:val="00FC27FB"/>
    <w:rsid w:val="00FC2A24"/>
    <w:rsid w:val="00FC36AF"/>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338"/>
    <w:rsid w:val="00FD0561"/>
    <w:rsid w:val="00FD07E1"/>
    <w:rsid w:val="00FD093B"/>
    <w:rsid w:val="00FD0C65"/>
    <w:rsid w:val="00FD0FFB"/>
    <w:rsid w:val="00FD1218"/>
    <w:rsid w:val="00FD1662"/>
    <w:rsid w:val="00FD1717"/>
    <w:rsid w:val="00FD19C1"/>
    <w:rsid w:val="00FD2686"/>
    <w:rsid w:val="00FD28C6"/>
    <w:rsid w:val="00FD2950"/>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1B6"/>
    <w:rsid w:val="00FD6ED4"/>
    <w:rsid w:val="00FD72F8"/>
    <w:rsid w:val="00FD7300"/>
    <w:rsid w:val="00FD7416"/>
    <w:rsid w:val="00FD7559"/>
    <w:rsid w:val="00FD77E8"/>
    <w:rsid w:val="00FD7928"/>
    <w:rsid w:val="00FE02AE"/>
    <w:rsid w:val="00FE0A93"/>
    <w:rsid w:val="00FE168F"/>
    <w:rsid w:val="00FE1D68"/>
    <w:rsid w:val="00FE1F02"/>
    <w:rsid w:val="00FE1F93"/>
    <w:rsid w:val="00FE2369"/>
    <w:rsid w:val="00FE24D4"/>
    <w:rsid w:val="00FE2908"/>
    <w:rsid w:val="00FE2BCA"/>
    <w:rsid w:val="00FE2DA3"/>
    <w:rsid w:val="00FE3500"/>
    <w:rsid w:val="00FE3767"/>
    <w:rsid w:val="00FE3769"/>
    <w:rsid w:val="00FE3870"/>
    <w:rsid w:val="00FE38CD"/>
    <w:rsid w:val="00FE398D"/>
    <w:rsid w:val="00FE41A4"/>
    <w:rsid w:val="00FE4476"/>
    <w:rsid w:val="00FE469A"/>
    <w:rsid w:val="00FE4E40"/>
    <w:rsid w:val="00FE51A1"/>
    <w:rsid w:val="00FE6094"/>
    <w:rsid w:val="00FE626A"/>
    <w:rsid w:val="00FE6822"/>
    <w:rsid w:val="00FE6886"/>
    <w:rsid w:val="00FE6AA9"/>
    <w:rsid w:val="00FE73A3"/>
    <w:rsid w:val="00FE7FF0"/>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47"/>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DFE918D"/>
  <w15:docId w15:val="{70B516EC-0408-4ED1-ADE8-10A8B37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C1758D"/>
    <w:rPr>
      <w:sz w:val="24"/>
      <w:szCs w:val="24"/>
    </w:rPr>
  </w:style>
  <w:style w:type="paragraph" w:styleId="Heading1">
    <w:name w:val="heading 1"/>
    <w:basedOn w:val="BodyText"/>
    <w:next w:val="BodyText"/>
    <w:link w:val="Heading1Char"/>
    <w:rsid w:val="00C1758D"/>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1758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1758D"/>
    <w:pPr>
      <w:spacing w:before="560" w:line="320" w:lineRule="exact"/>
      <w:ind w:left="0" w:firstLine="0"/>
      <w:outlineLvl w:val="2"/>
    </w:pPr>
    <w:rPr>
      <w:sz w:val="26"/>
    </w:rPr>
  </w:style>
  <w:style w:type="paragraph" w:styleId="Heading4">
    <w:name w:val="heading 4"/>
    <w:basedOn w:val="Heading3"/>
    <w:next w:val="BodyText"/>
    <w:link w:val="Heading4Char"/>
    <w:qFormat/>
    <w:rsid w:val="00C1758D"/>
    <w:pPr>
      <w:spacing w:before="480"/>
      <w:outlineLvl w:val="3"/>
    </w:pPr>
    <w:rPr>
      <w:b w:val="0"/>
      <w:sz w:val="24"/>
    </w:rPr>
  </w:style>
  <w:style w:type="paragraph" w:styleId="Heading5">
    <w:name w:val="heading 5"/>
    <w:basedOn w:val="Heading4"/>
    <w:next w:val="BodyText"/>
    <w:link w:val="Heading5Char"/>
    <w:qFormat/>
    <w:rsid w:val="00C1758D"/>
    <w:pPr>
      <w:outlineLvl w:val="4"/>
    </w:pPr>
    <w:rPr>
      <w:i/>
      <w:sz w:val="22"/>
    </w:rPr>
  </w:style>
  <w:style w:type="paragraph" w:styleId="Heading6">
    <w:name w:val="heading 6"/>
    <w:basedOn w:val="BodyText"/>
    <w:next w:val="BodyText"/>
    <w:rsid w:val="00C1758D"/>
    <w:pPr>
      <w:spacing w:after="60"/>
      <w:jc w:val="left"/>
      <w:outlineLvl w:val="5"/>
    </w:pPr>
    <w:rPr>
      <w:i/>
      <w:sz w:val="22"/>
    </w:rPr>
  </w:style>
  <w:style w:type="paragraph" w:styleId="Heading7">
    <w:name w:val="heading 7"/>
    <w:basedOn w:val="BodyText"/>
    <w:next w:val="BodyText"/>
    <w:rsid w:val="00C1758D"/>
    <w:pPr>
      <w:spacing w:after="60" w:line="240" w:lineRule="auto"/>
      <w:jc w:val="left"/>
      <w:outlineLvl w:val="6"/>
    </w:pPr>
    <w:rPr>
      <w:rFonts w:ascii="Arial" w:hAnsi="Arial"/>
      <w:sz w:val="20"/>
    </w:rPr>
  </w:style>
  <w:style w:type="paragraph" w:styleId="Heading8">
    <w:name w:val="heading 8"/>
    <w:basedOn w:val="BodyText"/>
    <w:next w:val="BodyText"/>
    <w:rsid w:val="00C1758D"/>
    <w:pPr>
      <w:spacing w:after="60" w:line="240" w:lineRule="auto"/>
      <w:jc w:val="left"/>
      <w:outlineLvl w:val="7"/>
    </w:pPr>
    <w:rPr>
      <w:rFonts w:ascii="Arial" w:hAnsi="Arial"/>
      <w:i/>
      <w:sz w:val="20"/>
    </w:rPr>
  </w:style>
  <w:style w:type="paragraph" w:styleId="Heading9">
    <w:name w:val="heading 9"/>
    <w:basedOn w:val="BodyText"/>
    <w:next w:val="BodyText"/>
    <w:rsid w:val="00C1758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17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758D"/>
  </w:style>
  <w:style w:type="paragraph" w:styleId="BodyText">
    <w:name w:val="Body Text"/>
    <w:link w:val="BodyTextChar"/>
    <w:qFormat/>
    <w:rsid w:val="00C1758D"/>
    <w:pPr>
      <w:spacing w:before="240" w:line="300" w:lineRule="atLeast"/>
      <w:jc w:val="both"/>
    </w:pPr>
    <w:rPr>
      <w:sz w:val="24"/>
    </w:rPr>
  </w:style>
  <w:style w:type="paragraph" w:customStyle="1" w:styleId="Chapter">
    <w:name w:val="Chapter"/>
    <w:basedOn w:val="Heading1"/>
    <w:next w:val="BodyText"/>
    <w:link w:val="ChapterChar"/>
    <w:semiHidden/>
    <w:rsid w:val="00C1758D"/>
    <w:pPr>
      <w:ind w:left="0" w:firstLine="0"/>
      <w:outlineLvl w:val="9"/>
    </w:pPr>
  </w:style>
  <w:style w:type="paragraph" w:customStyle="1" w:styleId="SequenceInfo">
    <w:name w:val="Sequence Info"/>
    <w:basedOn w:val="BodyText"/>
    <w:semiHidden/>
    <w:rsid w:val="00C1758D"/>
    <w:rPr>
      <w:vanish/>
      <w:sz w:val="16"/>
    </w:rPr>
  </w:style>
  <w:style w:type="character" w:styleId="CommentReference">
    <w:name w:val="annotation reference"/>
    <w:basedOn w:val="DefaultParagraphFont"/>
    <w:semiHidden/>
    <w:rsid w:val="00C1758D"/>
    <w:rPr>
      <w:b/>
      <w:vanish/>
      <w:color w:val="FF00FF"/>
      <w:sz w:val="20"/>
    </w:rPr>
  </w:style>
  <w:style w:type="paragraph" w:styleId="CommentText">
    <w:name w:val="annotation text"/>
    <w:basedOn w:val="Normal"/>
    <w:link w:val="CommentTextChar"/>
    <w:semiHidden/>
    <w:rsid w:val="00C1758D"/>
    <w:pPr>
      <w:spacing w:before="120" w:line="240" w:lineRule="atLeast"/>
      <w:ind w:left="567" w:hanging="567"/>
    </w:pPr>
    <w:rPr>
      <w:sz w:val="20"/>
    </w:rPr>
  </w:style>
  <w:style w:type="paragraph" w:customStyle="1" w:styleId="Abbreviation">
    <w:name w:val="Abbreviation"/>
    <w:basedOn w:val="BodyText"/>
    <w:rsid w:val="00C1758D"/>
    <w:pPr>
      <w:spacing w:before="120"/>
      <w:ind w:left="2381" w:hanging="2381"/>
      <w:jc w:val="left"/>
    </w:pPr>
  </w:style>
  <w:style w:type="paragraph" w:customStyle="1" w:styleId="Box">
    <w:name w:val="Box"/>
    <w:basedOn w:val="BodyText"/>
    <w:link w:val="BoxChar"/>
    <w:qFormat/>
    <w:rsid w:val="00C1758D"/>
    <w:pPr>
      <w:keepNext/>
      <w:spacing w:before="120" w:line="260" w:lineRule="atLeast"/>
    </w:pPr>
    <w:rPr>
      <w:rFonts w:ascii="Arial" w:hAnsi="Arial"/>
      <w:sz w:val="20"/>
    </w:rPr>
  </w:style>
  <w:style w:type="paragraph" w:customStyle="1" w:styleId="QuoteBullet">
    <w:name w:val="Quote Bullet"/>
    <w:basedOn w:val="Quote"/>
    <w:rsid w:val="00C1758D"/>
    <w:pPr>
      <w:numPr>
        <w:numId w:val="11"/>
      </w:numPr>
    </w:pPr>
  </w:style>
  <w:style w:type="paragraph" w:customStyle="1" w:styleId="BoxListBullet">
    <w:name w:val="Box List Bullet"/>
    <w:basedOn w:val="BodyText"/>
    <w:link w:val="BoxListBulletChar"/>
    <w:rsid w:val="00C1758D"/>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C1758D"/>
    <w:pPr>
      <w:numPr>
        <w:numId w:val="3"/>
      </w:numPr>
      <w:ind w:left="568" w:hanging="284"/>
    </w:pPr>
  </w:style>
  <w:style w:type="paragraph" w:customStyle="1" w:styleId="BoxListNumber">
    <w:name w:val="Box List Number"/>
    <w:basedOn w:val="BodyText"/>
    <w:rsid w:val="00C1758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C1758D"/>
    <w:pPr>
      <w:numPr>
        <w:ilvl w:val="1"/>
      </w:numPr>
      <w:ind w:left="681" w:hanging="397"/>
    </w:pPr>
  </w:style>
  <w:style w:type="paragraph" w:customStyle="1" w:styleId="BoxQuote">
    <w:name w:val="Box Quote"/>
    <w:basedOn w:val="BodyText"/>
    <w:next w:val="Box"/>
    <w:qFormat/>
    <w:rsid w:val="00C1758D"/>
    <w:pPr>
      <w:keepNext/>
      <w:spacing w:before="60" w:line="240" w:lineRule="exact"/>
      <w:ind w:left="284"/>
    </w:pPr>
    <w:rPr>
      <w:rFonts w:ascii="Arial" w:hAnsi="Arial"/>
      <w:sz w:val="18"/>
    </w:rPr>
  </w:style>
  <w:style w:type="paragraph" w:customStyle="1" w:styleId="BoxSource">
    <w:name w:val="Box Source"/>
    <w:basedOn w:val="Source"/>
    <w:next w:val="BodyText"/>
    <w:rsid w:val="00C1758D"/>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C1758D"/>
    <w:pPr>
      <w:spacing w:after="80" w:line="200" w:lineRule="exact"/>
      <w:ind w:firstLine="0"/>
    </w:pPr>
    <w:rPr>
      <w:b w:val="0"/>
      <w:sz w:val="20"/>
    </w:rPr>
  </w:style>
  <w:style w:type="paragraph" w:customStyle="1" w:styleId="BoxTitle">
    <w:name w:val="Box Title"/>
    <w:basedOn w:val="Caption"/>
    <w:next w:val="BoxSubtitle"/>
    <w:link w:val="BoxTitleChar"/>
    <w:rsid w:val="00C1758D"/>
    <w:pPr>
      <w:spacing w:before="120" w:after="0"/>
    </w:pPr>
  </w:style>
  <w:style w:type="paragraph" w:styleId="Caption">
    <w:name w:val="caption"/>
    <w:basedOn w:val="Normal"/>
    <w:next w:val="BodyText"/>
    <w:rsid w:val="00C1758D"/>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C1758D"/>
    <w:pPr>
      <w:spacing w:line="280" w:lineRule="atLeast"/>
      <w:ind w:left="907"/>
    </w:pPr>
    <w:rPr>
      <w:rFonts w:ascii="Arial" w:hAnsi="Arial"/>
      <w:b/>
      <w:sz w:val="20"/>
    </w:rPr>
  </w:style>
  <w:style w:type="character" w:customStyle="1" w:styleId="DocumentInfo">
    <w:name w:val="Document Info"/>
    <w:basedOn w:val="DefaultParagraphFont"/>
    <w:semiHidden/>
    <w:rsid w:val="00C1758D"/>
    <w:rPr>
      <w:rFonts w:ascii="Arial" w:hAnsi="Arial"/>
      <w:sz w:val="14"/>
    </w:rPr>
  </w:style>
  <w:style w:type="paragraph" w:styleId="Footer">
    <w:name w:val="footer"/>
    <w:basedOn w:val="BodyText"/>
    <w:link w:val="FooterChar"/>
    <w:rsid w:val="00C1758D"/>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C1758D"/>
    <w:rPr>
      <w:b/>
      <w:color w:val="FF0000"/>
      <w:sz w:val="24"/>
      <w:u w:val="dotted"/>
    </w:rPr>
  </w:style>
  <w:style w:type="character" w:customStyle="1" w:styleId="BodyTextChar">
    <w:name w:val="Body Text Char"/>
    <w:basedOn w:val="DefaultParagraphFont"/>
    <w:link w:val="BodyText"/>
    <w:rsid w:val="00C1758D"/>
    <w:rPr>
      <w:sz w:val="24"/>
    </w:rPr>
  </w:style>
  <w:style w:type="paragraph" w:customStyle="1" w:styleId="Figure">
    <w:name w:val="Figure"/>
    <w:basedOn w:val="BodyText"/>
    <w:rsid w:val="00C1758D"/>
    <w:pPr>
      <w:keepNext/>
      <w:spacing w:before="120" w:after="120" w:line="240" w:lineRule="atLeast"/>
      <w:jc w:val="center"/>
    </w:pPr>
  </w:style>
  <w:style w:type="paragraph" w:customStyle="1" w:styleId="FigureTitle">
    <w:name w:val="Figure Title"/>
    <w:basedOn w:val="Caption"/>
    <w:next w:val="Subtitle"/>
    <w:rsid w:val="00C1758D"/>
    <w:pPr>
      <w:spacing w:before="120"/>
    </w:pPr>
  </w:style>
  <w:style w:type="paragraph" w:styleId="Subtitle">
    <w:name w:val="Subtitle"/>
    <w:basedOn w:val="Caption"/>
    <w:link w:val="SubtitleChar"/>
    <w:qFormat/>
    <w:rsid w:val="00C1758D"/>
    <w:pPr>
      <w:spacing w:before="0" w:line="200" w:lineRule="exact"/>
      <w:ind w:firstLine="0"/>
    </w:pPr>
    <w:rPr>
      <w:b w:val="0"/>
      <w:sz w:val="20"/>
    </w:rPr>
  </w:style>
  <w:style w:type="paragraph" w:customStyle="1" w:styleId="Finding">
    <w:name w:val="Finding"/>
    <w:basedOn w:val="BodyText"/>
    <w:rsid w:val="00C1758D"/>
    <w:pPr>
      <w:keepLines/>
      <w:spacing w:before="120" w:line="280" w:lineRule="atLeast"/>
    </w:pPr>
    <w:rPr>
      <w:rFonts w:ascii="Arial" w:hAnsi="Arial"/>
      <w:sz w:val="22"/>
    </w:rPr>
  </w:style>
  <w:style w:type="paragraph" w:customStyle="1" w:styleId="FindingBullet">
    <w:name w:val="Finding Bullet"/>
    <w:basedOn w:val="Finding"/>
    <w:rsid w:val="00C1758D"/>
    <w:pPr>
      <w:numPr>
        <w:numId w:val="7"/>
      </w:numPr>
      <w:spacing w:before="80"/>
    </w:pPr>
  </w:style>
  <w:style w:type="paragraph" w:customStyle="1" w:styleId="FindingNoTitle">
    <w:name w:val="Finding NoTitle"/>
    <w:basedOn w:val="Finding"/>
    <w:rsid w:val="00C1758D"/>
    <w:pPr>
      <w:spacing w:before="240"/>
    </w:pPr>
  </w:style>
  <w:style w:type="paragraph" w:customStyle="1" w:styleId="FindingTitle">
    <w:name w:val="Finding Title"/>
    <w:basedOn w:val="RecTitle"/>
    <w:next w:val="Finding"/>
    <w:rsid w:val="00C1758D"/>
  </w:style>
  <w:style w:type="paragraph" w:customStyle="1" w:styleId="FooterEnd">
    <w:name w:val="Footer End"/>
    <w:basedOn w:val="Footer"/>
    <w:rsid w:val="00C1758D"/>
    <w:pPr>
      <w:spacing w:before="0" w:line="20" w:lineRule="exact"/>
    </w:pPr>
  </w:style>
  <w:style w:type="character" w:styleId="FootnoteReference">
    <w:name w:val="footnote reference"/>
    <w:basedOn w:val="DefaultParagraphFont"/>
    <w:semiHidden/>
    <w:rsid w:val="00C1758D"/>
    <w:rPr>
      <w:rFonts w:ascii="Times New Roman" w:hAnsi="Times New Roman"/>
      <w:position w:val="6"/>
      <w:sz w:val="20"/>
      <w:vertAlign w:val="baseline"/>
    </w:rPr>
  </w:style>
  <w:style w:type="paragraph" w:styleId="FootnoteText">
    <w:name w:val="footnote text"/>
    <w:basedOn w:val="BodyText"/>
    <w:rsid w:val="00C1758D"/>
    <w:pPr>
      <w:tabs>
        <w:tab w:val="left" w:pos="284"/>
      </w:tabs>
      <w:spacing w:before="80" w:line="240" w:lineRule="exact"/>
      <w:ind w:left="284" w:hanging="284"/>
    </w:pPr>
    <w:rPr>
      <w:sz w:val="20"/>
    </w:rPr>
  </w:style>
  <w:style w:type="paragraph" w:styleId="Header">
    <w:name w:val="header"/>
    <w:basedOn w:val="BodyText"/>
    <w:link w:val="HeaderChar"/>
    <w:rsid w:val="00C1758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1758D"/>
    <w:pPr>
      <w:spacing w:line="20" w:lineRule="exact"/>
    </w:pPr>
    <w:rPr>
      <w:sz w:val="16"/>
    </w:rPr>
  </w:style>
  <w:style w:type="paragraph" w:customStyle="1" w:styleId="HeaderEven">
    <w:name w:val="Header Even"/>
    <w:basedOn w:val="Header"/>
    <w:rsid w:val="00C1758D"/>
  </w:style>
  <w:style w:type="paragraph" w:customStyle="1" w:styleId="HeaderOdd">
    <w:name w:val="Header Odd"/>
    <w:basedOn w:val="Header"/>
    <w:rsid w:val="00C1758D"/>
  </w:style>
  <w:style w:type="paragraph" w:customStyle="1" w:styleId="InformationRequest">
    <w:name w:val="Information Request"/>
    <w:basedOn w:val="Finding"/>
    <w:next w:val="BodyText"/>
    <w:rsid w:val="00C1758D"/>
    <w:rPr>
      <w:i/>
    </w:rPr>
  </w:style>
  <w:style w:type="paragraph" w:styleId="ListBullet">
    <w:name w:val="List Bullet"/>
    <w:basedOn w:val="BodyText"/>
    <w:rsid w:val="00C1758D"/>
    <w:pPr>
      <w:numPr>
        <w:numId w:val="5"/>
      </w:numPr>
      <w:spacing w:before="120"/>
    </w:pPr>
  </w:style>
  <w:style w:type="paragraph" w:styleId="ListBullet2">
    <w:name w:val="List Bullet 2"/>
    <w:basedOn w:val="BodyText"/>
    <w:rsid w:val="00C1758D"/>
    <w:pPr>
      <w:numPr>
        <w:numId w:val="2"/>
      </w:numPr>
      <w:spacing w:before="120"/>
    </w:pPr>
  </w:style>
  <w:style w:type="paragraph" w:styleId="ListBullet3">
    <w:name w:val="List Bullet 3"/>
    <w:basedOn w:val="BodyText"/>
    <w:rsid w:val="00C1758D"/>
    <w:pPr>
      <w:numPr>
        <w:numId w:val="1"/>
      </w:numPr>
      <w:spacing w:before="120"/>
      <w:ind w:left="1020" w:hanging="340"/>
    </w:pPr>
  </w:style>
  <w:style w:type="paragraph" w:styleId="ListNumber">
    <w:name w:val="List Number"/>
    <w:basedOn w:val="BodyText"/>
    <w:rsid w:val="00C1758D"/>
    <w:pPr>
      <w:numPr>
        <w:numId w:val="13"/>
      </w:numPr>
      <w:spacing w:before="120"/>
    </w:pPr>
  </w:style>
  <w:style w:type="paragraph" w:styleId="ListNumber2">
    <w:name w:val="List Number 2"/>
    <w:basedOn w:val="ListNumber"/>
    <w:rsid w:val="00C1758D"/>
    <w:pPr>
      <w:numPr>
        <w:ilvl w:val="1"/>
      </w:numPr>
    </w:pPr>
  </w:style>
  <w:style w:type="paragraph" w:styleId="ListNumber3">
    <w:name w:val="List Number 3"/>
    <w:basedOn w:val="ListNumber2"/>
    <w:rsid w:val="00C1758D"/>
    <w:pPr>
      <w:numPr>
        <w:ilvl w:val="2"/>
      </w:numPr>
    </w:pPr>
  </w:style>
  <w:style w:type="paragraph" w:customStyle="1" w:styleId="Note">
    <w:name w:val="Note"/>
    <w:basedOn w:val="BodyText"/>
    <w:next w:val="BodyText"/>
    <w:link w:val="NoteChar"/>
    <w:rsid w:val="00C1758D"/>
    <w:pPr>
      <w:keepLines/>
      <w:spacing w:before="80" w:line="220" w:lineRule="exact"/>
    </w:pPr>
    <w:rPr>
      <w:rFonts w:ascii="Arial" w:hAnsi="Arial"/>
      <w:sz w:val="18"/>
    </w:rPr>
  </w:style>
  <w:style w:type="character" w:customStyle="1" w:styleId="NoteLabel">
    <w:name w:val="Note Label"/>
    <w:basedOn w:val="DefaultParagraphFont"/>
    <w:rsid w:val="00C1758D"/>
    <w:rPr>
      <w:rFonts w:ascii="Arial" w:hAnsi="Arial"/>
      <w:b/>
      <w:position w:val="6"/>
      <w:sz w:val="18"/>
    </w:rPr>
  </w:style>
  <w:style w:type="character" w:styleId="PageNumber">
    <w:name w:val="page number"/>
    <w:basedOn w:val="DefaultParagraphFont"/>
    <w:rsid w:val="00C1758D"/>
    <w:rPr>
      <w:rFonts w:ascii="Arial" w:hAnsi="Arial"/>
      <w:b/>
      <w:sz w:val="16"/>
    </w:rPr>
  </w:style>
  <w:style w:type="paragraph" w:customStyle="1" w:styleId="PartDivider">
    <w:name w:val="Part Divider"/>
    <w:basedOn w:val="BodyText"/>
    <w:next w:val="BodyText"/>
    <w:semiHidden/>
    <w:rsid w:val="00C1758D"/>
    <w:pPr>
      <w:spacing w:before="0" w:line="40" w:lineRule="exact"/>
      <w:jc w:val="right"/>
    </w:pPr>
    <w:rPr>
      <w:smallCaps/>
      <w:sz w:val="16"/>
    </w:rPr>
  </w:style>
  <w:style w:type="paragraph" w:customStyle="1" w:styleId="PartNumber">
    <w:name w:val="Part Number"/>
    <w:basedOn w:val="BodyText"/>
    <w:next w:val="BodyText"/>
    <w:semiHidden/>
    <w:rsid w:val="00C1758D"/>
    <w:pPr>
      <w:spacing w:before="4000" w:line="320" w:lineRule="exact"/>
      <w:ind w:left="6634"/>
      <w:jc w:val="right"/>
    </w:pPr>
    <w:rPr>
      <w:smallCaps/>
      <w:spacing w:val="60"/>
      <w:sz w:val="32"/>
    </w:rPr>
  </w:style>
  <w:style w:type="paragraph" w:customStyle="1" w:styleId="PartTitle">
    <w:name w:val="Part Title"/>
    <w:basedOn w:val="BodyText"/>
    <w:semiHidden/>
    <w:rsid w:val="00C1758D"/>
    <w:pPr>
      <w:spacing w:before="160" w:after="1360" w:line="520" w:lineRule="exact"/>
      <w:ind w:right="2381"/>
      <w:jc w:val="right"/>
    </w:pPr>
    <w:rPr>
      <w:smallCaps/>
      <w:sz w:val="52"/>
    </w:rPr>
  </w:style>
  <w:style w:type="paragraph" w:styleId="Quote">
    <w:name w:val="Quote"/>
    <w:basedOn w:val="BodyText"/>
    <w:next w:val="BodyText"/>
    <w:qFormat/>
    <w:rsid w:val="00C1758D"/>
    <w:pPr>
      <w:spacing w:before="120" w:line="280" w:lineRule="exact"/>
      <w:ind w:left="340"/>
    </w:pPr>
    <w:rPr>
      <w:sz w:val="22"/>
    </w:rPr>
  </w:style>
  <w:style w:type="paragraph" w:customStyle="1" w:styleId="Rec">
    <w:name w:val="Rec"/>
    <w:basedOn w:val="BodyText"/>
    <w:qFormat/>
    <w:rsid w:val="00C1758D"/>
    <w:pPr>
      <w:keepLines/>
      <w:spacing w:before="120" w:line="280" w:lineRule="atLeast"/>
    </w:pPr>
    <w:rPr>
      <w:rFonts w:ascii="Arial" w:hAnsi="Arial"/>
      <w:sz w:val="22"/>
    </w:rPr>
  </w:style>
  <w:style w:type="paragraph" w:customStyle="1" w:styleId="RecBullet">
    <w:name w:val="Rec Bullet"/>
    <w:basedOn w:val="Rec"/>
    <w:rsid w:val="00C1758D"/>
    <w:pPr>
      <w:numPr>
        <w:numId w:val="8"/>
      </w:numPr>
      <w:spacing w:before="80"/>
    </w:pPr>
  </w:style>
  <w:style w:type="paragraph" w:customStyle="1" w:styleId="RecTitle">
    <w:name w:val="Rec Title"/>
    <w:basedOn w:val="BodyText"/>
    <w:next w:val="Rec"/>
    <w:qFormat/>
    <w:rsid w:val="00C1758D"/>
    <w:pPr>
      <w:keepNext/>
      <w:keepLines/>
      <w:spacing w:line="280" w:lineRule="atLeast"/>
    </w:pPr>
    <w:rPr>
      <w:rFonts w:ascii="Arial" w:hAnsi="Arial"/>
      <w:caps/>
      <w:sz w:val="18"/>
    </w:rPr>
  </w:style>
  <w:style w:type="paragraph" w:customStyle="1" w:styleId="RecB">
    <w:name w:val="RecB"/>
    <w:basedOn w:val="Normal"/>
    <w:rsid w:val="00C1758D"/>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1758D"/>
    <w:pPr>
      <w:numPr>
        <w:numId w:val="9"/>
      </w:numPr>
      <w:spacing w:before="80"/>
    </w:pPr>
  </w:style>
  <w:style w:type="paragraph" w:customStyle="1" w:styleId="RecBNoTitle">
    <w:name w:val="RecB NoTitle"/>
    <w:basedOn w:val="RecB"/>
    <w:rsid w:val="00C1758D"/>
    <w:pPr>
      <w:spacing w:before="240"/>
    </w:pPr>
  </w:style>
  <w:style w:type="paragraph" w:customStyle="1" w:styleId="Reference">
    <w:name w:val="Reference"/>
    <w:basedOn w:val="BodyText"/>
    <w:rsid w:val="00C1758D"/>
    <w:pPr>
      <w:spacing w:before="120"/>
      <w:ind w:left="340" w:hanging="340"/>
    </w:pPr>
  </w:style>
  <w:style w:type="paragraph" w:customStyle="1" w:styleId="SideNote">
    <w:name w:val="Side Note"/>
    <w:basedOn w:val="BodyText"/>
    <w:next w:val="BodyText"/>
    <w:semiHidden/>
    <w:rsid w:val="00C1758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C1758D"/>
    <w:pPr>
      <w:framePr w:wrap="around"/>
      <w:numPr>
        <w:numId w:val="4"/>
      </w:numPr>
      <w:tabs>
        <w:tab w:val="left" w:pos="227"/>
      </w:tabs>
    </w:pPr>
  </w:style>
  <w:style w:type="paragraph" w:customStyle="1" w:styleId="SideNoteGraphic">
    <w:name w:val="Side Note Graphic"/>
    <w:basedOn w:val="SideNote"/>
    <w:next w:val="BodyText"/>
    <w:semiHidden/>
    <w:rsid w:val="00C1758D"/>
    <w:pPr>
      <w:framePr w:wrap="around"/>
    </w:pPr>
  </w:style>
  <w:style w:type="paragraph" w:customStyle="1" w:styleId="Source">
    <w:name w:val="Source"/>
    <w:basedOn w:val="Normal"/>
    <w:next w:val="BodyText"/>
    <w:link w:val="SourceChar"/>
    <w:rsid w:val="00C1758D"/>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C1758D"/>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C1758D"/>
    <w:pPr>
      <w:numPr>
        <w:numId w:val="10"/>
      </w:numPr>
      <w:jc w:val="left"/>
    </w:pPr>
  </w:style>
  <w:style w:type="paragraph" w:customStyle="1" w:styleId="TableColumnHeading">
    <w:name w:val="Table Column Heading"/>
    <w:basedOn w:val="TableBodyText"/>
    <w:rsid w:val="00C1758D"/>
    <w:pPr>
      <w:spacing w:before="80" w:after="80"/>
    </w:pPr>
    <w:rPr>
      <w:i/>
    </w:rPr>
  </w:style>
  <w:style w:type="paragraph" w:styleId="TableofFigures">
    <w:name w:val="table of figures"/>
    <w:basedOn w:val="TOC3"/>
    <w:next w:val="BodyText"/>
    <w:semiHidden/>
    <w:rsid w:val="00C1758D"/>
    <w:pPr>
      <w:ind w:left="737" w:hanging="737"/>
    </w:pPr>
  </w:style>
  <w:style w:type="paragraph" w:styleId="TOC3">
    <w:name w:val="toc 3"/>
    <w:basedOn w:val="TOC2"/>
    <w:rsid w:val="00C1758D"/>
    <w:pPr>
      <w:spacing w:before="60"/>
      <w:ind w:left="1190" w:hanging="680"/>
    </w:pPr>
  </w:style>
  <w:style w:type="paragraph" w:customStyle="1" w:styleId="TableTitle">
    <w:name w:val="Table Title"/>
    <w:basedOn w:val="Caption"/>
    <w:next w:val="Subtitle"/>
    <w:qFormat/>
    <w:rsid w:val="00C1758D"/>
    <w:pPr>
      <w:spacing w:before="120"/>
    </w:pPr>
  </w:style>
  <w:style w:type="paragraph" w:customStyle="1" w:styleId="TableUnitsRow">
    <w:name w:val="Table Units Row"/>
    <w:basedOn w:val="TableBodyText"/>
    <w:rsid w:val="00C1758D"/>
    <w:pPr>
      <w:spacing w:before="40"/>
    </w:pPr>
  </w:style>
  <w:style w:type="paragraph" w:styleId="TOC1">
    <w:name w:val="toc 1"/>
    <w:basedOn w:val="Normal"/>
    <w:next w:val="TOC2"/>
    <w:link w:val="TOC1Char"/>
    <w:rsid w:val="00C1758D"/>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C1758D"/>
    <w:pPr>
      <w:ind w:left="1134" w:hanging="624"/>
    </w:pPr>
    <w:rPr>
      <w:b w:val="0"/>
    </w:rPr>
  </w:style>
  <w:style w:type="paragraph" w:styleId="TOC4">
    <w:name w:val="toc 4"/>
    <w:basedOn w:val="TOC3"/>
    <w:rsid w:val="00C1758D"/>
    <w:pPr>
      <w:ind w:left="1191" w:firstLine="0"/>
    </w:pPr>
  </w:style>
  <w:style w:type="paragraph" w:customStyle="1" w:styleId="BoxContinued">
    <w:name w:val="Box Continued"/>
    <w:basedOn w:val="BodyText"/>
    <w:next w:val="BodyText"/>
    <w:link w:val="BoxContinuedChar"/>
    <w:semiHidden/>
    <w:rsid w:val="00C1758D"/>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C1758D"/>
  </w:style>
  <w:style w:type="paragraph" w:customStyle="1" w:styleId="BoxHeading1">
    <w:name w:val="Box Heading 1"/>
    <w:basedOn w:val="BodyText"/>
    <w:next w:val="Box"/>
    <w:link w:val="BoxHeading1Char"/>
    <w:rsid w:val="00C1758D"/>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C1758D"/>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C1758D"/>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C1758D"/>
    <w:pPr>
      <w:spacing w:after="140"/>
      <w:jc w:val="both"/>
    </w:pPr>
    <w:rPr>
      <w:rFonts w:ascii="Arial" w:hAnsi="Arial"/>
      <w:sz w:val="24"/>
      <w:lang w:eastAsia="en-US"/>
    </w:rPr>
  </w:style>
  <w:style w:type="paragraph" w:customStyle="1" w:styleId="Jurisdictioncommentsheading">
    <w:name w:val="Jurisdiction comments heading"/>
    <w:rsid w:val="00C1758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1758D"/>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C1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C1758D"/>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C1758D"/>
    <w:pPr>
      <w:keepNext/>
      <w:spacing w:before="360" w:line="80" w:lineRule="exact"/>
      <w:jc w:val="left"/>
    </w:pPr>
  </w:style>
  <w:style w:type="paragraph" w:customStyle="1" w:styleId="RecBBullet2">
    <w:name w:val="RecB Bullet 2"/>
    <w:basedOn w:val="ListBullet2"/>
    <w:semiHidden/>
    <w:rsid w:val="00C1758D"/>
    <w:pPr>
      <w:pBdr>
        <w:left w:val="single" w:sz="24" w:space="29" w:color="C0C0C0"/>
      </w:pBdr>
    </w:pPr>
    <w:rPr>
      <w:b/>
      <w:i/>
    </w:rPr>
  </w:style>
  <w:style w:type="character" w:customStyle="1" w:styleId="BalloonTextChar">
    <w:name w:val="Balloon Text Char"/>
    <w:basedOn w:val="DefaultParagraphFont"/>
    <w:link w:val="BalloonText"/>
    <w:rsid w:val="00C1758D"/>
    <w:rPr>
      <w:rFonts w:ascii="Tahoma" w:hAnsi="Tahoma" w:cs="Tahoma"/>
      <w:sz w:val="16"/>
      <w:szCs w:val="16"/>
    </w:rPr>
  </w:style>
  <w:style w:type="character" w:customStyle="1" w:styleId="SubtitleChar">
    <w:name w:val="Subtitle Char"/>
    <w:basedOn w:val="DefaultParagraphFont"/>
    <w:link w:val="Subtitle"/>
    <w:rsid w:val="00C1758D"/>
    <w:rPr>
      <w:rFonts w:ascii="Arial" w:hAnsi="Arial"/>
      <w:szCs w:val="24"/>
    </w:rPr>
  </w:style>
  <w:style w:type="paragraph" w:customStyle="1" w:styleId="BoxListBullet3">
    <w:name w:val="Box List Bullet 3"/>
    <w:basedOn w:val="ListBullet3"/>
    <w:rsid w:val="00C1758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C1758D"/>
    <w:rPr>
      <w:i/>
      <w:iCs/>
    </w:rPr>
  </w:style>
  <w:style w:type="paragraph" w:customStyle="1" w:styleId="BoxQuoteBullet">
    <w:name w:val="Box Quote Bullet"/>
    <w:basedOn w:val="BoxQuote"/>
    <w:next w:val="Box"/>
    <w:rsid w:val="00C1758D"/>
    <w:pPr>
      <w:numPr>
        <w:numId w:val="15"/>
      </w:numPr>
      <w:ind w:left="568" w:hanging="284"/>
    </w:pPr>
  </w:style>
  <w:style w:type="paragraph" w:customStyle="1" w:styleId="InformationRequestBullet">
    <w:name w:val="Information Request Bullet"/>
    <w:basedOn w:val="ListBullet"/>
    <w:next w:val="BodyText"/>
    <w:rsid w:val="00C1758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C1758D"/>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C1758D"/>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C1758D"/>
    <w:pPr>
      <w:numPr>
        <w:numId w:val="19"/>
      </w:numPr>
      <w:ind w:left="568" w:hanging="284"/>
    </w:pPr>
  </w:style>
  <w:style w:type="paragraph" w:customStyle="1" w:styleId="InformationRequestTitle">
    <w:name w:val="Information Request Title"/>
    <w:basedOn w:val="FindingTitle"/>
    <w:next w:val="InformationRequest"/>
    <w:rsid w:val="00C1758D"/>
    <w:rPr>
      <w:i/>
    </w:rPr>
  </w:style>
  <w:style w:type="paragraph" w:customStyle="1" w:styleId="Space">
    <w:name w:val="Space"/>
    <w:basedOn w:val="Normal"/>
    <w:rsid w:val="00C1758D"/>
    <w:pPr>
      <w:keepNext/>
      <w:spacing w:line="120" w:lineRule="exact"/>
      <w:jc w:val="both"/>
    </w:pPr>
    <w:rPr>
      <w:rFonts w:ascii="Arial" w:hAnsi="Arial"/>
      <w:sz w:val="20"/>
      <w:szCs w:val="20"/>
    </w:rPr>
  </w:style>
  <w:style w:type="paragraph" w:customStyle="1" w:styleId="Heading1nochapterno">
    <w:name w:val="Heading 1 (no chapter no.)"/>
    <w:basedOn w:val="Heading1"/>
    <w:rsid w:val="00C1758D"/>
    <w:pPr>
      <w:spacing w:before="0"/>
      <w:ind w:left="0" w:firstLine="0"/>
    </w:pPr>
  </w:style>
  <w:style w:type="paragraph" w:customStyle="1" w:styleId="Heading2nosectionno">
    <w:name w:val="Heading 2 (no section no.)"/>
    <w:basedOn w:val="Heading2"/>
    <w:rsid w:val="00C1758D"/>
    <w:pPr>
      <w:ind w:left="0" w:firstLine="0"/>
    </w:pPr>
  </w:style>
  <w:style w:type="paragraph" w:customStyle="1" w:styleId="Figurespace">
    <w:name w:val="Figure space"/>
    <w:basedOn w:val="Box"/>
    <w:rsid w:val="00C1758D"/>
    <w:pPr>
      <w:spacing w:before="0" w:line="120" w:lineRule="exact"/>
    </w:pPr>
  </w:style>
  <w:style w:type="paragraph" w:customStyle="1" w:styleId="FooterDraftReport">
    <w:name w:val="FooterDraftReport"/>
    <w:basedOn w:val="Footer"/>
    <w:link w:val="FooterDraftReportChar"/>
    <w:rsid w:val="00C1758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C1758D"/>
    <w:rPr>
      <w:rFonts w:ascii="Arial" w:hAnsi="Arial"/>
      <w:caps/>
      <w:spacing w:val="-4"/>
      <w:sz w:val="16"/>
    </w:rPr>
  </w:style>
  <w:style w:type="character" w:customStyle="1" w:styleId="FooterDraftReportChar">
    <w:name w:val="FooterDraftReport Char"/>
    <w:basedOn w:val="FooterChar"/>
    <w:link w:val="FooterDraftReport"/>
    <w:rsid w:val="00C1758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C1758D"/>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C1758D"/>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 w:type="character" w:styleId="PlaceholderText">
    <w:name w:val="Placeholder Text"/>
    <w:basedOn w:val="DefaultParagraphFont"/>
    <w:uiPriority w:val="99"/>
    <w:semiHidden/>
    <w:rsid w:val="00B67CD6"/>
    <w:rPr>
      <w:color w:val="808080"/>
    </w:rPr>
  </w:style>
  <w:style w:type="paragraph" w:styleId="TOCHeading">
    <w:name w:val="TOC Heading"/>
    <w:basedOn w:val="Heading1"/>
    <w:next w:val="Normal"/>
    <w:uiPriority w:val="39"/>
    <w:unhideWhenUsed/>
    <w:qFormat/>
    <w:rsid w:val="0018725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erChar">
    <w:name w:val="Header Char"/>
    <w:basedOn w:val="DefaultParagraphFont"/>
    <w:link w:val="Header"/>
    <w:rsid w:val="00F95739"/>
    <w:rPr>
      <w:rFonts w:ascii="Arial" w:hAnsi="Arial"/>
      <w:caps/>
      <w:sz w:val="24"/>
    </w:rPr>
  </w:style>
  <w:style w:type="character" w:customStyle="1" w:styleId="BoxListBullet2Char">
    <w:name w:val="Box List Bullet 2 Char"/>
    <w:basedOn w:val="BoxChar"/>
    <w:link w:val="BoxListBullet2"/>
    <w:rsid w:val="00E16502"/>
    <w:rPr>
      <w:rFonts w:ascii="Arial" w:hAnsi="Arial"/>
      <w:sz w:val="24"/>
    </w:rPr>
  </w:style>
  <w:style w:type="character" w:customStyle="1" w:styleId="SourceChar">
    <w:name w:val="Source Char"/>
    <w:basedOn w:val="NoteChar"/>
    <w:link w:val="Source"/>
    <w:rsid w:val="00D9544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216363080">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770778247">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02960958">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2F09-1E3C-4A2D-9233-D8D41FD2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60</TotalTime>
  <Pages>23</Pages>
  <Words>7558</Words>
  <Characters>44360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Section 12 Public hospitals - Report on Government Services 2021</vt:lpstr>
    </vt:vector>
  </TitlesOfParts>
  <Company>Productivity Commission</Company>
  <LinksUpToDate>false</LinksUpToDate>
  <CharactersWithSpaces>51815</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Public hospitals - Report on Government Services 2021</dc:title>
  <dc:subject/>
  <dc:creator>Steering Committee for the Review of Government Service Provision</dc:creator>
  <cp:lastModifiedBy>Munce, Melissa</cp:lastModifiedBy>
  <cp:revision>16</cp:revision>
  <cp:lastPrinted>2020-10-13T05:51:00Z</cp:lastPrinted>
  <dcterms:created xsi:type="dcterms:W3CDTF">2020-12-09T04:24:00Z</dcterms:created>
  <dcterms:modified xsi:type="dcterms:W3CDTF">2020-12-21T04:32:00Z</dcterms:modified>
</cp:coreProperties>
</file>