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D61ED" w14:textId="1891E7C4" w:rsidR="00167F55" w:rsidRPr="00C52C8A" w:rsidRDefault="00C87A43" w:rsidP="00983812">
      <w:pPr>
        <w:pStyle w:val="Heading1"/>
        <w:rPr>
          <w:noProof/>
        </w:rPr>
      </w:pPr>
      <w:bookmarkStart w:id="0" w:name="ChapterNumber"/>
      <w:bookmarkStart w:id="1" w:name="_Toc366137736"/>
      <w:bookmarkStart w:id="2" w:name="_Toc396309565"/>
      <w:bookmarkStart w:id="3" w:name="_Toc460852359"/>
      <w:bookmarkStart w:id="4" w:name="_Toc496265996"/>
      <w:bookmarkStart w:id="5" w:name="_Toc524611859"/>
      <w:bookmarkStart w:id="6" w:name="_Toc355358643"/>
      <w:r>
        <w:t>17</w:t>
      </w:r>
      <w:bookmarkEnd w:id="0"/>
      <w:r w:rsidR="00413C3F" w:rsidRPr="00C52C8A">
        <w:tab/>
      </w:r>
      <w:bookmarkStart w:id="7" w:name="_GoBack"/>
      <w:bookmarkEnd w:id="7"/>
      <w:r w:rsidR="00317275" w:rsidRPr="00C52C8A">
        <w:t>Youth justice</w:t>
      </w:r>
      <w:r w:rsidR="00F5556B" w:rsidRPr="00C52C8A">
        <w:t xml:space="preserve"> services</w:t>
      </w:r>
      <w:bookmarkEnd w:id="1"/>
      <w:bookmarkEnd w:id="2"/>
      <w:bookmarkEnd w:id="3"/>
      <w:bookmarkEnd w:id="4"/>
      <w:bookmarkEnd w:id="5"/>
    </w:p>
    <w:sdt>
      <w:sdtPr>
        <w:rPr>
          <w:b w:val="0"/>
          <w:kern w:val="28"/>
          <w:sz w:val="52"/>
        </w:rPr>
        <w:id w:val="-629943421"/>
        <w:docPartObj>
          <w:docPartGallery w:val="Table of Contents"/>
          <w:docPartUnique/>
        </w:docPartObj>
      </w:sdtPr>
      <w:sdtEndPr>
        <w:rPr>
          <w:kern w:val="0"/>
          <w:sz w:val="26"/>
        </w:rPr>
      </w:sdtEndPr>
      <w:sdtContent>
        <w:p w14:paraId="03E79537" w14:textId="31931115" w:rsidR="00212F31" w:rsidRPr="00C52C8A" w:rsidRDefault="0088493B">
          <w:pPr>
            <w:pStyle w:val="TOC1"/>
            <w:rPr>
              <w:noProof/>
            </w:rPr>
          </w:pPr>
          <w:r w:rsidRPr="00C52C8A">
            <w:rPr>
              <w:rStyle w:val="Heading4Char"/>
              <w:b w:val="0"/>
            </w:rPr>
            <w:t>CONTENTS</w:t>
          </w:r>
        </w:p>
        <w:p w14:paraId="42DEDDF8" w14:textId="51E679C5" w:rsidR="00212F31" w:rsidRPr="00C52C8A" w:rsidRDefault="00212F31">
          <w:pPr>
            <w:pStyle w:val="TOC2"/>
            <w:tabs>
              <w:tab w:val="left" w:pos="1320"/>
            </w:tabs>
            <w:rPr>
              <w:rFonts w:asciiTheme="minorHAnsi" w:eastAsiaTheme="minorEastAsia" w:hAnsiTheme="minorHAnsi" w:cstheme="minorBidi"/>
              <w:noProof/>
              <w:sz w:val="22"/>
              <w:szCs w:val="22"/>
              <w:lang w:eastAsia="en-AU"/>
            </w:rPr>
          </w:pPr>
          <w:r w:rsidRPr="00C52C8A">
            <w:rPr>
              <w:noProof/>
            </w:rPr>
            <w:t>17.1</w:t>
          </w:r>
          <w:r w:rsidRPr="00C52C8A">
            <w:rPr>
              <w:rFonts w:asciiTheme="minorHAnsi" w:eastAsiaTheme="minorEastAsia" w:hAnsiTheme="minorHAnsi" w:cstheme="minorBidi"/>
              <w:noProof/>
              <w:sz w:val="22"/>
              <w:szCs w:val="22"/>
              <w:lang w:eastAsia="en-AU"/>
            </w:rPr>
            <w:tab/>
          </w:r>
          <w:r w:rsidRPr="00C52C8A">
            <w:rPr>
              <w:noProof/>
            </w:rPr>
            <w:t>Profile of youth justice services</w:t>
          </w:r>
          <w:r w:rsidRPr="00C52C8A">
            <w:rPr>
              <w:noProof/>
            </w:rPr>
            <w:tab/>
            <w:t>17.</w:t>
          </w:r>
          <w:r w:rsidR="00AF64D0">
            <w:rPr>
              <w:noProof/>
            </w:rPr>
            <w:t>2</w:t>
          </w:r>
        </w:p>
        <w:p w14:paraId="7AF6467C" w14:textId="3279AF51" w:rsidR="00212F31" w:rsidRPr="00C52C8A" w:rsidRDefault="00212F31">
          <w:pPr>
            <w:pStyle w:val="TOC2"/>
            <w:tabs>
              <w:tab w:val="left" w:pos="1320"/>
            </w:tabs>
            <w:rPr>
              <w:rFonts w:asciiTheme="minorHAnsi" w:eastAsiaTheme="minorEastAsia" w:hAnsiTheme="minorHAnsi" w:cstheme="minorBidi"/>
              <w:noProof/>
              <w:sz w:val="22"/>
              <w:szCs w:val="22"/>
              <w:lang w:eastAsia="en-AU"/>
            </w:rPr>
          </w:pPr>
          <w:r w:rsidRPr="00C52C8A">
            <w:rPr>
              <w:noProof/>
            </w:rPr>
            <w:t>17.2</w:t>
          </w:r>
          <w:r w:rsidRPr="00C52C8A">
            <w:rPr>
              <w:rFonts w:asciiTheme="minorHAnsi" w:eastAsiaTheme="minorEastAsia" w:hAnsiTheme="minorHAnsi" w:cstheme="minorBidi"/>
              <w:noProof/>
              <w:sz w:val="22"/>
              <w:szCs w:val="22"/>
              <w:lang w:eastAsia="en-AU"/>
            </w:rPr>
            <w:tab/>
          </w:r>
          <w:r w:rsidRPr="00C52C8A">
            <w:rPr>
              <w:noProof/>
            </w:rPr>
            <w:t>Framework of performance indicators</w:t>
          </w:r>
          <w:r w:rsidRPr="00C52C8A">
            <w:rPr>
              <w:noProof/>
            </w:rPr>
            <w:tab/>
            <w:t>17.</w:t>
          </w:r>
          <w:r w:rsidR="00AF64D0">
            <w:rPr>
              <w:noProof/>
            </w:rPr>
            <w:t>8</w:t>
          </w:r>
        </w:p>
        <w:p w14:paraId="54FB099E" w14:textId="1471A09F" w:rsidR="00212F31" w:rsidRPr="00C52C8A" w:rsidRDefault="00212F31">
          <w:pPr>
            <w:pStyle w:val="TOC2"/>
            <w:tabs>
              <w:tab w:val="left" w:pos="1320"/>
            </w:tabs>
            <w:rPr>
              <w:rFonts w:asciiTheme="minorHAnsi" w:eastAsiaTheme="minorEastAsia" w:hAnsiTheme="minorHAnsi" w:cstheme="minorBidi"/>
              <w:noProof/>
              <w:sz w:val="22"/>
              <w:szCs w:val="22"/>
              <w:lang w:eastAsia="en-AU"/>
            </w:rPr>
          </w:pPr>
          <w:r w:rsidRPr="00C52C8A">
            <w:rPr>
              <w:noProof/>
            </w:rPr>
            <w:t>17.3</w:t>
          </w:r>
          <w:r w:rsidRPr="00C52C8A">
            <w:rPr>
              <w:rFonts w:asciiTheme="minorHAnsi" w:eastAsiaTheme="minorEastAsia" w:hAnsiTheme="minorHAnsi" w:cstheme="minorBidi"/>
              <w:noProof/>
              <w:sz w:val="22"/>
              <w:szCs w:val="22"/>
              <w:lang w:eastAsia="en-AU"/>
            </w:rPr>
            <w:tab/>
          </w:r>
          <w:r w:rsidRPr="00C52C8A">
            <w:rPr>
              <w:noProof/>
            </w:rPr>
            <w:t>Key performance indicator results</w:t>
          </w:r>
          <w:r w:rsidRPr="00C52C8A">
            <w:rPr>
              <w:noProof/>
            </w:rPr>
            <w:tab/>
            <w:t>17.</w:t>
          </w:r>
          <w:r w:rsidR="00AF64D0">
            <w:rPr>
              <w:noProof/>
            </w:rPr>
            <w:t>11</w:t>
          </w:r>
        </w:p>
        <w:p w14:paraId="3DACD4EE" w14:textId="32763FAA" w:rsidR="00212F31" w:rsidRPr="00C52C8A" w:rsidRDefault="00212F31">
          <w:pPr>
            <w:pStyle w:val="TOC2"/>
            <w:tabs>
              <w:tab w:val="left" w:pos="1320"/>
            </w:tabs>
            <w:rPr>
              <w:rFonts w:asciiTheme="minorHAnsi" w:eastAsiaTheme="minorEastAsia" w:hAnsiTheme="minorHAnsi" w:cstheme="minorBidi"/>
              <w:noProof/>
              <w:sz w:val="22"/>
              <w:szCs w:val="22"/>
              <w:lang w:eastAsia="en-AU"/>
            </w:rPr>
          </w:pPr>
          <w:r w:rsidRPr="00C52C8A">
            <w:rPr>
              <w:noProof/>
            </w:rPr>
            <w:t>17.4</w:t>
          </w:r>
          <w:r w:rsidRPr="00C52C8A">
            <w:rPr>
              <w:rFonts w:asciiTheme="minorHAnsi" w:eastAsiaTheme="minorEastAsia" w:hAnsiTheme="minorHAnsi" w:cstheme="minorBidi"/>
              <w:noProof/>
              <w:sz w:val="22"/>
              <w:szCs w:val="22"/>
              <w:lang w:eastAsia="en-AU"/>
            </w:rPr>
            <w:tab/>
          </w:r>
          <w:r w:rsidRPr="00C52C8A">
            <w:rPr>
              <w:noProof/>
            </w:rPr>
            <w:t>Definitions of key terms</w:t>
          </w:r>
          <w:r w:rsidRPr="00C52C8A">
            <w:rPr>
              <w:noProof/>
            </w:rPr>
            <w:tab/>
            <w:t>17.</w:t>
          </w:r>
          <w:r w:rsidR="00AF64D0">
            <w:rPr>
              <w:noProof/>
            </w:rPr>
            <w:t>34</w:t>
          </w:r>
        </w:p>
        <w:p w14:paraId="2A7182D5" w14:textId="51EE020E" w:rsidR="00212F31" w:rsidRPr="00C52C8A" w:rsidRDefault="00212F31">
          <w:pPr>
            <w:pStyle w:val="TOC2"/>
            <w:tabs>
              <w:tab w:val="left" w:pos="1320"/>
            </w:tabs>
            <w:rPr>
              <w:rFonts w:asciiTheme="minorHAnsi" w:eastAsiaTheme="minorEastAsia" w:hAnsiTheme="minorHAnsi" w:cstheme="minorBidi"/>
              <w:noProof/>
              <w:sz w:val="22"/>
              <w:szCs w:val="22"/>
              <w:lang w:eastAsia="en-AU"/>
            </w:rPr>
          </w:pPr>
          <w:r w:rsidRPr="00C52C8A">
            <w:rPr>
              <w:noProof/>
            </w:rPr>
            <w:t>17.5</w:t>
          </w:r>
          <w:r w:rsidRPr="00C52C8A">
            <w:rPr>
              <w:rFonts w:asciiTheme="minorHAnsi" w:eastAsiaTheme="minorEastAsia" w:hAnsiTheme="minorHAnsi" w:cstheme="minorBidi"/>
              <w:noProof/>
              <w:sz w:val="22"/>
              <w:szCs w:val="22"/>
              <w:lang w:eastAsia="en-AU"/>
            </w:rPr>
            <w:tab/>
          </w:r>
          <w:r w:rsidRPr="00C52C8A">
            <w:rPr>
              <w:noProof/>
            </w:rPr>
            <w:t>References</w:t>
          </w:r>
          <w:r w:rsidRPr="00C52C8A">
            <w:rPr>
              <w:noProof/>
            </w:rPr>
            <w:tab/>
            <w:t>17.</w:t>
          </w:r>
          <w:r w:rsidR="00AF64D0">
            <w:rPr>
              <w:noProof/>
            </w:rPr>
            <w:t>35</w:t>
          </w:r>
        </w:p>
        <w:p w14:paraId="6B8EC446" w14:textId="01479105" w:rsidR="00317275" w:rsidRPr="00C52C8A" w:rsidRDefault="00A149FF" w:rsidP="00266592">
          <w:pPr>
            <w:pStyle w:val="TOC2"/>
            <w:tabs>
              <w:tab w:val="left" w:pos="1320"/>
            </w:tabs>
            <w:ind w:left="0" w:firstLine="0"/>
          </w:pPr>
        </w:p>
      </w:sdtContent>
    </w:sdt>
    <w:bookmarkStart w:id="8" w:name="begin" w:displacedByCustomXml="prev"/>
    <w:bookmarkEnd w:id="8" w:displacedByCustomXml="prev"/>
    <w:bookmarkEnd w:id="6" w:displacedByCustomXml="prev"/>
    <w:bookmarkStart w:id="9" w:name="_Toc355353084" w:displacedByCustomXml="prev"/>
    <w:bookmarkStart w:id="10" w:name="_Toc345416485" w:displacedByCustomXml="prev"/>
    <w:p w14:paraId="5F0CAD6F" w14:textId="443A2CCE" w:rsidR="00D22DED" w:rsidRPr="002E39DF" w:rsidRDefault="00D22DED" w:rsidP="00D22DED">
      <w:pPr>
        <w:pStyle w:val="BoxSpaceAbove"/>
      </w:pPr>
    </w:p>
    <w:tbl>
      <w:tblPr>
        <w:tblW w:w="8771" w:type="dxa"/>
        <w:jc w:val="center"/>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4B06" w:rsidRPr="00C52C8A" w14:paraId="686A550F" w14:textId="77777777" w:rsidTr="00DF2334">
        <w:trPr>
          <w:jc w:val="center"/>
        </w:trPr>
        <w:tc>
          <w:tcPr>
            <w:tcW w:w="8771" w:type="dxa"/>
            <w:tcBorders>
              <w:top w:val="single" w:sz="6" w:space="0" w:color="78A22F"/>
              <w:left w:val="nil"/>
              <w:bottom w:val="nil"/>
              <w:right w:val="nil"/>
            </w:tcBorders>
            <w:shd w:val="clear" w:color="auto" w:fill="F2F2F2"/>
          </w:tcPr>
          <w:p w14:paraId="04666CD8" w14:textId="7214E772" w:rsidR="00834B06" w:rsidRPr="00C52C8A" w:rsidRDefault="00361640" w:rsidP="00983812">
            <w:pPr>
              <w:pStyle w:val="BoxTitle"/>
            </w:pPr>
            <w:r w:rsidRPr="00C52C8A">
              <w:t xml:space="preserve">Data </w:t>
            </w:r>
            <w:r w:rsidR="00834B06" w:rsidRPr="00C52C8A">
              <w:t>tables</w:t>
            </w:r>
          </w:p>
        </w:tc>
      </w:tr>
      <w:tr w:rsidR="00834B06" w:rsidRPr="00C52C8A" w14:paraId="1A86B57F" w14:textId="77777777" w:rsidTr="00DF2334">
        <w:trPr>
          <w:cantSplit/>
          <w:jc w:val="center"/>
        </w:trPr>
        <w:tc>
          <w:tcPr>
            <w:tcW w:w="8771" w:type="dxa"/>
            <w:tcBorders>
              <w:top w:val="nil"/>
              <w:left w:val="nil"/>
              <w:bottom w:val="nil"/>
              <w:right w:val="nil"/>
            </w:tcBorders>
            <w:shd w:val="clear" w:color="auto" w:fill="F2F2F2"/>
          </w:tcPr>
          <w:p w14:paraId="524E224D" w14:textId="56800E7F" w:rsidR="00834B06" w:rsidRPr="00C52C8A" w:rsidRDefault="00361640" w:rsidP="005C5E60">
            <w:pPr>
              <w:pStyle w:val="Box"/>
            </w:pPr>
            <w:r w:rsidRPr="00C52C8A">
              <w:t xml:space="preserve">Data </w:t>
            </w:r>
            <w:r w:rsidR="00834B06" w:rsidRPr="00C52C8A">
              <w:t xml:space="preserve">tables are identified in references throughout this </w:t>
            </w:r>
            <w:r w:rsidRPr="00C52C8A">
              <w:t xml:space="preserve">section </w:t>
            </w:r>
            <w:r w:rsidR="00834B06" w:rsidRPr="00C52C8A">
              <w:t>by a ‘1</w:t>
            </w:r>
            <w:r w:rsidR="00B6059F" w:rsidRPr="00C52C8A">
              <w:t>7A’ prefix (for example, table</w:t>
            </w:r>
            <w:r w:rsidR="005B0070">
              <w:t> </w:t>
            </w:r>
            <w:r w:rsidR="00B6059F" w:rsidRPr="00C52C8A">
              <w:t>17</w:t>
            </w:r>
            <w:r w:rsidR="00834B06" w:rsidRPr="00C52C8A">
              <w:t>A.1)</w:t>
            </w:r>
            <w:r w:rsidR="004E4BDE" w:rsidRPr="00C52C8A">
              <w:t xml:space="preserve"> and </w:t>
            </w:r>
            <w:r w:rsidR="00834B06" w:rsidRPr="00C52C8A">
              <w:t xml:space="preserve">are available from the website at </w:t>
            </w:r>
            <w:r w:rsidR="005C5E60">
              <w:t>https://</w:t>
            </w:r>
            <w:r w:rsidR="006254DA" w:rsidRPr="00C52C8A">
              <w:t>www.pc.gov.au/research/ongoing/report-on-government-services</w:t>
            </w:r>
            <w:r w:rsidR="007A439C" w:rsidRPr="00C52C8A">
              <w:t>.</w:t>
            </w:r>
          </w:p>
        </w:tc>
      </w:tr>
      <w:tr w:rsidR="00834B06" w:rsidRPr="00C52C8A" w14:paraId="016A3B54" w14:textId="77777777" w:rsidTr="00DF2334">
        <w:trPr>
          <w:cantSplit/>
          <w:jc w:val="center"/>
        </w:trPr>
        <w:tc>
          <w:tcPr>
            <w:tcW w:w="8771" w:type="dxa"/>
            <w:tcBorders>
              <w:top w:val="nil"/>
              <w:left w:val="nil"/>
              <w:bottom w:val="single" w:sz="6" w:space="0" w:color="78A22F"/>
              <w:right w:val="nil"/>
            </w:tcBorders>
            <w:shd w:val="clear" w:color="auto" w:fill="F2F2F2"/>
          </w:tcPr>
          <w:p w14:paraId="3CED9497" w14:textId="77777777" w:rsidR="00834B06" w:rsidRPr="00C52C8A" w:rsidRDefault="00834B06" w:rsidP="00983812">
            <w:pPr>
              <w:pStyle w:val="Box"/>
              <w:spacing w:before="0" w:line="120" w:lineRule="exact"/>
            </w:pPr>
          </w:p>
        </w:tc>
      </w:tr>
    </w:tbl>
    <w:p w14:paraId="6372AA27" w14:textId="39DE718E" w:rsidR="007D74CF" w:rsidRPr="00C52C8A" w:rsidRDefault="004114F3" w:rsidP="00DD1FD0">
      <w:pPr>
        <w:pStyle w:val="BodyText"/>
      </w:pPr>
      <w:r w:rsidRPr="00C52C8A">
        <w:t xml:space="preserve">This </w:t>
      </w:r>
      <w:r w:rsidR="00DE78B1" w:rsidRPr="00C52C8A">
        <w:t>section</w:t>
      </w:r>
      <w:r w:rsidRPr="00C52C8A">
        <w:t xml:space="preserve"> </w:t>
      </w:r>
      <w:r w:rsidR="00C2490A" w:rsidRPr="00C52C8A">
        <w:t xml:space="preserve">reports on the performance of </w:t>
      </w:r>
      <w:r w:rsidRPr="00C52C8A">
        <w:t>youth jus</w:t>
      </w:r>
      <w:r w:rsidR="00BF76FA" w:rsidRPr="00C52C8A">
        <w:t>tice services across Australia.</w:t>
      </w:r>
      <w:r w:rsidR="00B04E30">
        <w:t xml:space="preserve"> </w:t>
      </w:r>
    </w:p>
    <w:p w14:paraId="40F6938E" w14:textId="19BD3019" w:rsidR="007F4FDC" w:rsidRDefault="00437BCD" w:rsidP="00983812">
      <w:pPr>
        <w:pStyle w:val="BodyText"/>
      </w:pPr>
      <w:r w:rsidRPr="00C52C8A">
        <w:t xml:space="preserve">Further information on the Report on Government Services including other </w:t>
      </w:r>
      <w:r w:rsidR="007C099B" w:rsidRPr="00C52C8A">
        <w:t xml:space="preserve">reported </w:t>
      </w:r>
      <w:r w:rsidRPr="00C52C8A">
        <w:t>services areas</w:t>
      </w:r>
      <w:r w:rsidR="00904AEF" w:rsidRPr="00C52C8A">
        <w:t>,</w:t>
      </w:r>
      <w:r w:rsidRPr="00C52C8A">
        <w:t xml:space="preserve"> the glossary and list of </w:t>
      </w:r>
      <w:r w:rsidR="007F4FDC" w:rsidRPr="00C52C8A">
        <w:t xml:space="preserve">abbreviations are available </w:t>
      </w:r>
      <w:r w:rsidRPr="00C52C8A">
        <w:t xml:space="preserve">at </w:t>
      </w:r>
      <w:r w:rsidR="005C5E60">
        <w:t>https://</w:t>
      </w:r>
      <w:r w:rsidR="006254DA" w:rsidRPr="00C52C8A">
        <w:t>www.pc.gov.au/research/ongoing/report-on-government-services</w:t>
      </w:r>
      <w:r w:rsidR="007F4FDC" w:rsidRPr="00C52C8A">
        <w:t>.</w:t>
      </w:r>
    </w:p>
    <w:p w14:paraId="6A4B2C2C" w14:textId="331830C0" w:rsidR="00A73918" w:rsidRDefault="00A73918" w:rsidP="00A73918">
      <w:pPr>
        <w:pStyle w:val="Heading3"/>
      </w:pPr>
      <w:bookmarkStart w:id="11" w:name="_Toc366137737"/>
      <w:bookmarkStart w:id="12" w:name="_Toc524611860"/>
      <w:bookmarkEnd w:id="9"/>
      <w:r>
        <w:t>Impact of COVID</w:t>
      </w:r>
      <w:r w:rsidR="00911FAF">
        <w:noBreakHyphen/>
      </w:r>
      <w:r>
        <w:t>19 on data in this section</w:t>
      </w:r>
    </w:p>
    <w:p w14:paraId="60EA787F" w14:textId="57CD0000" w:rsidR="00A73918" w:rsidRDefault="00A73918" w:rsidP="00A73918">
      <w:pPr>
        <w:pStyle w:val="BodyText"/>
      </w:pPr>
      <w:r>
        <w:t>COVID</w:t>
      </w:r>
      <w:r w:rsidR="00911FAF">
        <w:noBreakHyphen/>
      </w:r>
      <w:r>
        <w:t xml:space="preserve">19 may affect data in this Report in </w:t>
      </w:r>
      <w:proofErr w:type="gramStart"/>
      <w:r>
        <w:t>a number of</w:t>
      </w:r>
      <w:proofErr w:type="gramEnd"/>
      <w:r>
        <w:t xml:space="preserve"> ways. This includes in respect of actual performance (that is, the impact of COVID</w:t>
      </w:r>
      <w:r w:rsidR="00911FAF">
        <w:noBreakHyphen/>
      </w:r>
      <w:r>
        <w:t xml:space="preserve">19 on service delivery in 2020 which is reflected in the data results), and the collection and processing of data (that is, the ability of data providers to undertake data collection and process results for inclusion in the Report). </w:t>
      </w:r>
    </w:p>
    <w:p w14:paraId="6BB4FF4D" w14:textId="232D7A4F" w:rsidR="00A73918" w:rsidRDefault="00A73918" w:rsidP="0058154F">
      <w:pPr>
        <w:pStyle w:val="BodyText"/>
      </w:pPr>
      <w:r w:rsidRPr="00FC0B15">
        <w:t xml:space="preserve">For the </w:t>
      </w:r>
      <w:r>
        <w:t xml:space="preserve">youth </w:t>
      </w:r>
      <w:r w:rsidR="00D1094C">
        <w:t>justice</w:t>
      </w:r>
      <w:r w:rsidRPr="00FC0B15">
        <w:t xml:space="preserve"> </w:t>
      </w:r>
      <w:r>
        <w:t xml:space="preserve">services </w:t>
      </w:r>
      <w:r w:rsidRPr="00FC0B15">
        <w:t>section</w:t>
      </w:r>
      <w:r>
        <w:t>, there are no significant changes to the data as a result of COVID</w:t>
      </w:r>
      <w:r w:rsidR="00911FAF">
        <w:noBreakHyphen/>
      </w:r>
      <w:r>
        <w:t>19.</w:t>
      </w:r>
    </w:p>
    <w:p w14:paraId="4E87776A" w14:textId="5E3E2D77" w:rsidR="00413C3F" w:rsidRPr="00C52C8A" w:rsidRDefault="00413C3F" w:rsidP="00983812">
      <w:pPr>
        <w:pStyle w:val="Heading2"/>
      </w:pPr>
      <w:r w:rsidRPr="00C52C8A">
        <w:lastRenderedPageBreak/>
        <w:t>1</w:t>
      </w:r>
      <w:r w:rsidR="00B6059F" w:rsidRPr="00C52C8A">
        <w:t>7</w:t>
      </w:r>
      <w:r w:rsidRPr="00C52C8A">
        <w:t>.</w:t>
      </w:r>
      <w:r w:rsidR="000B383B" w:rsidRPr="00C52C8A">
        <w:t>1</w:t>
      </w:r>
      <w:r w:rsidRPr="00C52C8A">
        <w:tab/>
        <w:t>Profile of youth justice services</w:t>
      </w:r>
      <w:bookmarkEnd w:id="11"/>
      <w:bookmarkEnd w:id="12"/>
      <w:bookmarkEnd w:id="10"/>
    </w:p>
    <w:p w14:paraId="3DFD0CA0" w14:textId="77777777" w:rsidR="00413C3F" w:rsidRPr="00C52C8A" w:rsidRDefault="00413C3F" w:rsidP="00983812">
      <w:pPr>
        <w:pStyle w:val="Heading3"/>
      </w:pPr>
      <w:r w:rsidRPr="00C52C8A">
        <w:t>Service overview</w:t>
      </w:r>
    </w:p>
    <w:p w14:paraId="2FDA3E47" w14:textId="2718DC12" w:rsidR="00413C3F" w:rsidRPr="00C52C8A" w:rsidRDefault="00413C3F" w:rsidP="00B81703">
      <w:pPr>
        <w:pStyle w:val="BodyText"/>
      </w:pPr>
      <w:r w:rsidRPr="00C52C8A">
        <w:t xml:space="preserve">Youth justice systems are responsible for </w:t>
      </w:r>
      <w:r w:rsidR="001F4797" w:rsidRPr="00C52C8A">
        <w:t>administering justice</w:t>
      </w:r>
      <w:r w:rsidRPr="00C52C8A">
        <w:t xml:space="preserve"> to </w:t>
      </w:r>
      <w:r w:rsidR="00356C72" w:rsidRPr="00C52C8A">
        <w:t>those</w:t>
      </w:r>
      <w:r w:rsidRPr="00C52C8A">
        <w:t xml:space="preserve"> who have committed or allegedly committed an offence while considered by law to be a </w:t>
      </w:r>
      <w:r w:rsidR="00943929" w:rsidRPr="00C52C8A">
        <w:t>child or young person</w:t>
      </w:r>
      <w:r w:rsidR="00BB0E22" w:rsidRPr="00C52C8A">
        <w:t xml:space="preserve"> (predominantly aged 10–17 years)</w:t>
      </w:r>
      <w:r w:rsidRPr="00C52C8A">
        <w:t>.</w:t>
      </w:r>
      <w:r w:rsidR="00337C02" w:rsidRPr="00C52C8A">
        <w:t xml:space="preserve"> </w:t>
      </w:r>
    </w:p>
    <w:p w14:paraId="6293EFB3" w14:textId="77777777" w:rsidR="00413C3F" w:rsidRPr="00C52C8A" w:rsidRDefault="00413C3F" w:rsidP="00983812">
      <w:pPr>
        <w:pStyle w:val="BodyText"/>
      </w:pPr>
      <w:r w:rsidRPr="00C52C8A">
        <w:t>The youth justice system in each State and Territory comprises:</w:t>
      </w:r>
    </w:p>
    <w:p w14:paraId="605F91EC" w14:textId="2937B823" w:rsidR="00413C3F" w:rsidRPr="00C52C8A" w:rsidRDefault="00413C3F" w:rsidP="00983812">
      <w:pPr>
        <w:pStyle w:val="ListBullet"/>
      </w:pPr>
      <w:r w:rsidRPr="00C52C8A">
        <w:t>police, who are usually a young person’s first point of contact with the system, and are typically responsible for administering the options available for diverting young people from further involvement in the youth justice system</w:t>
      </w:r>
      <w:r w:rsidR="0055677B" w:rsidRPr="00C52C8A">
        <w:t xml:space="preserve"> (</w:t>
      </w:r>
      <w:r w:rsidR="00361640" w:rsidRPr="00C52C8A">
        <w:t>section </w:t>
      </w:r>
      <w:r w:rsidR="0055677B" w:rsidRPr="00C52C8A">
        <w:t>6)</w:t>
      </w:r>
    </w:p>
    <w:p w14:paraId="4D6DFA27" w14:textId="677A8DA7" w:rsidR="00413C3F" w:rsidRPr="00C52C8A" w:rsidRDefault="00413C3F" w:rsidP="00983812">
      <w:pPr>
        <w:pStyle w:val="ListBullet"/>
      </w:pPr>
      <w:r w:rsidRPr="00C52C8A">
        <w:t>courts (usually a special children’s or youth court), where matters relating to the charges against young people are heard. The courts are largely responsible for decisions regarding bail, remand and sentencing</w:t>
      </w:r>
      <w:r w:rsidR="0055677B" w:rsidRPr="00C52C8A">
        <w:t xml:space="preserve"> (</w:t>
      </w:r>
      <w:r w:rsidR="00361640" w:rsidRPr="00C52C8A">
        <w:t>section </w:t>
      </w:r>
      <w:r w:rsidR="0055677B" w:rsidRPr="00C52C8A">
        <w:t>7)</w:t>
      </w:r>
    </w:p>
    <w:p w14:paraId="0F2287D5" w14:textId="77777777" w:rsidR="00413C3F" w:rsidRPr="00C52C8A" w:rsidRDefault="00413C3F" w:rsidP="00983812">
      <w:pPr>
        <w:pStyle w:val="ListBullet"/>
      </w:pPr>
      <w:r w:rsidRPr="00C52C8A">
        <w:t>statutory youth justice agencies, which are responsible for the supervision and case management of young people on a range of legal and administrative orders, and for the provision of a wide range of services intended to reduce and prevent crime</w:t>
      </w:r>
    </w:p>
    <w:p w14:paraId="3AC1ABCE" w14:textId="533FCDFB" w:rsidR="00413C3F" w:rsidRPr="00C52C8A" w:rsidRDefault="00413C3F" w:rsidP="00983812">
      <w:pPr>
        <w:pStyle w:val="ListBullet"/>
      </w:pPr>
      <w:r w:rsidRPr="00C52C8A">
        <w:t>non</w:t>
      </w:r>
      <w:r w:rsidR="00911FAF">
        <w:noBreakHyphen/>
      </w:r>
      <w:r w:rsidRPr="00C52C8A">
        <w:t>government and community service providers, who may work with youth justice agencies to provide services and programs for young people under supervision.</w:t>
      </w:r>
    </w:p>
    <w:p w14:paraId="26D559FB" w14:textId="42E8E15C" w:rsidR="00413C3F" w:rsidRPr="00C52C8A" w:rsidRDefault="00413C3F" w:rsidP="00550918">
      <w:pPr>
        <w:pStyle w:val="BodyText"/>
      </w:pPr>
      <w:r w:rsidRPr="00C52C8A">
        <w:t xml:space="preserve">This </w:t>
      </w:r>
      <w:r w:rsidR="00361640" w:rsidRPr="00C52C8A">
        <w:t xml:space="preserve">section </w:t>
      </w:r>
      <w:r w:rsidRPr="00C52C8A">
        <w:t>reports on services provided by statutory youth justice agencies that are responsible for the supervision and case management of young people who have committed or allegedly committed an offence</w:t>
      </w:r>
      <w:r w:rsidR="00550918" w:rsidRPr="00C52C8A">
        <w:t xml:space="preserve">; in particular, </w:t>
      </w:r>
      <w:r w:rsidR="00F44E08" w:rsidRPr="00C52C8A">
        <w:t>c</w:t>
      </w:r>
      <w:r w:rsidR="008E43A7" w:rsidRPr="00C52C8A">
        <w:t>ommunity</w:t>
      </w:r>
      <w:r w:rsidR="00911FAF">
        <w:noBreakHyphen/>
      </w:r>
      <w:r w:rsidR="008E43A7" w:rsidRPr="00C52C8A">
        <w:t>based supervision</w:t>
      </w:r>
      <w:r w:rsidR="00550918" w:rsidRPr="00C52C8A">
        <w:t xml:space="preserve">, </w:t>
      </w:r>
      <w:r w:rsidR="008E43A7" w:rsidRPr="00C52C8A">
        <w:t>detention</w:t>
      </w:r>
      <w:r w:rsidR="00F4592C" w:rsidRPr="00C52C8A">
        <w:noBreakHyphen/>
      </w:r>
      <w:r w:rsidR="008E43A7" w:rsidRPr="00C52C8A">
        <w:t xml:space="preserve">based supervision </w:t>
      </w:r>
      <w:r w:rsidR="00550918" w:rsidRPr="00C52C8A">
        <w:t xml:space="preserve">and </w:t>
      </w:r>
      <w:r w:rsidR="008E43A7" w:rsidRPr="00C52C8A">
        <w:t xml:space="preserve">group conferencing (see </w:t>
      </w:r>
      <w:r w:rsidR="00F92E59" w:rsidRPr="00C52C8A">
        <w:t>sub</w:t>
      </w:r>
      <w:r w:rsidR="00911FAF">
        <w:noBreakHyphen/>
      </w:r>
      <w:r w:rsidR="008E43A7" w:rsidRPr="00C52C8A">
        <w:t>section</w:t>
      </w:r>
      <w:r w:rsidR="00F4592C" w:rsidRPr="00C52C8A">
        <w:t> </w:t>
      </w:r>
      <w:r w:rsidR="008E43A7" w:rsidRPr="00C52C8A">
        <w:t>17.4 for definitions).</w:t>
      </w:r>
    </w:p>
    <w:p w14:paraId="61E9CA26" w14:textId="77777777" w:rsidR="00413C3F" w:rsidRPr="00C52C8A" w:rsidRDefault="00413C3F" w:rsidP="00983812">
      <w:pPr>
        <w:pStyle w:val="Heading3"/>
      </w:pPr>
      <w:r w:rsidRPr="00C52C8A">
        <w:t>Roles and responsibilities</w:t>
      </w:r>
    </w:p>
    <w:p w14:paraId="60FCF715" w14:textId="177A90B3" w:rsidR="00413C3F" w:rsidRPr="00C52C8A" w:rsidRDefault="000C6EA1" w:rsidP="00983812">
      <w:pPr>
        <w:pStyle w:val="BodyText"/>
      </w:pPr>
      <w:r w:rsidRPr="00C52C8A">
        <w:t>State and Territory governments have r</w:t>
      </w:r>
      <w:r w:rsidR="00413C3F" w:rsidRPr="00C52C8A">
        <w:t xml:space="preserve">esponsibility for </w:t>
      </w:r>
      <w:r w:rsidR="00EB35F2" w:rsidRPr="00C52C8A">
        <w:t xml:space="preserve">funding and/or providing </w:t>
      </w:r>
      <w:r w:rsidR="00413C3F" w:rsidRPr="00C52C8A">
        <w:t>youth justice services in Australia. Each jurisdiction has its own legislation that determines the policies and practices of its youth justice system</w:t>
      </w:r>
      <w:r w:rsidRPr="00C52C8A">
        <w:t xml:space="preserve"> and wh</w:t>
      </w:r>
      <w:r w:rsidR="00413C3F" w:rsidRPr="00C52C8A">
        <w:t xml:space="preserve">ile this legislation varies in </w:t>
      </w:r>
      <w:r w:rsidR="00990EFE" w:rsidRPr="00C52C8A">
        <w:t>detail,</w:t>
      </w:r>
      <w:r w:rsidR="00413C3F" w:rsidRPr="00C52C8A">
        <w:t xml:space="preserve"> its intent i</w:t>
      </w:r>
      <w:r w:rsidR="00C06A8C" w:rsidRPr="00C52C8A">
        <w:t>s similar across jurisdictions.</w:t>
      </w:r>
    </w:p>
    <w:p w14:paraId="639FD451" w14:textId="0723377C" w:rsidR="0074657A" w:rsidRPr="00C52C8A" w:rsidRDefault="00D96C6B" w:rsidP="00DD1FD0">
      <w:pPr>
        <w:pStyle w:val="BodyText"/>
      </w:pPr>
      <w:r w:rsidRPr="00C52C8A">
        <w:t>Legislation in all jurisdictions requires that the offence giving rise to youth justice involvement be committed while a young person is aged between 10</w:t>
      </w:r>
      <w:r w:rsidR="00F74CBA" w:rsidRPr="00C52C8A">
        <w:t>–</w:t>
      </w:r>
      <w:r w:rsidRPr="00C52C8A">
        <w:t xml:space="preserve">17 years (in Queensland, it </w:t>
      </w:r>
      <w:r w:rsidR="00247A5E" w:rsidRPr="00C52C8A">
        <w:t xml:space="preserve">was </w:t>
      </w:r>
      <w:r w:rsidRPr="00C52C8A">
        <w:t>10</w:t>
      </w:r>
      <w:r w:rsidR="00F74CBA" w:rsidRPr="00C52C8A">
        <w:t>–</w:t>
      </w:r>
      <w:r w:rsidRPr="00C52C8A">
        <w:t>16 years</w:t>
      </w:r>
      <w:r w:rsidR="00247A5E" w:rsidRPr="00C52C8A">
        <w:t xml:space="preserve"> until February 2018, after which it </w:t>
      </w:r>
      <w:r w:rsidR="00FF69AC" w:rsidRPr="00C52C8A">
        <w:t>became</w:t>
      </w:r>
      <w:r w:rsidR="00247A5E" w:rsidRPr="00C52C8A">
        <w:t xml:space="preserve"> 10</w:t>
      </w:r>
      <w:r w:rsidR="00F74CBA" w:rsidRPr="00C52C8A">
        <w:t>–</w:t>
      </w:r>
      <w:r w:rsidR="00247A5E" w:rsidRPr="00C52C8A">
        <w:t>17</w:t>
      </w:r>
      <w:r w:rsidR="00F74CBA" w:rsidRPr="00C52C8A">
        <w:t xml:space="preserve"> years</w:t>
      </w:r>
      <w:r w:rsidRPr="00C52C8A">
        <w:t>)</w:t>
      </w:r>
      <w:r w:rsidR="0081112C" w:rsidRPr="00C52C8A">
        <w:t>.</w:t>
      </w:r>
      <w:r w:rsidR="00992C17" w:rsidRPr="00C52C8A">
        <w:rPr>
          <w:rStyle w:val="FootnoteReference"/>
        </w:rPr>
        <w:footnoteReference w:id="2"/>
      </w:r>
      <w:r w:rsidR="00413C3F" w:rsidRPr="00C52C8A" w:rsidDel="00251CF1">
        <w:t xml:space="preserve"> </w:t>
      </w:r>
      <w:r w:rsidR="00E23F59" w:rsidRPr="00C52C8A">
        <w:lastRenderedPageBreak/>
        <w:t>However, y</w:t>
      </w:r>
      <w:r w:rsidR="00413C3F" w:rsidRPr="00C52C8A" w:rsidDel="00251CF1">
        <w:t>outh justice agencies might continue their involvement with these young people after they reach adulthood, for example, where young people turn 18 years of age while on an order. In five jurisdictions</w:t>
      </w:r>
      <w:r w:rsidR="00FF69AC" w:rsidRPr="00C52C8A">
        <w:t xml:space="preserve"> </w:t>
      </w:r>
      <w:r w:rsidR="00FF69AC" w:rsidRPr="00C52C8A" w:rsidDel="00251CF1">
        <w:t>(Victoria, Queensland, WA, SA and Tasmania)</w:t>
      </w:r>
      <w:r w:rsidR="00413C3F" w:rsidRPr="00C52C8A" w:rsidDel="00251CF1">
        <w:t xml:space="preserve"> there is no upper age limit for youth justice involvement. In </w:t>
      </w:r>
      <w:r w:rsidR="007A5B9F" w:rsidRPr="00C52C8A" w:rsidDel="00251CF1">
        <w:t>N</w:t>
      </w:r>
      <w:r w:rsidR="00602941" w:rsidRPr="00C52C8A" w:rsidDel="00251CF1">
        <w:t>SW</w:t>
      </w:r>
      <w:r w:rsidR="007A5B9F" w:rsidRPr="00C52C8A" w:rsidDel="00251CF1">
        <w:t xml:space="preserve">, </w:t>
      </w:r>
      <w:r w:rsidR="00413C3F" w:rsidRPr="00C52C8A" w:rsidDel="00251CF1">
        <w:t>the A</w:t>
      </w:r>
      <w:r w:rsidR="00602941" w:rsidRPr="00C52C8A" w:rsidDel="00251CF1">
        <w:t>CT</w:t>
      </w:r>
      <w:r w:rsidR="00413C3F" w:rsidRPr="00C52C8A" w:rsidDel="00251CF1">
        <w:t xml:space="preserve"> and </w:t>
      </w:r>
      <w:r w:rsidR="007A5B9F" w:rsidRPr="00C52C8A" w:rsidDel="00251CF1">
        <w:t>the N</w:t>
      </w:r>
      <w:r w:rsidR="00602941" w:rsidRPr="00C52C8A" w:rsidDel="00251CF1">
        <w:t>T</w:t>
      </w:r>
      <w:r w:rsidR="00D924C4" w:rsidRPr="00C52C8A" w:rsidDel="00251CF1">
        <w:t>,</w:t>
      </w:r>
      <w:r w:rsidR="007A5B9F" w:rsidRPr="00C52C8A" w:rsidDel="00251CF1">
        <w:t xml:space="preserve"> </w:t>
      </w:r>
      <w:r w:rsidR="00413C3F" w:rsidRPr="00C52C8A" w:rsidDel="00251CF1">
        <w:t xml:space="preserve">the upper age limits for youth justice involvement are </w:t>
      </w:r>
      <w:r w:rsidR="007A5B9F" w:rsidRPr="00C52C8A" w:rsidDel="00251CF1">
        <w:t>21.5</w:t>
      </w:r>
      <w:r w:rsidR="000C6EA1" w:rsidRPr="00C52C8A">
        <w:t> </w:t>
      </w:r>
      <w:r w:rsidR="007A5B9F" w:rsidRPr="00C52C8A" w:rsidDel="00251CF1">
        <w:t xml:space="preserve">years, </w:t>
      </w:r>
      <w:r w:rsidR="00351EDA" w:rsidRPr="00C52C8A" w:rsidDel="00251CF1">
        <w:t>21 </w:t>
      </w:r>
      <w:r w:rsidR="00413C3F" w:rsidRPr="00C52C8A" w:rsidDel="00251CF1">
        <w:t>year</w:t>
      </w:r>
      <w:r w:rsidR="00E26439" w:rsidRPr="00C52C8A" w:rsidDel="00251CF1">
        <w:t xml:space="preserve">s, </w:t>
      </w:r>
      <w:r w:rsidR="007A5B9F" w:rsidRPr="00C52C8A" w:rsidDel="00251CF1">
        <w:t>and 18 years</w:t>
      </w:r>
      <w:r w:rsidR="00D924C4" w:rsidRPr="00C52C8A" w:rsidDel="00251CF1">
        <w:t>,</w:t>
      </w:r>
      <w:r w:rsidR="007A5B9F" w:rsidRPr="00C52C8A" w:rsidDel="00251CF1">
        <w:t xml:space="preserve"> </w:t>
      </w:r>
      <w:r w:rsidR="00E26439" w:rsidRPr="00C52C8A" w:rsidDel="00251CF1">
        <w:t>respectively.</w:t>
      </w:r>
    </w:p>
    <w:p w14:paraId="05A112A7" w14:textId="77777777" w:rsidR="00413C3F" w:rsidRPr="00C52C8A" w:rsidRDefault="00413C3F">
      <w:pPr>
        <w:pStyle w:val="Heading4"/>
      </w:pPr>
      <w:r w:rsidRPr="00C52C8A">
        <w:t>Diversion of young offenders</w:t>
      </w:r>
    </w:p>
    <w:p w14:paraId="0F554160" w14:textId="77777777" w:rsidR="00413C3F" w:rsidRPr="00C52C8A" w:rsidRDefault="00413C3F" w:rsidP="00983812">
      <w:pPr>
        <w:pStyle w:val="BodyText"/>
        <w:widowControl w:val="0"/>
      </w:pPr>
      <w:r w:rsidRPr="00C52C8A">
        <w:t xml:space="preserve">In all jurisdictions, police have responsibility for administering options for diverting young people who have committed (or allegedly committed) relatively minor offences from further involvement in the youth justice system. Diversionary options include warnings (informal cautions), formal cautions, and infringement notices. Responsibility for administering the diversionary processes available for more serious offences lies with youth justice authorities, courts and in some cases, other agencies. Comparable and </w:t>
      </w:r>
      <w:r w:rsidR="00BB0E22" w:rsidRPr="00C52C8A">
        <w:t>complete</w:t>
      </w:r>
      <w:r w:rsidRPr="00C52C8A">
        <w:t xml:space="preserve"> national data are yet </w:t>
      </w:r>
      <w:r w:rsidR="00BB0E22" w:rsidRPr="00C52C8A">
        <w:t xml:space="preserve">to become </w:t>
      </w:r>
      <w:r w:rsidRPr="00C52C8A">
        <w:t>available to illustrate the nature or level of diversion undertak</w:t>
      </w:r>
      <w:r w:rsidR="00DE7550" w:rsidRPr="00C52C8A">
        <w:t>en by Australian jurisdictions.</w:t>
      </w:r>
    </w:p>
    <w:p w14:paraId="54B9B5E6" w14:textId="77777777" w:rsidR="00413C3F" w:rsidRPr="00C52C8A" w:rsidRDefault="00AC64D1" w:rsidP="00983812">
      <w:pPr>
        <w:pStyle w:val="Heading3"/>
      </w:pPr>
      <w:r w:rsidRPr="00C52C8A">
        <w:t>S</w:t>
      </w:r>
      <w:r w:rsidR="00413C3F" w:rsidRPr="00C52C8A">
        <w:t>ize and scope</w:t>
      </w:r>
    </w:p>
    <w:p w14:paraId="14B9FD31" w14:textId="7E1994C8" w:rsidR="002E1697" w:rsidRDefault="00E4437E" w:rsidP="00DE63E6">
      <w:pPr>
        <w:pStyle w:val="BodyText"/>
      </w:pPr>
      <w:bookmarkStart w:id="13" w:name="OLE_LINK1"/>
      <w:bookmarkStart w:id="14" w:name="OLE_LINK2"/>
      <w:bookmarkStart w:id="15" w:name="OLE_LINK6"/>
      <w:bookmarkStart w:id="16" w:name="OLE_LINK7"/>
      <w:bookmarkStart w:id="17" w:name="OLE_LINK5"/>
      <w:r w:rsidRPr="00C52C8A">
        <w:t xml:space="preserve">The average daily number of </w:t>
      </w:r>
      <w:r w:rsidR="00044B3A" w:rsidRPr="00C52C8A">
        <w:t>young people aged 10</w:t>
      </w:r>
      <w:r w:rsidR="00946E22" w:rsidRPr="00C52C8A">
        <w:t>–</w:t>
      </w:r>
      <w:r w:rsidR="00044B3A" w:rsidRPr="00C52C8A">
        <w:t xml:space="preserve">17 years </w:t>
      </w:r>
      <w:bookmarkEnd w:id="13"/>
      <w:bookmarkEnd w:id="14"/>
      <w:r w:rsidRPr="00C52C8A">
        <w:t xml:space="preserve">under youth justice </w:t>
      </w:r>
      <w:r w:rsidR="00155BED" w:rsidRPr="00C52C8A">
        <w:t>supervis</w:t>
      </w:r>
      <w:r w:rsidRPr="00C52C8A">
        <w:t>ion</w:t>
      </w:r>
      <w:r w:rsidR="008570DD" w:rsidRPr="00C52C8A">
        <w:t xml:space="preserve"> in Australia in</w:t>
      </w:r>
      <w:r w:rsidR="00BB0982" w:rsidRPr="00C52C8A">
        <w:t xml:space="preserve"> </w:t>
      </w:r>
      <w:r w:rsidR="008570DD" w:rsidRPr="00C52C8A">
        <w:t>201</w:t>
      </w:r>
      <w:r w:rsidR="00554F6E" w:rsidRPr="00C52C8A">
        <w:t>9</w:t>
      </w:r>
      <w:r w:rsidR="00911FAF">
        <w:noBreakHyphen/>
      </w:r>
      <w:r w:rsidR="007F05F2">
        <w:t>20</w:t>
      </w:r>
      <w:r w:rsidR="008570DD" w:rsidRPr="00C52C8A">
        <w:t xml:space="preserve"> was </w:t>
      </w:r>
      <w:r w:rsidR="00F94677">
        <w:t>4266</w:t>
      </w:r>
      <w:r w:rsidR="00F94677" w:rsidRPr="00C52C8A">
        <w:t xml:space="preserve"> </w:t>
      </w:r>
      <w:r w:rsidR="00077173" w:rsidRPr="00C52C8A">
        <w:t>(</w:t>
      </w:r>
      <w:r w:rsidR="00F92E59" w:rsidRPr="00C52C8A">
        <w:t>table</w:t>
      </w:r>
      <w:r w:rsidR="005B0070">
        <w:t> </w:t>
      </w:r>
      <w:r w:rsidR="00FF69AC" w:rsidRPr="00C52C8A">
        <w:t>17A.1</w:t>
      </w:r>
      <w:r w:rsidR="00044B3A" w:rsidRPr="00C52C8A">
        <w:t>).</w:t>
      </w:r>
      <w:bookmarkEnd w:id="15"/>
      <w:bookmarkEnd w:id="16"/>
      <w:r w:rsidR="00044B3A" w:rsidRPr="00C52C8A">
        <w:t xml:space="preserve"> </w:t>
      </w:r>
      <w:bookmarkEnd w:id="17"/>
      <w:r w:rsidR="008570DD" w:rsidRPr="00C52C8A">
        <w:t xml:space="preserve">Of these young </w:t>
      </w:r>
      <w:r w:rsidR="008570DD" w:rsidRPr="00C84076">
        <w:t>people</w:t>
      </w:r>
      <w:r w:rsidR="007C099B" w:rsidRPr="00C84076">
        <w:t>,</w:t>
      </w:r>
      <w:r w:rsidR="00044B3A" w:rsidRPr="00C84076">
        <w:t xml:space="preserve"> </w:t>
      </w:r>
      <w:r w:rsidR="00D77CE0" w:rsidRPr="00C84076">
        <w:t>8</w:t>
      </w:r>
      <w:r w:rsidR="0058154F" w:rsidRPr="00C84076">
        <w:t>5</w:t>
      </w:r>
      <w:r w:rsidR="00D77CE0" w:rsidRPr="00C84076">
        <w:t>.</w:t>
      </w:r>
      <w:r w:rsidR="0058154F" w:rsidRPr="00C84076">
        <w:t>3</w:t>
      </w:r>
      <w:r w:rsidR="00BB0982" w:rsidRPr="00C84076">
        <w:t xml:space="preserve"> per</w:t>
      </w:r>
      <w:r w:rsidR="00BB0982" w:rsidRPr="00C52C8A">
        <w:t xml:space="preserve"> cent </w:t>
      </w:r>
      <w:r w:rsidR="00044B3A" w:rsidRPr="00C52C8A">
        <w:t xml:space="preserve">were </w:t>
      </w:r>
      <w:r w:rsidR="008570DD" w:rsidRPr="00C52C8A">
        <w:t xml:space="preserve">supervised </w:t>
      </w:r>
      <w:r w:rsidR="00044B3A" w:rsidRPr="00C52C8A">
        <w:t>in the community</w:t>
      </w:r>
      <w:r w:rsidR="007C099B" w:rsidRPr="00C52C8A">
        <w:t xml:space="preserve"> (includes supervised bail, probation and parole)</w:t>
      </w:r>
      <w:r w:rsidR="00044B3A" w:rsidRPr="00C52C8A">
        <w:t>, with the</w:t>
      </w:r>
      <w:r w:rsidR="00D67BB1" w:rsidRPr="00C52C8A">
        <w:t xml:space="preserve"> remainder in detention (</w:t>
      </w:r>
      <w:r w:rsidR="00273C37">
        <w:t>table</w:t>
      </w:r>
      <w:r w:rsidR="00911FAF">
        <w:t> </w:t>
      </w:r>
      <w:r w:rsidR="00273C37">
        <w:t xml:space="preserve">17A.1 and </w:t>
      </w:r>
      <w:r w:rsidR="00D67BB1" w:rsidRPr="00C52C8A">
        <w:t>figure</w:t>
      </w:r>
      <w:r w:rsidR="005B0070">
        <w:t> </w:t>
      </w:r>
      <w:r w:rsidR="00D67BB1" w:rsidRPr="00C52C8A">
        <w:t>17.1</w:t>
      </w:r>
      <w:r w:rsidR="00C77259" w:rsidRPr="00C52C8A">
        <w:t>)</w:t>
      </w:r>
      <w:r w:rsidR="002776A5" w:rsidRPr="00C52C8A">
        <w:t>.</w:t>
      </w:r>
      <w:r w:rsidR="00DE63E6" w:rsidRPr="00C52C8A">
        <w:t xml:space="preserve"> </w:t>
      </w:r>
    </w:p>
    <w:p w14:paraId="5DBD68D0" w14:textId="3AA59EDF" w:rsidR="002E1697" w:rsidRDefault="002E1697">
      <w:pPr>
        <w:rPr>
          <w:szCs w:val="20"/>
        </w:rPr>
      </w:pPr>
    </w:p>
    <w:p w14:paraId="0D3CB355" w14:textId="381D4606" w:rsidR="00227F7B" w:rsidRPr="002E39DF" w:rsidRDefault="00227F7B" w:rsidP="00227F7B">
      <w:pPr>
        <w:pStyle w:val="BoxSpaceAbove"/>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00254" w:rsidRPr="00C52C8A" w14:paraId="7A046408" w14:textId="77777777" w:rsidTr="00B30AFF">
        <w:tc>
          <w:tcPr>
            <w:tcW w:w="8789" w:type="dxa"/>
            <w:tcBorders>
              <w:top w:val="single" w:sz="6" w:space="0" w:color="78A22F"/>
              <w:left w:val="nil"/>
              <w:bottom w:val="nil"/>
              <w:right w:val="nil"/>
            </w:tcBorders>
            <w:shd w:val="clear" w:color="auto" w:fill="auto"/>
          </w:tcPr>
          <w:p w14:paraId="6CB86B97" w14:textId="627ABA34" w:rsidR="00300254" w:rsidRPr="00C52C8A" w:rsidRDefault="00300254" w:rsidP="00885012">
            <w:pPr>
              <w:pStyle w:val="FigureTitle"/>
            </w:pPr>
            <w:r w:rsidRPr="00C52C8A">
              <w:rPr>
                <w:b w:val="0"/>
              </w:rPr>
              <w:t xml:space="preserve">Figure </w:t>
            </w:r>
            <w:r w:rsidR="00D67BB1" w:rsidRPr="00C52C8A">
              <w:rPr>
                <w:b w:val="0"/>
              </w:rPr>
              <w:t>17.1</w:t>
            </w:r>
            <w:r w:rsidRPr="00C52C8A">
              <w:tab/>
            </w:r>
            <w:r w:rsidR="00885012" w:rsidRPr="00C52C8A">
              <w:t>A</w:t>
            </w:r>
            <w:r w:rsidR="00686719" w:rsidRPr="00C52C8A">
              <w:t>verage</w:t>
            </w:r>
            <w:r w:rsidRPr="00C52C8A">
              <w:t xml:space="preserve"> </w:t>
            </w:r>
            <w:r w:rsidR="00885012" w:rsidRPr="00C52C8A">
              <w:t xml:space="preserve">daily </w:t>
            </w:r>
            <w:r w:rsidRPr="00C52C8A">
              <w:t xml:space="preserve">proportion of youth justice clients aged </w:t>
            </w:r>
            <w:r w:rsidR="00824044" w:rsidRPr="00C52C8A">
              <w:br/>
            </w:r>
            <w:r w:rsidRPr="00C52C8A">
              <w:t>10</w:t>
            </w:r>
            <w:r w:rsidR="00F74CBA" w:rsidRPr="00C52C8A">
              <w:t>–</w:t>
            </w:r>
            <w:r w:rsidRPr="00C52C8A">
              <w:t>17 years supervised in the community and in detention centres</w:t>
            </w:r>
            <w:r w:rsidRPr="00C52C8A">
              <w:rPr>
                <w:rStyle w:val="NoteLabel"/>
                <w:b/>
              </w:rPr>
              <w:t>a</w:t>
            </w:r>
          </w:p>
        </w:tc>
      </w:tr>
      <w:tr w:rsidR="00300254" w:rsidRPr="00C52C8A" w14:paraId="417EFA08" w14:textId="77777777" w:rsidTr="006F761F">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shd w:val="clear" w:color="auto" w:fill="FF4040" w:themeFill="accent6" w:themeFillTint="99"/>
              <w:tblCellMar>
                <w:top w:w="28" w:type="dxa"/>
              </w:tblCellMar>
              <w:tblLook w:val="0000" w:firstRow="0" w:lastRow="0" w:firstColumn="0" w:lastColumn="0" w:noHBand="0" w:noVBand="0"/>
            </w:tblPr>
            <w:tblGrid>
              <w:gridCol w:w="8505"/>
            </w:tblGrid>
            <w:tr w:rsidR="00300254" w:rsidRPr="00C52C8A" w14:paraId="313D587D" w14:textId="77777777" w:rsidTr="002E1697">
              <w:trPr>
                <w:trHeight w:val="4252"/>
              </w:trPr>
              <w:tc>
                <w:tcPr>
                  <w:tcW w:w="8505" w:type="dxa"/>
                  <w:tcBorders>
                    <w:top w:val="nil"/>
                    <w:bottom w:val="nil"/>
                  </w:tcBorders>
                  <w:shd w:val="clear" w:color="auto" w:fill="auto"/>
                </w:tcPr>
                <w:p w14:paraId="157E8191" w14:textId="09F013EF" w:rsidR="00300254" w:rsidRPr="00C52C8A" w:rsidRDefault="002E1697" w:rsidP="00983812">
                  <w:pPr>
                    <w:pStyle w:val="Figure"/>
                    <w:spacing w:before="60" w:after="60"/>
                    <w:rPr>
                      <w:noProof/>
                    </w:rPr>
                  </w:pPr>
                  <w:r>
                    <w:rPr>
                      <w:noProof/>
                    </w:rPr>
                    <w:drawing>
                      <wp:inline distT="0" distB="0" distL="0" distR="0" wp14:anchorId="5A397FC1" wp14:editId="138B8744">
                        <wp:extent cx="5220392" cy="2559323"/>
                        <wp:effectExtent l="0" t="0" r="0" b="0"/>
                        <wp:docPr id="9" name="Chart 9" descr="Figure 17.1 Average daily proportion of youth justice clients aged 10–17 years supervised in the community and in detention centres.&#10;More details can be found within the text surrounding this image.&#10;">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197891D3" w14:textId="77777777" w:rsidR="00300254" w:rsidRPr="00C52C8A" w:rsidRDefault="00300254" w:rsidP="00983812">
            <w:pPr>
              <w:pStyle w:val="Figure"/>
            </w:pPr>
          </w:p>
        </w:tc>
      </w:tr>
      <w:tr w:rsidR="00300254" w:rsidRPr="00C52C8A" w14:paraId="38D11A38" w14:textId="77777777" w:rsidTr="006F761F">
        <w:tc>
          <w:tcPr>
            <w:tcW w:w="8789" w:type="dxa"/>
            <w:tcBorders>
              <w:top w:val="nil"/>
              <w:left w:val="nil"/>
              <w:bottom w:val="nil"/>
              <w:right w:val="nil"/>
            </w:tcBorders>
            <w:shd w:val="clear" w:color="auto" w:fill="auto"/>
          </w:tcPr>
          <w:p w14:paraId="3F4AEF74" w14:textId="0E7DBE98" w:rsidR="00300254" w:rsidRPr="00C52C8A" w:rsidRDefault="00300254" w:rsidP="00983812">
            <w:pPr>
              <w:pStyle w:val="Note"/>
            </w:pPr>
            <w:r w:rsidRPr="00C52C8A">
              <w:rPr>
                <w:rStyle w:val="NoteLabel"/>
              </w:rPr>
              <w:t>a</w:t>
            </w:r>
            <w:r w:rsidRPr="00C52C8A">
              <w:t xml:space="preserve"> </w:t>
            </w:r>
            <w:r w:rsidR="00014206" w:rsidRPr="00C52C8A">
              <w:t>See</w:t>
            </w:r>
            <w:r w:rsidR="00C77259" w:rsidRPr="00C52C8A">
              <w:t xml:space="preserve"> table</w:t>
            </w:r>
            <w:r w:rsidR="005B0070">
              <w:t> </w:t>
            </w:r>
            <w:r w:rsidR="00C77259" w:rsidRPr="00C52C8A">
              <w:t>17</w:t>
            </w:r>
            <w:r w:rsidR="003F5CAF" w:rsidRPr="00C52C8A">
              <w:t>A.1</w:t>
            </w:r>
            <w:r w:rsidRPr="00C52C8A">
              <w:t xml:space="preserve"> for detailed </w:t>
            </w:r>
            <w:r w:rsidRPr="00A64F5C">
              <w:rPr>
                <w:rStyle w:val="NoteChar"/>
              </w:rPr>
              <w:t>footnotes</w:t>
            </w:r>
            <w:r w:rsidR="00014206" w:rsidRPr="00C52C8A">
              <w:t xml:space="preserve"> and caveats</w:t>
            </w:r>
            <w:r w:rsidRPr="00C52C8A">
              <w:t>.</w:t>
            </w:r>
          </w:p>
        </w:tc>
      </w:tr>
      <w:tr w:rsidR="00300254" w:rsidRPr="00C52C8A" w14:paraId="7B8FAA8B" w14:textId="77777777" w:rsidTr="006F761F">
        <w:tc>
          <w:tcPr>
            <w:tcW w:w="8789" w:type="dxa"/>
            <w:tcBorders>
              <w:top w:val="nil"/>
              <w:left w:val="nil"/>
              <w:bottom w:val="nil"/>
              <w:right w:val="nil"/>
            </w:tcBorders>
            <w:shd w:val="clear" w:color="auto" w:fill="auto"/>
          </w:tcPr>
          <w:p w14:paraId="48E7B175" w14:textId="60F452D9" w:rsidR="00300254" w:rsidRPr="00C52C8A" w:rsidRDefault="00300254" w:rsidP="003F2B03">
            <w:pPr>
              <w:pStyle w:val="Source"/>
            </w:pPr>
            <w:r w:rsidRPr="00C52C8A">
              <w:rPr>
                <w:i/>
              </w:rPr>
              <w:t>Source</w:t>
            </w:r>
            <w:r w:rsidRPr="00C52C8A">
              <w:t xml:space="preserve">: </w:t>
            </w:r>
            <w:r w:rsidR="00773DAF" w:rsidRPr="00C52C8A">
              <w:t>State and Territory governments (unpublished);</w:t>
            </w:r>
            <w:r w:rsidR="00E27013" w:rsidRPr="00C52C8A">
              <w:t xml:space="preserve"> </w:t>
            </w:r>
            <w:r w:rsidRPr="00C52C8A">
              <w:t>AIHW 20</w:t>
            </w:r>
            <w:r w:rsidR="007F05F2">
              <w:t>20</w:t>
            </w:r>
            <w:r w:rsidR="00773DAF" w:rsidRPr="00C52C8A">
              <w:t>b</w:t>
            </w:r>
            <w:r w:rsidRPr="00C52C8A">
              <w:t>; table</w:t>
            </w:r>
            <w:r w:rsidR="005B0070">
              <w:t> </w:t>
            </w:r>
            <w:r w:rsidRPr="00C52C8A">
              <w:t>1</w:t>
            </w:r>
            <w:r w:rsidR="00FE26F8" w:rsidRPr="00C52C8A">
              <w:t>7</w:t>
            </w:r>
            <w:r w:rsidR="003F5CAF" w:rsidRPr="00C52C8A">
              <w:t>A.1</w:t>
            </w:r>
            <w:r w:rsidRPr="00C52C8A">
              <w:t>.</w:t>
            </w:r>
          </w:p>
        </w:tc>
      </w:tr>
      <w:tr w:rsidR="00300254" w:rsidRPr="00C52C8A" w14:paraId="6726B81D" w14:textId="77777777" w:rsidTr="006F761F">
        <w:tc>
          <w:tcPr>
            <w:tcW w:w="8789" w:type="dxa"/>
            <w:tcBorders>
              <w:top w:val="nil"/>
              <w:left w:val="nil"/>
              <w:bottom w:val="single" w:sz="6" w:space="0" w:color="78A22F"/>
              <w:right w:val="nil"/>
            </w:tcBorders>
            <w:shd w:val="clear" w:color="auto" w:fill="auto"/>
          </w:tcPr>
          <w:p w14:paraId="518E9CEB" w14:textId="77777777" w:rsidR="00300254" w:rsidRPr="00C52C8A" w:rsidRDefault="00300254" w:rsidP="00983812">
            <w:pPr>
              <w:pStyle w:val="Figurespace"/>
            </w:pPr>
          </w:p>
        </w:tc>
      </w:tr>
      <w:tr w:rsidR="00300254" w:rsidRPr="00C52C8A" w14:paraId="5B85D9B5" w14:textId="77777777" w:rsidTr="006F761F">
        <w:tc>
          <w:tcPr>
            <w:tcW w:w="8789" w:type="dxa"/>
            <w:tcBorders>
              <w:top w:val="single" w:sz="6" w:space="0" w:color="78A22F"/>
              <w:left w:val="nil"/>
              <w:bottom w:val="nil"/>
              <w:right w:val="nil"/>
            </w:tcBorders>
          </w:tcPr>
          <w:p w14:paraId="53721B15" w14:textId="49793BFC" w:rsidR="00300254" w:rsidRPr="002E39DF" w:rsidRDefault="00300254" w:rsidP="00983812">
            <w:pPr>
              <w:pStyle w:val="BoxSpaceBelow"/>
            </w:pPr>
          </w:p>
        </w:tc>
      </w:tr>
    </w:tbl>
    <w:p w14:paraId="6D7DEAF4" w14:textId="05AB35A3" w:rsidR="000615ED" w:rsidRPr="00C52C8A" w:rsidRDefault="00BD483C" w:rsidP="00983812">
      <w:pPr>
        <w:pStyle w:val="BodyText"/>
      </w:pPr>
      <w:r w:rsidRPr="00C84076">
        <w:t>Nationally</w:t>
      </w:r>
      <w:r w:rsidR="00273C37" w:rsidRPr="00C84076">
        <w:t xml:space="preserve"> in 2019</w:t>
      </w:r>
      <w:r w:rsidR="00911FAF">
        <w:noBreakHyphen/>
      </w:r>
      <w:r w:rsidR="00273C37" w:rsidRPr="00C84076">
        <w:t>20</w:t>
      </w:r>
      <w:r w:rsidRPr="00C84076">
        <w:t>, t</w:t>
      </w:r>
      <w:r w:rsidR="00686719" w:rsidRPr="00C84076">
        <w:t xml:space="preserve">he average </w:t>
      </w:r>
      <w:r w:rsidR="00546D2F" w:rsidRPr="00C84076">
        <w:t xml:space="preserve">daily </w:t>
      </w:r>
      <w:r w:rsidR="00F807AD" w:rsidRPr="00C84076">
        <w:t xml:space="preserve">rate of detention </w:t>
      </w:r>
      <w:r w:rsidR="00273C37" w:rsidRPr="00C84076">
        <w:t>was</w:t>
      </w:r>
      <w:r w:rsidR="00F807AD" w:rsidRPr="00C84076">
        <w:t xml:space="preserve"> </w:t>
      </w:r>
      <w:r w:rsidR="00273C37" w:rsidRPr="00C84076">
        <w:t>2.7</w:t>
      </w:r>
      <w:r w:rsidR="00F876EE" w:rsidRPr="00C84076">
        <w:t> </w:t>
      </w:r>
      <w:r w:rsidR="008710AF" w:rsidRPr="00C84076">
        <w:t xml:space="preserve">per 10 000 young people </w:t>
      </w:r>
      <w:r w:rsidR="00F807AD" w:rsidRPr="00C84076">
        <w:t>(figure </w:t>
      </w:r>
      <w:r w:rsidR="005B7EAC" w:rsidRPr="00C84076">
        <w:t>17.2</w:t>
      </w:r>
      <w:r w:rsidR="00726F10" w:rsidRPr="00C84076">
        <w:t>(a)</w:t>
      </w:r>
      <w:r w:rsidR="00F807AD" w:rsidRPr="00C84076">
        <w:t>)</w:t>
      </w:r>
      <w:r w:rsidR="00352A87" w:rsidRPr="00C84076">
        <w:t>, and t</w:t>
      </w:r>
      <w:r w:rsidR="00CE7513" w:rsidRPr="00C84076">
        <w:t>he</w:t>
      </w:r>
      <w:r w:rsidR="00686719" w:rsidRPr="00C84076">
        <w:t xml:space="preserve"> </w:t>
      </w:r>
      <w:r w:rsidR="00546D2F" w:rsidRPr="00C84076">
        <w:t xml:space="preserve">average </w:t>
      </w:r>
      <w:r w:rsidR="00686719" w:rsidRPr="00C84076">
        <w:t xml:space="preserve">daily </w:t>
      </w:r>
      <w:r w:rsidR="00CE7513" w:rsidRPr="00C84076">
        <w:t>rate of community</w:t>
      </w:r>
      <w:r w:rsidR="00F4592C" w:rsidRPr="00C84076">
        <w:noBreakHyphen/>
      </w:r>
      <w:r w:rsidR="00352A87" w:rsidRPr="00C84076">
        <w:t>based supervision</w:t>
      </w:r>
      <w:r w:rsidR="00CE7513" w:rsidRPr="00C84076">
        <w:t xml:space="preserve"> </w:t>
      </w:r>
      <w:r w:rsidR="00273C37" w:rsidRPr="00C84076">
        <w:t xml:space="preserve">was </w:t>
      </w:r>
      <w:r w:rsidR="006E1FBF" w:rsidRPr="00C84076">
        <w:t>1</w:t>
      </w:r>
      <w:r w:rsidR="00273C37" w:rsidRPr="00C84076">
        <w:t>4.8</w:t>
      </w:r>
      <w:r w:rsidR="0091549F" w:rsidRPr="00C84076">
        <w:t xml:space="preserve"> </w:t>
      </w:r>
      <w:r w:rsidR="008710AF" w:rsidRPr="00C84076">
        <w:t xml:space="preserve">per 10 000 young people </w:t>
      </w:r>
      <w:r w:rsidR="00CE7513" w:rsidRPr="00C84076">
        <w:t>(figure </w:t>
      </w:r>
      <w:r w:rsidR="005B7EAC" w:rsidRPr="00C84076">
        <w:t>17.2</w:t>
      </w:r>
      <w:r w:rsidR="00726F10" w:rsidRPr="00C84076">
        <w:t>(b)</w:t>
      </w:r>
      <w:r w:rsidR="00CE7513" w:rsidRPr="00C84076">
        <w:t>)</w:t>
      </w:r>
      <w:r w:rsidR="00273C37" w:rsidRPr="00C84076">
        <w:t xml:space="preserve"> – with both rates the lowest for the six years of reported data</w:t>
      </w:r>
      <w:r w:rsidR="00CE7513" w:rsidRPr="00C52C8A">
        <w:t>.</w:t>
      </w:r>
      <w:r w:rsidR="00273C37">
        <w:t xml:space="preserve"> </w:t>
      </w:r>
    </w:p>
    <w:p w14:paraId="64B7025B" w14:textId="2D58F9F0" w:rsidR="00227F7B" w:rsidRPr="002E39DF" w:rsidRDefault="00227F7B" w:rsidP="00227F7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00254" w:rsidRPr="00C52C8A" w14:paraId="155D2DCF" w14:textId="77777777" w:rsidTr="006F761F">
        <w:tc>
          <w:tcPr>
            <w:tcW w:w="8789" w:type="dxa"/>
            <w:tcBorders>
              <w:top w:val="single" w:sz="6" w:space="0" w:color="78A22F"/>
              <w:left w:val="nil"/>
              <w:bottom w:val="nil"/>
              <w:right w:val="nil"/>
            </w:tcBorders>
            <w:shd w:val="clear" w:color="auto" w:fill="auto"/>
          </w:tcPr>
          <w:p w14:paraId="5BE2582A" w14:textId="2705FE69" w:rsidR="00300254" w:rsidRPr="00C52C8A" w:rsidRDefault="00300254" w:rsidP="009968C0">
            <w:pPr>
              <w:pStyle w:val="FigureTitle"/>
            </w:pPr>
            <w:r w:rsidRPr="00C52C8A">
              <w:rPr>
                <w:b w:val="0"/>
              </w:rPr>
              <w:t>Figure</w:t>
            </w:r>
            <w:r w:rsidR="00DE7550" w:rsidRPr="00C52C8A">
              <w:rPr>
                <w:b w:val="0"/>
              </w:rPr>
              <w:t xml:space="preserve"> </w:t>
            </w:r>
            <w:r w:rsidR="005B7EAC" w:rsidRPr="00C52C8A">
              <w:rPr>
                <w:b w:val="0"/>
              </w:rPr>
              <w:t>17.2</w:t>
            </w:r>
            <w:r w:rsidRPr="00C52C8A">
              <w:tab/>
            </w:r>
            <w:r w:rsidR="009968C0" w:rsidRPr="00C52C8A">
              <w:t>A</w:t>
            </w:r>
            <w:r w:rsidRPr="00C52C8A">
              <w:t>verage</w:t>
            </w:r>
            <w:r w:rsidR="000A1998" w:rsidRPr="00C52C8A">
              <w:t xml:space="preserve"> </w:t>
            </w:r>
            <w:r w:rsidR="009968C0" w:rsidRPr="00C52C8A">
              <w:t xml:space="preserve">daily </w:t>
            </w:r>
            <w:r w:rsidRPr="00C52C8A">
              <w:t xml:space="preserve">rate of </w:t>
            </w:r>
            <w:r w:rsidR="002977A5" w:rsidRPr="00C52C8A">
              <w:t xml:space="preserve">supervision </w:t>
            </w:r>
            <w:r w:rsidRPr="00C52C8A">
              <w:t xml:space="preserve">of young people </w:t>
            </w:r>
            <w:r w:rsidR="0032434D" w:rsidRPr="00C52C8A">
              <w:t xml:space="preserve">(rate </w:t>
            </w:r>
            <w:r w:rsidRPr="00C52C8A">
              <w:t xml:space="preserve">per 10 000 people aged 10–17 </w:t>
            </w:r>
            <w:proofErr w:type="gramStart"/>
            <w:r w:rsidRPr="00C52C8A">
              <w:t>years</w:t>
            </w:r>
            <w:r w:rsidR="0032434D" w:rsidRPr="00C52C8A">
              <w:t>)</w:t>
            </w:r>
            <w:r w:rsidRPr="00C52C8A">
              <w:rPr>
                <w:rStyle w:val="NoteLabel"/>
                <w:b/>
              </w:rPr>
              <w:t>a</w:t>
            </w:r>
            <w:proofErr w:type="gramEnd"/>
          </w:p>
        </w:tc>
      </w:tr>
      <w:tr w:rsidR="00300254" w:rsidRPr="00C52C8A" w14:paraId="4E057D76" w14:textId="77777777" w:rsidTr="006F761F">
        <w:tc>
          <w:tcPr>
            <w:tcW w:w="8789" w:type="dxa"/>
            <w:tcBorders>
              <w:top w:val="nil"/>
              <w:left w:val="nil"/>
              <w:bottom w:val="nil"/>
              <w:right w:val="nil"/>
            </w:tcBorders>
            <w:shd w:val="clear" w:color="auto" w:fill="auto"/>
            <w:tcMar>
              <w:top w:w="28" w:type="dxa"/>
              <w:bottom w:w="28" w:type="dxa"/>
            </w:tcMar>
          </w:tcPr>
          <w:tbl>
            <w:tblPr>
              <w:tblW w:w="8787"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gridCol w:w="283"/>
            </w:tblGrid>
            <w:tr w:rsidR="002977A5" w:rsidRPr="00C52C8A" w14:paraId="1C691820" w14:textId="77777777" w:rsidTr="007A4482">
              <w:tc>
                <w:tcPr>
                  <w:tcW w:w="8787" w:type="dxa"/>
                  <w:gridSpan w:val="2"/>
                  <w:tcBorders>
                    <w:top w:val="nil"/>
                    <w:bottom w:val="nil"/>
                  </w:tcBorders>
                </w:tcPr>
                <w:p w14:paraId="32B31CEA" w14:textId="77777777" w:rsidR="002977A5" w:rsidRPr="00273C37" w:rsidRDefault="002977A5" w:rsidP="00E23D6E">
                  <w:pPr>
                    <w:pStyle w:val="Figure"/>
                    <w:numPr>
                      <w:ilvl w:val="0"/>
                      <w:numId w:val="2"/>
                    </w:numPr>
                    <w:spacing w:before="60" w:after="60"/>
                    <w:rPr>
                      <w:rFonts w:asciiTheme="minorHAnsi" w:hAnsiTheme="minorHAnsi" w:cstheme="minorHAnsi"/>
                      <w:b/>
                      <w:sz w:val="20"/>
                    </w:rPr>
                  </w:pPr>
                  <w:r w:rsidRPr="00273C37">
                    <w:rPr>
                      <w:rFonts w:asciiTheme="minorHAnsi" w:hAnsiTheme="minorHAnsi" w:cstheme="minorHAnsi"/>
                      <w:b/>
                      <w:sz w:val="20"/>
                    </w:rPr>
                    <w:t>Detention</w:t>
                  </w:r>
                </w:p>
              </w:tc>
            </w:tr>
            <w:tr w:rsidR="00300254" w:rsidRPr="00C52C8A" w14:paraId="55C9BA65" w14:textId="77777777" w:rsidTr="00E763AF">
              <w:trPr>
                <w:gridAfter w:val="1"/>
                <w:wAfter w:w="283" w:type="dxa"/>
                <w:trHeight w:val="4252"/>
              </w:trPr>
              <w:tc>
                <w:tcPr>
                  <w:tcW w:w="8504" w:type="dxa"/>
                  <w:tcBorders>
                    <w:top w:val="nil"/>
                    <w:bottom w:val="nil"/>
                  </w:tcBorders>
                </w:tcPr>
                <w:p w14:paraId="06CF324F" w14:textId="1E6984A4" w:rsidR="00300254" w:rsidRPr="00C52C8A" w:rsidRDefault="00E763AF" w:rsidP="00983812">
                  <w:pPr>
                    <w:pStyle w:val="Figure"/>
                    <w:spacing w:before="60" w:after="60"/>
                  </w:pPr>
                  <w:r>
                    <w:rPr>
                      <w:noProof/>
                    </w:rPr>
                    <w:drawing>
                      <wp:inline distT="0" distB="0" distL="0" distR="0" wp14:anchorId="51124ED6" wp14:editId="6AD109B4">
                        <wp:extent cx="5140371" cy="2700000"/>
                        <wp:effectExtent l="0" t="0" r="3175" b="5715"/>
                        <wp:docPr id="14" name="Chart 14" descr="Figure 17.2  Average daily rate of supervision of young people (rate per 10 000 people aged 10–17 years).&#10;(a) Detention.&#10;More details can be found within the text surrounding this image.">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2977A5" w:rsidRPr="00C52C8A" w14:paraId="2A9F9222" w14:textId="77777777" w:rsidTr="007A4482">
              <w:tc>
                <w:tcPr>
                  <w:tcW w:w="8787" w:type="dxa"/>
                  <w:gridSpan w:val="2"/>
                  <w:tcBorders>
                    <w:top w:val="nil"/>
                    <w:bottom w:val="nil"/>
                  </w:tcBorders>
                </w:tcPr>
                <w:p w14:paraId="37008949" w14:textId="77777777" w:rsidR="002977A5" w:rsidRPr="00C52C8A" w:rsidRDefault="002977A5" w:rsidP="00E23D6E">
                  <w:pPr>
                    <w:pStyle w:val="Figure"/>
                    <w:numPr>
                      <w:ilvl w:val="0"/>
                      <w:numId w:val="2"/>
                    </w:numPr>
                    <w:spacing w:before="0" w:after="0"/>
                    <w:ind w:left="714" w:hanging="357"/>
                    <w:rPr>
                      <w:rFonts w:asciiTheme="minorHAnsi" w:hAnsiTheme="minorHAnsi" w:cstheme="minorHAnsi"/>
                      <w:b/>
                      <w:sz w:val="20"/>
                    </w:rPr>
                  </w:pPr>
                  <w:r w:rsidRPr="00C52C8A">
                    <w:rPr>
                      <w:rFonts w:asciiTheme="minorHAnsi" w:hAnsiTheme="minorHAnsi" w:cstheme="minorHAnsi"/>
                      <w:b/>
                      <w:sz w:val="20"/>
                    </w:rPr>
                    <w:t>Community</w:t>
                  </w:r>
                  <w:r w:rsidR="00F4592C" w:rsidRPr="00C52C8A">
                    <w:rPr>
                      <w:rFonts w:asciiTheme="minorHAnsi" w:hAnsiTheme="minorHAnsi" w:cstheme="minorHAnsi"/>
                      <w:b/>
                      <w:sz w:val="20"/>
                    </w:rPr>
                    <w:noBreakHyphen/>
                  </w:r>
                  <w:r w:rsidRPr="00C52C8A">
                    <w:rPr>
                      <w:rFonts w:asciiTheme="minorHAnsi" w:hAnsiTheme="minorHAnsi" w:cstheme="minorHAnsi"/>
                      <w:b/>
                      <w:sz w:val="20"/>
                    </w:rPr>
                    <w:t>based</w:t>
                  </w:r>
                </w:p>
              </w:tc>
            </w:tr>
            <w:tr w:rsidR="002977A5" w:rsidRPr="00C52C8A" w14:paraId="4BC45610" w14:textId="77777777" w:rsidTr="005F21BF">
              <w:trPr>
                <w:trHeight w:val="4263"/>
              </w:trPr>
              <w:tc>
                <w:tcPr>
                  <w:tcW w:w="8787" w:type="dxa"/>
                  <w:gridSpan w:val="2"/>
                  <w:tcBorders>
                    <w:top w:val="nil"/>
                    <w:bottom w:val="nil"/>
                  </w:tcBorders>
                </w:tcPr>
                <w:p w14:paraId="46B5E94F" w14:textId="24DD756C" w:rsidR="002977A5" w:rsidRPr="00C52C8A" w:rsidRDefault="005F21BF" w:rsidP="00983812">
                  <w:pPr>
                    <w:pStyle w:val="Figure"/>
                    <w:spacing w:before="60" w:after="60"/>
                  </w:pPr>
                  <w:r>
                    <w:rPr>
                      <w:noProof/>
                    </w:rPr>
                    <w:drawing>
                      <wp:inline distT="0" distB="0" distL="0" distR="0" wp14:anchorId="5EEE77DD" wp14:editId="706E1B99">
                        <wp:extent cx="5170187" cy="2699999"/>
                        <wp:effectExtent l="0" t="0" r="0" b="5715"/>
                        <wp:docPr id="6" name="Chart 6" descr="Figure 17.2  Average daily rate of supervision of young people (rate per 10 000 people aged 10–17 years).&#10;(b) Community-based.&#10;More details can be found within the text surrounding this image.">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6267FE6" w14:textId="77777777" w:rsidR="00300254" w:rsidRPr="00C52C8A" w:rsidRDefault="00300254" w:rsidP="00983812">
            <w:pPr>
              <w:pStyle w:val="Figure"/>
            </w:pPr>
          </w:p>
        </w:tc>
      </w:tr>
      <w:tr w:rsidR="00300254" w:rsidRPr="00C52C8A" w14:paraId="0EAE8DF3" w14:textId="77777777" w:rsidTr="006F761F">
        <w:tc>
          <w:tcPr>
            <w:tcW w:w="8789" w:type="dxa"/>
            <w:tcBorders>
              <w:top w:val="nil"/>
              <w:left w:val="nil"/>
              <w:bottom w:val="nil"/>
              <w:right w:val="nil"/>
            </w:tcBorders>
            <w:shd w:val="clear" w:color="auto" w:fill="auto"/>
          </w:tcPr>
          <w:p w14:paraId="43AAE8B7" w14:textId="44DD9701" w:rsidR="00300254" w:rsidRPr="00C52C8A" w:rsidRDefault="00300254" w:rsidP="0091549F">
            <w:pPr>
              <w:pStyle w:val="Note"/>
            </w:pPr>
            <w:r w:rsidRPr="00C52C8A">
              <w:rPr>
                <w:rStyle w:val="NoteLabel"/>
              </w:rPr>
              <w:t>a</w:t>
            </w:r>
            <w:r w:rsidRPr="00C52C8A">
              <w:t xml:space="preserve"> </w:t>
            </w:r>
            <w:r w:rsidR="00014206" w:rsidRPr="00C52C8A">
              <w:t xml:space="preserve">See </w:t>
            </w:r>
            <w:r w:rsidR="00FE26F8" w:rsidRPr="00C52C8A">
              <w:t>table 17</w:t>
            </w:r>
            <w:r w:rsidRPr="00C52C8A">
              <w:t>A.</w:t>
            </w:r>
            <w:r w:rsidR="0091549F" w:rsidRPr="00C52C8A">
              <w:t xml:space="preserve">1 </w:t>
            </w:r>
            <w:r w:rsidRPr="00C52C8A">
              <w:t>for detailed footnotes</w:t>
            </w:r>
            <w:r w:rsidR="00014206" w:rsidRPr="00C52C8A">
              <w:t xml:space="preserve"> and caveats</w:t>
            </w:r>
            <w:r w:rsidRPr="00C52C8A">
              <w:t>.</w:t>
            </w:r>
          </w:p>
        </w:tc>
      </w:tr>
      <w:tr w:rsidR="007C67C2" w:rsidRPr="00C52C8A" w14:paraId="5DC2C3CD" w14:textId="77777777" w:rsidTr="006F761F">
        <w:tc>
          <w:tcPr>
            <w:tcW w:w="8789" w:type="dxa"/>
            <w:tcBorders>
              <w:top w:val="nil"/>
              <w:left w:val="nil"/>
              <w:bottom w:val="nil"/>
              <w:right w:val="nil"/>
            </w:tcBorders>
            <w:shd w:val="clear" w:color="auto" w:fill="auto"/>
          </w:tcPr>
          <w:p w14:paraId="5988521B" w14:textId="15983889" w:rsidR="007C67C2" w:rsidRPr="00C52C8A" w:rsidRDefault="007C67C2" w:rsidP="003F2B03">
            <w:pPr>
              <w:pStyle w:val="Source"/>
            </w:pPr>
            <w:r w:rsidRPr="00C52C8A">
              <w:rPr>
                <w:i/>
              </w:rPr>
              <w:t>Source</w:t>
            </w:r>
            <w:r w:rsidRPr="00C52C8A">
              <w:t xml:space="preserve">: </w:t>
            </w:r>
            <w:r w:rsidR="00773DAF" w:rsidRPr="00C52C8A">
              <w:t>State and Territory governments (unpublished); AIHW 20</w:t>
            </w:r>
            <w:r w:rsidR="007F05F2">
              <w:t>20</w:t>
            </w:r>
            <w:r w:rsidR="00773DAF" w:rsidRPr="00C52C8A">
              <w:t>b;</w:t>
            </w:r>
            <w:r w:rsidRPr="00C52C8A">
              <w:t xml:space="preserve"> table</w:t>
            </w:r>
            <w:r w:rsidR="005B0070">
              <w:t> </w:t>
            </w:r>
            <w:r w:rsidRPr="00C52C8A">
              <w:t>17</w:t>
            </w:r>
            <w:r w:rsidR="00904AEF" w:rsidRPr="00C52C8A">
              <w:t>A.</w:t>
            </w:r>
            <w:r w:rsidR="0091549F" w:rsidRPr="00C52C8A">
              <w:t>1</w:t>
            </w:r>
            <w:r w:rsidRPr="00C52C8A">
              <w:t>.</w:t>
            </w:r>
          </w:p>
        </w:tc>
      </w:tr>
      <w:tr w:rsidR="00300254" w:rsidRPr="00C52C8A" w14:paraId="5A3548CC" w14:textId="77777777" w:rsidTr="006F761F">
        <w:tc>
          <w:tcPr>
            <w:tcW w:w="8789" w:type="dxa"/>
            <w:tcBorders>
              <w:top w:val="nil"/>
              <w:left w:val="nil"/>
              <w:bottom w:val="single" w:sz="6" w:space="0" w:color="78A22F"/>
              <w:right w:val="nil"/>
            </w:tcBorders>
            <w:shd w:val="clear" w:color="auto" w:fill="auto"/>
          </w:tcPr>
          <w:p w14:paraId="13DE8231" w14:textId="77777777" w:rsidR="00300254" w:rsidRPr="00C52C8A" w:rsidRDefault="00300254" w:rsidP="00983812">
            <w:pPr>
              <w:pStyle w:val="Figurespace"/>
            </w:pPr>
          </w:p>
        </w:tc>
      </w:tr>
      <w:tr w:rsidR="00300254" w:rsidRPr="00C52C8A" w14:paraId="4FB3CD7B" w14:textId="77777777" w:rsidTr="006F761F">
        <w:tc>
          <w:tcPr>
            <w:tcW w:w="8789" w:type="dxa"/>
            <w:tcBorders>
              <w:top w:val="single" w:sz="6" w:space="0" w:color="78A22F"/>
              <w:left w:val="nil"/>
              <w:bottom w:val="nil"/>
              <w:right w:val="nil"/>
            </w:tcBorders>
          </w:tcPr>
          <w:p w14:paraId="4936A063" w14:textId="691864E4" w:rsidR="00300254" w:rsidRPr="002E39DF" w:rsidRDefault="00300254" w:rsidP="00983812">
            <w:pPr>
              <w:pStyle w:val="BoxSpaceBelow"/>
            </w:pPr>
          </w:p>
        </w:tc>
      </w:tr>
    </w:tbl>
    <w:p w14:paraId="2AD7231F" w14:textId="77777777" w:rsidR="00EA4CCA" w:rsidRDefault="00EA4CCA" w:rsidP="00AF5C17">
      <w:pPr>
        <w:pStyle w:val="BodyText"/>
      </w:pPr>
    </w:p>
    <w:p w14:paraId="1D3B3E4D" w14:textId="77777777" w:rsidR="00EA4CCA" w:rsidRDefault="00EA4CCA">
      <w:pPr>
        <w:rPr>
          <w:szCs w:val="20"/>
        </w:rPr>
      </w:pPr>
      <w:r>
        <w:br w:type="page"/>
      </w:r>
    </w:p>
    <w:p w14:paraId="560A9213" w14:textId="5C7B58D1" w:rsidR="00AF5C17" w:rsidRPr="00C52C8A" w:rsidRDefault="00AF5C17" w:rsidP="00AF5C17">
      <w:pPr>
        <w:pStyle w:val="BodyText"/>
      </w:pPr>
      <w:r w:rsidRPr="00C52C8A">
        <w:lastRenderedPageBreak/>
        <w:t xml:space="preserve">Centre utilisation (which is based on the number of all young people in detention centres as a proportion of the number of permanently </w:t>
      </w:r>
      <w:r w:rsidRPr="00E763AF">
        <w:t xml:space="preserve">funded beds) </w:t>
      </w:r>
      <w:r w:rsidR="003660BF" w:rsidRPr="00E763AF">
        <w:t xml:space="preserve">decreased </w:t>
      </w:r>
      <w:r w:rsidRPr="00E763AF">
        <w:t>in most jurisdictions and nationally between 201</w:t>
      </w:r>
      <w:r w:rsidR="007F05F2" w:rsidRPr="00E763AF">
        <w:t>8</w:t>
      </w:r>
      <w:r w:rsidRPr="00E763AF">
        <w:noBreakHyphen/>
        <w:t>1</w:t>
      </w:r>
      <w:r w:rsidR="007F05F2" w:rsidRPr="00E763AF">
        <w:t>9</w:t>
      </w:r>
      <w:r w:rsidRPr="00E763AF">
        <w:t xml:space="preserve"> and 201</w:t>
      </w:r>
      <w:r w:rsidR="007F05F2" w:rsidRPr="00E763AF">
        <w:t>9</w:t>
      </w:r>
      <w:r w:rsidRPr="00E763AF">
        <w:noBreakHyphen/>
      </w:r>
      <w:r w:rsidR="007F05F2" w:rsidRPr="00E763AF">
        <w:t>20</w:t>
      </w:r>
      <w:r w:rsidRPr="00E763AF">
        <w:t xml:space="preserve"> (table</w:t>
      </w:r>
      <w:r w:rsidR="005B0070" w:rsidRPr="00E763AF">
        <w:t> </w:t>
      </w:r>
      <w:r w:rsidRPr="00E763AF">
        <w:t>17A.</w:t>
      </w:r>
      <w:r w:rsidRPr="00C84076">
        <w:t>2)</w:t>
      </w:r>
      <w:r w:rsidR="00EE5BFE" w:rsidRPr="00C84076">
        <w:t>, and is at its lowest level in the six of years of reported data</w:t>
      </w:r>
      <w:r w:rsidRPr="00C84076">
        <w:t>. Operating youth justice det</w:t>
      </w:r>
      <w:r w:rsidRPr="00C52C8A">
        <w:t xml:space="preserve">ention centres at below full capacity assists to maintain a safe operating environment for young offenders. </w:t>
      </w:r>
    </w:p>
    <w:p w14:paraId="6E92C85A" w14:textId="2131DC99" w:rsidR="00AF5C17" w:rsidRPr="00C52C8A" w:rsidRDefault="00AF5C17" w:rsidP="00AF5C17">
      <w:pPr>
        <w:pStyle w:val="BodyText"/>
      </w:pPr>
      <w:r w:rsidRPr="00C52C8A">
        <w:t>Most of the young people aged 10–17 years supervised by youth justice agencies are males (in 201</w:t>
      </w:r>
      <w:r w:rsidR="007F05F2">
        <w:t>9</w:t>
      </w:r>
      <w:r w:rsidRPr="00C52C8A">
        <w:noBreakHyphen/>
      </w:r>
      <w:r w:rsidR="007F05F2">
        <w:t>20</w:t>
      </w:r>
      <w:r w:rsidRPr="00C52C8A">
        <w:t xml:space="preserve">, </w:t>
      </w:r>
      <w:r w:rsidR="00E763AF">
        <w:t>89.5</w:t>
      </w:r>
      <w:r w:rsidRPr="00C52C8A">
        <w:t xml:space="preserve"> per cent in </w:t>
      </w:r>
      <w:r w:rsidRPr="005F21BF">
        <w:t>detention and 7</w:t>
      </w:r>
      <w:r w:rsidR="005F21BF" w:rsidRPr="005F21BF">
        <w:t>6</w:t>
      </w:r>
      <w:r w:rsidRPr="005F21BF">
        <w:t>.</w:t>
      </w:r>
      <w:r w:rsidR="005F21BF" w:rsidRPr="005F21BF">
        <w:t>7</w:t>
      </w:r>
      <w:r w:rsidRPr="005F21BF">
        <w:t xml:space="preserve"> per</w:t>
      </w:r>
      <w:r w:rsidRPr="00C52C8A">
        <w:t xml:space="preserve"> cent in the community) (tables 17A.3−4).</w:t>
      </w:r>
    </w:p>
    <w:p w14:paraId="6098F901" w14:textId="77F0E7E4" w:rsidR="001C3F5D" w:rsidRPr="00C52C8A" w:rsidRDefault="00C56E0A" w:rsidP="00785F8A">
      <w:pPr>
        <w:pStyle w:val="BodyText"/>
      </w:pPr>
      <w:r w:rsidRPr="00C52C8A">
        <w:t xml:space="preserve">Aboriginal and Torres Strait Islander young people </w:t>
      </w:r>
      <w:r w:rsidR="00014FE0" w:rsidRPr="00C52C8A">
        <w:t>are overrepresented in the youth justice system</w:t>
      </w:r>
      <w:r w:rsidR="00BF3931" w:rsidRPr="00C52C8A">
        <w:t xml:space="preserve">, and </w:t>
      </w:r>
      <w:r w:rsidR="00BF3931" w:rsidRPr="00C84076">
        <w:t xml:space="preserve">to a </w:t>
      </w:r>
      <w:r w:rsidR="00EE5BFE" w:rsidRPr="00C84076">
        <w:t xml:space="preserve">slightly </w:t>
      </w:r>
      <w:r w:rsidR="00BF3931" w:rsidRPr="00C84076">
        <w:t>greater extent</w:t>
      </w:r>
      <w:r w:rsidR="00BF3931" w:rsidRPr="00C52C8A">
        <w:t xml:space="preserve"> </w:t>
      </w:r>
      <w:r w:rsidR="00E44F23" w:rsidRPr="00C52C8A">
        <w:t>in</w:t>
      </w:r>
      <w:r w:rsidR="00BF3931" w:rsidRPr="00C52C8A">
        <w:t xml:space="preserve"> detention</w:t>
      </w:r>
      <w:r w:rsidR="00911FAF">
        <w:noBreakHyphen/>
      </w:r>
      <w:r w:rsidR="00BF3931" w:rsidRPr="00C52C8A">
        <w:t xml:space="preserve">based </w:t>
      </w:r>
      <w:r w:rsidR="00BF3931" w:rsidRPr="008C7215">
        <w:t>supervision (</w:t>
      </w:r>
      <w:r w:rsidR="00E763AF" w:rsidRPr="008C7215">
        <w:t>18</w:t>
      </w:r>
      <w:r w:rsidR="00BF3931" w:rsidRPr="008C7215">
        <w:t xml:space="preserve"> times the rate</w:t>
      </w:r>
      <w:r w:rsidR="00BF3931" w:rsidRPr="00C52C8A">
        <w:t xml:space="preserve"> for non</w:t>
      </w:r>
      <w:r w:rsidR="00BF3931" w:rsidRPr="00C52C8A">
        <w:noBreakHyphen/>
        <w:t>Indigenous young people</w:t>
      </w:r>
      <w:r w:rsidR="006E1FBF" w:rsidRPr="00C52C8A">
        <w:t xml:space="preserve"> </w:t>
      </w:r>
      <w:r w:rsidR="004D2F95" w:rsidRPr="00C52C8A">
        <w:t>nationally</w:t>
      </w:r>
      <w:r w:rsidR="00BF3931" w:rsidRPr="00C52C8A">
        <w:t xml:space="preserve"> in 201</w:t>
      </w:r>
      <w:r w:rsidR="007F05F2">
        <w:t>9</w:t>
      </w:r>
      <w:r w:rsidR="00600E00" w:rsidRPr="00C52C8A">
        <w:noBreakHyphen/>
      </w:r>
      <w:r w:rsidR="007F05F2">
        <w:t>20</w:t>
      </w:r>
      <w:r w:rsidR="00BF3931" w:rsidRPr="00C52C8A">
        <w:t xml:space="preserve">) </w:t>
      </w:r>
      <w:r w:rsidR="00F952DB" w:rsidRPr="00C52C8A">
        <w:t>(figure</w:t>
      </w:r>
      <w:r w:rsidR="005B0070">
        <w:t> </w:t>
      </w:r>
      <w:r w:rsidR="00F952DB" w:rsidRPr="00C52C8A">
        <w:t xml:space="preserve">17.3) </w:t>
      </w:r>
      <w:r w:rsidR="00BF3931" w:rsidRPr="00C52C8A">
        <w:t>compared to community</w:t>
      </w:r>
      <w:r w:rsidR="00EE5BFE">
        <w:noBreakHyphen/>
      </w:r>
      <w:r w:rsidR="00BF3931" w:rsidRPr="00C52C8A">
        <w:t xml:space="preserve">based </w:t>
      </w:r>
      <w:r w:rsidR="00BF3931" w:rsidRPr="005F21BF">
        <w:t>supervision (</w:t>
      </w:r>
      <w:r w:rsidR="003753BE" w:rsidRPr="005F21BF">
        <w:t>1</w:t>
      </w:r>
      <w:r w:rsidR="005F21BF">
        <w:t>7</w:t>
      </w:r>
      <w:r w:rsidR="00BF3931" w:rsidRPr="005F21BF">
        <w:t> times the rate</w:t>
      </w:r>
      <w:r w:rsidR="00BF3931" w:rsidRPr="00C52C8A">
        <w:t xml:space="preserve"> for non</w:t>
      </w:r>
      <w:r w:rsidR="00911FAF">
        <w:noBreakHyphen/>
      </w:r>
      <w:r w:rsidR="00BF3931" w:rsidRPr="00C52C8A">
        <w:t xml:space="preserve">Indigenous young people </w:t>
      </w:r>
      <w:r w:rsidR="006E1FBF" w:rsidRPr="00C52C8A">
        <w:t xml:space="preserve">nationally </w:t>
      </w:r>
      <w:r w:rsidR="00BF3931" w:rsidRPr="00C52C8A">
        <w:t>in 201</w:t>
      </w:r>
      <w:r w:rsidR="007F05F2">
        <w:t>9</w:t>
      </w:r>
      <w:r w:rsidR="00600E00" w:rsidRPr="00C52C8A">
        <w:noBreakHyphen/>
      </w:r>
      <w:r w:rsidR="007F05F2">
        <w:t>20</w:t>
      </w:r>
      <w:r w:rsidR="00BF3931" w:rsidRPr="00C52C8A">
        <w:t>)</w:t>
      </w:r>
      <w:r w:rsidRPr="00C52C8A">
        <w:t xml:space="preserve"> </w:t>
      </w:r>
      <w:r w:rsidR="00413C3F" w:rsidRPr="00C52C8A">
        <w:t>(</w:t>
      </w:r>
      <w:r w:rsidR="00CC4B31" w:rsidRPr="00C52C8A">
        <w:t>figure</w:t>
      </w:r>
      <w:r w:rsidR="00F4592C" w:rsidRPr="00C52C8A">
        <w:t> </w:t>
      </w:r>
      <w:r w:rsidR="005B7EAC" w:rsidRPr="00C52C8A">
        <w:t>17.4</w:t>
      </w:r>
      <w:r w:rsidR="004B3AA6" w:rsidRPr="00C52C8A">
        <w:t>)</w:t>
      </w:r>
      <w:r w:rsidR="00BF3931" w:rsidRPr="00C52C8A">
        <w:t xml:space="preserve">. </w:t>
      </w:r>
    </w:p>
    <w:p w14:paraId="7B10849D" w14:textId="77ADFEE4" w:rsidR="00300254" w:rsidRPr="002E39DF" w:rsidRDefault="00300254"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00254" w:rsidRPr="00C52C8A" w14:paraId="2EEDBAA3" w14:textId="77777777" w:rsidTr="006F761F">
        <w:tc>
          <w:tcPr>
            <w:tcW w:w="8789" w:type="dxa"/>
            <w:tcBorders>
              <w:top w:val="single" w:sz="6" w:space="0" w:color="78A22F"/>
              <w:left w:val="nil"/>
              <w:bottom w:val="nil"/>
              <w:right w:val="nil"/>
            </w:tcBorders>
            <w:shd w:val="clear" w:color="auto" w:fill="auto"/>
          </w:tcPr>
          <w:p w14:paraId="43BC6EA6" w14:textId="622F5E9E" w:rsidR="00300254" w:rsidRPr="00C52C8A" w:rsidRDefault="00300254" w:rsidP="00554F6E">
            <w:pPr>
              <w:pStyle w:val="FigureTitle"/>
            </w:pPr>
            <w:r w:rsidRPr="00C52C8A">
              <w:rPr>
                <w:b w:val="0"/>
              </w:rPr>
              <w:t>Figure</w:t>
            </w:r>
            <w:r w:rsidR="00DE7550" w:rsidRPr="00C52C8A">
              <w:rPr>
                <w:b w:val="0"/>
              </w:rPr>
              <w:t xml:space="preserve"> </w:t>
            </w:r>
            <w:r w:rsidR="005B7EAC" w:rsidRPr="00C52C8A">
              <w:rPr>
                <w:b w:val="0"/>
              </w:rPr>
              <w:t>17.3</w:t>
            </w:r>
            <w:r w:rsidRPr="00C52C8A">
              <w:tab/>
            </w:r>
            <w:r w:rsidR="009968C0" w:rsidRPr="00C52C8A">
              <w:t>A</w:t>
            </w:r>
            <w:r w:rsidR="00FE7AFD" w:rsidRPr="00C52C8A">
              <w:t xml:space="preserve">verage </w:t>
            </w:r>
            <w:r w:rsidR="009968C0" w:rsidRPr="00C52C8A">
              <w:t xml:space="preserve">daily </w:t>
            </w:r>
            <w:r w:rsidR="00FE7AFD" w:rsidRPr="00C52C8A">
              <w:t xml:space="preserve">rate of detention of </w:t>
            </w:r>
            <w:r w:rsidR="000F044E" w:rsidRPr="00C52C8A">
              <w:t>young people</w:t>
            </w:r>
            <w:r w:rsidR="00352A87" w:rsidRPr="00C52C8A">
              <w:t xml:space="preserve"> aged 10–17 years</w:t>
            </w:r>
            <w:r w:rsidR="0023752C" w:rsidRPr="00C52C8A">
              <w:t>, by Indigenous status, 201</w:t>
            </w:r>
            <w:r w:rsidR="0020514F">
              <w:t>9</w:t>
            </w:r>
            <w:r w:rsidR="00F4592C" w:rsidRPr="00C52C8A">
              <w:noBreakHyphen/>
            </w:r>
            <w:r w:rsidR="0020514F">
              <w:t>20</w:t>
            </w:r>
            <w:r w:rsidR="00FE7AFD" w:rsidRPr="00C52C8A">
              <w:rPr>
                <w:rStyle w:val="NoteLabel"/>
                <w:b/>
              </w:rPr>
              <w:t>a</w:t>
            </w:r>
          </w:p>
        </w:tc>
      </w:tr>
      <w:tr w:rsidR="00300254" w:rsidRPr="00C52C8A" w14:paraId="4158A76F" w14:textId="77777777" w:rsidTr="00F74CBA">
        <w:trPr>
          <w:trHeight w:val="4143"/>
        </w:trPr>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300254" w:rsidRPr="00C52C8A" w14:paraId="1C9C139F" w14:textId="77777777" w:rsidTr="00E763AF">
              <w:trPr>
                <w:trHeight w:val="4221"/>
              </w:trPr>
              <w:tc>
                <w:tcPr>
                  <w:tcW w:w="8504" w:type="dxa"/>
                  <w:tcBorders>
                    <w:top w:val="nil"/>
                    <w:bottom w:val="nil"/>
                  </w:tcBorders>
                </w:tcPr>
                <w:p w14:paraId="711DBB01" w14:textId="3283AC09" w:rsidR="00300254" w:rsidRPr="00C52C8A" w:rsidRDefault="00E763AF" w:rsidP="00983812">
                  <w:pPr>
                    <w:pStyle w:val="Figure"/>
                    <w:spacing w:before="60" w:after="60"/>
                  </w:pPr>
                  <w:r>
                    <w:rPr>
                      <w:noProof/>
                    </w:rPr>
                    <w:drawing>
                      <wp:inline distT="0" distB="0" distL="0" distR="0" wp14:anchorId="006BAD9D" wp14:editId="018EBF5B">
                        <wp:extent cx="5030504" cy="2700001"/>
                        <wp:effectExtent l="0" t="0" r="0" b="5715"/>
                        <wp:docPr id="19" name="Chart 19" descr="Figure 17.3  Average daily rate of detention of young people aged 10–17 years, by Indigenous status, 2019-20.&#10;More details can be found within the text surrounding this image.">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2AA970C9" w14:textId="77777777" w:rsidR="00300254" w:rsidRPr="00C52C8A" w:rsidRDefault="00300254" w:rsidP="00983812">
            <w:pPr>
              <w:pStyle w:val="Figure"/>
            </w:pPr>
          </w:p>
        </w:tc>
      </w:tr>
      <w:tr w:rsidR="00300254" w:rsidRPr="00C52C8A" w14:paraId="3205B1B0" w14:textId="77777777" w:rsidTr="006F761F">
        <w:tc>
          <w:tcPr>
            <w:tcW w:w="8789" w:type="dxa"/>
            <w:tcBorders>
              <w:top w:val="nil"/>
              <w:left w:val="nil"/>
              <w:bottom w:val="nil"/>
              <w:right w:val="nil"/>
            </w:tcBorders>
            <w:shd w:val="clear" w:color="auto" w:fill="auto"/>
          </w:tcPr>
          <w:p w14:paraId="011C340E" w14:textId="3C096AD5" w:rsidR="00300254" w:rsidRPr="00C52C8A" w:rsidRDefault="00300254" w:rsidP="003F5CAF">
            <w:pPr>
              <w:pStyle w:val="Note"/>
            </w:pPr>
            <w:r w:rsidRPr="00C52C8A">
              <w:rPr>
                <w:rStyle w:val="NoteLabel"/>
              </w:rPr>
              <w:t>a</w:t>
            </w:r>
            <w:r w:rsidRPr="00C52C8A">
              <w:t xml:space="preserve"> </w:t>
            </w:r>
            <w:r w:rsidR="00014206" w:rsidRPr="00C52C8A">
              <w:t xml:space="preserve">See </w:t>
            </w:r>
            <w:r w:rsidR="00432EBA" w:rsidRPr="00C52C8A">
              <w:t>table</w:t>
            </w:r>
            <w:r w:rsidR="005B0070">
              <w:t> </w:t>
            </w:r>
            <w:r w:rsidR="00432EBA" w:rsidRPr="00C52C8A">
              <w:t>1</w:t>
            </w:r>
            <w:r w:rsidR="001C2464" w:rsidRPr="00C52C8A">
              <w:t>7</w:t>
            </w:r>
            <w:r w:rsidR="008651D4" w:rsidRPr="00C52C8A">
              <w:t>A.</w:t>
            </w:r>
            <w:r w:rsidR="00904AEF" w:rsidRPr="00C52C8A">
              <w:t>5</w:t>
            </w:r>
            <w:r w:rsidR="00432EBA" w:rsidRPr="00C52C8A">
              <w:t xml:space="preserve"> for detailed footnotes</w:t>
            </w:r>
            <w:r w:rsidR="00014206" w:rsidRPr="00C52C8A">
              <w:t xml:space="preserve"> and caveats</w:t>
            </w:r>
            <w:r w:rsidR="00432EBA" w:rsidRPr="00C52C8A">
              <w:t xml:space="preserve">. </w:t>
            </w:r>
          </w:p>
        </w:tc>
      </w:tr>
      <w:tr w:rsidR="007C67C2" w:rsidRPr="00C52C8A" w14:paraId="5136BDCC" w14:textId="77777777" w:rsidTr="006F761F">
        <w:tc>
          <w:tcPr>
            <w:tcW w:w="8789" w:type="dxa"/>
            <w:tcBorders>
              <w:top w:val="nil"/>
              <w:left w:val="nil"/>
              <w:bottom w:val="nil"/>
              <w:right w:val="nil"/>
            </w:tcBorders>
            <w:shd w:val="clear" w:color="auto" w:fill="auto"/>
          </w:tcPr>
          <w:p w14:paraId="1F7E740C" w14:textId="0613C38A" w:rsidR="007C67C2" w:rsidRPr="00C52C8A" w:rsidRDefault="007C67C2" w:rsidP="003F2B03">
            <w:pPr>
              <w:pStyle w:val="Source"/>
            </w:pPr>
            <w:r w:rsidRPr="00C52C8A">
              <w:rPr>
                <w:i/>
              </w:rPr>
              <w:t>Source</w:t>
            </w:r>
            <w:r w:rsidRPr="00C52C8A">
              <w:t xml:space="preserve">: </w:t>
            </w:r>
            <w:r w:rsidR="00773DAF" w:rsidRPr="00C52C8A">
              <w:t>State and Territory governments (unpublished);</w:t>
            </w:r>
            <w:r w:rsidRPr="00C52C8A">
              <w:t xml:space="preserve"> table</w:t>
            </w:r>
            <w:r w:rsidR="005B0070">
              <w:t> </w:t>
            </w:r>
            <w:r w:rsidRPr="00C52C8A">
              <w:t>17A.</w:t>
            </w:r>
            <w:r w:rsidR="00904AEF" w:rsidRPr="00C52C8A">
              <w:t>5</w:t>
            </w:r>
            <w:r w:rsidRPr="00C52C8A">
              <w:t>.</w:t>
            </w:r>
          </w:p>
        </w:tc>
      </w:tr>
      <w:tr w:rsidR="00300254" w:rsidRPr="00C52C8A" w14:paraId="1DA8810D" w14:textId="77777777" w:rsidTr="00F74CBA">
        <w:trPr>
          <w:trHeight w:val="95"/>
        </w:trPr>
        <w:tc>
          <w:tcPr>
            <w:tcW w:w="8789" w:type="dxa"/>
            <w:tcBorders>
              <w:top w:val="nil"/>
              <w:left w:val="nil"/>
              <w:bottom w:val="single" w:sz="6" w:space="0" w:color="78A22F"/>
              <w:right w:val="nil"/>
            </w:tcBorders>
            <w:shd w:val="clear" w:color="auto" w:fill="auto"/>
          </w:tcPr>
          <w:p w14:paraId="3C1C1D9A" w14:textId="77777777" w:rsidR="00300254" w:rsidRPr="00C52C8A" w:rsidRDefault="00300254" w:rsidP="00983812">
            <w:pPr>
              <w:pStyle w:val="Figurespace"/>
            </w:pPr>
          </w:p>
        </w:tc>
      </w:tr>
      <w:tr w:rsidR="00300254" w:rsidRPr="00C52C8A" w14:paraId="0F71E0B7" w14:textId="77777777" w:rsidTr="006F761F">
        <w:tc>
          <w:tcPr>
            <w:tcW w:w="8789" w:type="dxa"/>
            <w:tcBorders>
              <w:top w:val="single" w:sz="6" w:space="0" w:color="78A22F"/>
              <w:left w:val="nil"/>
              <w:bottom w:val="nil"/>
              <w:right w:val="nil"/>
            </w:tcBorders>
          </w:tcPr>
          <w:p w14:paraId="646B9CF9" w14:textId="6A4516CA" w:rsidR="00300254" w:rsidRPr="002E39DF" w:rsidRDefault="00300254" w:rsidP="00983812">
            <w:pPr>
              <w:pStyle w:val="BoxSpaceBelow"/>
            </w:pPr>
          </w:p>
        </w:tc>
      </w:tr>
    </w:tbl>
    <w:p w14:paraId="1EC6814F" w14:textId="1E1016BD" w:rsidR="00DE7550" w:rsidRPr="002E39DF" w:rsidRDefault="00DE7550" w:rsidP="00DE755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E7AFD" w:rsidRPr="00C52C8A" w14:paraId="0DE55746" w14:textId="77777777" w:rsidTr="00C84076">
        <w:tc>
          <w:tcPr>
            <w:tcW w:w="8789" w:type="dxa"/>
            <w:tcBorders>
              <w:top w:val="single" w:sz="6" w:space="0" w:color="78A22F"/>
              <w:left w:val="nil"/>
              <w:bottom w:val="nil"/>
              <w:right w:val="nil"/>
            </w:tcBorders>
            <w:shd w:val="clear" w:color="auto" w:fill="auto"/>
          </w:tcPr>
          <w:p w14:paraId="405B6959" w14:textId="5B5A019E" w:rsidR="00FE7AFD" w:rsidRPr="00C52C8A" w:rsidRDefault="00FE7AFD" w:rsidP="00554F6E">
            <w:pPr>
              <w:pStyle w:val="FigureTitle"/>
            </w:pPr>
            <w:r w:rsidRPr="00C52C8A">
              <w:rPr>
                <w:b w:val="0"/>
              </w:rPr>
              <w:t>Figure</w:t>
            </w:r>
            <w:r w:rsidR="00DE7550" w:rsidRPr="00C52C8A">
              <w:rPr>
                <w:b w:val="0"/>
              </w:rPr>
              <w:t xml:space="preserve"> </w:t>
            </w:r>
            <w:r w:rsidR="005B7EAC" w:rsidRPr="00C52C8A">
              <w:rPr>
                <w:b w:val="0"/>
              </w:rPr>
              <w:t>17.4</w:t>
            </w:r>
            <w:r w:rsidRPr="00C52C8A">
              <w:tab/>
            </w:r>
            <w:r w:rsidR="00FF6E9F" w:rsidRPr="00C52C8A">
              <w:t>A</w:t>
            </w:r>
            <w:r w:rsidR="00686719" w:rsidRPr="00C52C8A">
              <w:t>verage</w:t>
            </w:r>
            <w:r w:rsidR="00FF6E9F" w:rsidRPr="00C52C8A">
              <w:t xml:space="preserve"> daily</w:t>
            </w:r>
            <w:r w:rsidR="00D45B5E" w:rsidRPr="00C52C8A">
              <w:t xml:space="preserve"> rate of </w:t>
            </w:r>
            <w:r w:rsidR="009F3A5C" w:rsidRPr="00C52C8A">
              <w:t>young people</w:t>
            </w:r>
            <w:r w:rsidR="00D45B5E" w:rsidRPr="00C52C8A">
              <w:t xml:space="preserve"> </w:t>
            </w:r>
            <w:r w:rsidR="00352A87" w:rsidRPr="00C52C8A">
              <w:t xml:space="preserve">aged 10–17 years </w:t>
            </w:r>
            <w:r w:rsidR="00D45B5E" w:rsidRPr="00C52C8A">
              <w:t>subject to community</w:t>
            </w:r>
            <w:r w:rsidR="00911FAF">
              <w:noBreakHyphen/>
            </w:r>
            <w:r w:rsidR="00877F2B" w:rsidRPr="00C52C8A">
              <w:t>based</w:t>
            </w:r>
            <w:r w:rsidR="00D45B5E" w:rsidRPr="00C52C8A">
              <w:t xml:space="preserve"> supervision, </w:t>
            </w:r>
            <w:r w:rsidR="0023752C" w:rsidRPr="00C52C8A">
              <w:t>by Indigenous status, 201</w:t>
            </w:r>
            <w:r w:rsidR="0020514F">
              <w:t>9</w:t>
            </w:r>
            <w:r w:rsidR="00F4592C" w:rsidRPr="00C52C8A">
              <w:noBreakHyphen/>
            </w:r>
            <w:r w:rsidR="0020514F">
              <w:t>20</w:t>
            </w:r>
            <w:r w:rsidR="00B60F5E" w:rsidRPr="00C52C8A">
              <w:rPr>
                <w:rStyle w:val="NoteLabel"/>
                <w:b/>
              </w:rPr>
              <w:t>a</w:t>
            </w:r>
          </w:p>
        </w:tc>
      </w:tr>
      <w:tr w:rsidR="00FE7AFD" w:rsidRPr="00C52C8A" w14:paraId="52EB19F3" w14:textId="77777777" w:rsidTr="00C84076">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FE7AFD" w:rsidRPr="00C52C8A" w14:paraId="064D7D5D" w14:textId="77777777" w:rsidTr="0020514F">
              <w:trPr>
                <w:trHeight w:val="4252"/>
              </w:trPr>
              <w:tc>
                <w:tcPr>
                  <w:tcW w:w="8504" w:type="dxa"/>
                  <w:tcBorders>
                    <w:top w:val="nil"/>
                    <w:bottom w:val="nil"/>
                  </w:tcBorders>
                </w:tcPr>
                <w:p w14:paraId="3251C709" w14:textId="770F5D0A" w:rsidR="00FE7AFD" w:rsidRPr="00C52C8A" w:rsidRDefault="0020514F" w:rsidP="00B81703">
                  <w:pPr>
                    <w:pStyle w:val="Figure"/>
                    <w:spacing w:before="60" w:after="60"/>
                  </w:pPr>
                  <w:r>
                    <w:rPr>
                      <w:noProof/>
                    </w:rPr>
                    <w:drawing>
                      <wp:inline distT="0" distB="0" distL="0" distR="0" wp14:anchorId="237138A7" wp14:editId="5C4FC5BF">
                        <wp:extent cx="5262880" cy="2635885"/>
                        <wp:effectExtent l="0" t="0" r="0" b="0"/>
                        <wp:docPr id="11" name="Chart 11" descr="Figure 17.4  Average daily rate of young people aged 10–17 years subject to community based supervision, by Indigenous status, 2019-20.&#10;More details can be found within the text surrounding this image.">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65CF0B23" w14:textId="77777777" w:rsidR="00FE7AFD" w:rsidRPr="00C52C8A" w:rsidRDefault="00FE7AFD" w:rsidP="00B81703">
            <w:pPr>
              <w:pStyle w:val="Figure"/>
            </w:pPr>
          </w:p>
        </w:tc>
      </w:tr>
      <w:tr w:rsidR="00FE7AFD" w:rsidRPr="00C52C8A" w14:paraId="228D1DDF" w14:textId="77777777" w:rsidTr="00C84076">
        <w:tc>
          <w:tcPr>
            <w:tcW w:w="8789" w:type="dxa"/>
            <w:tcBorders>
              <w:top w:val="nil"/>
              <w:left w:val="nil"/>
              <w:bottom w:val="nil"/>
              <w:right w:val="nil"/>
            </w:tcBorders>
            <w:shd w:val="clear" w:color="auto" w:fill="auto"/>
          </w:tcPr>
          <w:p w14:paraId="204F701F" w14:textId="4376DAD4" w:rsidR="00FE7AFD" w:rsidRPr="00C52C8A" w:rsidRDefault="00432EBA" w:rsidP="003F5CAF">
            <w:pPr>
              <w:pStyle w:val="Note"/>
            </w:pPr>
            <w:r w:rsidRPr="00C52C8A">
              <w:rPr>
                <w:rStyle w:val="NoteLabel"/>
              </w:rPr>
              <w:t>a</w:t>
            </w:r>
            <w:r w:rsidRPr="00C52C8A">
              <w:t xml:space="preserve"> </w:t>
            </w:r>
            <w:r w:rsidR="00014206" w:rsidRPr="00C52C8A">
              <w:t>See</w:t>
            </w:r>
            <w:r w:rsidRPr="00C52C8A">
              <w:t xml:space="preserve"> table</w:t>
            </w:r>
            <w:r w:rsidR="005B0070">
              <w:t> </w:t>
            </w:r>
            <w:r w:rsidRPr="00C52C8A">
              <w:t>1</w:t>
            </w:r>
            <w:r w:rsidR="001C2464" w:rsidRPr="00C52C8A">
              <w:t>7</w:t>
            </w:r>
            <w:r w:rsidR="008651D4" w:rsidRPr="00C52C8A">
              <w:t>A.</w:t>
            </w:r>
            <w:r w:rsidR="00904AEF" w:rsidRPr="00C52C8A">
              <w:t>6</w:t>
            </w:r>
            <w:r w:rsidRPr="00C52C8A">
              <w:t xml:space="preserve"> for detailed footnotes</w:t>
            </w:r>
            <w:r w:rsidR="00014206" w:rsidRPr="00C52C8A">
              <w:t xml:space="preserve"> and caveats</w:t>
            </w:r>
            <w:r w:rsidRPr="00C52C8A">
              <w:t xml:space="preserve">. </w:t>
            </w:r>
          </w:p>
        </w:tc>
      </w:tr>
      <w:tr w:rsidR="00FE7AFD" w:rsidRPr="00C52C8A" w14:paraId="4597976F" w14:textId="77777777" w:rsidTr="00C84076">
        <w:tc>
          <w:tcPr>
            <w:tcW w:w="8789" w:type="dxa"/>
            <w:tcBorders>
              <w:top w:val="nil"/>
              <w:left w:val="nil"/>
              <w:bottom w:val="nil"/>
              <w:right w:val="nil"/>
            </w:tcBorders>
            <w:shd w:val="clear" w:color="auto" w:fill="auto"/>
          </w:tcPr>
          <w:p w14:paraId="1ABFA7DD" w14:textId="3F414832" w:rsidR="00FE7AFD" w:rsidRPr="00C52C8A" w:rsidRDefault="00557A3A" w:rsidP="003F2B03">
            <w:pPr>
              <w:pStyle w:val="Source"/>
            </w:pPr>
            <w:r w:rsidRPr="00C52C8A">
              <w:rPr>
                <w:i/>
              </w:rPr>
              <w:t>Source</w:t>
            </w:r>
            <w:r w:rsidRPr="00C52C8A">
              <w:t xml:space="preserve">: </w:t>
            </w:r>
            <w:r w:rsidR="00773DAF" w:rsidRPr="00C52C8A">
              <w:t xml:space="preserve">State and Territory governments (unpublished); </w:t>
            </w:r>
            <w:r w:rsidR="001C2464" w:rsidRPr="00C52C8A">
              <w:t>table</w:t>
            </w:r>
            <w:r w:rsidR="005B0070">
              <w:t> </w:t>
            </w:r>
            <w:r w:rsidR="001C2464" w:rsidRPr="00C52C8A">
              <w:t>17</w:t>
            </w:r>
            <w:r w:rsidR="008651D4" w:rsidRPr="00C52C8A">
              <w:t>A.</w:t>
            </w:r>
            <w:r w:rsidR="00904AEF" w:rsidRPr="00C52C8A">
              <w:t>6</w:t>
            </w:r>
            <w:r w:rsidR="00D45B5E" w:rsidRPr="00C52C8A">
              <w:t>.</w:t>
            </w:r>
          </w:p>
        </w:tc>
      </w:tr>
      <w:tr w:rsidR="00FE7AFD" w:rsidRPr="00C52C8A" w14:paraId="0F49BA0F" w14:textId="77777777" w:rsidTr="00C84076">
        <w:tc>
          <w:tcPr>
            <w:tcW w:w="8789" w:type="dxa"/>
            <w:tcBorders>
              <w:top w:val="nil"/>
              <w:left w:val="nil"/>
              <w:bottom w:val="single" w:sz="6" w:space="0" w:color="78A22F"/>
              <w:right w:val="nil"/>
            </w:tcBorders>
            <w:shd w:val="clear" w:color="auto" w:fill="auto"/>
          </w:tcPr>
          <w:p w14:paraId="63996878" w14:textId="77777777" w:rsidR="00FE7AFD" w:rsidRPr="00C52C8A" w:rsidRDefault="00FE7AFD" w:rsidP="00B81703">
            <w:pPr>
              <w:pStyle w:val="Figurespace"/>
            </w:pPr>
          </w:p>
        </w:tc>
      </w:tr>
      <w:tr w:rsidR="00FE7AFD" w:rsidRPr="00C52C8A" w14:paraId="5DBF1E42" w14:textId="77777777" w:rsidTr="00C84076">
        <w:tc>
          <w:tcPr>
            <w:tcW w:w="8789" w:type="dxa"/>
            <w:tcBorders>
              <w:top w:val="single" w:sz="6" w:space="0" w:color="78A22F"/>
              <w:left w:val="nil"/>
              <w:bottom w:val="nil"/>
              <w:right w:val="nil"/>
            </w:tcBorders>
          </w:tcPr>
          <w:p w14:paraId="1A738B99" w14:textId="4E32F28B" w:rsidR="00FE7AFD" w:rsidRPr="002E39DF" w:rsidRDefault="00FE7AFD" w:rsidP="00B81703">
            <w:pPr>
              <w:pStyle w:val="BoxSpaceBelow"/>
            </w:pPr>
          </w:p>
        </w:tc>
      </w:tr>
    </w:tbl>
    <w:p w14:paraId="4BDBA6A0" w14:textId="3566793C" w:rsidR="00AA25E3" w:rsidRPr="00C52C8A" w:rsidRDefault="00AA25E3" w:rsidP="00AA25E3">
      <w:pPr>
        <w:pStyle w:val="BodyText"/>
      </w:pPr>
      <w:r w:rsidRPr="00C52C8A">
        <w:t>Data on detention rates and community</w:t>
      </w:r>
      <w:r w:rsidR="00911FAF">
        <w:noBreakHyphen/>
      </w:r>
      <w:r w:rsidRPr="00C52C8A">
        <w:t>based supervision rates, by Indigenous status from 2014</w:t>
      </w:r>
      <w:r w:rsidRPr="00C52C8A">
        <w:noBreakHyphen/>
        <w:t>15 are available in tables</w:t>
      </w:r>
      <w:r w:rsidR="005B0070">
        <w:t> </w:t>
      </w:r>
      <w:r w:rsidRPr="00C52C8A">
        <w:t xml:space="preserve">17A.5 and 17A.6 respectively. Data </w:t>
      </w:r>
      <w:r w:rsidR="0081239C" w:rsidRPr="00C52C8A">
        <w:t>from 2014</w:t>
      </w:r>
      <w:r w:rsidR="0081239C" w:rsidRPr="00C52C8A">
        <w:noBreakHyphen/>
        <w:t>15</w:t>
      </w:r>
      <w:r w:rsidR="00FD6FAF">
        <w:t xml:space="preserve"> </w:t>
      </w:r>
      <w:r w:rsidRPr="00C52C8A">
        <w:t xml:space="preserve">on average daily rates of detention </w:t>
      </w:r>
      <w:r w:rsidR="007F05F2" w:rsidRPr="00C52C8A">
        <w:t>and community</w:t>
      </w:r>
      <w:r w:rsidR="00911FAF">
        <w:noBreakHyphen/>
      </w:r>
      <w:r w:rsidR="007F05F2" w:rsidRPr="00C52C8A">
        <w:t>based supervision</w:t>
      </w:r>
      <w:r w:rsidR="007F05F2">
        <w:t>,</w:t>
      </w:r>
      <w:r w:rsidR="007F05F2" w:rsidRPr="00C52C8A">
        <w:t xml:space="preserve"> </w:t>
      </w:r>
      <w:r w:rsidRPr="00C52C8A">
        <w:t>and rate ratios</w:t>
      </w:r>
      <w:r w:rsidR="007F05F2">
        <w:t>,</w:t>
      </w:r>
      <w:r w:rsidRPr="00C52C8A">
        <w:t xml:space="preserve"> are available in table</w:t>
      </w:r>
      <w:r w:rsidR="007F05F2">
        <w:t>s</w:t>
      </w:r>
      <w:r w:rsidR="005B0070">
        <w:t> </w:t>
      </w:r>
      <w:r w:rsidRPr="00C52C8A">
        <w:t>17A.7</w:t>
      </w:r>
      <w:r w:rsidR="007F05F2">
        <w:t xml:space="preserve"> and 17A.8</w:t>
      </w:r>
      <w:r w:rsidRPr="00C52C8A">
        <w:t xml:space="preserve">. </w:t>
      </w:r>
    </w:p>
    <w:p w14:paraId="6B26DE46" w14:textId="77777777" w:rsidR="00413C3F" w:rsidRPr="00C52C8A" w:rsidRDefault="00413C3F" w:rsidP="00B81703">
      <w:pPr>
        <w:pStyle w:val="Heading3"/>
      </w:pPr>
      <w:r w:rsidRPr="00C52C8A">
        <w:t>Funding</w:t>
      </w:r>
    </w:p>
    <w:p w14:paraId="4D2A0F07" w14:textId="35DF8F40" w:rsidR="00B17FFA" w:rsidRPr="00C52C8A" w:rsidRDefault="00807E35" w:rsidP="00B17FFA">
      <w:pPr>
        <w:pStyle w:val="BodyText"/>
      </w:pPr>
      <w:r w:rsidRPr="00C52C8A">
        <w:t>The youth justice e</w:t>
      </w:r>
      <w:r w:rsidR="00413C3F" w:rsidRPr="00C52C8A">
        <w:t xml:space="preserve">xpenditure data </w:t>
      </w:r>
      <w:r w:rsidRPr="00C52C8A">
        <w:t xml:space="preserve">included in this Report </w:t>
      </w:r>
      <w:r w:rsidR="00413C3F" w:rsidRPr="00C52C8A">
        <w:t xml:space="preserve">are based on the total costs incurred by governments in supervising young offenders of any age, where the offence giving rise to youth justice supervision was committed while the young person </w:t>
      </w:r>
      <w:r w:rsidR="002A2CD8" w:rsidRPr="00C52C8A">
        <w:t xml:space="preserve">was aged </w:t>
      </w:r>
      <w:r w:rsidR="00F74CBA" w:rsidRPr="00C52C8A">
        <w:br/>
      </w:r>
      <w:r w:rsidR="0023752C" w:rsidRPr="00C52C8A">
        <w:t>10</w:t>
      </w:r>
      <w:r w:rsidR="00F74CBA" w:rsidRPr="00C52C8A">
        <w:t>–</w:t>
      </w:r>
      <w:r w:rsidR="0023752C" w:rsidRPr="00C52C8A">
        <w:t>17 </w:t>
      </w:r>
      <w:r w:rsidR="00413C3F" w:rsidRPr="00C52C8A">
        <w:t>years</w:t>
      </w:r>
      <w:r w:rsidR="003F5CAF" w:rsidRPr="00C52C8A">
        <w:t xml:space="preserve"> (table</w:t>
      </w:r>
      <w:r w:rsidR="005B0070">
        <w:t> </w:t>
      </w:r>
      <w:r w:rsidR="00FC3395" w:rsidRPr="00C52C8A">
        <w:t>17A</w:t>
      </w:r>
      <w:r w:rsidR="00904AEF" w:rsidRPr="00C52C8A">
        <w:t>.</w:t>
      </w:r>
      <w:r w:rsidR="00C32D9A">
        <w:t>9</w:t>
      </w:r>
      <w:r w:rsidR="00454C3A" w:rsidRPr="00C52C8A">
        <w:t>)</w:t>
      </w:r>
      <w:r w:rsidR="00413C3F" w:rsidRPr="00C52C8A">
        <w:t xml:space="preserve">. </w:t>
      </w:r>
      <w:r w:rsidR="00B17FFA" w:rsidRPr="00C52C8A">
        <w:t>At present, there are differences across jurisdictions in the calculation of youth justi</w:t>
      </w:r>
      <w:r w:rsidR="00F92E59" w:rsidRPr="00C52C8A">
        <w:t>c</w:t>
      </w:r>
      <w:r w:rsidR="00B17FFA" w:rsidRPr="00C52C8A">
        <w:t>e expenditure</w:t>
      </w:r>
      <w:r w:rsidR="00FC3395" w:rsidRPr="00C52C8A">
        <w:t xml:space="preserve"> (tables</w:t>
      </w:r>
      <w:r w:rsidR="005B0070">
        <w:t> </w:t>
      </w:r>
      <w:r w:rsidR="00B17FFA" w:rsidRPr="00C52C8A">
        <w:t>17A.</w:t>
      </w:r>
      <w:r w:rsidR="00C32D9A">
        <w:t>10 and 17A.28</w:t>
      </w:r>
      <w:r w:rsidR="00FC3395" w:rsidRPr="00C52C8A">
        <w:t>)</w:t>
      </w:r>
      <w:r w:rsidR="00B17FFA" w:rsidRPr="00C52C8A">
        <w:t xml:space="preserve">. It is expected that the quality and comparability of youth justice expenditure data will </w:t>
      </w:r>
      <w:r w:rsidR="00A05348" w:rsidRPr="00C52C8A">
        <w:t>improve</w:t>
      </w:r>
      <w:r w:rsidR="00B17FFA" w:rsidRPr="00C52C8A">
        <w:t xml:space="preserve"> over time.</w:t>
      </w:r>
    </w:p>
    <w:p w14:paraId="618F5316" w14:textId="0B77DE83" w:rsidR="00B17FFA" w:rsidRPr="00C52C8A" w:rsidRDefault="00413C3F" w:rsidP="00B17FFA">
      <w:pPr>
        <w:pStyle w:val="BodyText"/>
      </w:pPr>
      <w:r w:rsidRPr="00C52C8A">
        <w:t>Total recurrent expenditure on detention</w:t>
      </w:r>
      <w:r w:rsidR="00F4592C" w:rsidRPr="00C52C8A">
        <w:noBreakHyphen/>
      </w:r>
      <w:r w:rsidRPr="00C52C8A">
        <w:t>based supervision, community</w:t>
      </w:r>
      <w:r w:rsidRPr="00C52C8A">
        <w:noBreakHyphen/>
        <w:t xml:space="preserve">based supervision and group conferencing was </w:t>
      </w:r>
      <w:r w:rsidR="00197A76" w:rsidRPr="00C52C8A">
        <w:t>$</w:t>
      </w:r>
      <w:r w:rsidR="004D515D">
        <w:t>1.0</w:t>
      </w:r>
      <w:r w:rsidR="003753BE" w:rsidRPr="00C52C8A">
        <w:t> </w:t>
      </w:r>
      <w:r w:rsidR="004D515D">
        <w:t>b</w:t>
      </w:r>
      <w:r w:rsidRPr="00C52C8A">
        <w:t xml:space="preserve">illion </w:t>
      </w:r>
      <w:r w:rsidR="0081239C">
        <w:t>nationally</w:t>
      </w:r>
      <w:r w:rsidRPr="00C52C8A">
        <w:t xml:space="preserve"> in 201</w:t>
      </w:r>
      <w:r w:rsidR="007F05F2">
        <w:t>9</w:t>
      </w:r>
      <w:r w:rsidR="00F4592C" w:rsidRPr="00C52C8A">
        <w:noBreakHyphen/>
      </w:r>
      <w:r w:rsidR="007F05F2">
        <w:t>20</w:t>
      </w:r>
      <w:r w:rsidR="0023752C" w:rsidRPr="00C52C8A">
        <w:t>, with d</w:t>
      </w:r>
      <w:r w:rsidRPr="00C52C8A">
        <w:t>eten</w:t>
      </w:r>
      <w:r w:rsidR="0023752C" w:rsidRPr="00C52C8A">
        <w:t>tion</w:t>
      </w:r>
      <w:r w:rsidR="0023752C" w:rsidRPr="00C52C8A">
        <w:noBreakHyphen/>
        <w:t>based supervision accounting</w:t>
      </w:r>
      <w:r w:rsidRPr="00C52C8A">
        <w:t xml:space="preserve"> for </w:t>
      </w:r>
      <w:proofErr w:type="gramStart"/>
      <w:r w:rsidRPr="00C52C8A">
        <w:t>the majority of</w:t>
      </w:r>
      <w:proofErr w:type="gramEnd"/>
      <w:r w:rsidRPr="00C52C8A">
        <w:t xml:space="preserve"> </w:t>
      </w:r>
      <w:r w:rsidR="0023752C" w:rsidRPr="00C52C8A">
        <w:t xml:space="preserve">this </w:t>
      </w:r>
      <w:r w:rsidR="004D515D" w:rsidRPr="00C84076">
        <w:t>expendit</w:t>
      </w:r>
      <w:r w:rsidRPr="00C84076">
        <w:t xml:space="preserve">ure </w:t>
      </w:r>
      <w:r w:rsidR="00197A76" w:rsidRPr="00C84076">
        <w:t>(</w:t>
      </w:r>
      <w:r w:rsidR="00C07FA2" w:rsidRPr="00C84076">
        <w:t>58.</w:t>
      </w:r>
      <w:r w:rsidR="00C44EF8" w:rsidRPr="00C84076">
        <w:t>1</w:t>
      </w:r>
      <w:r w:rsidR="003753BE" w:rsidRPr="00C84076">
        <w:t> </w:t>
      </w:r>
      <w:r w:rsidRPr="00C84076">
        <w:t xml:space="preserve">per cent, or </w:t>
      </w:r>
      <w:r w:rsidR="00E2007C" w:rsidRPr="00C84076">
        <w:t>$</w:t>
      </w:r>
      <w:r w:rsidR="004D515D" w:rsidRPr="00C84076">
        <w:t>58</w:t>
      </w:r>
      <w:r w:rsidR="00B22A4D" w:rsidRPr="00C84076">
        <w:t>4</w:t>
      </w:r>
      <w:r w:rsidR="004D515D" w:rsidRPr="00C84076">
        <w:t>.</w:t>
      </w:r>
      <w:r w:rsidR="00C44EF8" w:rsidRPr="00C84076">
        <w:t>5</w:t>
      </w:r>
      <w:r w:rsidR="003753BE" w:rsidRPr="00C52C8A">
        <w:t> </w:t>
      </w:r>
      <w:r w:rsidRPr="00C52C8A">
        <w:t>million)</w:t>
      </w:r>
      <w:r w:rsidR="00B6059F" w:rsidRPr="00C52C8A">
        <w:t xml:space="preserve"> (table</w:t>
      </w:r>
      <w:r w:rsidR="005B0070">
        <w:t> </w:t>
      </w:r>
      <w:r w:rsidR="00B6059F" w:rsidRPr="00C52C8A">
        <w:t>17</w:t>
      </w:r>
      <w:r w:rsidR="0023752C" w:rsidRPr="00C52C8A">
        <w:t>A.</w:t>
      </w:r>
      <w:r w:rsidR="00C32D9A">
        <w:t>9</w:t>
      </w:r>
      <w:r w:rsidR="0023752C" w:rsidRPr="00C52C8A">
        <w:t>)</w:t>
      </w:r>
      <w:r w:rsidRPr="00C52C8A">
        <w:t>.</w:t>
      </w:r>
      <w:r w:rsidRPr="00C52C8A" w:rsidDel="00256192">
        <w:t xml:space="preserve"> </w:t>
      </w:r>
      <w:r w:rsidR="00B17FFA" w:rsidRPr="00C52C8A">
        <w:t>Nationally in 201</w:t>
      </w:r>
      <w:r w:rsidR="007F05F2">
        <w:t>9</w:t>
      </w:r>
      <w:r w:rsidR="00F4592C" w:rsidRPr="00C52C8A">
        <w:noBreakHyphen/>
      </w:r>
      <w:r w:rsidR="007F05F2">
        <w:t>20</w:t>
      </w:r>
      <w:r w:rsidR="00B17FFA" w:rsidRPr="00C52C8A">
        <w:t xml:space="preserve">, recurrent expenditure on youth justice services per </w:t>
      </w:r>
      <w:r w:rsidR="00814BEE" w:rsidRPr="00C52C8A">
        <w:t>young person</w:t>
      </w:r>
      <w:r w:rsidR="00B17FFA" w:rsidRPr="00C52C8A">
        <w:t xml:space="preserve"> in the population aged 10–17 years (as distinct from per youth justice client, which is reported as a performance indicator in </w:t>
      </w:r>
      <w:r w:rsidR="00F92E59" w:rsidRPr="00C52C8A">
        <w:t>sub</w:t>
      </w:r>
      <w:r w:rsidR="00911FAF">
        <w:noBreakHyphen/>
      </w:r>
      <w:r w:rsidR="00B17FFA" w:rsidRPr="00C52C8A">
        <w:t>section</w:t>
      </w:r>
      <w:r w:rsidR="00F4592C" w:rsidRPr="00C52C8A">
        <w:t> </w:t>
      </w:r>
      <w:r w:rsidR="00B17FFA" w:rsidRPr="00C52C8A">
        <w:t>17.3) was $</w:t>
      </w:r>
      <w:r w:rsidR="004D515D">
        <w:t>410</w:t>
      </w:r>
      <w:r w:rsidR="00B17FFA" w:rsidRPr="00C52C8A">
        <w:t xml:space="preserve"> (figure</w:t>
      </w:r>
      <w:r w:rsidR="00F4592C" w:rsidRPr="00C52C8A">
        <w:t> </w:t>
      </w:r>
      <w:r w:rsidR="005B7EAC" w:rsidRPr="00C52C8A">
        <w:t>17.5</w:t>
      </w:r>
      <w:r w:rsidR="00B17FFA" w:rsidRPr="00C52C8A">
        <w:t>).</w:t>
      </w:r>
    </w:p>
    <w:p w14:paraId="52736123" w14:textId="0BE0E80D" w:rsidR="00D45B5E" w:rsidRPr="002E39DF" w:rsidRDefault="00D45B5E" w:rsidP="002F014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45B5E" w:rsidRPr="00C52C8A" w14:paraId="6A8A397B" w14:textId="77777777" w:rsidTr="006F761F">
        <w:tc>
          <w:tcPr>
            <w:tcW w:w="8789" w:type="dxa"/>
            <w:tcBorders>
              <w:top w:val="single" w:sz="6" w:space="0" w:color="78A22F"/>
              <w:left w:val="nil"/>
              <w:bottom w:val="nil"/>
              <w:right w:val="nil"/>
            </w:tcBorders>
            <w:shd w:val="clear" w:color="auto" w:fill="auto"/>
          </w:tcPr>
          <w:p w14:paraId="2F625601" w14:textId="114049D3" w:rsidR="00D45B5E" w:rsidRPr="00C52C8A" w:rsidRDefault="00D45B5E" w:rsidP="00554F6E">
            <w:pPr>
              <w:pStyle w:val="FigureTitle"/>
            </w:pPr>
            <w:r w:rsidRPr="00C52C8A">
              <w:rPr>
                <w:b w:val="0"/>
              </w:rPr>
              <w:t>Figure</w:t>
            </w:r>
            <w:r w:rsidR="00B2145B" w:rsidRPr="00C52C8A">
              <w:rPr>
                <w:b w:val="0"/>
              </w:rPr>
              <w:t xml:space="preserve"> </w:t>
            </w:r>
            <w:r w:rsidR="005B7EAC" w:rsidRPr="00C52C8A">
              <w:rPr>
                <w:b w:val="0"/>
              </w:rPr>
              <w:t>17.5</w:t>
            </w:r>
            <w:r w:rsidRPr="00C52C8A">
              <w:tab/>
              <w:t>Recurrent expenditure on youth justice services, per young person aged 10–17 years in the population, 201</w:t>
            </w:r>
            <w:r w:rsidR="0020514F">
              <w:t>9</w:t>
            </w:r>
            <w:r w:rsidR="00F4592C" w:rsidRPr="00C52C8A">
              <w:noBreakHyphen/>
            </w:r>
            <w:r w:rsidR="0020514F">
              <w:t>20</w:t>
            </w:r>
            <w:r w:rsidRPr="00C52C8A">
              <w:rPr>
                <w:rStyle w:val="NoteLabel"/>
                <w:b/>
              </w:rPr>
              <w:t>a</w:t>
            </w:r>
          </w:p>
        </w:tc>
      </w:tr>
      <w:tr w:rsidR="00D45B5E" w:rsidRPr="00C52C8A" w14:paraId="592302E7" w14:textId="77777777" w:rsidTr="006F761F">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D45B5E" w:rsidRPr="00C52C8A" w14:paraId="55C3B897" w14:textId="77777777" w:rsidTr="00EC3868">
              <w:trPr>
                <w:trHeight w:val="4252"/>
              </w:trPr>
              <w:tc>
                <w:tcPr>
                  <w:tcW w:w="8504" w:type="dxa"/>
                  <w:shd w:val="clear" w:color="auto" w:fill="auto"/>
                </w:tcPr>
                <w:p w14:paraId="53CC0AB6" w14:textId="3F940417" w:rsidR="00D45B5E" w:rsidRPr="00C52C8A" w:rsidRDefault="00EC3868" w:rsidP="00983812">
                  <w:pPr>
                    <w:pStyle w:val="Figure"/>
                    <w:spacing w:before="60" w:after="60"/>
                  </w:pPr>
                  <w:r>
                    <w:rPr>
                      <w:noProof/>
                    </w:rPr>
                    <w:drawing>
                      <wp:inline distT="0" distB="0" distL="0" distR="0" wp14:anchorId="2C6DAE83" wp14:editId="7D73D614">
                        <wp:extent cx="5190645" cy="2608560"/>
                        <wp:effectExtent l="0" t="0" r="0" b="1905"/>
                        <wp:docPr id="22" name="Chart 22" descr="Figure 17.5  Recurrent expenditure on youth justice services, per young person aged 10–17 years in the population, 2019-20.&#10;More details can be found within the text surrounding this image.">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508D55D7" w14:textId="77777777" w:rsidR="00D45B5E" w:rsidRPr="00C52C8A" w:rsidRDefault="00D45B5E" w:rsidP="00983812">
            <w:pPr>
              <w:pStyle w:val="Figure"/>
            </w:pPr>
          </w:p>
        </w:tc>
      </w:tr>
      <w:tr w:rsidR="00D45B5E" w:rsidRPr="00C52C8A" w14:paraId="5CC61197" w14:textId="77777777" w:rsidTr="006F761F">
        <w:tc>
          <w:tcPr>
            <w:tcW w:w="8789" w:type="dxa"/>
            <w:tcBorders>
              <w:top w:val="nil"/>
              <w:left w:val="nil"/>
              <w:bottom w:val="nil"/>
              <w:right w:val="nil"/>
            </w:tcBorders>
            <w:shd w:val="clear" w:color="auto" w:fill="auto"/>
          </w:tcPr>
          <w:p w14:paraId="2F33440A" w14:textId="287361D4" w:rsidR="00D45B5E" w:rsidRPr="00C52C8A" w:rsidRDefault="00D45B5E" w:rsidP="00C32D9A">
            <w:pPr>
              <w:pStyle w:val="Note"/>
            </w:pPr>
            <w:r w:rsidRPr="00C52C8A">
              <w:rPr>
                <w:rStyle w:val="NoteLabel"/>
              </w:rPr>
              <w:t>a</w:t>
            </w:r>
            <w:r w:rsidRPr="00C52C8A">
              <w:t xml:space="preserve"> </w:t>
            </w:r>
            <w:r w:rsidR="00014206" w:rsidRPr="00C52C8A">
              <w:t xml:space="preserve">See </w:t>
            </w:r>
            <w:r w:rsidR="00BD75A4" w:rsidRPr="00C52C8A">
              <w:t>table</w:t>
            </w:r>
            <w:r w:rsidR="005B0070">
              <w:t> </w:t>
            </w:r>
            <w:r w:rsidR="00904AEF" w:rsidRPr="00C52C8A">
              <w:t>17A.</w:t>
            </w:r>
            <w:r w:rsidR="00C32D9A">
              <w:t>9</w:t>
            </w:r>
            <w:r w:rsidR="00A2781B" w:rsidRPr="00C52C8A">
              <w:t xml:space="preserve"> </w:t>
            </w:r>
            <w:r w:rsidRPr="00C52C8A">
              <w:t xml:space="preserve">for detailed footnotes and </w:t>
            </w:r>
            <w:r w:rsidR="00014206" w:rsidRPr="00C52C8A">
              <w:t>caveats</w:t>
            </w:r>
            <w:r w:rsidRPr="00C52C8A">
              <w:t>.</w:t>
            </w:r>
          </w:p>
        </w:tc>
      </w:tr>
      <w:tr w:rsidR="00D45B5E" w:rsidRPr="00C52C8A" w14:paraId="00AF35DE" w14:textId="77777777" w:rsidTr="006F761F">
        <w:tc>
          <w:tcPr>
            <w:tcW w:w="8789" w:type="dxa"/>
            <w:tcBorders>
              <w:top w:val="nil"/>
              <w:left w:val="nil"/>
              <w:bottom w:val="nil"/>
              <w:right w:val="nil"/>
            </w:tcBorders>
            <w:shd w:val="clear" w:color="auto" w:fill="auto"/>
          </w:tcPr>
          <w:p w14:paraId="359DC584" w14:textId="2D4260D3" w:rsidR="00D45B5E" w:rsidRPr="00C52C8A" w:rsidRDefault="00D45B5E" w:rsidP="003F2B03">
            <w:pPr>
              <w:pStyle w:val="Source"/>
            </w:pPr>
            <w:r w:rsidRPr="00C52C8A">
              <w:rPr>
                <w:i/>
              </w:rPr>
              <w:t>Source</w:t>
            </w:r>
            <w:r w:rsidRPr="00C52C8A">
              <w:t>: State and Territory governments (unpublished); table</w:t>
            </w:r>
            <w:r w:rsidR="00900119" w:rsidRPr="00C52C8A">
              <w:t>s</w:t>
            </w:r>
            <w:r w:rsidR="005B0070">
              <w:t> </w:t>
            </w:r>
            <w:r w:rsidRPr="00C52C8A">
              <w:t>1</w:t>
            </w:r>
            <w:r w:rsidR="00A2781B" w:rsidRPr="00C52C8A">
              <w:t>7</w:t>
            </w:r>
            <w:r w:rsidRPr="00C52C8A">
              <w:t>A.</w:t>
            </w:r>
            <w:r w:rsidR="00C32D9A">
              <w:t>9</w:t>
            </w:r>
            <w:r w:rsidRPr="00C52C8A">
              <w:t>.</w:t>
            </w:r>
          </w:p>
        </w:tc>
      </w:tr>
      <w:tr w:rsidR="00D45B5E" w:rsidRPr="00C52C8A" w14:paraId="3D9F42C8" w14:textId="77777777" w:rsidTr="006F761F">
        <w:tc>
          <w:tcPr>
            <w:tcW w:w="8789" w:type="dxa"/>
            <w:tcBorders>
              <w:top w:val="nil"/>
              <w:left w:val="nil"/>
              <w:bottom w:val="single" w:sz="6" w:space="0" w:color="78A22F"/>
              <w:right w:val="nil"/>
            </w:tcBorders>
            <w:shd w:val="clear" w:color="auto" w:fill="auto"/>
          </w:tcPr>
          <w:p w14:paraId="5CB2421D" w14:textId="77777777" w:rsidR="00D45B5E" w:rsidRPr="00C52C8A" w:rsidRDefault="00D45B5E" w:rsidP="00983812">
            <w:pPr>
              <w:pStyle w:val="Figurespace"/>
            </w:pPr>
          </w:p>
        </w:tc>
      </w:tr>
      <w:tr w:rsidR="00D45B5E" w:rsidRPr="00C52C8A" w14:paraId="0526BDC6" w14:textId="77777777" w:rsidTr="006F761F">
        <w:tc>
          <w:tcPr>
            <w:tcW w:w="8789" w:type="dxa"/>
            <w:tcBorders>
              <w:top w:val="single" w:sz="6" w:space="0" w:color="78A22F"/>
              <w:left w:val="nil"/>
              <w:bottom w:val="nil"/>
              <w:right w:val="nil"/>
            </w:tcBorders>
          </w:tcPr>
          <w:p w14:paraId="21D1B558" w14:textId="0515094C" w:rsidR="00D45B5E" w:rsidRPr="002E39DF" w:rsidRDefault="00D45B5E" w:rsidP="00983812">
            <w:pPr>
              <w:pStyle w:val="BoxSpaceBelow"/>
            </w:pPr>
          </w:p>
        </w:tc>
      </w:tr>
    </w:tbl>
    <w:p w14:paraId="6234E2C8" w14:textId="77777777" w:rsidR="00413C3F" w:rsidRPr="00C52C8A" w:rsidRDefault="000B383B" w:rsidP="00E5095E">
      <w:pPr>
        <w:pStyle w:val="Heading2"/>
        <w:spacing w:before="500"/>
      </w:pPr>
      <w:bookmarkStart w:id="18" w:name="_Toc345416486"/>
      <w:bookmarkStart w:id="19" w:name="_Toc366137738"/>
      <w:bookmarkStart w:id="20" w:name="_Toc524611861"/>
      <w:r w:rsidRPr="00C52C8A">
        <w:t>1</w:t>
      </w:r>
      <w:r w:rsidR="00B6059F" w:rsidRPr="00C52C8A">
        <w:t>7</w:t>
      </w:r>
      <w:r w:rsidRPr="00C52C8A">
        <w:t>.2</w:t>
      </w:r>
      <w:r w:rsidR="00413C3F" w:rsidRPr="00C52C8A">
        <w:tab/>
        <w:t>Framework of performance indicators</w:t>
      </w:r>
      <w:bookmarkEnd w:id="18"/>
      <w:bookmarkEnd w:id="19"/>
      <w:bookmarkEnd w:id="20"/>
    </w:p>
    <w:p w14:paraId="21ED0C1E" w14:textId="475AF645" w:rsidR="00FB4A73" w:rsidRPr="00C52C8A" w:rsidRDefault="00FB4A73" w:rsidP="00FB4A73">
      <w:pPr>
        <w:pStyle w:val="BodyText"/>
      </w:pPr>
      <w:r w:rsidRPr="00C52C8A">
        <w:t xml:space="preserve">The performance indicator framework is based on </w:t>
      </w:r>
      <w:r w:rsidR="00641A06" w:rsidRPr="00C52C8A">
        <w:t>government</w:t>
      </w:r>
      <w:r w:rsidR="001C3931" w:rsidRPr="00C52C8A">
        <w:t>s’</w:t>
      </w:r>
      <w:r w:rsidR="00641A06" w:rsidRPr="00C52C8A">
        <w:t xml:space="preserve"> </w:t>
      </w:r>
      <w:r w:rsidR="001C3931" w:rsidRPr="00C52C8A">
        <w:t xml:space="preserve">shared </w:t>
      </w:r>
      <w:r w:rsidRPr="00C52C8A">
        <w:t>objectives</w:t>
      </w:r>
      <w:r w:rsidR="00641A06" w:rsidRPr="00C52C8A">
        <w:t xml:space="preserve"> </w:t>
      </w:r>
      <w:r w:rsidR="001C3931" w:rsidRPr="00C52C8A">
        <w:t xml:space="preserve">for youth justice services </w:t>
      </w:r>
      <w:r w:rsidR="00641A06" w:rsidRPr="00C52C8A">
        <w:t>(</w:t>
      </w:r>
      <w:r w:rsidR="001865EA" w:rsidRPr="00C52C8A">
        <w:t>box</w:t>
      </w:r>
      <w:r w:rsidR="005B0070">
        <w:t> </w:t>
      </w:r>
      <w:r w:rsidR="008C0DFB" w:rsidRPr="00C52C8A">
        <w:t>17.1</w:t>
      </w:r>
      <w:r w:rsidR="00641A06" w:rsidRPr="00C52C8A">
        <w:t>)</w:t>
      </w:r>
      <w:r w:rsidR="00413C3F" w:rsidRPr="00C52C8A">
        <w:t>.</w:t>
      </w:r>
    </w:p>
    <w:p w14:paraId="463A8F19" w14:textId="002E2383" w:rsidR="00D422C1" w:rsidRPr="002E39DF" w:rsidRDefault="00D422C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422C1" w:rsidRPr="00C52C8A" w14:paraId="78E43C6D" w14:textId="77777777" w:rsidTr="001B6C8F">
        <w:trPr>
          <w:tblHeader/>
        </w:trPr>
        <w:tc>
          <w:tcPr>
            <w:tcW w:w="5000" w:type="pct"/>
            <w:tcBorders>
              <w:top w:val="single" w:sz="6" w:space="0" w:color="78A22F"/>
              <w:left w:val="nil"/>
              <w:bottom w:val="nil"/>
              <w:right w:val="nil"/>
            </w:tcBorders>
            <w:shd w:val="clear" w:color="auto" w:fill="F2F2F2"/>
          </w:tcPr>
          <w:p w14:paraId="4F909656" w14:textId="6372CDFD" w:rsidR="00D422C1" w:rsidRPr="00C52C8A" w:rsidRDefault="00D422C1">
            <w:pPr>
              <w:pStyle w:val="BoxTitle"/>
            </w:pPr>
            <w:r w:rsidRPr="00C52C8A">
              <w:rPr>
                <w:b w:val="0"/>
              </w:rPr>
              <w:t xml:space="preserve">Box </w:t>
            </w:r>
            <w:bookmarkStart w:id="21" w:name="OLE_LINK4"/>
            <w:r w:rsidR="00C87A43">
              <w:rPr>
                <w:b w:val="0"/>
              </w:rPr>
              <w:t>17.</w:t>
            </w:r>
            <w:r w:rsidR="00AF64D0">
              <w:rPr>
                <w:b w:val="0"/>
                <w:noProof/>
              </w:rPr>
              <w:t>1</w:t>
            </w:r>
            <w:bookmarkEnd w:id="21"/>
            <w:r w:rsidRPr="00C52C8A">
              <w:tab/>
            </w:r>
            <w:r w:rsidR="00B55B69" w:rsidRPr="00C52C8A">
              <w:t>Objectives for youth justice services</w:t>
            </w:r>
          </w:p>
        </w:tc>
      </w:tr>
      <w:tr w:rsidR="00D422C1" w:rsidRPr="00C52C8A" w14:paraId="7F43E364" w14:textId="77777777" w:rsidTr="001B6C8F">
        <w:tc>
          <w:tcPr>
            <w:tcW w:w="5000" w:type="pct"/>
            <w:tcBorders>
              <w:top w:val="nil"/>
              <w:left w:val="nil"/>
              <w:bottom w:val="nil"/>
              <w:right w:val="nil"/>
            </w:tcBorders>
            <w:shd w:val="clear" w:color="auto" w:fill="F2F2F2"/>
          </w:tcPr>
          <w:p w14:paraId="40A66D9B" w14:textId="77777777" w:rsidR="00B55B69" w:rsidRPr="00C52C8A" w:rsidRDefault="00B55B69" w:rsidP="00B55B69">
            <w:pPr>
              <w:pStyle w:val="Box"/>
            </w:pPr>
            <w:r w:rsidRPr="00C52C8A">
              <w:t>Youth justice services aim to promote community safety, rehabilitate and reintegrate young people who offend, and contribute to a reduction in youth re</w:t>
            </w:r>
            <w:r w:rsidRPr="00C52C8A">
              <w:noBreakHyphen/>
              <w:t xml:space="preserve">offending. </w:t>
            </w:r>
          </w:p>
          <w:p w14:paraId="4BC7B83D" w14:textId="77777777" w:rsidR="00B55B69" w:rsidRPr="00C52C8A" w:rsidRDefault="00B55B69" w:rsidP="00B55B69">
            <w:pPr>
              <w:pStyle w:val="Box"/>
            </w:pPr>
            <w:r w:rsidRPr="00C52C8A">
              <w:t>To achieve these aims, governments seek to provide youth justice services that:</w:t>
            </w:r>
          </w:p>
          <w:p w14:paraId="47F3C956" w14:textId="77777777" w:rsidR="00B55B69" w:rsidRPr="00C52C8A" w:rsidRDefault="00B55B69" w:rsidP="00B55B69">
            <w:pPr>
              <w:pStyle w:val="BoxListBullet"/>
            </w:pPr>
            <w:r w:rsidRPr="00C52C8A">
              <w:t>divert young people who offend from further progression into the youth justice system to alternative services</w:t>
            </w:r>
          </w:p>
          <w:p w14:paraId="6E7FC587" w14:textId="77777777" w:rsidR="00B55B69" w:rsidRPr="00C52C8A" w:rsidRDefault="00B55B69" w:rsidP="00B55B69">
            <w:pPr>
              <w:pStyle w:val="BoxListBullet"/>
            </w:pPr>
            <w:r w:rsidRPr="00C52C8A">
              <w:t>assist young people who offend to address their offending behaviour</w:t>
            </w:r>
          </w:p>
          <w:p w14:paraId="36C9AB5A" w14:textId="77777777" w:rsidR="00B55B69" w:rsidRPr="00C52C8A" w:rsidRDefault="00B55B69" w:rsidP="00B55B69">
            <w:pPr>
              <w:pStyle w:val="BoxListBullet"/>
            </w:pPr>
            <w:r w:rsidRPr="00C52C8A">
              <w:t>provide a safe and secure environment for the protection of young people during their time in detention</w:t>
            </w:r>
          </w:p>
          <w:p w14:paraId="71BF7754" w14:textId="77777777" w:rsidR="00B55B69" w:rsidRPr="00C52C8A" w:rsidRDefault="00B55B69" w:rsidP="00B55B69">
            <w:pPr>
              <w:pStyle w:val="BoxListBullet"/>
            </w:pPr>
            <w:r w:rsidRPr="00C52C8A">
              <w:t>assist young people who are in youth justice detention to return to the community</w:t>
            </w:r>
          </w:p>
          <w:p w14:paraId="63A7E94A" w14:textId="614C75D3" w:rsidR="00B55B69" w:rsidRPr="00C52C8A" w:rsidRDefault="00B55B69" w:rsidP="00B55B69">
            <w:pPr>
              <w:pStyle w:val="BoxListBullet"/>
            </w:pPr>
            <w:r w:rsidRPr="00C52C8A">
              <w:t xml:space="preserve">promote the importance of the families and communities of young people who offend, particularly Aboriginal and Torres Strait Islander communities, in the provision of services and </w:t>
            </w:r>
            <w:r w:rsidR="00EA4CCA">
              <w:t>programs</w:t>
            </w:r>
          </w:p>
          <w:p w14:paraId="1D5B91A5" w14:textId="4519B780" w:rsidR="00B55B69" w:rsidRPr="00C52C8A" w:rsidRDefault="00B55B69" w:rsidP="00B55B69">
            <w:pPr>
              <w:pStyle w:val="BoxListBullet"/>
            </w:pPr>
            <w:r w:rsidRPr="00C52C8A">
              <w:t>support young people to understand the impact of their offending on others, including victims and the wider community</w:t>
            </w:r>
          </w:p>
          <w:p w14:paraId="5CEF182B" w14:textId="723A1099" w:rsidR="00B55B69" w:rsidRPr="00C52C8A" w:rsidRDefault="00B55B69" w:rsidP="00B55B69">
            <w:pPr>
              <w:pStyle w:val="BoxListBullet"/>
            </w:pPr>
            <w:r w:rsidRPr="00C52C8A">
              <w:t>recognise the rights of victims.</w:t>
            </w:r>
          </w:p>
          <w:p w14:paraId="66EF23F9" w14:textId="4C782B96" w:rsidR="00D422C1" w:rsidRPr="00C52C8A" w:rsidRDefault="00B55B69" w:rsidP="00B55B69">
            <w:pPr>
              <w:pStyle w:val="Box"/>
            </w:pPr>
            <w:r w:rsidRPr="00C52C8A">
              <w:t>Governments aim for youth justice services to meet these objectives in an equitable and efficient manner.</w:t>
            </w:r>
          </w:p>
        </w:tc>
      </w:tr>
      <w:tr w:rsidR="00D422C1" w:rsidRPr="00C52C8A" w14:paraId="5C0933DC" w14:textId="77777777" w:rsidTr="001B6C8F">
        <w:tc>
          <w:tcPr>
            <w:tcW w:w="5000" w:type="pct"/>
            <w:tcBorders>
              <w:top w:val="nil"/>
              <w:left w:val="nil"/>
              <w:bottom w:val="single" w:sz="6" w:space="0" w:color="78A22F"/>
              <w:right w:val="nil"/>
            </w:tcBorders>
            <w:shd w:val="clear" w:color="auto" w:fill="F2F2F2"/>
          </w:tcPr>
          <w:p w14:paraId="78868780" w14:textId="77777777" w:rsidR="00D422C1" w:rsidRPr="00C52C8A" w:rsidRDefault="00D422C1">
            <w:pPr>
              <w:pStyle w:val="Box"/>
              <w:spacing w:before="0" w:line="120" w:lineRule="exact"/>
            </w:pPr>
          </w:p>
        </w:tc>
      </w:tr>
      <w:tr w:rsidR="00D422C1" w:rsidRPr="00C52C8A" w14:paraId="63F6F406" w14:textId="77777777" w:rsidTr="001B6C8F">
        <w:tc>
          <w:tcPr>
            <w:tcW w:w="5000" w:type="pct"/>
            <w:tcBorders>
              <w:top w:val="single" w:sz="6" w:space="0" w:color="78A22F"/>
              <w:left w:val="nil"/>
              <w:bottom w:val="nil"/>
              <w:right w:val="nil"/>
            </w:tcBorders>
          </w:tcPr>
          <w:p w14:paraId="68176127" w14:textId="1E09F449" w:rsidR="00D422C1" w:rsidRPr="002E39DF" w:rsidRDefault="00D422C1" w:rsidP="001B6C8F">
            <w:pPr>
              <w:pStyle w:val="BoxSpaceBelow"/>
            </w:pPr>
          </w:p>
        </w:tc>
      </w:tr>
    </w:tbl>
    <w:p w14:paraId="6B71F7C2" w14:textId="0B28B091" w:rsidR="00AF55FD" w:rsidRPr="00C52C8A" w:rsidRDefault="00413C3F" w:rsidP="00983812">
      <w:pPr>
        <w:pStyle w:val="BodyText"/>
      </w:pPr>
      <w:r w:rsidRPr="00C52C8A">
        <w:t>The performance indicator framework provides information on equity, efficiency and effectiveness, and distinguishes the outputs and outcomes of youth justice services (</w:t>
      </w:r>
      <w:r w:rsidR="00B27E61" w:rsidRPr="00C52C8A">
        <w:t>figure 17.6</w:t>
      </w:r>
      <w:r w:rsidR="00DE7550" w:rsidRPr="00C52C8A">
        <w:t>).</w:t>
      </w:r>
    </w:p>
    <w:p w14:paraId="3CB1CE65" w14:textId="6469CD1B" w:rsidR="004E548C" w:rsidRPr="00C52C8A" w:rsidRDefault="004E548C" w:rsidP="004E548C">
      <w:pPr>
        <w:pStyle w:val="BodyText"/>
        <w:rPr>
          <w:szCs w:val="26"/>
        </w:rPr>
      </w:pPr>
      <w:r w:rsidRPr="00C52C8A">
        <w:t>The performance indicator framework shows which data are complete and comparable in the 20</w:t>
      </w:r>
      <w:r w:rsidR="00554F6E" w:rsidRPr="00C52C8A">
        <w:t>2</w:t>
      </w:r>
      <w:r w:rsidR="007F05F2">
        <w:t>1</w:t>
      </w:r>
      <w:r w:rsidRPr="00C52C8A">
        <w:t xml:space="preserve"> Report. For data that are not considered directly comparable, text includes relevant caveats and supporting commentary. </w:t>
      </w:r>
      <w:r w:rsidR="00361640" w:rsidRPr="00C52C8A">
        <w:t>Section </w:t>
      </w:r>
      <w:r w:rsidRPr="00C52C8A">
        <w:t xml:space="preserve">1 discusses data comparability, data completeness and information on data quality from a Report wide perspective. </w:t>
      </w:r>
      <w:r w:rsidRPr="00C52C8A">
        <w:rPr>
          <w:szCs w:val="26"/>
        </w:rPr>
        <w:t xml:space="preserve">In addition to </w:t>
      </w:r>
      <w:r w:rsidR="00F92E59" w:rsidRPr="00C52C8A">
        <w:rPr>
          <w:szCs w:val="26"/>
        </w:rPr>
        <w:t>sub</w:t>
      </w:r>
      <w:r w:rsidR="00911FAF">
        <w:rPr>
          <w:szCs w:val="26"/>
        </w:rPr>
        <w:noBreakHyphen/>
      </w:r>
      <w:r w:rsidRPr="00C52C8A">
        <w:rPr>
          <w:szCs w:val="26"/>
        </w:rPr>
        <w:t xml:space="preserve">section 17.1, the Report’s statistical context </w:t>
      </w:r>
      <w:r w:rsidR="00361640" w:rsidRPr="00C52C8A">
        <w:rPr>
          <w:szCs w:val="26"/>
        </w:rPr>
        <w:t xml:space="preserve">section </w:t>
      </w:r>
      <w:r w:rsidRPr="00C52C8A">
        <w:rPr>
          <w:szCs w:val="26"/>
        </w:rPr>
        <w:t>(</w:t>
      </w:r>
      <w:r w:rsidR="00361640" w:rsidRPr="00C52C8A">
        <w:rPr>
          <w:szCs w:val="26"/>
        </w:rPr>
        <w:t>section </w:t>
      </w:r>
      <w:r w:rsidRPr="00C52C8A">
        <w:rPr>
          <w:szCs w:val="26"/>
        </w:rPr>
        <w:t xml:space="preserve">2) contains data that may assist in interpreting the performance indicators presented in this </w:t>
      </w:r>
      <w:r w:rsidR="00361640" w:rsidRPr="00C52C8A">
        <w:rPr>
          <w:szCs w:val="26"/>
        </w:rPr>
        <w:t>section</w:t>
      </w:r>
      <w:r w:rsidRPr="00C52C8A">
        <w:rPr>
          <w:szCs w:val="26"/>
        </w:rPr>
        <w:t xml:space="preserve">. </w:t>
      </w:r>
      <w:r w:rsidR="00361640" w:rsidRPr="00C52C8A">
        <w:rPr>
          <w:szCs w:val="26"/>
        </w:rPr>
        <w:t>Sections</w:t>
      </w:r>
      <w:r w:rsidR="005B0070">
        <w:rPr>
          <w:szCs w:val="26"/>
        </w:rPr>
        <w:t> </w:t>
      </w:r>
      <w:r w:rsidRPr="00C52C8A">
        <w:rPr>
          <w:szCs w:val="26"/>
        </w:rPr>
        <w:t xml:space="preserve">1 and 2 are available from the website at </w:t>
      </w:r>
      <w:r w:rsidR="006254DA" w:rsidRPr="00C52C8A">
        <w:rPr>
          <w:szCs w:val="26"/>
        </w:rPr>
        <w:t>www.pc.gov.au/research/ongoing/report-on-government-services</w:t>
      </w:r>
      <w:r w:rsidRPr="00C52C8A">
        <w:rPr>
          <w:szCs w:val="26"/>
        </w:rPr>
        <w:t>.</w:t>
      </w:r>
    </w:p>
    <w:p w14:paraId="0C47CD84" w14:textId="441ECD2E" w:rsidR="004E548C" w:rsidRPr="00C52C8A" w:rsidRDefault="004E548C" w:rsidP="004E548C">
      <w:pPr>
        <w:pStyle w:val="BodyText"/>
      </w:pPr>
      <w:r w:rsidRPr="00C52C8A">
        <w:t xml:space="preserve">Improvements to performance reporting for youth justice services are ongoing and include identifying data sources to fill gaps in reporting for performance indicators and </w:t>
      </w:r>
      <w:proofErr w:type="gramStart"/>
      <w:r w:rsidRPr="00C52C8A">
        <w:t>measures, and</w:t>
      </w:r>
      <w:proofErr w:type="gramEnd"/>
      <w:r w:rsidRPr="00C52C8A">
        <w:t xml:space="preserve"> improving the comparability and completeness of data.</w:t>
      </w:r>
    </w:p>
    <w:p w14:paraId="64E954D0" w14:textId="6D74345E" w:rsidR="008350AD" w:rsidRPr="002E39DF" w:rsidRDefault="008350AD"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C52C8A" w14:paraId="32AC456E" w14:textId="77777777" w:rsidTr="006F761F">
        <w:tc>
          <w:tcPr>
            <w:tcW w:w="8789" w:type="dxa"/>
            <w:tcBorders>
              <w:top w:val="single" w:sz="6" w:space="0" w:color="78A22F"/>
              <w:left w:val="nil"/>
              <w:bottom w:val="nil"/>
              <w:right w:val="nil"/>
            </w:tcBorders>
            <w:shd w:val="clear" w:color="auto" w:fill="auto"/>
          </w:tcPr>
          <w:p w14:paraId="6667AEDD" w14:textId="19D2BC56" w:rsidR="008350AD" w:rsidRPr="00C52C8A" w:rsidRDefault="008350AD" w:rsidP="005B7EAC">
            <w:pPr>
              <w:pStyle w:val="FigureTitle"/>
            </w:pPr>
            <w:bookmarkStart w:id="22" w:name="OLE_LINK3"/>
            <w:r w:rsidRPr="00C52C8A">
              <w:rPr>
                <w:b w:val="0"/>
              </w:rPr>
              <w:t>Figure</w:t>
            </w:r>
            <w:r w:rsidR="00B2145B" w:rsidRPr="00C52C8A">
              <w:rPr>
                <w:b w:val="0"/>
              </w:rPr>
              <w:t xml:space="preserve"> </w:t>
            </w:r>
            <w:bookmarkStart w:id="23" w:name="OLE_LINK14"/>
            <w:r w:rsidR="005B7EAC" w:rsidRPr="00C52C8A">
              <w:rPr>
                <w:b w:val="0"/>
              </w:rPr>
              <w:t>17.6</w:t>
            </w:r>
            <w:bookmarkEnd w:id="22"/>
            <w:bookmarkEnd w:id="23"/>
            <w:r w:rsidRPr="00C52C8A">
              <w:tab/>
              <w:t>Youth justice services performance indicator framework</w:t>
            </w:r>
          </w:p>
        </w:tc>
      </w:tr>
      <w:tr w:rsidR="008350AD" w:rsidRPr="00C52C8A" w14:paraId="26DA7A95" w14:textId="77777777" w:rsidTr="006F761F">
        <w:trPr>
          <w:trHeight w:val="9111"/>
        </w:trPr>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8350AD" w:rsidRPr="00C52C8A" w14:paraId="3E7D07FF" w14:textId="77777777" w:rsidTr="00DD1FD0">
              <w:trPr>
                <w:trHeight w:val="8941"/>
              </w:trPr>
              <w:tc>
                <w:tcPr>
                  <w:tcW w:w="5000" w:type="pct"/>
                  <w:tcBorders>
                    <w:top w:val="nil"/>
                    <w:bottom w:val="nil"/>
                  </w:tcBorders>
                  <w:shd w:val="clear" w:color="auto" w:fill="auto"/>
                </w:tcPr>
                <w:p w14:paraId="15F04B14" w14:textId="384171C3" w:rsidR="008350AD" w:rsidRPr="00C52C8A" w:rsidRDefault="001C587D" w:rsidP="00983812">
                  <w:pPr>
                    <w:pStyle w:val="Figure"/>
                    <w:tabs>
                      <w:tab w:val="left" w:pos="7952"/>
                    </w:tabs>
                    <w:spacing w:before="60" w:after="60"/>
                  </w:pPr>
                  <w:r w:rsidRPr="007208C8">
                    <w:rPr>
                      <w:noProof/>
                    </w:rPr>
                    <w:drawing>
                      <wp:inline distT="0" distB="0" distL="0" distR="0" wp14:anchorId="41B618B6" wp14:editId="7227A7C9">
                        <wp:extent cx="5248275" cy="6781165"/>
                        <wp:effectExtent l="0" t="0" r="9525" b="0"/>
                        <wp:docPr id="5" name="Picture 5" descr="Figure 17.6  Youth justice services performance indicator framework.&#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8275" cy="6781165"/>
                                </a:xfrm>
                                <a:prstGeom prst="rect">
                                  <a:avLst/>
                                </a:prstGeom>
                                <a:noFill/>
                                <a:ln>
                                  <a:noFill/>
                                </a:ln>
                              </pic:spPr>
                            </pic:pic>
                          </a:graphicData>
                        </a:graphic>
                      </wp:inline>
                    </w:drawing>
                  </w:r>
                </w:p>
              </w:tc>
            </w:tr>
          </w:tbl>
          <w:p w14:paraId="5DA89149" w14:textId="77777777" w:rsidR="008350AD" w:rsidRPr="00C52C8A" w:rsidRDefault="008350AD" w:rsidP="00983812">
            <w:pPr>
              <w:pStyle w:val="Figure"/>
            </w:pPr>
          </w:p>
        </w:tc>
      </w:tr>
      <w:tr w:rsidR="008350AD" w:rsidRPr="00C52C8A" w14:paraId="00F2F969" w14:textId="77777777" w:rsidTr="006F761F">
        <w:tc>
          <w:tcPr>
            <w:tcW w:w="8789" w:type="dxa"/>
            <w:tcBorders>
              <w:top w:val="nil"/>
              <w:left w:val="nil"/>
              <w:bottom w:val="single" w:sz="6" w:space="0" w:color="78A22F"/>
              <w:right w:val="nil"/>
            </w:tcBorders>
            <w:shd w:val="clear" w:color="auto" w:fill="auto"/>
          </w:tcPr>
          <w:p w14:paraId="269D7089" w14:textId="77777777" w:rsidR="008350AD" w:rsidRPr="00C52C8A" w:rsidRDefault="008350AD" w:rsidP="00983812">
            <w:pPr>
              <w:pStyle w:val="Figurespace"/>
            </w:pPr>
          </w:p>
        </w:tc>
      </w:tr>
      <w:tr w:rsidR="008350AD" w:rsidRPr="00C52C8A" w14:paraId="1539F1AE" w14:textId="77777777" w:rsidTr="006F761F">
        <w:tc>
          <w:tcPr>
            <w:tcW w:w="8789" w:type="dxa"/>
            <w:tcBorders>
              <w:top w:val="single" w:sz="6" w:space="0" w:color="78A22F"/>
              <w:left w:val="nil"/>
              <w:bottom w:val="nil"/>
              <w:right w:val="nil"/>
            </w:tcBorders>
          </w:tcPr>
          <w:p w14:paraId="0456E91F" w14:textId="01FDED46" w:rsidR="008350AD" w:rsidRPr="002E39DF" w:rsidRDefault="008350AD" w:rsidP="00983812">
            <w:pPr>
              <w:pStyle w:val="BoxSpaceBelow"/>
            </w:pPr>
          </w:p>
        </w:tc>
      </w:tr>
    </w:tbl>
    <w:p w14:paraId="6AF94DA6" w14:textId="77777777" w:rsidR="00DE2DA4" w:rsidRPr="00C52C8A" w:rsidRDefault="00C77259" w:rsidP="00E96B32">
      <w:pPr>
        <w:pStyle w:val="Heading2"/>
      </w:pPr>
      <w:bookmarkStart w:id="24" w:name="_Toc524611862"/>
      <w:r w:rsidRPr="00C52C8A">
        <w:lastRenderedPageBreak/>
        <w:t>17</w:t>
      </w:r>
      <w:r w:rsidR="00DE2DA4" w:rsidRPr="00C52C8A">
        <w:t>.3</w:t>
      </w:r>
      <w:r w:rsidR="00DE2DA4" w:rsidRPr="00C52C8A">
        <w:tab/>
        <w:t>Key performance indicator results</w:t>
      </w:r>
      <w:bookmarkEnd w:id="24"/>
      <w:r w:rsidR="00DE2DA4" w:rsidRPr="00C52C8A">
        <w:t xml:space="preserve"> </w:t>
      </w:r>
    </w:p>
    <w:p w14:paraId="7924C508" w14:textId="0B60E26A" w:rsidR="00077173" w:rsidRPr="00C52C8A" w:rsidRDefault="00FD2C0E" w:rsidP="00983812">
      <w:pPr>
        <w:pStyle w:val="BodyText"/>
        <w:rPr>
          <w:szCs w:val="26"/>
        </w:rPr>
      </w:pPr>
      <w:r w:rsidRPr="00C52C8A">
        <w:t xml:space="preserve">Different delivery contexts, locations and clients can affect the equity, effectiveness and efficiency of youth justice services. </w:t>
      </w:r>
      <w:r w:rsidR="00077173" w:rsidRPr="00C52C8A">
        <w:rPr>
          <w:szCs w:val="26"/>
        </w:rPr>
        <w:t xml:space="preserve">Performance indicator results may differ from similar data included in jurisdictions’ annual reports due to different counting rules applied for these </w:t>
      </w:r>
      <w:r w:rsidR="00A32F2A" w:rsidRPr="00C52C8A">
        <w:rPr>
          <w:szCs w:val="26"/>
        </w:rPr>
        <w:t xml:space="preserve">jurisdictional </w:t>
      </w:r>
      <w:r w:rsidR="00077173" w:rsidRPr="00C52C8A">
        <w:rPr>
          <w:szCs w:val="26"/>
        </w:rPr>
        <w:t>reports.</w:t>
      </w:r>
    </w:p>
    <w:p w14:paraId="1E2190BB" w14:textId="395D76E9" w:rsidR="00A95196" w:rsidRPr="00C52C8A" w:rsidRDefault="00A95196" w:rsidP="00A95196">
      <w:pPr>
        <w:keepNext/>
        <w:spacing w:before="240" w:after="240" w:line="300" w:lineRule="atLeast"/>
        <w:jc w:val="both"/>
        <w:rPr>
          <w:szCs w:val="20"/>
        </w:rPr>
      </w:pPr>
      <w:r w:rsidRPr="00C52C8A">
        <w:rPr>
          <w:szCs w:val="20"/>
        </w:rPr>
        <w:t xml:space="preserve">The comparability of performance indicator results </w:t>
      </w:r>
      <w:r w:rsidR="00CF39F1">
        <w:rPr>
          <w:szCs w:val="20"/>
        </w:rPr>
        <w:t>is</w:t>
      </w:r>
      <w:r w:rsidRPr="00C52C8A">
        <w:rPr>
          <w:szCs w:val="20"/>
        </w:rPr>
        <w:t xml:space="preserve"> shaded in indicator interpretation boxes, figures and </w:t>
      </w:r>
      <w:r w:rsidR="00361640" w:rsidRPr="00C52C8A">
        <w:rPr>
          <w:szCs w:val="20"/>
        </w:rPr>
        <w:t xml:space="preserve">section </w:t>
      </w:r>
      <w:r w:rsidRPr="00C52C8A">
        <w:rPr>
          <w:szCs w:val="20"/>
        </w:rPr>
        <w:t xml:space="preserve">and </w:t>
      </w:r>
      <w:r w:rsidR="00361640" w:rsidRPr="00C52C8A">
        <w:rPr>
          <w:szCs w:val="20"/>
        </w:rPr>
        <w:t xml:space="preserve">data </w:t>
      </w:r>
      <w:r w:rsidRPr="00C52C8A">
        <w:rPr>
          <w:szCs w:val="20"/>
        </w:rPr>
        <w:t>tables as follows:</w:t>
      </w: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A95196" w:rsidRPr="00C52C8A" w14:paraId="59F33D68" w14:textId="77777777" w:rsidTr="0085140F">
        <w:tc>
          <w:tcPr>
            <w:tcW w:w="156" w:type="pct"/>
            <w:shd w:val="clear" w:color="auto" w:fill="auto"/>
          </w:tcPr>
          <w:p w14:paraId="08BA1C4C" w14:textId="77777777" w:rsidR="00A95196" w:rsidRPr="00C52C8A" w:rsidRDefault="00A95196" w:rsidP="00D33635">
            <w:pPr>
              <w:keepNext/>
              <w:keepLines/>
              <w:spacing w:before="40" w:line="200" w:lineRule="atLeast"/>
              <w:ind w:left="6" w:right="113"/>
              <w:rPr>
                <w:rFonts w:ascii="Arial" w:hAnsi="Arial"/>
                <w:sz w:val="18"/>
                <w:szCs w:val="20"/>
              </w:rPr>
            </w:pPr>
          </w:p>
        </w:tc>
        <w:tc>
          <w:tcPr>
            <w:tcW w:w="315" w:type="pct"/>
            <w:shd w:val="clear" w:color="auto" w:fill="F15A25"/>
          </w:tcPr>
          <w:p w14:paraId="66DC3239"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157" w:type="pct"/>
            <w:shd w:val="clear" w:color="auto" w:fill="auto"/>
          </w:tcPr>
          <w:p w14:paraId="287FB1C4"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4372" w:type="pct"/>
            <w:shd w:val="clear" w:color="auto" w:fill="auto"/>
          </w:tcPr>
          <w:p w14:paraId="45D365BF" w14:textId="77777777" w:rsidR="00A95196" w:rsidRPr="00C52C8A" w:rsidRDefault="00A95196" w:rsidP="00D33635">
            <w:pPr>
              <w:pStyle w:val="TableBodyText"/>
              <w:jc w:val="left"/>
            </w:pPr>
            <w:r w:rsidRPr="00C52C8A">
              <w:t>Data are comparable (subject to caveats) across jurisdictions and over time.</w:t>
            </w:r>
          </w:p>
        </w:tc>
      </w:tr>
      <w:tr w:rsidR="00A95196" w:rsidRPr="00C52C8A" w14:paraId="0A2B8CC1" w14:textId="77777777" w:rsidTr="0085140F">
        <w:tc>
          <w:tcPr>
            <w:tcW w:w="156" w:type="pct"/>
            <w:shd w:val="clear" w:color="auto" w:fill="auto"/>
          </w:tcPr>
          <w:p w14:paraId="6387A3A2" w14:textId="77777777" w:rsidR="00A95196" w:rsidRPr="00C52C8A" w:rsidRDefault="00A95196" w:rsidP="00D33635">
            <w:pPr>
              <w:keepNext/>
              <w:keepLines/>
              <w:spacing w:before="40" w:line="200" w:lineRule="atLeast"/>
              <w:ind w:left="6" w:right="113"/>
              <w:rPr>
                <w:rFonts w:ascii="Arial" w:hAnsi="Arial"/>
                <w:sz w:val="18"/>
                <w:szCs w:val="20"/>
              </w:rPr>
            </w:pPr>
          </w:p>
        </w:tc>
        <w:tc>
          <w:tcPr>
            <w:tcW w:w="315" w:type="pct"/>
            <w:shd w:val="clear" w:color="auto" w:fill="FCDED3"/>
          </w:tcPr>
          <w:p w14:paraId="659D6A6C"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157" w:type="pct"/>
            <w:shd w:val="clear" w:color="auto" w:fill="auto"/>
          </w:tcPr>
          <w:p w14:paraId="630892A4"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4372" w:type="pct"/>
            <w:shd w:val="clear" w:color="auto" w:fill="auto"/>
          </w:tcPr>
          <w:p w14:paraId="5AEE7C83" w14:textId="77777777" w:rsidR="00A95196" w:rsidRPr="00C52C8A" w:rsidRDefault="00A95196" w:rsidP="00D33635">
            <w:pPr>
              <w:pStyle w:val="TableBodyText"/>
              <w:jc w:val="left"/>
              <w:rPr>
                <w:rFonts w:asciiTheme="minorHAnsi" w:hAnsiTheme="minorHAnsi" w:cstheme="minorHAnsi"/>
                <w:szCs w:val="18"/>
              </w:rPr>
            </w:pPr>
            <w:r w:rsidRPr="00C52C8A">
              <w:t>Data are either not comparable (subject to caveats) within jurisdictions over time or are not comparable across jurisdictions or both.</w:t>
            </w:r>
          </w:p>
        </w:tc>
      </w:tr>
    </w:tbl>
    <w:p w14:paraId="43C36F73" w14:textId="3286999C" w:rsidR="00A95196" w:rsidRPr="00C52C8A" w:rsidRDefault="00A95196" w:rsidP="00A95196">
      <w:pPr>
        <w:spacing w:before="240" w:line="300" w:lineRule="atLeast"/>
        <w:jc w:val="both"/>
        <w:rPr>
          <w:szCs w:val="20"/>
        </w:rPr>
      </w:pPr>
      <w:r w:rsidRPr="00C52C8A">
        <w:rPr>
          <w:szCs w:val="20"/>
        </w:rPr>
        <w:t xml:space="preserve">The completeness of performance indicator results </w:t>
      </w:r>
      <w:r w:rsidR="00CF39F1">
        <w:rPr>
          <w:szCs w:val="20"/>
        </w:rPr>
        <w:t>is</w:t>
      </w:r>
      <w:r w:rsidRPr="00C52C8A">
        <w:rPr>
          <w:szCs w:val="20"/>
        </w:rPr>
        <w:t xml:space="preserve"> shaded in indicator interpretation boxes, figures and </w:t>
      </w:r>
      <w:r w:rsidR="00361640" w:rsidRPr="00C52C8A">
        <w:rPr>
          <w:szCs w:val="20"/>
        </w:rPr>
        <w:t xml:space="preserve">section </w:t>
      </w:r>
      <w:r w:rsidRPr="00C52C8A">
        <w:rPr>
          <w:szCs w:val="20"/>
        </w:rPr>
        <w:t xml:space="preserve">and </w:t>
      </w:r>
      <w:r w:rsidR="00361640" w:rsidRPr="00C52C8A">
        <w:rPr>
          <w:szCs w:val="20"/>
        </w:rPr>
        <w:t xml:space="preserve">data </w:t>
      </w:r>
      <w:r w:rsidRPr="00C52C8A">
        <w:rPr>
          <w:szCs w:val="20"/>
        </w:rPr>
        <w:t>tables as follows:</w:t>
      </w:r>
    </w:p>
    <w:p w14:paraId="3B97767B" w14:textId="77777777" w:rsidR="00A95196" w:rsidRPr="00C52C8A" w:rsidRDefault="00A95196" w:rsidP="00A95196"/>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A95196" w:rsidRPr="00C52C8A" w14:paraId="44A630F8" w14:textId="77777777" w:rsidTr="0085140F">
        <w:tc>
          <w:tcPr>
            <w:tcW w:w="156" w:type="pct"/>
            <w:shd w:val="clear" w:color="auto" w:fill="auto"/>
          </w:tcPr>
          <w:p w14:paraId="3CA90F25" w14:textId="77777777" w:rsidR="00A95196" w:rsidRPr="00C52C8A" w:rsidRDefault="00A95196" w:rsidP="00D33635">
            <w:pPr>
              <w:keepNext/>
              <w:keepLines/>
              <w:spacing w:before="40" w:line="200" w:lineRule="atLeast"/>
              <w:ind w:left="6" w:right="113"/>
              <w:rPr>
                <w:rFonts w:ascii="Arial" w:hAnsi="Arial"/>
                <w:sz w:val="18"/>
                <w:szCs w:val="20"/>
              </w:rPr>
            </w:pPr>
          </w:p>
        </w:tc>
        <w:tc>
          <w:tcPr>
            <w:tcW w:w="315" w:type="pct"/>
            <w:shd w:val="clear" w:color="auto" w:fill="F15A25"/>
          </w:tcPr>
          <w:p w14:paraId="3CB6DCB4"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157" w:type="pct"/>
            <w:shd w:val="clear" w:color="auto" w:fill="auto"/>
          </w:tcPr>
          <w:p w14:paraId="4E3DAC33"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4372" w:type="pct"/>
            <w:shd w:val="clear" w:color="auto" w:fill="auto"/>
          </w:tcPr>
          <w:p w14:paraId="2F03ECF5" w14:textId="537ACCB4" w:rsidR="00A95196" w:rsidRPr="00C52C8A" w:rsidRDefault="00A95196" w:rsidP="00D33635">
            <w:pPr>
              <w:pStyle w:val="TableBodyText"/>
              <w:jc w:val="left"/>
            </w:pPr>
            <w:r w:rsidRPr="00C52C8A">
              <w:t>Data are complete (subject to caveats) for the current reporting period. All required data are available for all jurisdictions</w:t>
            </w:r>
            <w:r w:rsidR="0085140F" w:rsidRPr="00C52C8A">
              <w:t>.</w:t>
            </w:r>
          </w:p>
        </w:tc>
      </w:tr>
      <w:tr w:rsidR="00A95196" w:rsidRPr="00C52C8A" w14:paraId="69F67FC6" w14:textId="77777777" w:rsidTr="0085140F">
        <w:tc>
          <w:tcPr>
            <w:tcW w:w="156" w:type="pct"/>
            <w:shd w:val="clear" w:color="auto" w:fill="auto"/>
          </w:tcPr>
          <w:p w14:paraId="36B17C40" w14:textId="77777777" w:rsidR="00A95196" w:rsidRPr="00C52C8A" w:rsidRDefault="00A95196" w:rsidP="00D33635">
            <w:pPr>
              <w:keepNext/>
              <w:keepLines/>
              <w:spacing w:before="40" w:line="200" w:lineRule="atLeast"/>
              <w:ind w:left="6" w:right="113"/>
              <w:rPr>
                <w:rFonts w:ascii="Arial" w:hAnsi="Arial"/>
                <w:sz w:val="18"/>
                <w:szCs w:val="20"/>
              </w:rPr>
            </w:pPr>
          </w:p>
        </w:tc>
        <w:tc>
          <w:tcPr>
            <w:tcW w:w="315" w:type="pct"/>
            <w:shd w:val="clear" w:color="auto" w:fill="FCDED3"/>
          </w:tcPr>
          <w:p w14:paraId="51F87B24"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157" w:type="pct"/>
            <w:shd w:val="clear" w:color="auto" w:fill="auto"/>
          </w:tcPr>
          <w:p w14:paraId="4498F064" w14:textId="77777777" w:rsidR="00A95196" w:rsidRPr="00C52C8A" w:rsidRDefault="00A95196" w:rsidP="00D33635">
            <w:pPr>
              <w:keepNext/>
              <w:keepLines/>
              <w:spacing w:before="40" w:line="200" w:lineRule="atLeast"/>
              <w:ind w:left="6" w:right="113"/>
              <w:jc w:val="right"/>
              <w:rPr>
                <w:rFonts w:ascii="Arial" w:hAnsi="Arial"/>
                <w:sz w:val="18"/>
                <w:szCs w:val="18"/>
              </w:rPr>
            </w:pPr>
          </w:p>
        </w:tc>
        <w:tc>
          <w:tcPr>
            <w:tcW w:w="4372" w:type="pct"/>
            <w:shd w:val="clear" w:color="auto" w:fill="auto"/>
          </w:tcPr>
          <w:p w14:paraId="3A4AFDC7" w14:textId="77777777" w:rsidR="00A95196" w:rsidRPr="00C52C8A" w:rsidRDefault="00A95196" w:rsidP="00D33635">
            <w:pPr>
              <w:pStyle w:val="TableBodyText"/>
              <w:jc w:val="left"/>
            </w:pPr>
            <w:r w:rsidRPr="00C52C8A">
              <w:t>Data are incomplete for the current reporting period. At least some data were not available.</w:t>
            </w:r>
          </w:p>
        </w:tc>
      </w:tr>
    </w:tbl>
    <w:p w14:paraId="12A7AD55" w14:textId="77777777" w:rsidR="00413C3F" w:rsidRPr="00C52C8A" w:rsidRDefault="00413C3F" w:rsidP="00A654E3">
      <w:pPr>
        <w:pStyle w:val="Heading3"/>
        <w:spacing w:before="520"/>
      </w:pPr>
      <w:r w:rsidRPr="00C52C8A">
        <w:t>Outputs</w:t>
      </w:r>
    </w:p>
    <w:p w14:paraId="45B15F3C" w14:textId="6C556005" w:rsidR="00413C3F" w:rsidRPr="00C52C8A" w:rsidRDefault="00413C3F" w:rsidP="00983812">
      <w:pPr>
        <w:pStyle w:val="BodyText"/>
      </w:pPr>
      <w:r w:rsidRPr="00C52C8A">
        <w:t>Outputs are the services delivered (while outcomes are the impact of these services on the status of an individual or gr</w:t>
      </w:r>
      <w:r w:rsidR="00F55557" w:rsidRPr="00C52C8A">
        <w:t xml:space="preserve">oup) (see </w:t>
      </w:r>
      <w:r w:rsidR="00361640" w:rsidRPr="00C52C8A">
        <w:t>section </w:t>
      </w:r>
      <w:r w:rsidR="00F55557" w:rsidRPr="00C52C8A">
        <w:t>1</w:t>
      </w:r>
      <w:r w:rsidRPr="00C52C8A">
        <w:t>).</w:t>
      </w:r>
      <w:r w:rsidR="001E42F3" w:rsidRPr="00C52C8A">
        <w:t xml:space="preserve"> Output information is</w:t>
      </w:r>
      <w:r w:rsidR="00034949" w:rsidRPr="00C52C8A">
        <w:t xml:space="preserve"> critical for equitable, efficient and effective management of government services.</w:t>
      </w:r>
    </w:p>
    <w:p w14:paraId="409F53F8" w14:textId="77777777" w:rsidR="00413C3F" w:rsidRPr="00C52C8A" w:rsidRDefault="00413C3F" w:rsidP="00A654E3">
      <w:pPr>
        <w:pStyle w:val="Heading3"/>
        <w:spacing w:before="520"/>
      </w:pPr>
      <w:r w:rsidRPr="00C52C8A">
        <w:t>Eq</w:t>
      </w:r>
      <w:r w:rsidR="00FD2C0E" w:rsidRPr="00C52C8A">
        <w:t>uity</w:t>
      </w:r>
    </w:p>
    <w:p w14:paraId="64EAEFA8" w14:textId="01A5555E" w:rsidR="006A4F08" w:rsidRPr="00C52C8A" w:rsidRDefault="006A4F08" w:rsidP="0085140F">
      <w:pPr>
        <w:pStyle w:val="Heading4"/>
        <w:spacing w:before="400"/>
      </w:pPr>
      <w:r w:rsidRPr="00C52C8A">
        <w:t>Equitable access to youth justice services</w:t>
      </w:r>
    </w:p>
    <w:p w14:paraId="34AC45D2" w14:textId="38B49978" w:rsidR="00554F6E" w:rsidRPr="00C52C8A" w:rsidRDefault="00BC4A85" w:rsidP="00B94CA4">
      <w:pPr>
        <w:pStyle w:val="BodyText"/>
      </w:pPr>
      <w:r w:rsidRPr="00C52C8A">
        <w:t>‘Equitable access to youth justice services</w:t>
      </w:r>
      <w:r w:rsidR="00D67BB1" w:rsidRPr="00C52C8A">
        <w:t>’ in an indicator of governments’</w:t>
      </w:r>
      <w:r w:rsidRPr="00C52C8A">
        <w:t xml:space="preserve"> objective to provide youth justice services in an equitable manner</w:t>
      </w:r>
      <w:r w:rsidR="009165BA" w:rsidRPr="00C52C8A">
        <w:t xml:space="preserve"> (box</w:t>
      </w:r>
      <w:r w:rsidR="005B0070">
        <w:t> </w:t>
      </w:r>
      <w:r w:rsidR="00B27E61" w:rsidRPr="00C52C8A">
        <w:t>17.2</w:t>
      </w:r>
      <w:r w:rsidR="009165BA" w:rsidRPr="00C52C8A">
        <w:t>)</w:t>
      </w:r>
      <w:r w:rsidRPr="00C52C8A">
        <w:t>.</w:t>
      </w:r>
    </w:p>
    <w:p w14:paraId="30FF3D96" w14:textId="030F6E0F" w:rsidR="00BC4A85" w:rsidRPr="002E39DF" w:rsidRDefault="00BC4A85">
      <w:pPr>
        <w:pStyle w:val="BoxSpaceAbove"/>
      </w:pPr>
    </w:p>
    <w:tbl>
      <w:tblPr>
        <w:tblW w:w="8789" w:type="dxa"/>
        <w:tblLayout w:type="fixed"/>
        <w:tblCellMar>
          <w:left w:w="142" w:type="dxa"/>
          <w:right w:w="142" w:type="dxa"/>
        </w:tblCellMar>
        <w:tblLook w:val="0000" w:firstRow="0" w:lastRow="0" w:firstColumn="0" w:lastColumn="0" w:noHBand="0" w:noVBand="0"/>
        <w:tblDescription w:val="Table used for design layout."/>
      </w:tblPr>
      <w:tblGrid>
        <w:gridCol w:w="8789"/>
      </w:tblGrid>
      <w:tr w:rsidR="00BC4A85" w:rsidRPr="00C52C8A" w14:paraId="1FDA02EF" w14:textId="77777777" w:rsidTr="007502DF">
        <w:tc>
          <w:tcPr>
            <w:tcW w:w="8789" w:type="dxa"/>
            <w:tcBorders>
              <w:top w:val="single" w:sz="4" w:space="0" w:color="78A22F" w:themeColor="accent1"/>
            </w:tcBorders>
            <w:shd w:val="clear" w:color="auto" w:fill="F2F2F2"/>
          </w:tcPr>
          <w:p w14:paraId="4AEA76BD" w14:textId="1CDAA442" w:rsidR="00BC4A85" w:rsidRPr="00C52C8A" w:rsidRDefault="00BC4A85" w:rsidP="00A654E3">
            <w:pPr>
              <w:pStyle w:val="BoxTitle"/>
            </w:pPr>
            <w:r w:rsidRPr="00C52C8A">
              <w:rPr>
                <w:b w:val="0"/>
              </w:rPr>
              <w:t>Box</w:t>
            </w:r>
            <w:r w:rsidR="0093545C" w:rsidRPr="00C52C8A">
              <w:rPr>
                <w:b w:val="0"/>
              </w:rPr>
              <w:t xml:space="preserve"> </w:t>
            </w:r>
            <w:bookmarkStart w:id="25" w:name="OLE_LINK9"/>
            <w:r w:rsidR="00C87A43">
              <w:rPr>
                <w:b w:val="0"/>
              </w:rPr>
              <w:t>17.</w:t>
            </w:r>
            <w:r w:rsidR="00AF64D0">
              <w:rPr>
                <w:b w:val="0"/>
                <w:noProof/>
              </w:rPr>
              <w:t>2</w:t>
            </w:r>
            <w:bookmarkEnd w:id="25"/>
            <w:r w:rsidRPr="00C52C8A">
              <w:tab/>
            </w:r>
            <w:r w:rsidR="00B94CA4" w:rsidRPr="00C52C8A">
              <w:t>Equitable access to youth justice services</w:t>
            </w:r>
          </w:p>
        </w:tc>
      </w:tr>
      <w:tr w:rsidR="00BC4A85" w:rsidRPr="00C52C8A" w14:paraId="4E1B68EE" w14:textId="77777777" w:rsidTr="007502DF">
        <w:tc>
          <w:tcPr>
            <w:tcW w:w="8789" w:type="dxa"/>
            <w:shd w:val="clear" w:color="auto" w:fill="F2F2F2"/>
          </w:tcPr>
          <w:p w14:paraId="3C45383F" w14:textId="239959EF" w:rsidR="00B94CA4" w:rsidRPr="00C52C8A" w:rsidRDefault="00B94CA4" w:rsidP="005F5F3C">
            <w:pPr>
              <w:pStyle w:val="Box"/>
            </w:pPr>
            <w:r w:rsidRPr="00C52C8A">
              <w:t xml:space="preserve">‘Equitable access to youth justice services’ is defined as the proportion of young people required to enter youth justice services who receive equitable access to particular processes or services within the system. A lack of access to </w:t>
            </w:r>
            <w:proofErr w:type="gramStart"/>
            <w:r w:rsidRPr="00C52C8A">
              <w:t>particular services</w:t>
            </w:r>
            <w:proofErr w:type="gramEnd"/>
            <w:r w:rsidRPr="00C52C8A">
              <w:t xml:space="preserve"> (including specialised services and community</w:t>
            </w:r>
            <w:r w:rsidR="00911FAF">
              <w:noBreakHyphen/>
            </w:r>
            <w:r w:rsidRPr="00C52C8A">
              <w:t>based programs) or justice processes when in the system can create barriers to equitable treatment and ultimately to outcomes. For example, if a young person cannot access a community</w:t>
            </w:r>
            <w:r w:rsidR="00911FAF">
              <w:noBreakHyphen/>
            </w:r>
            <w:r w:rsidRPr="00C52C8A">
              <w:t>based program due to requirements such as age</w:t>
            </w:r>
            <w:r w:rsidR="00441CB3" w:rsidRPr="00C52C8A">
              <w:t>,</w:t>
            </w:r>
            <w:r w:rsidRPr="00C52C8A">
              <w:t xml:space="preserve"> gender, location or living arrangement</w:t>
            </w:r>
            <w:r w:rsidR="00441CB3" w:rsidRPr="00C52C8A">
              <w:t xml:space="preserve">, </w:t>
            </w:r>
            <w:r w:rsidRPr="00C52C8A">
              <w:t>and that program is available to other young people, then the young person does not have equitable access.</w:t>
            </w:r>
          </w:p>
          <w:p w14:paraId="257F846B" w14:textId="29B496C9" w:rsidR="00BC4A85" w:rsidRPr="00C52C8A" w:rsidRDefault="00BC4A85" w:rsidP="005F5F3C">
            <w:pPr>
              <w:pStyle w:val="Box"/>
            </w:pPr>
            <w:r w:rsidRPr="00C52C8A">
              <w:t>High or increasing</w:t>
            </w:r>
            <w:r w:rsidR="00C713E0" w:rsidRPr="00C52C8A">
              <w:t xml:space="preserve"> proportions of young people </w:t>
            </w:r>
            <w:r w:rsidRPr="00C52C8A">
              <w:t xml:space="preserve">who </w:t>
            </w:r>
            <w:r w:rsidR="00770E81" w:rsidRPr="00C52C8A">
              <w:t xml:space="preserve">enter </w:t>
            </w:r>
            <w:r w:rsidRPr="00C52C8A">
              <w:t xml:space="preserve">these services </w:t>
            </w:r>
            <w:r w:rsidR="00770E81" w:rsidRPr="00C52C8A">
              <w:t xml:space="preserve">who receive equitable treatment </w:t>
            </w:r>
            <w:r w:rsidR="0033639A" w:rsidRPr="00C52C8A">
              <w:t xml:space="preserve">through access to </w:t>
            </w:r>
            <w:proofErr w:type="gramStart"/>
            <w:r w:rsidR="0033639A" w:rsidRPr="00C52C8A">
              <w:t>pa</w:t>
            </w:r>
            <w:r w:rsidR="00CB21D5" w:rsidRPr="00C52C8A">
              <w:t>rticular services</w:t>
            </w:r>
            <w:proofErr w:type="gramEnd"/>
            <w:r w:rsidR="00CB21D5" w:rsidRPr="00C52C8A">
              <w:t xml:space="preserve"> and processes</w:t>
            </w:r>
            <w:r w:rsidR="0033639A" w:rsidRPr="00C52C8A">
              <w:t xml:space="preserve"> </w:t>
            </w:r>
            <w:r w:rsidRPr="00C52C8A">
              <w:t xml:space="preserve">is desirable. </w:t>
            </w:r>
          </w:p>
          <w:p w14:paraId="2807CB9F" w14:textId="77777777" w:rsidR="00BC4A85" w:rsidRPr="00C52C8A" w:rsidRDefault="00BC4A85" w:rsidP="005F5F3C">
            <w:pPr>
              <w:pStyle w:val="Box"/>
            </w:pPr>
            <w:r w:rsidRPr="00C52C8A">
              <w:t>Data are not yet available for reporting against this indicator.</w:t>
            </w:r>
          </w:p>
        </w:tc>
      </w:tr>
      <w:tr w:rsidR="00BC4A85" w:rsidRPr="00C52C8A" w14:paraId="55F63F25" w14:textId="77777777" w:rsidTr="007502DF">
        <w:tc>
          <w:tcPr>
            <w:tcW w:w="8789" w:type="dxa"/>
            <w:tcBorders>
              <w:bottom w:val="single" w:sz="4" w:space="0" w:color="78A22F" w:themeColor="accent1"/>
            </w:tcBorders>
            <w:shd w:val="clear" w:color="auto" w:fill="F2F2F2"/>
          </w:tcPr>
          <w:p w14:paraId="0C9547F5" w14:textId="77777777" w:rsidR="00BC4A85" w:rsidRPr="00C52C8A" w:rsidRDefault="00BC4A85">
            <w:pPr>
              <w:pStyle w:val="Box"/>
              <w:spacing w:before="0" w:line="120" w:lineRule="exact"/>
            </w:pPr>
          </w:p>
        </w:tc>
      </w:tr>
      <w:tr w:rsidR="00BC4A85" w:rsidRPr="00C52C8A" w14:paraId="78E0B557" w14:textId="77777777" w:rsidTr="007502DF">
        <w:tc>
          <w:tcPr>
            <w:tcW w:w="8789" w:type="dxa"/>
            <w:tcBorders>
              <w:top w:val="single" w:sz="4" w:space="0" w:color="78A22F" w:themeColor="accent1"/>
            </w:tcBorders>
          </w:tcPr>
          <w:p w14:paraId="62E150AC" w14:textId="020F179B" w:rsidR="00BC4A85" w:rsidRPr="002E39DF" w:rsidRDefault="00BC4A85" w:rsidP="005F5F3C">
            <w:pPr>
              <w:pStyle w:val="BoxSpaceBelow"/>
            </w:pPr>
          </w:p>
        </w:tc>
      </w:tr>
    </w:tbl>
    <w:p w14:paraId="5F99C928" w14:textId="77777777" w:rsidR="00413C3F" w:rsidRPr="00C52C8A" w:rsidRDefault="00413C3F" w:rsidP="00983812">
      <w:pPr>
        <w:pStyle w:val="Heading3"/>
      </w:pPr>
      <w:r w:rsidRPr="00C52C8A">
        <w:t>Effectiveness</w:t>
      </w:r>
    </w:p>
    <w:p w14:paraId="01C0D063" w14:textId="49D4433B" w:rsidR="00B95541" w:rsidRPr="00C52C8A" w:rsidRDefault="00B95541" w:rsidP="00B95541">
      <w:pPr>
        <w:pStyle w:val="Heading4"/>
      </w:pPr>
      <w:r w:rsidRPr="00C52C8A">
        <w:t xml:space="preserve">Access </w:t>
      </w:r>
      <w:r w:rsidR="00456D0D" w:rsidRPr="00C52C8A">
        <w:rPr>
          <w:rFonts w:cs="Arial"/>
        </w:rPr>
        <w:t>—</w:t>
      </w:r>
      <w:r w:rsidRPr="00C52C8A">
        <w:t xml:space="preserve"> </w:t>
      </w:r>
      <w:r w:rsidR="00F45ED1" w:rsidRPr="00C52C8A">
        <w:t>T</w:t>
      </w:r>
      <w:r w:rsidRPr="00C52C8A">
        <w:t>imely access to diversionary services</w:t>
      </w:r>
    </w:p>
    <w:p w14:paraId="5D070954" w14:textId="632A625E" w:rsidR="00B95541" w:rsidRPr="00C52C8A" w:rsidRDefault="00B95541" w:rsidP="00B95541">
      <w:pPr>
        <w:pStyle w:val="BodyText"/>
      </w:pPr>
      <w:r w:rsidRPr="00C52C8A">
        <w:t>‘Timely access to diversionary services’ is an indicator of governments’ objective to divert young people who offend from further progression into the youth justice system to alternative services (box </w:t>
      </w:r>
      <w:r w:rsidR="00B27E61" w:rsidRPr="00C52C8A">
        <w:t>17.3</w:t>
      </w:r>
      <w:r w:rsidRPr="00C52C8A">
        <w:t>).</w:t>
      </w:r>
    </w:p>
    <w:p w14:paraId="71FDD187" w14:textId="73116F1F" w:rsidR="00B95541" w:rsidRPr="002F0149" w:rsidRDefault="00B95541" w:rsidP="002F0149">
      <w:pPr>
        <w:pStyle w:val="BoxSpaceAbove"/>
      </w:pPr>
    </w:p>
    <w:tbl>
      <w:tblPr>
        <w:tblW w:w="8789" w:type="dxa"/>
        <w:tblLayout w:type="fixed"/>
        <w:tblCellMar>
          <w:left w:w="142" w:type="dxa"/>
          <w:right w:w="142" w:type="dxa"/>
        </w:tblCellMar>
        <w:tblLook w:val="0000" w:firstRow="0" w:lastRow="0" w:firstColumn="0" w:lastColumn="0" w:noHBand="0" w:noVBand="0"/>
      </w:tblPr>
      <w:tblGrid>
        <w:gridCol w:w="8789"/>
      </w:tblGrid>
      <w:tr w:rsidR="00B95541" w:rsidRPr="00C52C8A" w14:paraId="35AF1F96" w14:textId="77777777" w:rsidTr="007502DF">
        <w:tc>
          <w:tcPr>
            <w:tcW w:w="8789" w:type="dxa"/>
            <w:tcBorders>
              <w:top w:val="single" w:sz="4" w:space="0" w:color="78A22F" w:themeColor="accent1"/>
            </w:tcBorders>
            <w:shd w:val="clear" w:color="auto" w:fill="F2F2F2" w:themeFill="background1" w:themeFillShade="F2"/>
          </w:tcPr>
          <w:p w14:paraId="315C1C1C" w14:textId="60E6CBA6" w:rsidR="00B95541" w:rsidRPr="00C52C8A" w:rsidRDefault="00B95541" w:rsidP="00987D85">
            <w:pPr>
              <w:pStyle w:val="BoxTitle"/>
            </w:pPr>
            <w:r w:rsidRPr="00C52C8A">
              <w:rPr>
                <w:b w:val="0"/>
              </w:rPr>
              <w:t xml:space="preserve">Box </w:t>
            </w:r>
            <w:bookmarkStart w:id="26" w:name="OLE_LINK28"/>
            <w:r w:rsidR="00C87A43">
              <w:rPr>
                <w:b w:val="0"/>
              </w:rPr>
              <w:t>17.</w:t>
            </w:r>
            <w:r w:rsidR="00AF64D0">
              <w:rPr>
                <w:b w:val="0"/>
                <w:noProof/>
              </w:rPr>
              <w:t>3</w:t>
            </w:r>
            <w:bookmarkEnd w:id="26"/>
            <w:r w:rsidRPr="00C52C8A">
              <w:tab/>
              <w:t>Timely access to diversionary services</w:t>
            </w:r>
          </w:p>
        </w:tc>
      </w:tr>
      <w:tr w:rsidR="00B95541" w:rsidRPr="00C52C8A" w14:paraId="4CF7FBDB" w14:textId="77777777" w:rsidTr="007502DF">
        <w:trPr>
          <w:cantSplit/>
        </w:trPr>
        <w:tc>
          <w:tcPr>
            <w:tcW w:w="8789" w:type="dxa"/>
            <w:shd w:val="clear" w:color="auto" w:fill="F2F2F2" w:themeFill="background1" w:themeFillShade="F2"/>
          </w:tcPr>
          <w:p w14:paraId="1A5B86ED" w14:textId="77777777" w:rsidR="00B95541" w:rsidRPr="00C52C8A" w:rsidRDefault="00B95541" w:rsidP="00987D85">
            <w:pPr>
              <w:pStyle w:val="Box"/>
            </w:pPr>
            <w:r w:rsidRPr="00C52C8A">
              <w:t>‘Timely access to diversionary services’ is defined as the proportion of diversionary services accessed by young people within a specified time period.</w:t>
            </w:r>
          </w:p>
          <w:p w14:paraId="4453E5E0" w14:textId="55E52583" w:rsidR="00B95541" w:rsidRPr="00C52C8A" w:rsidRDefault="00B95541" w:rsidP="00987D85">
            <w:pPr>
              <w:pStyle w:val="Box"/>
            </w:pPr>
            <w:r w:rsidRPr="00C52C8A">
              <w:t>A high or increasing proportion of diversionary services accessed within the specified time period is desirable.</w:t>
            </w:r>
          </w:p>
          <w:p w14:paraId="61A6898E" w14:textId="77777777" w:rsidR="00B95541" w:rsidRPr="00C52C8A" w:rsidRDefault="00B95541" w:rsidP="00987D85">
            <w:pPr>
              <w:pStyle w:val="Box"/>
            </w:pPr>
            <w:r w:rsidRPr="00C52C8A">
              <w:t>Data are not yet available for reporting against this indicator.</w:t>
            </w:r>
          </w:p>
        </w:tc>
      </w:tr>
      <w:tr w:rsidR="00B95541" w:rsidRPr="00C52C8A" w14:paraId="08943E30" w14:textId="77777777" w:rsidTr="007502DF">
        <w:trPr>
          <w:cantSplit/>
        </w:trPr>
        <w:tc>
          <w:tcPr>
            <w:tcW w:w="8789" w:type="dxa"/>
            <w:tcBorders>
              <w:bottom w:val="single" w:sz="4" w:space="0" w:color="78A22F" w:themeColor="accent1"/>
            </w:tcBorders>
            <w:shd w:val="clear" w:color="auto" w:fill="F2F2F2" w:themeFill="background1" w:themeFillShade="F2"/>
          </w:tcPr>
          <w:p w14:paraId="6085D048" w14:textId="77777777" w:rsidR="00B95541" w:rsidRPr="00C52C8A" w:rsidRDefault="00B95541" w:rsidP="00987D85">
            <w:pPr>
              <w:pStyle w:val="Box"/>
              <w:spacing w:before="0" w:line="120" w:lineRule="exact"/>
            </w:pPr>
          </w:p>
        </w:tc>
      </w:tr>
      <w:tr w:rsidR="00B95541" w:rsidRPr="00C52C8A" w14:paraId="583DE438" w14:textId="77777777" w:rsidTr="007502DF">
        <w:tc>
          <w:tcPr>
            <w:tcW w:w="8789" w:type="dxa"/>
            <w:tcBorders>
              <w:top w:val="single" w:sz="4" w:space="0" w:color="78A22F" w:themeColor="accent1"/>
            </w:tcBorders>
          </w:tcPr>
          <w:p w14:paraId="3A227DB9" w14:textId="709AE9FA" w:rsidR="00B95541" w:rsidRPr="002E39DF" w:rsidRDefault="00B95541" w:rsidP="00987D85">
            <w:pPr>
              <w:pStyle w:val="BoxSpaceBelow"/>
            </w:pPr>
          </w:p>
        </w:tc>
      </w:tr>
    </w:tbl>
    <w:p w14:paraId="29C6FBCB" w14:textId="52DCFB1D" w:rsidR="00413C3F" w:rsidRPr="00C52C8A" w:rsidRDefault="002E61A0" w:rsidP="00983812">
      <w:pPr>
        <w:pStyle w:val="Heading4"/>
      </w:pPr>
      <w:r w:rsidRPr="00C52C8A">
        <w:t>Appropriateness</w:t>
      </w:r>
      <w:r w:rsidR="00413C3F" w:rsidRPr="00C52C8A">
        <w:t xml:space="preserve"> — </w:t>
      </w:r>
      <w:r w:rsidR="00F45ED1" w:rsidRPr="00C52C8A">
        <w:t>G</w:t>
      </w:r>
      <w:r w:rsidR="00413C3F" w:rsidRPr="00C52C8A">
        <w:t xml:space="preserve">roup conferencing </w:t>
      </w:r>
      <w:r w:rsidR="00FD2A6F" w:rsidRPr="00C52C8A">
        <w:t>agreements</w:t>
      </w:r>
    </w:p>
    <w:p w14:paraId="51B662AD" w14:textId="10D81B8C" w:rsidR="0093545C" w:rsidRPr="00C52C8A" w:rsidRDefault="00413C3F" w:rsidP="00983812">
      <w:pPr>
        <w:pStyle w:val="BodyText"/>
      </w:pPr>
      <w:r w:rsidRPr="00C52C8A">
        <w:t xml:space="preserve">‘Group conferencing </w:t>
      </w:r>
      <w:r w:rsidR="00B506EA" w:rsidRPr="00C52C8A">
        <w:t>agreements</w:t>
      </w:r>
      <w:r w:rsidR="003120FF" w:rsidRPr="00C52C8A">
        <w:t>’ is a partial</w:t>
      </w:r>
      <w:r w:rsidRPr="00C52C8A">
        <w:t xml:space="preserve"> indicator of governments’ objective</w:t>
      </w:r>
      <w:r w:rsidR="0033639A" w:rsidRPr="00C52C8A">
        <w:t>s</w:t>
      </w:r>
      <w:r w:rsidRPr="00C52C8A">
        <w:t xml:space="preserve"> to</w:t>
      </w:r>
      <w:r w:rsidR="00117074" w:rsidRPr="00C52C8A">
        <w:t xml:space="preserve"> </w:t>
      </w:r>
      <w:r w:rsidRPr="00C52C8A">
        <w:t xml:space="preserve">divert young people </w:t>
      </w:r>
      <w:r w:rsidR="00B506EA" w:rsidRPr="00C52C8A">
        <w:t>who offend from further progression into the youth justice system to alternative services</w:t>
      </w:r>
      <w:r w:rsidR="0033639A" w:rsidRPr="00C52C8A">
        <w:t>,</w:t>
      </w:r>
      <w:r w:rsidR="00117074" w:rsidRPr="00C52C8A">
        <w:t xml:space="preserve"> and to recognise the rights of victims</w:t>
      </w:r>
      <w:r w:rsidRPr="00C52C8A">
        <w:t xml:space="preserve"> (box </w:t>
      </w:r>
      <w:r w:rsidR="00B27E61" w:rsidRPr="00C52C8A">
        <w:t>17.4</w:t>
      </w:r>
      <w:r w:rsidRPr="00C52C8A">
        <w:t>).</w:t>
      </w:r>
    </w:p>
    <w:p w14:paraId="5CF46F12" w14:textId="3EB99521" w:rsidR="00DE7550" w:rsidRPr="002E39DF" w:rsidRDefault="00DE7550" w:rsidP="00DE755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C52C8A" w14:paraId="0535D213" w14:textId="77777777" w:rsidTr="006F761F">
        <w:tc>
          <w:tcPr>
            <w:tcW w:w="8789" w:type="dxa"/>
            <w:tcBorders>
              <w:top w:val="single" w:sz="6" w:space="0" w:color="78A22F"/>
              <w:left w:val="nil"/>
              <w:bottom w:val="nil"/>
              <w:right w:val="nil"/>
            </w:tcBorders>
            <w:shd w:val="clear" w:color="auto" w:fill="F2F2F2" w:themeFill="background1" w:themeFillShade="F2"/>
          </w:tcPr>
          <w:p w14:paraId="2855F8C8" w14:textId="63AA85D2" w:rsidR="008350AD" w:rsidRPr="00C52C8A" w:rsidRDefault="008350AD" w:rsidP="00A654E3">
            <w:pPr>
              <w:pStyle w:val="BoxTitle"/>
            </w:pPr>
            <w:r w:rsidRPr="00C52C8A">
              <w:rPr>
                <w:b w:val="0"/>
              </w:rPr>
              <w:t>Box</w:t>
            </w:r>
            <w:r w:rsidR="0093545C" w:rsidRPr="00C52C8A">
              <w:rPr>
                <w:b w:val="0"/>
              </w:rPr>
              <w:t xml:space="preserve"> </w:t>
            </w:r>
            <w:bookmarkStart w:id="27" w:name="OLE_LINK13"/>
            <w:r w:rsidR="00C87A43">
              <w:rPr>
                <w:b w:val="0"/>
              </w:rPr>
              <w:t>17.</w:t>
            </w:r>
            <w:r w:rsidR="00AF64D0">
              <w:rPr>
                <w:b w:val="0"/>
                <w:noProof/>
              </w:rPr>
              <w:t>4</w:t>
            </w:r>
            <w:bookmarkEnd w:id="27"/>
            <w:r w:rsidRPr="00C52C8A">
              <w:tab/>
            </w:r>
            <w:r w:rsidR="00B94CA4" w:rsidRPr="00C52C8A">
              <w:t>Group conferencing agreements</w:t>
            </w:r>
          </w:p>
        </w:tc>
      </w:tr>
      <w:tr w:rsidR="004C3D2D" w:rsidRPr="00C52C8A" w14:paraId="5C0F071C" w14:textId="77777777" w:rsidTr="006F761F">
        <w:trPr>
          <w:cantSplit/>
        </w:trPr>
        <w:tc>
          <w:tcPr>
            <w:tcW w:w="8789" w:type="dxa"/>
            <w:tcBorders>
              <w:top w:val="nil"/>
              <w:left w:val="nil"/>
              <w:bottom w:val="nil"/>
              <w:right w:val="nil"/>
            </w:tcBorders>
            <w:shd w:val="clear" w:color="auto" w:fill="F2F2F2" w:themeFill="background1" w:themeFillShade="F2"/>
          </w:tcPr>
          <w:p w14:paraId="4E54A46C" w14:textId="77777777" w:rsidR="00B94CA4" w:rsidRPr="00C52C8A" w:rsidRDefault="00B94CA4" w:rsidP="00B94CA4">
            <w:pPr>
              <w:pStyle w:val="Box"/>
            </w:pPr>
            <w:r w:rsidRPr="00C52C8A">
              <w:t>‘Group conferencing agreements’ is defined as the number of young people who receive group conferencing and who as a result reach an agreement, as a proportion of all young people who receive group conferencing.</w:t>
            </w:r>
          </w:p>
          <w:p w14:paraId="20349B94" w14:textId="77777777" w:rsidR="00B94CA4" w:rsidRPr="00C52C8A" w:rsidRDefault="00B94CA4" w:rsidP="00B94CA4">
            <w:pPr>
              <w:pStyle w:val="Box"/>
            </w:pPr>
            <w:r w:rsidRPr="00C52C8A">
              <w:t>Data for this indicator should be interpreted with caution as group conferencing differs across jurisdictions in relation to:</w:t>
            </w:r>
          </w:p>
          <w:p w14:paraId="1D41362A" w14:textId="77777777" w:rsidR="00B94CA4" w:rsidRPr="00C52C8A" w:rsidRDefault="00B94CA4" w:rsidP="00B94CA4">
            <w:pPr>
              <w:pStyle w:val="BoxListBullet"/>
            </w:pPr>
            <w:r w:rsidRPr="00C52C8A">
              <w:t>its place in the court process (for example, whether young people are referred by police before court processes begin, or by the court as an alternative to sentencing)</w:t>
            </w:r>
          </w:p>
          <w:p w14:paraId="7FF753BE" w14:textId="69C7A1FA" w:rsidR="00B94CA4" w:rsidRPr="00C52C8A" w:rsidRDefault="00B94CA4" w:rsidP="00B94CA4">
            <w:pPr>
              <w:pStyle w:val="BoxListBullet"/>
            </w:pPr>
            <w:r w:rsidRPr="00C52C8A">
              <w:t>whether the agreement requires all conference participants to agree</w:t>
            </w:r>
          </w:p>
          <w:p w14:paraId="5A0EDD23" w14:textId="640830AB" w:rsidR="00456D0D" w:rsidRPr="00C52C8A" w:rsidRDefault="004C3D2D" w:rsidP="00885769">
            <w:pPr>
              <w:pStyle w:val="BoxListBullet"/>
            </w:pPr>
            <w:r w:rsidRPr="00C52C8A">
              <w:t>the consequences for young people if they do not comply with the outcome plans of a c</w:t>
            </w:r>
            <w:r w:rsidR="005468F4" w:rsidRPr="00C52C8A">
              <w:t>onference</w:t>
            </w:r>
          </w:p>
          <w:p w14:paraId="3D5F953C" w14:textId="29400396" w:rsidR="005468F4" w:rsidRPr="00C52C8A" w:rsidRDefault="005468F4" w:rsidP="00885769">
            <w:pPr>
              <w:pStyle w:val="BoxListBullet"/>
            </w:pPr>
            <w:r w:rsidRPr="00C52C8A">
              <w:t>eligibility.</w:t>
            </w:r>
          </w:p>
          <w:p w14:paraId="16ECE60E" w14:textId="61E6D0C0" w:rsidR="004C3D2D" w:rsidRPr="00C52C8A" w:rsidRDefault="004C3D2D" w:rsidP="009165BA">
            <w:pPr>
              <w:pStyle w:val="Box"/>
            </w:pPr>
            <w:r w:rsidRPr="00C52C8A">
              <w:t xml:space="preserve">In addition, while all jurisdictions provide the opportunity for victims and/or their representatives to be involved </w:t>
            </w:r>
            <w:r w:rsidR="0033639A" w:rsidRPr="00C52C8A">
              <w:t>in-group</w:t>
            </w:r>
            <w:r w:rsidRPr="00C52C8A">
              <w:t xml:space="preserve"> conferencing</w:t>
            </w:r>
            <w:r w:rsidR="00CB21D5" w:rsidRPr="00C52C8A">
              <w:t>, thereby recognising the rights of victims and</w:t>
            </w:r>
            <w:r w:rsidRPr="00C52C8A">
              <w:t xml:space="preserve"> resulting in many benefits for all parties, the level of involvement should reflect the needs and desire</w:t>
            </w:r>
            <w:r w:rsidR="0082093F" w:rsidRPr="00C52C8A">
              <w:t>s</w:t>
            </w:r>
            <w:r w:rsidRPr="00C52C8A">
              <w:t xml:space="preserve"> of the victim.</w:t>
            </w:r>
            <w:r w:rsidR="003120FF" w:rsidRPr="00C52C8A">
              <w:t xml:space="preserve"> Therefore, not all group conferences or group conferencing agreements will involve the victim as part of the process or agreement.</w:t>
            </w:r>
          </w:p>
          <w:p w14:paraId="194276F6" w14:textId="17D667D0" w:rsidR="004C3D2D" w:rsidRPr="00C52C8A" w:rsidRDefault="004C3D2D" w:rsidP="009165BA">
            <w:pPr>
              <w:pStyle w:val="Box"/>
            </w:pPr>
            <w:r w:rsidRPr="00C52C8A">
              <w:t xml:space="preserve">A high or increasing rate </w:t>
            </w:r>
            <w:r w:rsidR="00456D0D" w:rsidRPr="00C52C8A">
              <w:t>of young people receiving group conferencing, and for whom an agreement is reached,</w:t>
            </w:r>
            <w:r w:rsidRPr="00C52C8A">
              <w:t xml:space="preserve"> is desirable. </w:t>
            </w:r>
          </w:p>
          <w:p w14:paraId="6D6162FF" w14:textId="77777777" w:rsidR="0011285D" w:rsidRPr="00C52C8A" w:rsidRDefault="004C3D2D" w:rsidP="0011285D">
            <w:pPr>
              <w:pStyle w:val="Box"/>
            </w:pPr>
            <w:r w:rsidRPr="00C52C8A">
              <w:t>Data re</w:t>
            </w:r>
            <w:r w:rsidR="0011285D" w:rsidRPr="00C52C8A">
              <w:t xml:space="preserve">ported for this indicator are: </w:t>
            </w:r>
          </w:p>
          <w:p w14:paraId="4B78BC7F" w14:textId="31494E9B" w:rsidR="004C3D2D" w:rsidRPr="00C52C8A" w:rsidRDefault="00CD4C18" w:rsidP="0011285D">
            <w:pPr>
              <w:pStyle w:val="Box"/>
              <w:ind w:left="284"/>
            </w:pPr>
            <w:r w:rsidRPr="00C52C8A">
              <w:rPr>
                <w:shd w:val="clear" w:color="auto" w:fill="FCDED3"/>
              </w:rPr>
              <w:t xml:space="preserve"> </w:t>
            </w:r>
            <w:r w:rsidR="00106C7F">
              <w:rPr>
                <w:shd w:val="clear" w:color="auto" w:fill="FCDED3"/>
              </w:rPr>
              <w:t xml:space="preserve"> </w:t>
            </w:r>
            <w:r w:rsidR="006A4F08" w:rsidRPr="00C52C8A">
              <w:rPr>
                <w:shd w:val="clear" w:color="auto" w:fill="FCDED3"/>
              </w:rPr>
              <w:t xml:space="preserve">  </w:t>
            </w:r>
            <w:r w:rsidR="006A4F08" w:rsidRPr="00C52C8A">
              <w:t xml:space="preserve"> </w:t>
            </w:r>
            <w:r w:rsidR="0044726F" w:rsidRPr="00C52C8A">
              <w:t xml:space="preserve">not comparable across jurisdictions but are </w:t>
            </w:r>
            <w:r w:rsidR="004C3D2D" w:rsidRPr="00C52C8A">
              <w:t xml:space="preserve">comparable (subject to caveats) within jurisdictions over time </w:t>
            </w:r>
          </w:p>
          <w:p w14:paraId="71E43D42" w14:textId="64594DBF" w:rsidR="004C3D2D" w:rsidRPr="00C52C8A" w:rsidRDefault="00CD4C18" w:rsidP="00554F6E">
            <w:pPr>
              <w:pStyle w:val="Box"/>
              <w:ind w:left="284"/>
            </w:pPr>
            <w:r w:rsidRPr="00C52C8A">
              <w:rPr>
                <w:shd w:val="clear" w:color="auto" w:fill="F15A25"/>
              </w:rPr>
              <w:t xml:space="preserve"> </w:t>
            </w:r>
            <w:r w:rsidR="006A4F08" w:rsidRPr="00C52C8A">
              <w:rPr>
                <w:shd w:val="clear" w:color="auto" w:fill="F15A25"/>
              </w:rPr>
              <w:t xml:space="preserve">   </w:t>
            </w:r>
            <w:r w:rsidR="006A4F08" w:rsidRPr="00C52C8A">
              <w:t xml:space="preserve"> </w:t>
            </w:r>
            <w:r w:rsidR="004C3D2D" w:rsidRPr="00C52C8A">
              <w:t xml:space="preserve">complete </w:t>
            </w:r>
            <w:r w:rsidR="008F1646" w:rsidRPr="00C52C8A">
              <w:t xml:space="preserve">(subject to caveats) </w:t>
            </w:r>
            <w:r w:rsidR="004C3D2D" w:rsidRPr="00C52C8A">
              <w:t>for the current reporting period.</w:t>
            </w:r>
            <w:r w:rsidR="00456D0D" w:rsidRPr="00C52C8A">
              <w:t xml:space="preserve"> All required 201</w:t>
            </w:r>
            <w:r w:rsidR="00736D8E">
              <w:t>9</w:t>
            </w:r>
            <w:r w:rsidR="00600E00" w:rsidRPr="00C52C8A">
              <w:noBreakHyphen/>
            </w:r>
            <w:r w:rsidR="00736D8E">
              <w:t>20</w:t>
            </w:r>
            <w:r w:rsidR="00456D0D" w:rsidRPr="00C52C8A">
              <w:t xml:space="preserve"> data </w:t>
            </w:r>
            <w:r w:rsidR="007502DF" w:rsidRPr="00C52C8A">
              <w:t>are</w:t>
            </w:r>
            <w:r w:rsidR="00456D0D" w:rsidRPr="00C52C8A">
              <w:t xml:space="preserve"> available</w:t>
            </w:r>
            <w:r w:rsidR="007502DF" w:rsidRPr="00C52C8A">
              <w:t xml:space="preserve"> for all jurisdictions</w:t>
            </w:r>
            <w:r w:rsidR="00456D0D" w:rsidRPr="00C52C8A">
              <w:t>.</w:t>
            </w:r>
            <w:r w:rsidR="004C3D2D" w:rsidRPr="00C52C8A">
              <w:t xml:space="preserve"> </w:t>
            </w:r>
          </w:p>
        </w:tc>
      </w:tr>
      <w:tr w:rsidR="008350AD" w:rsidRPr="00C52C8A" w14:paraId="11711A98"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47909A02" w14:textId="77777777" w:rsidR="008350AD" w:rsidRPr="00C52C8A" w:rsidRDefault="008350AD" w:rsidP="00983812">
            <w:pPr>
              <w:pStyle w:val="Box"/>
              <w:spacing w:before="0" w:line="120" w:lineRule="exact"/>
            </w:pPr>
          </w:p>
        </w:tc>
      </w:tr>
      <w:tr w:rsidR="008350AD" w:rsidRPr="00C52C8A" w14:paraId="51600EC5" w14:textId="77777777" w:rsidTr="006F761F">
        <w:tc>
          <w:tcPr>
            <w:tcW w:w="8789" w:type="dxa"/>
            <w:tcBorders>
              <w:top w:val="single" w:sz="6" w:space="0" w:color="78A22F"/>
              <w:left w:val="nil"/>
              <w:bottom w:val="nil"/>
              <w:right w:val="nil"/>
            </w:tcBorders>
          </w:tcPr>
          <w:p w14:paraId="3B15E0DB" w14:textId="68ED8CDC" w:rsidR="008350AD" w:rsidRPr="002E39DF" w:rsidRDefault="008350AD" w:rsidP="00983812">
            <w:pPr>
              <w:pStyle w:val="BoxSpaceBelow"/>
            </w:pPr>
          </w:p>
        </w:tc>
      </w:tr>
    </w:tbl>
    <w:p w14:paraId="6D2373E8" w14:textId="1D91A24F" w:rsidR="00413C3F" w:rsidRDefault="00413C3F" w:rsidP="00983812">
      <w:pPr>
        <w:pStyle w:val="BodyText"/>
        <w:spacing w:before="200"/>
      </w:pPr>
      <w:r w:rsidRPr="00C52C8A">
        <w:t xml:space="preserve">Nationally </w:t>
      </w:r>
      <w:r w:rsidR="00327BC5" w:rsidRPr="005F21BF">
        <w:t>in 201</w:t>
      </w:r>
      <w:r w:rsidR="009D0A7F" w:rsidRPr="005F21BF">
        <w:t>9</w:t>
      </w:r>
      <w:r w:rsidR="00F4592C" w:rsidRPr="005F21BF">
        <w:noBreakHyphen/>
      </w:r>
      <w:r w:rsidR="009D0A7F" w:rsidRPr="005F21BF">
        <w:t>20</w:t>
      </w:r>
      <w:r w:rsidR="00762449" w:rsidRPr="005F21BF">
        <w:t xml:space="preserve">, </w:t>
      </w:r>
      <w:r w:rsidR="00CD4C18" w:rsidRPr="005F21BF">
        <w:t>93.</w:t>
      </w:r>
      <w:r w:rsidR="005F21BF">
        <w:t>2</w:t>
      </w:r>
      <w:r w:rsidR="00762449" w:rsidRPr="005F21BF">
        <w:t xml:space="preserve"> </w:t>
      </w:r>
      <w:r w:rsidRPr="005F21BF">
        <w:t>per cent of all concluded group conferences resulted in an agreement</w:t>
      </w:r>
      <w:r w:rsidR="00171328" w:rsidRPr="005F21BF">
        <w:t>.</w:t>
      </w:r>
      <w:r w:rsidR="00D0565F" w:rsidRPr="005F21BF">
        <w:t xml:space="preserve"> </w:t>
      </w:r>
      <w:r w:rsidR="00171328" w:rsidRPr="005F21BF">
        <w:t xml:space="preserve">These results have been broadly consistent </w:t>
      </w:r>
      <w:r w:rsidR="00066067" w:rsidRPr="005F21BF">
        <w:t>since 201</w:t>
      </w:r>
      <w:r w:rsidR="0072756E" w:rsidRPr="005F21BF">
        <w:t>4</w:t>
      </w:r>
      <w:r w:rsidR="00911FAF">
        <w:noBreakHyphen/>
      </w:r>
      <w:r w:rsidR="00066067" w:rsidRPr="005F21BF">
        <w:t>1</w:t>
      </w:r>
      <w:r w:rsidR="0072756E" w:rsidRPr="005F21BF">
        <w:t>5</w:t>
      </w:r>
      <w:r w:rsidR="00171328" w:rsidRPr="005F21BF">
        <w:t xml:space="preserve"> (figure 17.7</w:t>
      </w:r>
      <w:r w:rsidR="00151834" w:rsidRPr="005F21BF">
        <w:t>).</w:t>
      </w:r>
      <w:r w:rsidR="00171328" w:rsidRPr="005F21BF">
        <w:t xml:space="preserve"> Nationally </w:t>
      </w:r>
      <w:r w:rsidR="00066067" w:rsidRPr="005F21BF">
        <w:t>in 2019</w:t>
      </w:r>
      <w:r w:rsidR="00911FAF">
        <w:noBreakHyphen/>
      </w:r>
      <w:r w:rsidR="00066067" w:rsidRPr="005F21BF">
        <w:t xml:space="preserve">20, </w:t>
      </w:r>
      <w:r w:rsidR="00CD4C18" w:rsidRPr="005F21BF">
        <w:t>92.</w:t>
      </w:r>
      <w:r w:rsidR="005F21BF">
        <w:t>8</w:t>
      </w:r>
      <w:r w:rsidR="00762449" w:rsidRPr="005F21BF">
        <w:t xml:space="preserve"> </w:t>
      </w:r>
      <w:r w:rsidR="0023752C" w:rsidRPr="005F21BF">
        <w:t>per</w:t>
      </w:r>
      <w:r w:rsidR="0023752C" w:rsidRPr="00C52C8A">
        <w:t xml:space="preserve"> cent </w:t>
      </w:r>
      <w:r w:rsidR="00171328">
        <w:t>of concluded group conferences for</w:t>
      </w:r>
      <w:r w:rsidR="00171328" w:rsidRPr="00C52C8A">
        <w:t xml:space="preserve"> </w:t>
      </w:r>
      <w:r w:rsidR="009C6B51" w:rsidRPr="00C52C8A">
        <w:t>Aboriginal and Torres Strait Islander young people</w:t>
      </w:r>
      <w:r w:rsidR="00171328">
        <w:t xml:space="preserve"> have resulted in agreement</w:t>
      </w:r>
      <w:r w:rsidR="009C6B51" w:rsidRPr="00C52C8A">
        <w:t xml:space="preserve"> (</w:t>
      </w:r>
      <w:r w:rsidR="00E17EBC" w:rsidRPr="00C52C8A">
        <w:t>table 17A.11</w:t>
      </w:r>
      <w:r w:rsidR="009C6B51" w:rsidRPr="00C52C8A">
        <w:t>).</w:t>
      </w:r>
    </w:p>
    <w:p w14:paraId="2A4DF417" w14:textId="77777777" w:rsidR="00066067" w:rsidRPr="00C52C8A" w:rsidRDefault="00066067" w:rsidP="00983812">
      <w:pPr>
        <w:pStyle w:val="BodyText"/>
        <w:spacing w:before="200"/>
      </w:pPr>
    </w:p>
    <w:p w14:paraId="04226B0B" w14:textId="1929855A" w:rsidR="008350AD" w:rsidRPr="002E39DF" w:rsidRDefault="008350AD" w:rsidP="0098381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350AD" w:rsidRPr="00C52C8A" w14:paraId="0E5F4252" w14:textId="77777777" w:rsidTr="00DE63E6">
        <w:tc>
          <w:tcPr>
            <w:tcW w:w="5000" w:type="pct"/>
            <w:tcBorders>
              <w:top w:val="single" w:sz="6" w:space="0" w:color="78A22F"/>
              <w:left w:val="nil"/>
              <w:bottom w:val="nil"/>
              <w:right w:val="nil"/>
            </w:tcBorders>
            <w:shd w:val="clear" w:color="auto" w:fill="auto"/>
          </w:tcPr>
          <w:p w14:paraId="37713DDE" w14:textId="17332AF0" w:rsidR="008350AD" w:rsidRPr="00C52C8A" w:rsidRDefault="008350AD" w:rsidP="00554F6E">
            <w:pPr>
              <w:pStyle w:val="FigureTitle"/>
            </w:pPr>
            <w:r w:rsidRPr="00C52C8A">
              <w:rPr>
                <w:b w:val="0"/>
              </w:rPr>
              <w:t>Figure</w:t>
            </w:r>
            <w:r w:rsidR="00902E1A" w:rsidRPr="00C52C8A">
              <w:rPr>
                <w:b w:val="0"/>
              </w:rPr>
              <w:t xml:space="preserve"> </w:t>
            </w:r>
            <w:r w:rsidR="005B7EAC" w:rsidRPr="00C52C8A">
              <w:rPr>
                <w:b w:val="0"/>
              </w:rPr>
              <w:t>17.7</w:t>
            </w:r>
            <w:r w:rsidRPr="00C52C8A">
              <w:tab/>
              <w:t>Proportion of young people who receive group conferencing and reach an agreement</w:t>
            </w:r>
            <w:r w:rsidR="005C233B" w:rsidRPr="00C52C8A">
              <w:rPr>
                <w:rStyle w:val="NoteLabel"/>
                <w:b/>
              </w:rPr>
              <w:t>a</w:t>
            </w:r>
          </w:p>
        </w:tc>
      </w:tr>
      <w:tr w:rsidR="00DE63E6" w:rsidRPr="00C52C8A" w14:paraId="7866BD33" w14:textId="77777777" w:rsidTr="00DE63E6">
        <w:tc>
          <w:tcPr>
            <w:tcW w:w="5000" w:type="pct"/>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C52C8A" w14:paraId="770AC1DF" w14:textId="77777777" w:rsidTr="00CC3E5F">
              <w:tc>
                <w:tcPr>
                  <w:tcW w:w="304" w:type="dxa"/>
                  <w:tcBorders>
                    <w:top w:val="nil"/>
                    <w:left w:val="nil"/>
                    <w:bottom w:val="nil"/>
                    <w:right w:val="nil"/>
                  </w:tcBorders>
                  <w:shd w:val="clear" w:color="auto" w:fill="auto"/>
                  <w:tcMar>
                    <w:top w:w="28" w:type="dxa"/>
                    <w:bottom w:w="28" w:type="dxa"/>
                  </w:tcMar>
                </w:tcPr>
                <w:p w14:paraId="709FCA11"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3D17ED08"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9ED1350" w14:textId="2BC45A71" w:rsidR="00DE63E6" w:rsidRPr="00C52C8A" w:rsidRDefault="00DE63E6" w:rsidP="0081112C">
                  <w:pPr>
                    <w:pStyle w:val="TableBodyText"/>
                    <w:jc w:val="left"/>
                  </w:pPr>
                  <w:r w:rsidRPr="00C52C8A">
                    <w:t xml:space="preserve">Data are </w:t>
                  </w:r>
                  <w:r w:rsidR="00CC3E5F" w:rsidRPr="00C52C8A">
                    <w:t>not comparable across jurisdictions</w:t>
                  </w:r>
                  <w:r w:rsidRPr="00C52C8A">
                    <w:t>.</w:t>
                  </w:r>
                </w:p>
              </w:tc>
            </w:tr>
            <w:tr w:rsidR="00DE63E6" w:rsidRPr="00C52C8A" w14:paraId="4877299B" w14:textId="77777777" w:rsidTr="00CC3E5F">
              <w:tc>
                <w:tcPr>
                  <w:tcW w:w="304" w:type="dxa"/>
                  <w:tcBorders>
                    <w:top w:val="nil"/>
                    <w:left w:val="nil"/>
                    <w:bottom w:val="nil"/>
                    <w:right w:val="nil"/>
                  </w:tcBorders>
                  <w:shd w:val="clear" w:color="auto" w:fill="auto"/>
                  <w:tcMar>
                    <w:top w:w="28" w:type="dxa"/>
                    <w:bottom w:w="28" w:type="dxa"/>
                  </w:tcMar>
                </w:tcPr>
                <w:p w14:paraId="72BC71BC"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2641E86" w14:textId="77777777" w:rsidR="00DE63E6" w:rsidRPr="00C52C8A"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5F3E3CF" w14:textId="0B63F111" w:rsidR="00DE63E6" w:rsidRPr="00C52C8A" w:rsidRDefault="00DE63E6" w:rsidP="00EF49AD">
                  <w:pPr>
                    <w:pStyle w:val="TableBodyText"/>
                    <w:jc w:val="left"/>
                    <w:rPr>
                      <w:rFonts w:cs="Arial"/>
                      <w:szCs w:val="18"/>
                    </w:rPr>
                  </w:pPr>
                  <w:r w:rsidRPr="00C52C8A">
                    <w:t>Data are complete (subject to caveats) for the current reporting period.</w:t>
                  </w:r>
                </w:p>
              </w:tc>
            </w:tr>
          </w:tbl>
          <w:p w14:paraId="6D65E09C" w14:textId="77777777" w:rsidR="00DE63E6" w:rsidRPr="00C52C8A" w:rsidRDefault="00DE63E6" w:rsidP="001865EA">
            <w:pPr>
              <w:pStyle w:val="FigureTitle"/>
              <w:rPr>
                <w:b w:val="0"/>
              </w:rPr>
            </w:pPr>
          </w:p>
        </w:tc>
      </w:tr>
      <w:tr w:rsidR="008350AD" w:rsidRPr="00C52C8A" w14:paraId="4EA6EA4A" w14:textId="77777777" w:rsidTr="005F5365">
        <w:tc>
          <w:tcPr>
            <w:tcW w:w="5000" w:type="pct"/>
            <w:tcBorders>
              <w:top w:val="nil"/>
              <w:left w:val="nil"/>
              <w:bottom w:val="nil"/>
              <w:right w:val="nil"/>
            </w:tcBorders>
            <w:shd w:val="clear" w:color="auto" w:fill="auto"/>
            <w:tcMar>
              <w:top w:w="28" w:type="dxa"/>
              <w:bottom w:w="28" w:type="dxa"/>
            </w:tcMar>
          </w:tcPr>
          <w:tbl>
            <w:tblPr>
              <w:tblW w:w="5000" w:type="pct"/>
              <w:tblBorders>
                <w:left w:val="single" w:sz="4" w:space="0" w:color="auto"/>
              </w:tblBorders>
              <w:shd w:val="clear" w:color="auto" w:fill="8DBE38" w:themeFill="accent3" w:themeFillShade="BF"/>
              <w:tblCellMar>
                <w:top w:w="28" w:type="dxa"/>
              </w:tblCellMar>
              <w:tblLook w:val="0000" w:firstRow="0" w:lastRow="0" w:firstColumn="0" w:lastColumn="0" w:noHBand="0" w:noVBand="0"/>
            </w:tblPr>
            <w:tblGrid>
              <w:gridCol w:w="8505"/>
            </w:tblGrid>
            <w:tr w:rsidR="008350AD" w:rsidRPr="00C52C8A" w14:paraId="04B36C91" w14:textId="77777777" w:rsidTr="00180FAC">
              <w:trPr>
                <w:trHeight w:val="4252"/>
              </w:trPr>
              <w:tc>
                <w:tcPr>
                  <w:tcW w:w="8505" w:type="dxa"/>
                  <w:tcBorders>
                    <w:left w:val="nil"/>
                  </w:tcBorders>
                  <w:shd w:val="clear" w:color="auto" w:fill="auto"/>
                </w:tcPr>
                <w:p w14:paraId="77800101" w14:textId="0270FCC7" w:rsidR="005F5365" w:rsidRPr="00C52C8A" w:rsidRDefault="00180FAC" w:rsidP="00C26031">
                  <w:pPr>
                    <w:pStyle w:val="Figure"/>
                  </w:pPr>
                  <w:r>
                    <w:rPr>
                      <w:noProof/>
                    </w:rPr>
                    <w:drawing>
                      <wp:inline distT="0" distB="0" distL="0" distR="0" wp14:anchorId="439E0B2D" wp14:editId="5FE8C09D">
                        <wp:extent cx="5348760" cy="2608560"/>
                        <wp:effectExtent l="0" t="0" r="4445" b="1905"/>
                        <wp:docPr id="12" name="Chart 12" descr="Figure 17.7  Proportion of young people who receive group conferencing and reach an agreement.&#10;More details can be found within the text surrounding this image.">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7258AB0C" w14:textId="77777777" w:rsidR="008350AD" w:rsidRPr="00C52C8A" w:rsidRDefault="008350AD" w:rsidP="00983812">
            <w:pPr>
              <w:pStyle w:val="Figure"/>
            </w:pPr>
          </w:p>
        </w:tc>
      </w:tr>
      <w:tr w:rsidR="008350AD" w:rsidRPr="00C52C8A" w14:paraId="1095888A" w14:textId="77777777" w:rsidTr="005F5365">
        <w:tc>
          <w:tcPr>
            <w:tcW w:w="5000" w:type="pct"/>
            <w:tcBorders>
              <w:top w:val="nil"/>
              <w:left w:val="nil"/>
              <w:bottom w:val="nil"/>
              <w:right w:val="nil"/>
            </w:tcBorders>
            <w:shd w:val="clear" w:color="auto" w:fill="auto"/>
          </w:tcPr>
          <w:p w14:paraId="7476E754" w14:textId="4AB1CA17" w:rsidR="008350AD" w:rsidRPr="00C52C8A" w:rsidRDefault="000F1A4B" w:rsidP="00F952DB">
            <w:pPr>
              <w:pStyle w:val="Note"/>
            </w:pPr>
            <w:r w:rsidRPr="00C52C8A">
              <w:rPr>
                <w:rStyle w:val="NoteLabel"/>
              </w:rPr>
              <w:t>a</w:t>
            </w:r>
            <w:r w:rsidR="00014206" w:rsidRPr="00C52C8A">
              <w:rPr>
                <w:rStyle w:val="NoteLabel"/>
              </w:rPr>
              <w:t> </w:t>
            </w:r>
            <w:r w:rsidR="00014206" w:rsidRPr="00C52C8A">
              <w:t>See</w:t>
            </w:r>
            <w:r w:rsidR="008350AD" w:rsidRPr="00C52C8A">
              <w:t xml:space="preserve"> </w:t>
            </w:r>
            <w:r w:rsidR="00B92838" w:rsidRPr="00C52C8A">
              <w:t>box</w:t>
            </w:r>
            <w:r w:rsidR="00F4592C" w:rsidRPr="00C52C8A">
              <w:t> </w:t>
            </w:r>
            <w:r w:rsidR="00F952DB" w:rsidRPr="00C52C8A">
              <w:t>17.4</w:t>
            </w:r>
            <w:r w:rsidR="00D91680" w:rsidRPr="00C52C8A">
              <w:t xml:space="preserve"> </w:t>
            </w:r>
            <w:r w:rsidR="00B92838" w:rsidRPr="00C52C8A">
              <w:t xml:space="preserve">and </w:t>
            </w:r>
            <w:r w:rsidR="008350AD" w:rsidRPr="00C52C8A">
              <w:t>table</w:t>
            </w:r>
            <w:r w:rsidR="005B0070">
              <w:t> </w:t>
            </w:r>
            <w:r w:rsidR="008350AD" w:rsidRPr="00C52C8A">
              <w:t>1</w:t>
            </w:r>
            <w:r w:rsidR="002E61A0" w:rsidRPr="00C52C8A">
              <w:t>7</w:t>
            </w:r>
            <w:r w:rsidR="00117074" w:rsidRPr="00C52C8A">
              <w:t>A.11</w:t>
            </w:r>
            <w:r w:rsidR="008350AD" w:rsidRPr="00C52C8A">
              <w:t xml:space="preserve"> for detailed </w:t>
            </w:r>
            <w:r w:rsidR="00014206" w:rsidRPr="00C52C8A">
              <w:t xml:space="preserve">definitions, </w:t>
            </w:r>
            <w:r w:rsidR="008350AD" w:rsidRPr="00C52C8A">
              <w:t>footnotes</w:t>
            </w:r>
            <w:r w:rsidR="00014206" w:rsidRPr="00C52C8A">
              <w:t xml:space="preserve"> and caveats</w:t>
            </w:r>
            <w:r w:rsidR="008350AD" w:rsidRPr="00C52C8A">
              <w:t>.</w:t>
            </w:r>
          </w:p>
        </w:tc>
      </w:tr>
      <w:tr w:rsidR="000006D4" w:rsidRPr="00C52C8A" w14:paraId="4F51A222" w14:textId="77777777" w:rsidTr="005F5365">
        <w:tc>
          <w:tcPr>
            <w:tcW w:w="5000" w:type="pct"/>
            <w:tcBorders>
              <w:top w:val="nil"/>
              <w:left w:val="nil"/>
              <w:bottom w:val="nil"/>
              <w:right w:val="nil"/>
            </w:tcBorders>
            <w:shd w:val="clear" w:color="auto" w:fill="auto"/>
          </w:tcPr>
          <w:p w14:paraId="53A3D5E5" w14:textId="7ACD7124" w:rsidR="000006D4" w:rsidRPr="00C52C8A" w:rsidRDefault="000006D4" w:rsidP="002E025B">
            <w:pPr>
              <w:pStyle w:val="Source"/>
            </w:pPr>
            <w:r w:rsidRPr="00C52C8A">
              <w:rPr>
                <w:i/>
              </w:rPr>
              <w:t>Source</w:t>
            </w:r>
            <w:r w:rsidR="00CF76CB" w:rsidRPr="00C52C8A">
              <w:rPr>
                <w:i/>
              </w:rPr>
              <w:t>s</w:t>
            </w:r>
            <w:r w:rsidRPr="00C52C8A">
              <w:t>: State and Territory governments (unpublished); table</w:t>
            </w:r>
            <w:r w:rsidR="005B0070">
              <w:t> </w:t>
            </w:r>
            <w:r w:rsidRPr="00C52C8A">
              <w:t>17</w:t>
            </w:r>
            <w:r w:rsidR="00117074" w:rsidRPr="00C52C8A">
              <w:t>A.11</w:t>
            </w:r>
            <w:r w:rsidRPr="00C52C8A">
              <w:t>.</w:t>
            </w:r>
          </w:p>
        </w:tc>
      </w:tr>
      <w:tr w:rsidR="000006D4" w:rsidRPr="00C52C8A" w14:paraId="06596CE8" w14:textId="77777777" w:rsidTr="005F5365">
        <w:tc>
          <w:tcPr>
            <w:tcW w:w="5000" w:type="pct"/>
            <w:tcBorders>
              <w:top w:val="nil"/>
              <w:left w:val="nil"/>
              <w:bottom w:val="single" w:sz="6" w:space="0" w:color="78A22F"/>
              <w:right w:val="nil"/>
            </w:tcBorders>
            <w:shd w:val="clear" w:color="auto" w:fill="auto"/>
          </w:tcPr>
          <w:p w14:paraId="09C5DA6E" w14:textId="77777777" w:rsidR="000006D4" w:rsidRPr="00C52C8A" w:rsidRDefault="000006D4" w:rsidP="002E025B">
            <w:pPr>
              <w:pStyle w:val="Figurespace"/>
            </w:pPr>
          </w:p>
        </w:tc>
      </w:tr>
      <w:tr w:rsidR="008350AD" w:rsidRPr="00C52C8A" w14:paraId="19970716" w14:textId="77777777" w:rsidTr="005F5365">
        <w:tc>
          <w:tcPr>
            <w:tcW w:w="5000" w:type="pct"/>
            <w:tcBorders>
              <w:top w:val="single" w:sz="6" w:space="0" w:color="78A22F"/>
              <w:left w:val="nil"/>
              <w:bottom w:val="nil"/>
              <w:right w:val="nil"/>
            </w:tcBorders>
          </w:tcPr>
          <w:p w14:paraId="2FB3A393" w14:textId="0F37AE09" w:rsidR="008350AD" w:rsidRPr="002E39DF" w:rsidRDefault="008350AD" w:rsidP="00983812">
            <w:pPr>
              <w:pStyle w:val="BoxSpaceBelow"/>
            </w:pPr>
          </w:p>
        </w:tc>
      </w:tr>
    </w:tbl>
    <w:p w14:paraId="51F791CF" w14:textId="58EA22C0" w:rsidR="009B619F" w:rsidRPr="00C52C8A" w:rsidRDefault="009B619F" w:rsidP="00485EAE">
      <w:pPr>
        <w:pStyle w:val="Heading4"/>
      </w:pPr>
      <w:r w:rsidRPr="00C52C8A">
        <w:t xml:space="preserve">Appropriateness — </w:t>
      </w:r>
      <w:r w:rsidR="00F45ED1" w:rsidRPr="00C52C8A">
        <w:t>C</w:t>
      </w:r>
      <w:r w:rsidRPr="00C52C8A">
        <w:t>ase plans prepared</w:t>
      </w:r>
    </w:p>
    <w:p w14:paraId="21A1A298" w14:textId="25AD6CCA" w:rsidR="002013E5" w:rsidRPr="00C52C8A" w:rsidRDefault="009B619F" w:rsidP="009B619F">
      <w:pPr>
        <w:pStyle w:val="BodyText"/>
      </w:pPr>
      <w:r w:rsidRPr="00C52C8A">
        <w:t>‘Case plans prepared’ is an indicator of governments’ objective to assist young people who offend to address their offending behaviour (box</w:t>
      </w:r>
      <w:r w:rsidR="00F4592C" w:rsidRPr="00C52C8A">
        <w:t> </w:t>
      </w:r>
      <w:r w:rsidR="00B27E61" w:rsidRPr="00C52C8A">
        <w:t>17.5</w:t>
      </w:r>
      <w:r w:rsidRPr="00C52C8A">
        <w:t>).</w:t>
      </w:r>
    </w:p>
    <w:p w14:paraId="206EDE98" w14:textId="0C7C14D4" w:rsidR="007F2D11" w:rsidRPr="002F0149" w:rsidRDefault="007F2D11" w:rsidP="002F014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F2D11" w:rsidRPr="00C52C8A" w14:paraId="32E4871D" w14:textId="77777777" w:rsidTr="00301F3E">
        <w:trPr>
          <w:tblHeader/>
        </w:trPr>
        <w:tc>
          <w:tcPr>
            <w:tcW w:w="5000" w:type="pct"/>
            <w:tcBorders>
              <w:top w:val="single" w:sz="6" w:space="0" w:color="78A22F"/>
              <w:left w:val="nil"/>
              <w:bottom w:val="nil"/>
              <w:right w:val="nil"/>
            </w:tcBorders>
            <w:shd w:val="clear" w:color="auto" w:fill="F2F2F2"/>
          </w:tcPr>
          <w:p w14:paraId="585E40B0" w14:textId="67B79067" w:rsidR="007F2D11" w:rsidRPr="00C52C8A" w:rsidRDefault="007F2D11" w:rsidP="007F2D11">
            <w:pPr>
              <w:pStyle w:val="BoxTitle"/>
            </w:pPr>
            <w:r w:rsidRPr="00C52C8A">
              <w:rPr>
                <w:b w:val="0"/>
              </w:rPr>
              <w:t xml:space="preserve">Box </w:t>
            </w:r>
            <w:bookmarkStart w:id="28" w:name="OLE_LINK8"/>
            <w:r w:rsidRPr="00C52C8A">
              <w:rPr>
                <w:b w:val="0"/>
              </w:rPr>
              <w:t>17.5</w:t>
            </w:r>
            <w:bookmarkEnd w:id="28"/>
            <w:r w:rsidRPr="00C52C8A">
              <w:tab/>
              <w:t>Case plans prepared</w:t>
            </w:r>
          </w:p>
        </w:tc>
      </w:tr>
      <w:tr w:rsidR="007F2D11" w:rsidRPr="00C52C8A" w14:paraId="648EB5A8" w14:textId="77777777" w:rsidTr="00301F3E">
        <w:tc>
          <w:tcPr>
            <w:tcW w:w="5000" w:type="pct"/>
            <w:tcBorders>
              <w:top w:val="nil"/>
              <w:left w:val="nil"/>
              <w:bottom w:val="nil"/>
              <w:right w:val="nil"/>
            </w:tcBorders>
            <w:shd w:val="clear" w:color="auto" w:fill="F2F2F2"/>
          </w:tcPr>
          <w:p w14:paraId="61141DC3" w14:textId="77777777" w:rsidR="007F2D11" w:rsidRPr="00C52C8A" w:rsidRDefault="007F2D11" w:rsidP="007F2D11">
            <w:pPr>
              <w:pStyle w:val="Box"/>
            </w:pPr>
            <w:r w:rsidRPr="00C52C8A">
              <w:t>‘Case plans prepared’ is defined as the number of eligible young people who had a documented case plan prepared or reviewed within 6 weeks of commencing:</w:t>
            </w:r>
          </w:p>
          <w:p w14:paraId="5BC6B215" w14:textId="77777777" w:rsidR="007F2D11" w:rsidRPr="00C52C8A" w:rsidRDefault="007F2D11" w:rsidP="007F2D11">
            <w:pPr>
              <w:pStyle w:val="BoxListBullet"/>
            </w:pPr>
            <w:r w:rsidRPr="00C52C8A">
              <w:t>a sentenced community</w:t>
            </w:r>
            <w:r w:rsidRPr="00C52C8A">
              <w:noBreakHyphen/>
              <w:t>based order, as a proportion of all young people commencing a sentenced community</w:t>
            </w:r>
            <w:r w:rsidRPr="00C52C8A">
              <w:noBreakHyphen/>
              <w:t xml:space="preserve">based order </w:t>
            </w:r>
          </w:p>
          <w:p w14:paraId="2E21ADD6" w14:textId="77777777" w:rsidR="007F2D11" w:rsidRPr="00C52C8A" w:rsidRDefault="007F2D11" w:rsidP="007F2D11">
            <w:pPr>
              <w:pStyle w:val="BoxListBullet"/>
            </w:pPr>
            <w:r w:rsidRPr="00C52C8A">
              <w:t>a sentenced detention order, as a proportion of all young people commencing a sentenced detention order.</w:t>
            </w:r>
          </w:p>
          <w:p w14:paraId="042041F3" w14:textId="5361D12A" w:rsidR="00A654E3" w:rsidRPr="00C52C8A" w:rsidRDefault="00A654E3" w:rsidP="00A654E3">
            <w:pPr>
              <w:pStyle w:val="Box"/>
            </w:pPr>
            <w:r w:rsidRPr="00C52C8A">
              <w:t>Case plans are formal written plans that assess a young person’s risks and needs for general safety and rehabilitation for specific offending behaviours. An eligible young person is one who is serving a sentenced order that requires case management.</w:t>
            </w:r>
          </w:p>
        </w:tc>
      </w:tr>
      <w:tr w:rsidR="007F2D11" w:rsidRPr="00C52C8A" w14:paraId="7A108AD7" w14:textId="77777777" w:rsidTr="00301F3E">
        <w:tc>
          <w:tcPr>
            <w:tcW w:w="5000" w:type="pct"/>
            <w:tcBorders>
              <w:top w:val="nil"/>
              <w:left w:val="nil"/>
              <w:bottom w:val="nil"/>
              <w:right w:val="nil"/>
            </w:tcBorders>
            <w:shd w:val="clear" w:color="auto" w:fill="F2F2F2"/>
          </w:tcPr>
          <w:p w14:paraId="51DBD894" w14:textId="0F44709D" w:rsidR="007F2D11" w:rsidRPr="00C52C8A" w:rsidRDefault="007F2D11" w:rsidP="007F2D11">
            <w:pPr>
              <w:pStyle w:val="BoxSource"/>
              <w:jc w:val="right"/>
            </w:pPr>
            <w:r w:rsidRPr="00C52C8A">
              <w:t>(continued next page)</w:t>
            </w:r>
          </w:p>
        </w:tc>
      </w:tr>
      <w:tr w:rsidR="007F2D11" w:rsidRPr="00C52C8A" w14:paraId="33E5382C" w14:textId="77777777" w:rsidTr="00301F3E">
        <w:tc>
          <w:tcPr>
            <w:tcW w:w="5000" w:type="pct"/>
            <w:tcBorders>
              <w:top w:val="nil"/>
              <w:left w:val="nil"/>
              <w:bottom w:val="single" w:sz="6" w:space="0" w:color="78A22F"/>
              <w:right w:val="nil"/>
            </w:tcBorders>
            <w:shd w:val="clear" w:color="auto" w:fill="F2F2F2"/>
          </w:tcPr>
          <w:p w14:paraId="67AB5B94" w14:textId="77777777" w:rsidR="007F2D11" w:rsidRPr="00C52C8A" w:rsidRDefault="007F2D11">
            <w:pPr>
              <w:pStyle w:val="Box"/>
              <w:spacing w:before="0" w:line="120" w:lineRule="exact"/>
            </w:pPr>
          </w:p>
        </w:tc>
      </w:tr>
      <w:tr w:rsidR="007F2D11" w:rsidRPr="00C52C8A" w14:paraId="16420A98" w14:textId="77777777" w:rsidTr="00301F3E">
        <w:tc>
          <w:tcPr>
            <w:tcW w:w="5000" w:type="pct"/>
            <w:tcBorders>
              <w:top w:val="single" w:sz="6" w:space="0" w:color="78A22F"/>
              <w:left w:val="nil"/>
              <w:bottom w:val="nil"/>
              <w:right w:val="nil"/>
            </w:tcBorders>
          </w:tcPr>
          <w:p w14:paraId="7BA8D00A" w14:textId="71351C6F" w:rsidR="007F2D11" w:rsidRPr="002E39DF" w:rsidRDefault="007F2D11" w:rsidP="00301F3E">
            <w:pPr>
              <w:pStyle w:val="BoxSpaceBelow"/>
            </w:pPr>
          </w:p>
        </w:tc>
      </w:tr>
    </w:tbl>
    <w:p w14:paraId="50E76660" w14:textId="5B6A464D" w:rsidR="009B619F" w:rsidRPr="002E39DF" w:rsidRDefault="009B619F" w:rsidP="009B619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B619F" w:rsidRPr="00C52C8A" w14:paraId="78B514D3" w14:textId="77777777" w:rsidTr="006F761F">
        <w:tc>
          <w:tcPr>
            <w:tcW w:w="8789" w:type="dxa"/>
            <w:tcBorders>
              <w:top w:val="single" w:sz="6" w:space="0" w:color="78A22F"/>
              <w:left w:val="nil"/>
              <w:bottom w:val="nil"/>
              <w:right w:val="nil"/>
            </w:tcBorders>
            <w:shd w:val="clear" w:color="auto" w:fill="F2F2F2" w:themeFill="background1" w:themeFillShade="F2"/>
          </w:tcPr>
          <w:p w14:paraId="584F63D0" w14:textId="3468D5CD" w:rsidR="009B619F" w:rsidRPr="00C52C8A" w:rsidRDefault="009B619F" w:rsidP="007F2D11">
            <w:pPr>
              <w:pStyle w:val="BoxTitle"/>
            </w:pPr>
            <w:r w:rsidRPr="00C52C8A">
              <w:rPr>
                <w:b w:val="0"/>
              </w:rPr>
              <w:t>Box</w:t>
            </w:r>
            <w:r w:rsidR="00467073" w:rsidRPr="00C52C8A">
              <w:rPr>
                <w:b w:val="0"/>
              </w:rPr>
              <w:t xml:space="preserve"> </w:t>
            </w:r>
            <w:bookmarkStart w:id="29" w:name="OLE_LINK15"/>
            <w:r w:rsidR="00C87A43">
              <w:rPr>
                <w:b w:val="0"/>
              </w:rPr>
              <w:t>17.</w:t>
            </w:r>
            <w:r w:rsidR="00AF64D0">
              <w:rPr>
                <w:b w:val="0"/>
                <w:noProof/>
              </w:rPr>
              <w:t>5</w:t>
            </w:r>
            <w:bookmarkEnd w:id="29"/>
            <w:r w:rsidRPr="00C52C8A">
              <w:tab/>
            </w:r>
            <w:r w:rsidR="007F2D11" w:rsidRPr="00C52C8A">
              <w:rPr>
                <w:b w:val="0"/>
                <w:sz w:val="18"/>
                <w:szCs w:val="18"/>
              </w:rPr>
              <w:t>(continued)</w:t>
            </w:r>
          </w:p>
        </w:tc>
      </w:tr>
      <w:tr w:rsidR="009B619F" w:rsidRPr="00C52C8A" w14:paraId="52010DA8" w14:textId="77777777" w:rsidTr="006F761F">
        <w:trPr>
          <w:cantSplit/>
        </w:trPr>
        <w:tc>
          <w:tcPr>
            <w:tcW w:w="8789" w:type="dxa"/>
            <w:tcBorders>
              <w:top w:val="nil"/>
              <w:left w:val="nil"/>
              <w:bottom w:val="nil"/>
              <w:right w:val="nil"/>
            </w:tcBorders>
            <w:shd w:val="clear" w:color="auto" w:fill="F2F2F2" w:themeFill="background1" w:themeFillShade="F2"/>
          </w:tcPr>
          <w:p w14:paraId="6D863799" w14:textId="77777777" w:rsidR="009B619F" w:rsidRPr="00C52C8A" w:rsidRDefault="009B619F" w:rsidP="001C2412">
            <w:pPr>
              <w:pStyle w:val="Box"/>
            </w:pPr>
            <w:r w:rsidRPr="00C52C8A">
              <w:t>A high or increasing rate of case plans prepared is desirable.</w:t>
            </w:r>
          </w:p>
          <w:p w14:paraId="510FE470" w14:textId="77777777" w:rsidR="009B619F" w:rsidRPr="00C52C8A" w:rsidRDefault="009B619F" w:rsidP="001C2412">
            <w:pPr>
              <w:pStyle w:val="Box"/>
            </w:pPr>
            <w:r w:rsidRPr="00C52C8A">
              <w:t xml:space="preserve">Data reported for these measures are: </w:t>
            </w:r>
          </w:p>
          <w:p w14:paraId="69BB8044" w14:textId="30B6CEAA" w:rsidR="009B619F" w:rsidRPr="00C52C8A" w:rsidRDefault="006A4F08" w:rsidP="0011285D">
            <w:pPr>
              <w:pStyle w:val="Box"/>
              <w:ind w:left="284"/>
            </w:pPr>
            <w:r w:rsidRPr="00C52C8A">
              <w:rPr>
                <w:shd w:val="clear" w:color="auto" w:fill="FCDED3"/>
              </w:rPr>
              <w:t xml:space="preserve">    </w:t>
            </w:r>
            <w:r w:rsidRPr="00C52C8A">
              <w:t xml:space="preserve"> </w:t>
            </w:r>
            <w:r w:rsidR="009B619F" w:rsidRPr="00C52C8A">
              <w:t xml:space="preserve">not comparable across jurisdictions or </w:t>
            </w:r>
            <w:r w:rsidR="0044726F" w:rsidRPr="00C52C8A">
              <w:t xml:space="preserve">within some jurisdictions over time but are comparable over time for other jurisdictions </w:t>
            </w:r>
            <w:r w:rsidR="009B619F" w:rsidRPr="00C52C8A">
              <w:t xml:space="preserve">(see caveats in </w:t>
            </w:r>
            <w:r w:rsidR="00361640" w:rsidRPr="00C52C8A">
              <w:t xml:space="preserve">data </w:t>
            </w:r>
            <w:r w:rsidR="009B619F" w:rsidRPr="00C52C8A">
              <w:t>tables for specific jurisdictions)</w:t>
            </w:r>
          </w:p>
          <w:p w14:paraId="593499E7" w14:textId="40EAAAF4" w:rsidR="009B619F" w:rsidRPr="00C52C8A" w:rsidRDefault="006A4F08" w:rsidP="000D1460">
            <w:pPr>
              <w:pStyle w:val="Box"/>
              <w:ind w:left="284"/>
            </w:pPr>
            <w:r w:rsidRPr="00C52C8A">
              <w:rPr>
                <w:shd w:val="clear" w:color="auto" w:fill="FCDED3"/>
              </w:rPr>
              <w:t xml:space="preserve">    </w:t>
            </w:r>
            <w:r w:rsidRPr="00C52C8A">
              <w:t xml:space="preserve"> </w:t>
            </w:r>
            <w:r w:rsidR="009B619F" w:rsidRPr="00C52C8A">
              <w:t>incomplete for the current reporting period</w:t>
            </w:r>
            <w:r w:rsidR="00DE78B1" w:rsidRPr="00C52C8A">
              <w:t xml:space="preserve"> of 201</w:t>
            </w:r>
            <w:r w:rsidR="00736D8E">
              <w:t>9</w:t>
            </w:r>
            <w:r w:rsidR="005B0070">
              <w:noBreakHyphen/>
            </w:r>
            <w:r w:rsidR="00736D8E">
              <w:t>20</w:t>
            </w:r>
            <w:r w:rsidR="009B619F" w:rsidRPr="00C52C8A">
              <w:t xml:space="preserve">. </w:t>
            </w:r>
            <w:r w:rsidR="00762449" w:rsidRPr="00C52C8A">
              <w:t>Sentenced community</w:t>
            </w:r>
            <w:r w:rsidR="00F4592C" w:rsidRPr="00C52C8A">
              <w:noBreakHyphen/>
            </w:r>
            <w:r w:rsidR="00762449" w:rsidRPr="00C52C8A">
              <w:t>based order</w:t>
            </w:r>
            <w:r w:rsidR="009B619F" w:rsidRPr="00C52C8A">
              <w:t xml:space="preserve"> data </w:t>
            </w:r>
            <w:r w:rsidR="00672EC9" w:rsidRPr="00C52C8A">
              <w:t xml:space="preserve">are </w:t>
            </w:r>
            <w:r w:rsidR="009B619F" w:rsidRPr="00C52C8A">
              <w:t xml:space="preserve">not available for </w:t>
            </w:r>
            <w:r w:rsidR="009B619F" w:rsidRPr="00C84076">
              <w:t>WA</w:t>
            </w:r>
            <w:r w:rsidR="000D1460" w:rsidRPr="00C84076">
              <w:t xml:space="preserve"> and the NT</w:t>
            </w:r>
            <w:r w:rsidR="009B619F" w:rsidRPr="00C84076">
              <w:t>.</w:t>
            </w:r>
            <w:r w:rsidR="0011285D" w:rsidRPr="00C52C8A">
              <w:t xml:space="preserve"> Sentenced community</w:t>
            </w:r>
            <w:r w:rsidR="00911FAF">
              <w:noBreakHyphen/>
            </w:r>
            <w:r w:rsidR="0011285D" w:rsidRPr="00C52C8A">
              <w:t xml:space="preserve">based detention data </w:t>
            </w:r>
            <w:r w:rsidR="008F1646" w:rsidRPr="00C52C8A">
              <w:t>are</w:t>
            </w:r>
            <w:r w:rsidR="0011285D" w:rsidRPr="00C52C8A">
              <w:t xml:space="preserve"> not available for the NT.</w:t>
            </w:r>
          </w:p>
        </w:tc>
      </w:tr>
      <w:tr w:rsidR="009B619F" w:rsidRPr="00C52C8A" w14:paraId="791DC1E1"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0D75BE9A" w14:textId="77777777" w:rsidR="009B619F" w:rsidRPr="00C52C8A" w:rsidRDefault="009B619F" w:rsidP="001C2412">
            <w:pPr>
              <w:pStyle w:val="Box"/>
              <w:spacing w:before="0" w:line="120" w:lineRule="exact"/>
            </w:pPr>
          </w:p>
        </w:tc>
      </w:tr>
      <w:tr w:rsidR="009B619F" w:rsidRPr="00C52C8A" w14:paraId="781BDF81" w14:textId="77777777" w:rsidTr="006F761F">
        <w:tc>
          <w:tcPr>
            <w:tcW w:w="8789" w:type="dxa"/>
            <w:tcBorders>
              <w:top w:val="single" w:sz="6" w:space="0" w:color="78A22F"/>
              <w:left w:val="nil"/>
              <w:bottom w:val="nil"/>
              <w:right w:val="nil"/>
            </w:tcBorders>
          </w:tcPr>
          <w:p w14:paraId="05A3CDD4" w14:textId="146E941F" w:rsidR="009B619F" w:rsidRPr="002E39DF" w:rsidRDefault="009B619F" w:rsidP="001C2412">
            <w:pPr>
              <w:pStyle w:val="BoxSpaceBelow"/>
            </w:pPr>
          </w:p>
        </w:tc>
      </w:tr>
    </w:tbl>
    <w:p w14:paraId="20CDE79D" w14:textId="77777777" w:rsidR="000D1460" w:rsidRDefault="00762449" w:rsidP="009B619F">
      <w:pPr>
        <w:pStyle w:val="BodyText"/>
      </w:pPr>
      <w:r w:rsidRPr="00B22A4D">
        <w:t>Nationally</w:t>
      </w:r>
      <w:r w:rsidR="002558BE" w:rsidRPr="00B22A4D">
        <w:t xml:space="preserve"> (excluding WA and the NT)</w:t>
      </w:r>
      <w:r w:rsidRPr="00B22A4D">
        <w:t>,</w:t>
      </w:r>
      <w:r w:rsidR="007F286B" w:rsidRPr="00B22A4D">
        <w:t xml:space="preserve"> </w:t>
      </w:r>
      <w:r w:rsidR="00FC1349" w:rsidRPr="00B22A4D">
        <w:t>81.7</w:t>
      </w:r>
      <w:r w:rsidRPr="00C52C8A">
        <w:t xml:space="preserve"> p</w:t>
      </w:r>
      <w:r w:rsidR="009B619F" w:rsidRPr="00C52C8A">
        <w:t xml:space="preserve">er cent of eligible young people had a case plan prepared within </w:t>
      </w:r>
      <w:r w:rsidR="0073255C" w:rsidRPr="00C52C8A">
        <w:t>six</w:t>
      </w:r>
      <w:r w:rsidR="009B619F" w:rsidRPr="00C52C8A">
        <w:t xml:space="preserve"> weeks of commencing a sentenced community</w:t>
      </w:r>
      <w:r w:rsidR="00F4592C" w:rsidRPr="00C52C8A">
        <w:noBreakHyphen/>
      </w:r>
      <w:r w:rsidR="009B619F" w:rsidRPr="00C52C8A">
        <w:t>based order in 201</w:t>
      </w:r>
      <w:r w:rsidR="009D0A7F">
        <w:t>9</w:t>
      </w:r>
      <w:r w:rsidR="00F4592C" w:rsidRPr="00C52C8A">
        <w:noBreakHyphen/>
      </w:r>
      <w:r w:rsidR="009D0A7F">
        <w:t>20</w:t>
      </w:r>
      <w:r w:rsidR="009B619F" w:rsidRPr="00C52C8A">
        <w:t xml:space="preserve"> (figure</w:t>
      </w:r>
      <w:r w:rsidR="00F4592C" w:rsidRPr="00C52C8A">
        <w:t> </w:t>
      </w:r>
      <w:r w:rsidR="00F952DB" w:rsidRPr="00C52C8A">
        <w:t>17.8</w:t>
      </w:r>
      <w:r w:rsidRPr="00C52C8A">
        <w:t xml:space="preserve">(a)). </w:t>
      </w:r>
    </w:p>
    <w:p w14:paraId="605A5F7B" w14:textId="163B3FBD" w:rsidR="009B619F" w:rsidRPr="00C52C8A" w:rsidRDefault="00762449" w:rsidP="009B619F">
      <w:pPr>
        <w:pStyle w:val="BodyText"/>
      </w:pPr>
      <w:r w:rsidRPr="00C52C8A">
        <w:t>Nationally</w:t>
      </w:r>
      <w:r w:rsidR="002558BE" w:rsidRPr="00C52C8A">
        <w:t xml:space="preserve"> (excluding the NT)</w:t>
      </w:r>
      <w:r w:rsidRPr="00C52C8A">
        <w:t xml:space="preserve">, </w:t>
      </w:r>
      <w:r w:rsidR="00FC1349">
        <w:t>92.1</w:t>
      </w:r>
      <w:r w:rsidR="00482EFB" w:rsidRPr="00C52C8A">
        <w:t> </w:t>
      </w:r>
      <w:r w:rsidRPr="00C52C8A">
        <w:t>p</w:t>
      </w:r>
      <w:r w:rsidR="009B619F" w:rsidRPr="00C52C8A">
        <w:t xml:space="preserve">er cent of eligible young people had a case plan prepared within </w:t>
      </w:r>
      <w:r w:rsidR="00DC5588" w:rsidRPr="00C52C8A">
        <w:t>six</w:t>
      </w:r>
      <w:r w:rsidR="009B619F" w:rsidRPr="00C52C8A">
        <w:t xml:space="preserve"> weeks of commencing a s</w:t>
      </w:r>
      <w:r w:rsidR="00945DB4" w:rsidRPr="00C52C8A">
        <w:t xml:space="preserve">entenced detention order in </w:t>
      </w:r>
      <w:r w:rsidR="009D0A7F" w:rsidRPr="00C52C8A">
        <w:t>201</w:t>
      </w:r>
      <w:r w:rsidR="009D0A7F">
        <w:t>9</w:t>
      </w:r>
      <w:r w:rsidR="009D0A7F" w:rsidRPr="00C52C8A">
        <w:noBreakHyphen/>
      </w:r>
      <w:r w:rsidR="009D0A7F">
        <w:t>20</w:t>
      </w:r>
      <w:r w:rsidR="009D0A7F" w:rsidRPr="00C52C8A">
        <w:t xml:space="preserve"> </w:t>
      </w:r>
      <w:r w:rsidR="009B619F" w:rsidRPr="00C52C8A">
        <w:t>(figure</w:t>
      </w:r>
      <w:r w:rsidR="00F4592C" w:rsidRPr="00C52C8A">
        <w:t> </w:t>
      </w:r>
      <w:r w:rsidR="00F952DB" w:rsidRPr="00C52C8A">
        <w:t>17.8</w:t>
      </w:r>
      <w:r w:rsidR="009B619F" w:rsidRPr="00C52C8A">
        <w:t xml:space="preserve">(b)). </w:t>
      </w:r>
    </w:p>
    <w:p w14:paraId="060DE933" w14:textId="717E7635" w:rsidR="009B619F" w:rsidRPr="00C52C8A" w:rsidRDefault="009B619F" w:rsidP="009B619F">
      <w:pPr>
        <w:pStyle w:val="BodyText"/>
      </w:pPr>
      <w:r w:rsidRPr="00C52C8A">
        <w:t xml:space="preserve">The proportion of eligible young people who had a case plan prepared within </w:t>
      </w:r>
      <w:r w:rsidR="0073255C" w:rsidRPr="00C52C8A">
        <w:t>six</w:t>
      </w:r>
      <w:r w:rsidRPr="00C52C8A">
        <w:t xml:space="preserve"> weeks of commencing a sentenced </w:t>
      </w:r>
      <w:r w:rsidR="00726F10" w:rsidRPr="00C52C8A">
        <w:t>order (</w:t>
      </w:r>
      <w:r w:rsidRPr="00C52C8A">
        <w:t>community</w:t>
      </w:r>
      <w:r w:rsidR="00F4592C" w:rsidRPr="00C52C8A">
        <w:noBreakHyphen/>
      </w:r>
      <w:r w:rsidRPr="00C52C8A">
        <w:t>based</w:t>
      </w:r>
      <w:r w:rsidR="00CD7491" w:rsidRPr="00C52C8A">
        <w:t>)</w:t>
      </w:r>
      <w:r w:rsidR="00907D45" w:rsidRPr="00C52C8A">
        <w:t xml:space="preserve"> </w:t>
      </w:r>
      <w:r w:rsidRPr="00C52C8A">
        <w:t>ha</w:t>
      </w:r>
      <w:r w:rsidR="00733CA3" w:rsidRPr="00C52C8A">
        <w:t>s</w:t>
      </w:r>
      <w:r w:rsidR="00A5623E" w:rsidRPr="00C52C8A">
        <w:t xml:space="preserve"> fluctuated</w:t>
      </w:r>
      <w:r w:rsidRPr="00C52C8A">
        <w:t xml:space="preserve"> over the </w:t>
      </w:r>
      <w:r w:rsidRPr="00C84076">
        <w:t xml:space="preserve">past </w:t>
      </w:r>
      <w:r w:rsidR="00744138" w:rsidRPr="00C84076">
        <w:t>six</w:t>
      </w:r>
      <w:r w:rsidRPr="00C52C8A">
        <w:t xml:space="preserve"> years</w:t>
      </w:r>
      <w:r w:rsidR="00733CA3" w:rsidRPr="00C52C8A">
        <w:t>, while the proportion for detention has remained relatively stable</w:t>
      </w:r>
      <w:r w:rsidRPr="00C52C8A">
        <w:t xml:space="preserve"> (table 17</w:t>
      </w:r>
      <w:r w:rsidR="005374A3" w:rsidRPr="00C52C8A">
        <w:t>A.12</w:t>
      </w:r>
      <w:r w:rsidRPr="00C52C8A">
        <w:t>).</w:t>
      </w:r>
    </w:p>
    <w:p w14:paraId="5EB7F223" w14:textId="6B9D8119" w:rsidR="009B619F" w:rsidRPr="002E39DF" w:rsidRDefault="009B619F" w:rsidP="009B619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B619F" w:rsidRPr="00C52C8A" w14:paraId="5CF0F583" w14:textId="77777777" w:rsidTr="00DE63E6">
        <w:tc>
          <w:tcPr>
            <w:tcW w:w="8789" w:type="dxa"/>
            <w:tcBorders>
              <w:top w:val="single" w:sz="6" w:space="0" w:color="78A22F"/>
              <w:left w:val="nil"/>
              <w:bottom w:val="nil"/>
              <w:right w:val="nil"/>
            </w:tcBorders>
            <w:shd w:val="clear" w:color="auto" w:fill="auto"/>
          </w:tcPr>
          <w:p w14:paraId="51D113C9" w14:textId="1B89B47C" w:rsidR="009B619F" w:rsidRPr="00C52C8A" w:rsidRDefault="009B619F" w:rsidP="000D1460">
            <w:pPr>
              <w:pStyle w:val="FigureTitle"/>
            </w:pPr>
            <w:r w:rsidRPr="00C52C8A">
              <w:rPr>
                <w:b w:val="0"/>
              </w:rPr>
              <w:t>Figure</w:t>
            </w:r>
            <w:r w:rsidR="00902E1A" w:rsidRPr="00C52C8A">
              <w:rPr>
                <w:b w:val="0"/>
              </w:rPr>
              <w:t xml:space="preserve"> </w:t>
            </w:r>
            <w:r w:rsidR="005B7EAC" w:rsidRPr="00C52C8A">
              <w:rPr>
                <w:b w:val="0"/>
              </w:rPr>
              <w:t>17.8</w:t>
            </w:r>
            <w:r w:rsidRPr="00C52C8A">
              <w:tab/>
              <w:t>Proportion of young people with case plans prepared within 6 weeks of commencing sentenced orders, by Indigenous status, 201</w:t>
            </w:r>
            <w:r w:rsidR="009D0A7F">
              <w:t>9</w:t>
            </w:r>
            <w:r w:rsidR="00F4592C" w:rsidRPr="00C52C8A">
              <w:noBreakHyphen/>
            </w:r>
            <w:r w:rsidR="009D0A7F">
              <w:t>20</w:t>
            </w:r>
            <w:proofErr w:type="spellStart"/>
            <w:proofErr w:type="gramStart"/>
            <w:r w:rsidRPr="00C52C8A">
              <w:rPr>
                <w:rStyle w:val="NoteLabel"/>
                <w:b/>
              </w:rPr>
              <w:t>a,b</w:t>
            </w:r>
            <w:proofErr w:type="spellEnd"/>
            <w:proofErr w:type="gramEnd"/>
          </w:p>
        </w:tc>
      </w:tr>
      <w:tr w:rsidR="00DE63E6" w:rsidRPr="00C52C8A" w14:paraId="3A31F18E"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C52C8A" w14:paraId="68240235" w14:textId="77777777" w:rsidTr="0011285D">
              <w:tc>
                <w:tcPr>
                  <w:tcW w:w="304" w:type="dxa"/>
                  <w:tcBorders>
                    <w:top w:val="nil"/>
                    <w:left w:val="nil"/>
                    <w:bottom w:val="nil"/>
                    <w:right w:val="nil"/>
                  </w:tcBorders>
                  <w:shd w:val="clear" w:color="auto" w:fill="auto"/>
                  <w:tcMar>
                    <w:top w:w="28" w:type="dxa"/>
                    <w:bottom w:w="28" w:type="dxa"/>
                  </w:tcMar>
                </w:tcPr>
                <w:p w14:paraId="32A634F7"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D4AC325"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282D2CFF" w14:textId="35958323" w:rsidR="00DE63E6" w:rsidRPr="00C52C8A" w:rsidRDefault="00DE63E6" w:rsidP="0081112C">
                  <w:pPr>
                    <w:pStyle w:val="TableBodyText"/>
                    <w:jc w:val="left"/>
                    <w:rPr>
                      <w:rFonts w:cs="Arial"/>
                      <w:szCs w:val="18"/>
                    </w:rPr>
                  </w:pPr>
                  <w:r w:rsidRPr="00C52C8A">
                    <w:t xml:space="preserve">Data are </w:t>
                  </w:r>
                  <w:r w:rsidR="00CC3E5F" w:rsidRPr="00C52C8A">
                    <w:t>not comparable across jurisdictions</w:t>
                  </w:r>
                  <w:r w:rsidRPr="00C52C8A">
                    <w:t>.</w:t>
                  </w:r>
                </w:p>
              </w:tc>
            </w:tr>
            <w:tr w:rsidR="00DE63E6" w:rsidRPr="00C52C8A" w14:paraId="56F452BF" w14:textId="77777777" w:rsidTr="0011285D">
              <w:tc>
                <w:tcPr>
                  <w:tcW w:w="304" w:type="dxa"/>
                  <w:tcBorders>
                    <w:top w:val="nil"/>
                    <w:left w:val="nil"/>
                    <w:bottom w:val="nil"/>
                    <w:right w:val="nil"/>
                  </w:tcBorders>
                  <w:shd w:val="clear" w:color="auto" w:fill="auto"/>
                  <w:tcMar>
                    <w:top w:w="28" w:type="dxa"/>
                    <w:bottom w:w="28" w:type="dxa"/>
                  </w:tcMar>
                </w:tcPr>
                <w:p w14:paraId="4875A7B6"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64AFBFA4" w14:textId="77777777" w:rsidR="00DE63E6" w:rsidRPr="00C52C8A" w:rsidRDefault="00DE63E6" w:rsidP="0011285D">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557DE34" w14:textId="678261E5" w:rsidR="00DE63E6" w:rsidRPr="00C52C8A" w:rsidRDefault="00CC3E5F" w:rsidP="00747133">
                  <w:pPr>
                    <w:pStyle w:val="TableBodyText"/>
                    <w:jc w:val="left"/>
                    <w:rPr>
                      <w:rFonts w:cs="Arial"/>
                      <w:szCs w:val="18"/>
                    </w:rPr>
                  </w:pPr>
                  <w:r w:rsidRPr="00C52C8A">
                    <w:t>Data are incomplete for the current report</w:t>
                  </w:r>
                  <w:r w:rsidR="008F1646" w:rsidRPr="00C52C8A">
                    <w:t xml:space="preserve">ing period. </w:t>
                  </w:r>
                </w:p>
              </w:tc>
            </w:tr>
          </w:tbl>
          <w:p w14:paraId="48673390" w14:textId="77777777" w:rsidR="00DE63E6" w:rsidRPr="00C52C8A" w:rsidRDefault="00DE63E6" w:rsidP="00A27051">
            <w:pPr>
              <w:pStyle w:val="FigureTitle"/>
              <w:rPr>
                <w:b w:val="0"/>
              </w:rPr>
            </w:pPr>
          </w:p>
        </w:tc>
      </w:tr>
      <w:tr w:rsidR="009B619F" w:rsidRPr="00C52C8A" w14:paraId="38C5F56F" w14:textId="77777777" w:rsidTr="006F761F">
        <w:tc>
          <w:tcPr>
            <w:tcW w:w="8789" w:type="dxa"/>
            <w:tcBorders>
              <w:top w:val="nil"/>
              <w:left w:val="nil"/>
              <w:bottom w:val="nil"/>
              <w:right w:val="nil"/>
            </w:tcBorders>
            <w:shd w:val="clear" w:color="auto" w:fill="auto"/>
            <w:tcMar>
              <w:top w:w="28" w:type="dxa"/>
              <w:bottom w:w="28" w:type="dxa"/>
            </w:tcMar>
          </w:tcPr>
          <w:tbl>
            <w:tblPr>
              <w:tblW w:w="5000" w:type="pct"/>
              <w:shd w:val="clear" w:color="auto" w:fill="92D050"/>
              <w:tblLayout w:type="fixed"/>
              <w:tblCellMar>
                <w:top w:w="28" w:type="dxa"/>
              </w:tblCellMar>
              <w:tblLook w:val="0000" w:firstRow="0" w:lastRow="0" w:firstColumn="0" w:lastColumn="0" w:noHBand="0" w:noVBand="0"/>
            </w:tblPr>
            <w:tblGrid>
              <w:gridCol w:w="8505"/>
            </w:tblGrid>
            <w:tr w:rsidR="009B619F" w:rsidRPr="00C52C8A" w14:paraId="0BBD2B83" w14:textId="77777777" w:rsidTr="008D0C92">
              <w:tc>
                <w:tcPr>
                  <w:tcW w:w="8505" w:type="dxa"/>
                  <w:shd w:val="clear" w:color="auto" w:fill="auto"/>
                </w:tcPr>
                <w:p w14:paraId="23078738" w14:textId="77777777" w:rsidR="009B619F" w:rsidRPr="00C52C8A" w:rsidRDefault="00726F10" w:rsidP="001C2412">
                  <w:pPr>
                    <w:pStyle w:val="BoxHeading1"/>
                    <w:jc w:val="center"/>
                    <w:rPr>
                      <w:sz w:val="19"/>
                      <w:szCs w:val="19"/>
                    </w:rPr>
                  </w:pPr>
                  <w:r w:rsidRPr="00C52C8A">
                    <w:rPr>
                      <w:sz w:val="19"/>
                      <w:szCs w:val="19"/>
                    </w:rPr>
                    <w:t>(</w:t>
                  </w:r>
                  <w:r w:rsidR="009B619F" w:rsidRPr="00C52C8A">
                    <w:rPr>
                      <w:sz w:val="19"/>
                      <w:szCs w:val="19"/>
                    </w:rPr>
                    <w:t>a) Sentenced community</w:t>
                  </w:r>
                  <w:r w:rsidR="00F4592C" w:rsidRPr="00C52C8A">
                    <w:rPr>
                      <w:sz w:val="19"/>
                      <w:szCs w:val="19"/>
                    </w:rPr>
                    <w:noBreakHyphen/>
                  </w:r>
                  <w:r w:rsidR="009B619F" w:rsidRPr="00C52C8A">
                    <w:rPr>
                      <w:sz w:val="19"/>
                      <w:szCs w:val="19"/>
                    </w:rPr>
                    <w:t>based order</w:t>
                  </w:r>
                </w:p>
                <w:p w14:paraId="225C3DBD" w14:textId="31B84A51" w:rsidR="009B619F" w:rsidRPr="00C52C8A" w:rsidRDefault="008D0C92" w:rsidP="001C2412">
                  <w:pPr>
                    <w:pStyle w:val="Box"/>
                  </w:pPr>
                  <w:r>
                    <w:rPr>
                      <w:noProof/>
                    </w:rPr>
                    <w:drawing>
                      <wp:inline distT="0" distB="0" distL="0" distR="0" wp14:anchorId="0607E4BD" wp14:editId="7F3230E8">
                        <wp:extent cx="5263515" cy="2670810"/>
                        <wp:effectExtent l="0" t="0" r="0" b="0"/>
                        <wp:docPr id="3" name="Chart 3" descr="Figure 17.8  Proportion of young people with case plans prepared within 6 weeks of commencing sentenced orders, by Indigenous status, 2019-20.&#10;(a) Sentenced community-based order.&#10;More details can be found within the text surrounding this image.">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40057F" w14:textId="77777777" w:rsidR="009B619F" w:rsidRPr="00C52C8A" w:rsidRDefault="009B619F" w:rsidP="001C2412">
                  <w:pPr>
                    <w:pStyle w:val="BoxHeading1"/>
                    <w:jc w:val="center"/>
                    <w:rPr>
                      <w:sz w:val="19"/>
                      <w:szCs w:val="19"/>
                    </w:rPr>
                  </w:pPr>
                  <w:r w:rsidRPr="00C52C8A">
                    <w:rPr>
                      <w:sz w:val="19"/>
                      <w:szCs w:val="19"/>
                    </w:rPr>
                    <w:t>(b) Sentenced detention order</w:t>
                  </w:r>
                </w:p>
                <w:p w14:paraId="57160414" w14:textId="3BB1F216" w:rsidR="003C3F09" w:rsidRPr="00C52C8A" w:rsidRDefault="003C3F09" w:rsidP="003C3F09">
                  <w:pPr>
                    <w:pStyle w:val="Box"/>
                  </w:pPr>
                </w:p>
                <w:p w14:paraId="701FB705" w14:textId="1D647823" w:rsidR="009B619F" w:rsidRPr="00C52C8A" w:rsidRDefault="008D0C92" w:rsidP="001C2412">
                  <w:pPr>
                    <w:pStyle w:val="Box"/>
                  </w:pPr>
                  <w:r>
                    <w:rPr>
                      <w:noProof/>
                    </w:rPr>
                    <w:drawing>
                      <wp:inline distT="0" distB="0" distL="0" distR="0" wp14:anchorId="3261A59E" wp14:editId="438B275F">
                        <wp:extent cx="5263515" cy="2637155"/>
                        <wp:effectExtent l="0" t="0" r="0" b="0"/>
                        <wp:docPr id="4" name="Chart 4" descr="Figure 17.8  Proportion of young people with case plans prepared within 6 weeks of commencing sentenced orders, by Indigenous status, 2019-20.&#10;(b) Sentenced detention order.&#10;More details can be found within the text surrounding this image.">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733AFB42" w14:textId="77777777" w:rsidR="009B619F" w:rsidRPr="00C52C8A" w:rsidRDefault="009B619F" w:rsidP="001C2412">
            <w:pPr>
              <w:pStyle w:val="Figure"/>
            </w:pPr>
          </w:p>
        </w:tc>
      </w:tr>
      <w:tr w:rsidR="009B619F" w:rsidRPr="00C52C8A" w14:paraId="57A81B23" w14:textId="77777777" w:rsidTr="006F761F">
        <w:tc>
          <w:tcPr>
            <w:tcW w:w="8789" w:type="dxa"/>
            <w:tcBorders>
              <w:top w:val="nil"/>
              <w:left w:val="nil"/>
              <w:bottom w:val="nil"/>
              <w:right w:val="nil"/>
            </w:tcBorders>
            <w:shd w:val="clear" w:color="auto" w:fill="auto"/>
          </w:tcPr>
          <w:p w14:paraId="1D6570E1" w14:textId="1159D319" w:rsidR="009B619F" w:rsidRPr="00C52C8A" w:rsidRDefault="009B619F" w:rsidP="008F1646">
            <w:pPr>
              <w:pStyle w:val="Note"/>
            </w:pPr>
            <w:r w:rsidRPr="00C52C8A">
              <w:rPr>
                <w:rStyle w:val="NoteLabel"/>
              </w:rPr>
              <w:t>a</w:t>
            </w:r>
            <w:r w:rsidRPr="00C52C8A">
              <w:t xml:space="preserve"> See box</w:t>
            </w:r>
            <w:r w:rsidR="00F4592C" w:rsidRPr="00C52C8A">
              <w:t> </w:t>
            </w:r>
            <w:r w:rsidR="00F952DB" w:rsidRPr="00C52C8A">
              <w:t>17.5</w:t>
            </w:r>
            <w:r w:rsidR="00945DB4" w:rsidRPr="00C52C8A">
              <w:t xml:space="preserve"> </w:t>
            </w:r>
            <w:r w:rsidRPr="00C52C8A">
              <w:t>and table</w:t>
            </w:r>
            <w:r w:rsidR="005B0070">
              <w:t> </w:t>
            </w:r>
            <w:r w:rsidRPr="00C52C8A">
              <w:t>17</w:t>
            </w:r>
            <w:r w:rsidR="005374A3" w:rsidRPr="00C52C8A">
              <w:t>A.12</w:t>
            </w:r>
            <w:r w:rsidRPr="00C52C8A">
              <w:t xml:space="preserve"> for detailed definitions, footnotes and caveats. </w:t>
            </w:r>
            <w:r w:rsidRPr="00C52C8A">
              <w:rPr>
                <w:rStyle w:val="NoteLabel"/>
              </w:rPr>
              <w:t>b</w:t>
            </w:r>
            <w:r w:rsidRPr="00C52C8A">
              <w:t xml:space="preserve"> Data </w:t>
            </w:r>
            <w:r w:rsidR="00403802" w:rsidRPr="00C52C8A">
              <w:t>are</w:t>
            </w:r>
            <w:r w:rsidRPr="00C52C8A">
              <w:t xml:space="preserve"> not available for W</w:t>
            </w:r>
            <w:r w:rsidR="00F10BC9" w:rsidRPr="00C52C8A">
              <w:t>A</w:t>
            </w:r>
            <w:r w:rsidR="008F1646" w:rsidRPr="00C52C8A">
              <w:t xml:space="preserve"> or the NT</w:t>
            </w:r>
            <w:r w:rsidR="00F10BC9" w:rsidRPr="00C52C8A">
              <w:t xml:space="preserve"> for sentenced community</w:t>
            </w:r>
            <w:r w:rsidR="00F4592C" w:rsidRPr="00C52C8A">
              <w:noBreakHyphen/>
            </w:r>
            <w:r w:rsidR="00F10BC9" w:rsidRPr="00C52C8A">
              <w:t>based orders</w:t>
            </w:r>
            <w:r w:rsidR="008F1646" w:rsidRPr="00C52C8A">
              <w:t>. Data are not available for the NT for sentenced detention orders</w:t>
            </w:r>
            <w:r w:rsidRPr="00C52C8A">
              <w:t>.</w:t>
            </w:r>
          </w:p>
        </w:tc>
      </w:tr>
      <w:tr w:rsidR="009B619F" w:rsidRPr="00C52C8A" w14:paraId="37AC1C2B" w14:textId="77777777" w:rsidTr="006F761F">
        <w:tc>
          <w:tcPr>
            <w:tcW w:w="8789" w:type="dxa"/>
            <w:tcBorders>
              <w:top w:val="nil"/>
              <w:left w:val="nil"/>
              <w:bottom w:val="nil"/>
              <w:right w:val="nil"/>
            </w:tcBorders>
            <w:shd w:val="clear" w:color="auto" w:fill="auto"/>
          </w:tcPr>
          <w:p w14:paraId="6725FEC8" w14:textId="3F102C37" w:rsidR="009B619F" w:rsidRPr="00C52C8A" w:rsidRDefault="009B619F" w:rsidP="00CA0B01">
            <w:pPr>
              <w:pStyle w:val="Source"/>
            </w:pPr>
            <w:r w:rsidRPr="00C52C8A">
              <w:rPr>
                <w:i/>
              </w:rPr>
              <w:t>Source</w:t>
            </w:r>
            <w:r w:rsidR="00CF76CB" w:rsidRPr="00C52C8A">
              <w:rPr>
                <w:i/>
              </w:rPr>
              <w:t>s</w:t>
            </w:r>
            <w:r w:rsidRPr="00C52C8A">
              <w:t>: State and Territory governments (unpublished); table</w:t>
            </w:r>
            <w:r w:rsidR="005B0070">
              <w:t> </w:t>
            </w:r>
            <w:r w:rsidRPr="00C52C8A">
              <w:t>17</w:t>
            </w:r>
            <w:r w:rsidR="005374A3" w:rsidRPr="00C52C8A">
              <w:t>A.12</w:t>
            </w:r>
            <w:r w:rsidRPr="00C52C8A">
              <w:t>.</w:t>
            </w:r>
          </w:p>
        </w:tc>
      </w:tr>
      <w:tr w:rsidR="009B619F" w:rsidRPr="00C52C8A" w14:paraId="7744D03A" w14:textId="77777777" w:rsidTr="006F761F">
        <w:tc>
          <w:tcPr>
            <w:tcW w:w="8789" w:type="dxa"/>
            <w:tcBorders>
              <w:top w:val="nil"/>
              <w:left w:val="nil"/>
              <w:bottom w:val="single" w:sz="6" w:space="0" w:color="78A22F"/>
              <w:right w:val="nil"/>
            </w:tcBorders>
            <w:shd w:val="clear" w:color="auto" w:fill="auto"/>
          </w:tcPr>
          <w:p w14:paraId="60C16B78" w14:textId="77777777" w:rsidR="009B619F" w:rsidRPr="00C52C8A" w:rsidRDefault="009B619F" w:rsidP="001C2412">
            <w:pPr>
              <w:pStyle w:val="Figurespace"/>
            </w:pPr>
          </w:p>
        </w:tc>
      </w:tr>
      <w:tr w:rsidR="009B619F" w:rsidRPr="00C52C8A" w14:paraId="4DD8A089" w14:textId="77777777" w:rsidTr="006F761F">
        <w:tc>
          <w:tcPr>
            <w:tcW w:w="8789" w:type="dxa"/>
            <w:tcBorders>
              <w:top w:val="single" w:sz="6" w:space="0" w:color="78A22F"/>
              <w:left w:val="nil"/>
              <w:bottom w:val="nil"/>
              <w:right w:val="nil"/>
            </w:tcBorders>
          </w:tcPr>
          <w:p w14:paraId="25F54805" w14:textId="4650BAC4" w:rsidR="009B619F" w:rsidRPr="002E39DF" w:rsidRDefault="009B619F" w:rsidP="001C2412">
            <w:pPr>
              <w:pStyle w:val="BoxSpaceBelow"/>
            </w:pPr>
          </w:p>
        </w:tc>
      </w:tr>
    </w:tbl>
    <w:p w14:paraId="0A9394DE" w14:textId="77777777" w:rsidR="00117074" w:rsidRPr="00C52C8A" w:rsidRDefault="00117074" w:rsidP="00EA577F">
      <w:pPr>
        <w:pStyle w:val="Heading4"/>
        <w:keepNext w:val="0"/>
        <w:pageBreakBefore/>
        <w:widowControl w:val="0"/>
      </w:pPr>
      <w:r w:rsidRPr="00C52C8A">
        <w:lastRenderedPageBreak/>
        <w:t>Appropriateness — Secure housing on exit</w:t>
      </w:r>
    </w:p>
    <w:p w14:paraId="5AC2CE1B" w14:textId="2B5C2175" w:rsidR="00117074" w:rsidRPr="00C52C8A" w:rsidRDefault="00117074" w:rsidP="00117074">
      <w:pPr>
        <w:pStyle w:val="BodyText"/>
        <w:widowControl w:val="0"/>
      </w:pPr>
      <w:r w:rsidRPr="00C52C8A">
        <w:t>‘Secure housing on exit’ is an indicator of governments’ objective to assist young people who are in youth justice detention to return to the community (box </w:t>
      </w:r>
      <w:r w:rsidR="00B27E61" w:rsidRPr="00C52C8A">
        <w:t>17.6</w:t>
      </w:r>
      <w:r w:rsidRPr="00C52C8A">
        <w:t xml:space="preserve">). </w:t>
      </w:r>
    </w:p>
    <w:p w14:paraId="7E69CA41" w14:textId="435F9E82" w:rsidR="00117074" w:rsidRPr="002E39DF" w:rsidRDefault="00117074" w:rsidP="0011707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17074" w:rsidRPr="00C52C8A" w14:paraId="64DF18F6" w14:textId="77777777" w:rsidTr="006F761F">
        <w:tc>
          <w:tcPr>
            <w:tcW w:w="8789" w:type="dxa"/>
            <w:tcBorders>
              <w:top w:val="single" w:sz="6" w:space="0" w:color="78A22F"/>
              <w:left w:val="nil"/>
              <w:bottom w:val="nil"/>
              <w:right w:val="nil"/>
            </w:tcBorders>
            <w:shd w:val="clear" w:color="auto" w:fill="F2F2F2" w:themeFill="background1" w:themeFillShade="F2"/>
          </w:tcPr>
          <w:p w14:paraId="3B8127C2" w14:textId="58510C50" w:rsidR="00117074" w:rsidRPr="00C52C8A" w:rsidRDefault="00117074" w:rsidP="00401E9A">
            <w:pPr>
              <w:pStyle w:val="BoxTitle"/>
            </w:pPr>
            <w:r w:rsidRPr="00C52C8A">
              <w:rPr>
                <w:b w:val="0"/>
              </w:rPr>
              <w:t>Box</w:t>
            </w:r>
            <w:r w:rsidR="00467073" w:rsidRPr="00C52C8A">
              <w:rPr>
                <w:b w:val="0"/>
              </w:rPr>
              <w:t xml:space="preserve"> </w:t>
            </w:r>
            <w:bookmarkStart w:id="30" w:name="OLE_LINK17"/>
            <w:r w:rsidR="00C87A43">
              <w:rPr>
                <w:b w:val="0"/>
              </w:rPr>
              <w:t>17.</w:t>
            </w:r>
            <w:r w:rsidR="00AF64D0">
              <w:rPr>
                <w:b w:val="0"/>
                <w:noProof/>
              </w:rPr>
              <w:t>6</w:t>
            </w:r>
            <w:bookmarkEnd w:id="30"/>
            <w:r w:rsidRPr="00C52C8A">
              <w:tab/>
              <w:t>Secure housing on exit</w:t>
            </w:r>
          </w:p>
        </w:tc>
      </w:tr>
      <w:tr w:rsidR="00117074" w:rsidRPr="00C52C8A" w14:paraId="37DBC6EF" w14:textId="77777777" w:rsidTr="006F761F">
        <w:trPr>
          <w:cantSplit/>
        </w:trPr>
        <w:tc>
          <w:tcPr>
            <w:tcW w:w="8789" w:type="dxa"/>
            <w:tcBorders>
              <w:top w:val="nil"/>
              <w:left w:val="nil"/>
              <w:bottom w:val="nil"/>
              <w:right w:val="nil"/>
            </w:tcBorders>
            <w:shd w:val="clear" w:color="auto" w:fill="F2F2F2" w:themeFill="background1" w:themeFillShade="F2"/>
          </w:tcPr>
          <w:p w14:paraId="5DCD8D40" w14:textId="77777777" w:rsidR="00117074" w:rsidRPr="00C52C8A" w:rsidRDefault="00117074" w:rsidP="005F5F3C">
            <w:pPr>
              <w:pStyle w:val="Box"/>
            </w:pPr>
            <w:r w:rsidRPr="00C52C8A">
              <w:t>‘Secure housing on exit’ is defined as the proportion of young people who exit youth justice detention to a stable, permanent housing arrangement.</w:t>
            </w:r>
          </w:p>
          <w:p w14:paraId="31B0C211" w14:textId="54F32A23" w:rsidR="00117074" w:rsidRPr="00C52C8A" w:rsidRDefault="00117074" w:rsidP="005F5F3C">
            <w:pPr>
              <w:pStyle w:val="Box"/>
            </w:pPr>
            <w:r w:rsidRPr="00C52C8A">
              <w:t xml:space="preserve">Ensuring young people have suitable, stable accommodation is a critical factor in preventing offending and </w:t>
            </w:r>
            <w:proofErr w:type="gramStart"/>
            <w:r w:rsidRPr="00C52C8A">
              <w:t>reoffending</w:t>
            </w:r>
            <w:r w:rsidR="00F05EEC" w:rsidRPr="00C52C8A">
              <w:t>,</w:t>
            </w:r>
            <w:r w:rsidRPr="00C52C8A">
              <w:t xml:space="preserve"> and</w:t>
            </w:r>
            <w:proofErr w:type="gramEnd"/>
            <w:r w:rsidRPr="00C52C8A">
              <w:t xml:space="preserve"> is a core component of reintegrating young people into the community post</w:t>
            </w:r>
            <w:r w:rsidRPr="00C52C8A">
              <w:noBreakHyphen/>
              <w:t>detention. Lack of suitable housing options can contribute to overuse of custodial supervision orders (Supervised Release Review Board 2012; Patel 2004).</w:t>
            </w:r>
          </w:p>
          <w:p w14:paraId="6511DCA4" w14:textId="36F6D8ED" w:rsidR="005B2DA3" w:rsidRPr="00C52C8A" w:rsidRDefault="005B2DA3" w:rsidP="005F5F3C">
            <w:pPr>
              <w:pStyle w:val="Box"/>
            </w:pPr>
            <w:r w:rsidRPr="00C52C8A">
              <w:t>A high or increasing percentage of young people who exit youth justice detention to a stable, permanent housing arrangement is desirable</w:t>
            </w:r>
            <w:r w:rsidR="00B96706" w:rsidRPr="00C52C8A">
              <w:t>.</w:t>
            </w:r>
          </w:p>
          <w:p w14:paraId="794A70F1" w14:textId="77777777" w:rsidR="00117074" w:rsidRPr="00C52C8A" w:rsidRDefault="00117074" w:rsidP="005B2DA3">
            <w:pPr>
              <w:pStyle w:val="Box"/>
            </w:pPr>
            <w:r w:rsidRPr="00C52C8A">
              <w:t xml:space="preserve">Data are not yet available for </w:t>
            </w:r>
            <w:r w:rsidR="005B2DA3" w:rsidRPr="00C52C8A">
              <w:t xml:space="preserve">reporting against </w:t>
            </w:r>
            <w:r w:rsidRPr="00C52C8A">
              <w:t xml:space="preserve">this indicator. </w:t>
            </w:r>
          </w:p>
        </w:tc>
      </w:tr>
      <w:tr w:rsidR="00117074" w:rsidRPr="00C52C8A" w14:paraId="0D47F25D"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056BA28F" w14:textId="77777777" w:rsidR="00117074" w:rsidRPr="00C52C8A" w:rsidRDefault="00117074" w:rsidP="005F5F3C">
            <w:pPr>
              <w:pStyle w:val="Box"/>
              <w:spacing w:before="0" w:line="120" w:lineRule="exact"/>
            </w:pPr>
          </w:p>
        </w:tc>
      </w:tr>
      <w:tr w:rsidR="00117074" w:rsidRPr="00C52C8A" w14:paraId="000361B1" w14:textId="77777777" w:rsidTr="006F761F">
        <w:tc>
          <w:tcPr>
            <w:tcW w:w="8789" w:type="dxa"/>
            <w:tcBorders>
              <w:top w:val="single" w:sz="6" w:space="0" w:color="78A22F"/>
              <w:left w:val="nil"/>
              <w:bottom w:val="nil"/>
              <w:right w:val="nil"/>
            </w:tcBorders>
          </w:tcPr>
          <w:p w14:paraId="1C2985EC" w14:textId="19394280" w:rsidR="00117074" w:rsidRPr="002E39DF" w:rsidRDefault="00117074" w:rsidP="005F5F3C">
            <w:pPr>
              <w:pStyle w:val="BoxSpaceBelow"/>
            </w:pPr>
          </w:p>
        </w:tc>
      </w:tr>
    </w:tbl>
    <w:p w14:paraId="1CC76432" w14:textId="794576FD" w:rsidR="00413C3F" w:rsidRPr="00C52C8A" w:rsidRDefault="002E61A0" w:rsidP="00983812">
      <w:pPr>
        <w:pStyle w:val="Heading4"/>
      </w:pPr>
      <w:r w:rsidRPr="00C52C8A">
        <w:t>Appropriateness</w:t>
      </w:r>
      <w:r w:rsidR="003149EB" w:rsidRPr="00C52C8A">
        <w:t xml:space="preserve"> </w:t>
      </w:r>
      <w:r w:rsidR="00413C3F" w:rsidRPr="00C52C8A">
        <w:t xml:space="preserve">— </w:t>
      </w:r>
      <w:r w:rsidR="00F45ED1" w:rsidRPr="00C52C8A">
        <w:t>E</w:t>
      </w:r>
      <w:r w:rsidR="00413C3F" w:rsidRPr="00C52C8A">
        <w:t>ducation and training attendance</w:t>
      </w:r>
    </w:p>
    <w:p w14:paraId="285BA20A" w14:textId="74CD7BFB" w:rsidR="00467073" w:rsidRPr="00C52C8A" w:rsidRDefault="00413C3F" w:rsidP="00983812">
      <w:pPr>
        <w:pStyle w:val="BodyText"/>
        <w:widowControl w:val="0"/>
      </w:pPr>
      <w:r w:rsidRPr="00C52C8A">
        <w:t xml:space="preserve">‘Education and training attendance’ </w:t>
      </w:r>
      <w:proofErr w:type="gramStart"/>
      <w:r w:rsidRPr="00C52C8A">
        <w:t>is</w:t>
      </w:r>
      <w:proofErr w:type="gramEnd"/>
      <w:r w:rsidRPr="00C52C8A">
        <w:t xml:space="preserve"> an indicator of governments’ objective to </w:t>
      </w:r>
      <w:r w:rsidR="003149EB" w:rsidRPr="00C52C8A">
        <w:t>assist young people who are in youth justice detention to return to the community</w:t>
      </w:r>
      <w:r w:rsidRPr="00C52C8A">
        <w:t xml:space="preserve"> (box</w:t>
      </w:r>
      <w:r w:rsidR="00F4592C" w:rsidRPr="00C52C8A">
        <w:t> </w:t>
      </w:r>
      <w:r w:rsidR="00B27E61" w:rsidRPr="00C52C8A">
        <w:t>17.7</w:t>
      </w:r>
      <w:r w:rsidR="000B505C" w:rsidRPr="00C52C8A">
        <w:t>)</w:t>
      </w:r>
      <w:r w:rsidRPr="00C52C8A">
        <w:t>.</w:t>
      </w:r>
    </w:p>
    <w:p w14:paraId="75283C98" w14:textId="0F472072" w:rsidR="006F761F" w:rsidRPr="002E39DF" w:rsidRDefault="006F76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F761F" w:rsidRPr="00C52C8A" w14:paraId="3A86B39F" w14:textId="77777777" w:rsidTr="006F761F">
        <w:trPr>
          <w:tblHeader/>
        </w:trPr>
        <w:tc>
          <w:tcPr>
            <w:tcW w:w="5000" w:type="pct"/>
            <w:tcBorders>
              <w:top w:val="single" w:sz="6" w:space="0" w:color="78A22F"/>
              <w:left w:val="nil"/>
              <w:bottom w:val="nil"/>
              <w:right w:val="nil"/>
            </w:tcBorders>
            <w:shd w:val="clear" w:color="auto" w:fill="F2F2F2"/>
          </w:tcPr>
          <w:p w14:paraId="23A98CAE" w14:textId="0F472072" w:rsidR="006F761F" w:rsidRPr="00C52C8A" w:rsidRDefault="006F761F" w:rsidP="006F761F">
            <w:pPr>
              <w:pStyle w:val="BoxTitle"/>
            </w:pPr>
            <w:r w:rsidRPr="00C52C8A">
              <w:rPr>
                <w:b w:val="0"/>
              </w:rPr>
              <w:t xml:space="preserve">Box </w:t>
            </w:r>
            <w:bookmarkStart w:id="31" w:name="OLE_LINK10"/>
            <w:r w:rsidRPr="00C52C8A">
              <w:rPr>
                <w:b w:val="0"/>
              </w:rPr>
              <w:t>17.7</w:t>
            </w:r>
            <w:bookmarkEnd w:id="31"/>
            <w:r w:rsidRPr="00C52C8A">
              <w:tab/>
              <w:t>Education and training attendance</w:t>
            </w:r>
          </w:p>
        </w:tc>
      </w:tr>
      <w:tr w:rsidR="006F761F" w:rsidRPr="00C52C8A" w14:paraId="5B1FB45A" w14:textId="77777777" w:rsidTr="006F761F">
        <w:tc>
          <w:tcPr>
            <w:tcW w:w="5000" w:type="pct"/>
            <w:tcBorders>
              <w:top w:val="nil"/>
              <w:left w:val="nil"/>
              <w:bottom w:val="nil"/>
              <w:right w:val="nil"/>
            </w:tcBorders>
            <w:shd w:val="clear" w:color="auto" w:fill="F2F2F2"/>
          </w:tcPr>
          <w:p w14:paraId="27C7091B" w14:textId="77777777" w:rsidR="006F761F" w:rsidRPr="00C52C8A" w:rsidRDefault="006F761F" w:rsidP="006F761F">
            <w:pPr>
              <w:pStyle w:val="Box"/>
            </w:pPr>
            <w:r w:rsidRPr="00C52C8A">
              <w:t xml:space="preserve">‘Education and training attendance’ </w:t>
            </w:r>
            <w:proofErr w:type="gramStart"/>
            <w:r w:rsidRPr="00C52C8A">
              <w:t>is</w:t>
            </w:r>
            <w:proofErr w:type="gramEnd"/>
            <w:r w:rsidRPr="00C52C8A">
              <w:t xml:space="preserve"> defined by two measures:</w:t>
            </w:r>
          </w:p>
          <w:p w14:paraId="19B52242" w14:textId="77777777" w:rsidR="006F761F" w:rsidRPr="00C52C8A" w:rsidRDefault="006F761F" w:rsidP="006F761F">
            <w:pPr>
              <w:pStyle w:val="BoxListBullet"/>
            </w:pPr>
            <w:r w:rsidRPr="00C52C8A">
              <w:t>the number of young people of compulsory school age in detention attending an education course, as a percentage of all young people of compulsory school age in detention</w:t>
            </w:r>
          </w:p>
          <w:p w14:paraId="54F00276" w14:textId="77777777" w:rsidR="006F761F" w:rsidRPr="00C52C8A" w:rsidRDefault="006F761F" w:rsidP="006F761F">
            <w:pPr>
              <w:pStyle w:val="BoxListBullet"/>
            </w:pPr>
            <w:r w:rsidRPr="00C52C8A">
              <w:t xml:space="preserve">the number of young people </w:t>
            </w:r>
            <w:r w:rsidRPr="00C52C8A">
              <w:rPr>
                <w:u w:val="single"/>
              </w:rPr>
              <w:t>not</w:t>
            </w:r>
            <w:r w:rsidRPr="00C52C8A">
              <w:t xml:space="preserve"> of compulsory school age in detention attending an education or training course, as a percentage of all young people </w:t>
            </w:r>
            <w:r w:rsidRPr="00C52C8A">
              <w:rPr>
                <w:u w:val="single"/>
              </w:rPr>
              <w:t>not</w:t>
            </w:r>
            <w:r w:rsidRPr="00C52C8A">
              <w:t xml:space="preserve"> of compulsory school age in detention.</w:t>
            </w:r>
          </w:p>
          <w:p w14:paraId="6EECC5B2" w14:textId="0F504C25" w:rsidR="006F761F" w:rsidRPr="00C52C8A" w:rsidRDefault="006F761F" w:rsidP="006F761F">
            <w:pPr>
              <w:pStyle w:val="Box"/>
            </w:pPr>
            <w:r w:rsidRPr="00C52C8A">
              <w:t xml:space="preserve">Compulsory school age refers to specific State and Territory governments’ requirements for a young person to participate in school, which are based primarily on age (see </w:t>
            </w:r>
            <w:r w:rsidR="00361640" w:rsidRPr="00C52C8A">
              <w:t>section </w:t>
            </w:r>
            <w:r w:rsidRPr="00C52C8A">
              <w:t>4 (School education) in this Report for further information). Education or training course refers to school education or an accredited education or training course under the Australian Qualifications Framework.</w:t>
            </w:r>
          </w:p>
          <w:p w14:paraId="05FB5D49" w14:textId="77777777" w:rsidR="006F761F" w:rsidRPr="00C52C8A" w:rsidRDefault="006F761F" w:rsidP="006F761F">
            <w:pPr>
              <w:pStyle w:val="Box"/>
            </w:pPr>
            <w:r w:rsidRPr="00C52C8A">
              <w:t>A high or increasing percentage of young people attending education and training is desirable.</w:t>
            </w:r>
          </w:p>
          <w:p w14:paraId="5CA5AE61" w14:textId="470C9A67" w:rsidR="006F761F" w:rsidRPr="00C52C8A" w:rsidRDefault="006F761F" w:rsidP="006F761F">
            <w:pPr>
              <w:pStyle w:val="Box"/>
            </w:pPr>
            <w:r w:rsidRPr="00C52C8A">
              <w:t>Exclusions include young people not under youth justice supervision and young people whose situation might preclude their participation in education programs (includes those on temporary leave such as work release; medically unable to participate; in isolation; a risk assessment resulting in exclusion from education; attending court; or on remand or sentenced for fewer than 7 days).</w:t>
            </w:r>
          </w:p>
        </w:tc>
      </w:tr>
      <w:tr w:rsidR="006F761F" w:rsidRPr="00C52C8A" w14:paraId="1BB211C8" w14:textId="77777777" w:rsidTr="006F761F">
        <w:tc>
          <w:tcPr>
            <w:tcW w:w="5000" w:type="pct"/>
            <w:tcBorders>
              <w:top w:val="nil"/>
              <w:left w:val="nil"/>
              <w:bottom w:val="nil"/>
              <w:right w:val="nil"/>
            </w:tcBorders>
            <w:shd w:val="clear" w:color="auto" w:fill="F2F2F2"/>
          </w:tcPr>
          <w:p w14:paraId="6A56B6DC" w14:textId="6F17D461" w:rsidR="006F761F" w:rsidRPr="00C52C8A" w:rsidRDefault="006F761F" w:rsidP="006F761F">
            <w:pPr>
              <w:pStyle w:val="BoxSource"/>
              <w:jc w:val="right"/>
            </w:pPr>
            <w:r w:rsidRPr="00C52C8A">
              <w:t>(continued next page)</w:t>
            </w:r>
          </w:p>
        </w:tc>
      </w:tr>
      <w:tr w:rsidR="006F761F" w:rsidRPr="00C52C8A" w14:paraId="34E98E57" w14:textId="77777777" w:rsidTr="006F761F">
        <w:tc>
          <w:tcPr>
            <w:tcW w:w="5000" w:type="pct"/>
            <w:tcBorders>
              <w:top w:val="nil"/>
              <w:left w:val="nil"/>
              <w:bottom w:val="single" w:sz="6" w:space="0" w:color="78A22F"/>
              <w:right w:val="nil"/>
            </w:tcBorders>
            <w:shd w:val="clear" w:color="auto" w:fill="F2F2F2"/>
          </w:tcPr>
          <w:p w14:paraId="1960E2CD" w14:textId="77777777" w:rsidR="006F761F" w:rsidRPr="00C52C8A" w:rsidRDefault="006F761F">
            <w:pPr>
              <w:pStyle w:val="Box"/>
              <w:spacing w:before="0" w:line="120" w:lineRule="exact"/>
            </w:pPr>
          </w:p>
        </w:tc>
      </w:tr>
      <w:tr w:rsidR="006F761F" w:rsidRPr="00C52C8A" w14:paraId="372E736C" w14:textId="77777777" w:rsidTr="006F761F">
        <w:tc>
          <w:tcPr>
            <w:tcW w:w="5000" w:type="pct"/>
            <w:tcBorders>
              <w:top w:val="single" w:sz="6" w:space="0" w:color="78A22F"/>
              <w:left w:val="nil"/>
              <w:bottom w:val="nil"/>
              <w:right w:val="nil"/>
            </w:tcBorders>
          </w:tcPr>
          <w:p w14:paraId="7F067E76" w14:textId="55E56110" w:rsidR="006F761F" w:rsidRPr="002E39DF" w:rsidRDefault="006F761F" w:rsidP="006F761F">
            <w:pPr>
              <w:pStyle w:val="BoxSpaceBelow"/>
            </w:pPr>
          </w:p>
        </w:tc>
      </w:tr>
    </w:tbl>
    <w:p w14:paraId="5E64330F" w14:textId="335AA076" w:rsidR="0049791B" w:rsidRPr="002E39DF" w:rsidRDefault="0049791B"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9791B" w:rsidRPr="00C52C8A" w14:paraId="52450584" w14:textId="77777777" w:rsidTr="006F761F">
        <w:tc>
          <w:tcPr>
            <w:tcW w:w="8789" w:type="dxa"/>
            <w:tcBorders>
              <w:top w:val="single" w:sz="6" w:space="0" w:color="78A22F"/>
              <w:left w:val="nil"/>
              <w:bottom w:val="nil"/>
              <w:right w:val="nil"/>
            </w:tcBorders>
            <w:shd w:val="clear" w:color="auto" w:fill="F2F2F2" w:themeFill="background1" w:themeFillShade="F2"/>
          </w:tcPr>
          <w:p w14:paraId="4507AB57" w14:textId="71DE4D15" w:rsidR="0049791B" w:rsidRPr="00C52C8A" w:rsidRDefault="0049791B" w:rsidP="006F761F">
            <w:pPr>
              <w:pStyle w:val="BoxTitle"/>
            </w:pPr>
            <w:r w:rsidRPr="00C52C8A">
              <w:rPr>
                <w:b w:val="0"/>
              </w:rPr>
              <w:t>Box</w:t>
            </w:r>
            <w:r w:rsidR="00A242CE" w:rsidRPr="00C52C8A">
              <w:rPr>
                <w:b w:val="0"/>
              </w:rPr>
              <w:t xml:space="preserve"> </w:t>
            </w:r>
            <w:bookmarkStart w:id="32" w:name="OLE_LINK19"/>
            <w:r w:rsidR="00C87A43">
              <w:rPr>
                <w:b w:val="0"/>
              </w:rPr>
              <w:t>17.</w:t>
            </w:r>
            <w:r w:rsidR="00AF64D0">
              <w:rPr>
                <w:b w:val="0"/>
                <w:noProof/>
              </w:rPr>
              <w:t>7</w:t>
            </w:r>
            <w:bookmarkEnd w:id="32"/>
            <w:r w:rsidRPr="00C52C8A">
              <w:tab/>
            </w:r>
            <w:r w:rsidR="006F761F" w:rsidRPr="00C52C8A">
              <w:rPr>
                <w:b w:val="0"/>
                <w:sz w:val="18"/>
                <w:szCs w:val="18"/>
              </w:rPr>
              <w:t>(continued)</w:t>
            </w:r>
          </w:p>
        </w:tc>
      </w:tr>
      <w:tr w:rsidR="0049791B" w:rsidRPr="00C52C8A" w14:paraId="313EA9B5" w14:textId="77777777" w:rsidTr="006F761F">
        <w:trPr>
          <w:cantSplit/>
        </w:trPr>
        <w:tc>
          <w:tcPr>
            <w:tcW w:w="8789" w:type="dxa"/>
            <w:tcBorders>
              <w:top w:val="nil"/>
              <w:left w:val="nil"/>
              <w:bottom w:val="nil"/>
              <w:right w:val="nil"/>
            </w:tcBorders>
            <w:shd w:val="clear" w:color="auto" w:fill="F2F2F2" w:themeFill="background1" w:themeFillShade="F2"/>
          </w:tcPr>
          <w:p w14:paraId="65DD409A" w14:textId="39CF2548" w:rsidR="00A92BC8" w:rsidRPr="00C52C8A" w:rsidRDefault="00F05EEC" w:rsidP="00983812">
            <w:pPr>
              <w:pStyle w:val="Box"/>
            </w:pPr>
            <w:r w:rsidRPr="00C52C8A">
              <w:t xml:space="preserve">The method for counting young people attending education differs across jurisdictions, with one of the following </w:t>
            </w:r>
            <w:r w:rsidR="00F6111C" w:rsidRPr="00C52C8A">
              <w:t xml:space="preserve">three </w:t>
            </w:r>
            <w:r w:rsidR="00A92BC8" w:rsidRPr="00C52C8A">
              <w:t>methods</w:t>
            </w:r>
            <w:r w:rsidRPr="00C52C8A">
              <w:t xml:space="preserve"> used</w:t>
            </w:r>
            <w:r w:rsidR="00AD782C" w:rsidRPr="00C52C8A">
              <w:t>:</w:t>
            </w:r>
            <w:r w:rsidR="00A92BC8" w:rsidRPr="00C52C8A">
              <w:t xml:space="preserve"> (1) </w:t>
            </w:r>
            <w:r w:rsidR="00F6111C" w:rsidRPr="00C52C8A">
              <w:t>an exceptions basis where the number of young people who do not attend is recoded and it is taken that all other young people are attending</w:t>
            </w:r>
            <w:r w:rsidR="00113D98" w:rsidRPr="00C52C8A">
              <w:t>;</w:t>
            </w:r>
            <w:r w:rsidR="00F6111C" w:rsidRPr="00C52C8A">
              <w:t xml:space="preserve"> (2) </w:t>
            </w:r>
            <w:r w:rsidR="00A92BC8" w:rsidRPr="00C52C8A">
              <w:t>daily data averaged over the number of school days</w:t>
            </w:r>
            <w:r w:rsidR="00FA73FE" w:rsidRPr="00C52C8A">
              <w:t xml:space="preserve"> in the financial year, or (</w:t>
            </w:r>
            <w:r w:rsidR="00F6111C" w:rsidRPr="00C52C8A">
              <w:t>3</w:t>
            </w:r>
            <w:r w:rsidR="00FA73FE" w:rsidRPr="00C52C8A">
              <w:t>) averaging the number of young people as at the second last day of each school term or an alternative day as required.</w:t>
            </w:r>
          </w:p>
          <w:p w14:paraId="74044BD4" w14:textId="77777777" w:rsidR="0049791B" w:rsidRPr="00C52C8A" w:rsidRDefault="0049791B" w:rsidP="00983812">
            <w:pPr>
              <w:pStyle w:val="Box"/>
            </w:pPr>
            <w:r w:rsidRPr="00C52C8A">
              <w:t>Data reported for these measures are:</w:t>
            </w:r>
          </w:p>
          <w:p w14:paraId="63DDF5D4" w14:textId="0FFCEB93" w:rsidR="0049791B" w:rsidRPr="00C52C8A" w:rsidRDefault="00AF0AA0" w:rsidP="002044F6">
            <w:pPr>
              <w:pStyle w:val="Box"/>
              <w:ind w:left="284"/>
            </w:pPr>
            <w:r w:rsidRPr="00C52C8A">
              <w:rPr>
                <w:shd w:val="clear" w:color="auto" w:fill="FCDED3"/>
              </w:rPr>
              <w:t xml:space="preserve">    </w:t>
            </w:r>
            <w:r w:rsidR="006A4F08" w:rsidRPr="00C52C8A">
              <w:t xml:space="preserve"> </w:t>
            </w:r>
            <w:r w:rsidR="00D25CBE" w:rsidRPr="00C52C8A">
              <w:t>n</w:t>
            </w:r>
            <w:r w:rsidRPr="00C52C8A">
              <w:t xml:space="preserve">ot </w:t>
            </w:r>
            <w:r w:rsidR="0049791B" w:rsidRPr="00C52C8A">
              <w:t>comparable across jurisdictions</w:t>
            </w:r>
            <w:r w:rsidRPr="00C52C8A">
              <w:t xml:space="preserve">, but are comparable (subject to caveats) within jurisdictions </w:t>
            </w:r>
            <w:r w:rsidR="0049791B" w:rsidRPr="00C52C8A">
              <w:t>over time</w:t>
            </w:r>
          </w:p>
          <w:p w14:paraId="552CC2EC" w14:textId="78BB440F" w:rsidR="0049791B" w:rsidRPr="00C52C8A" w:rsidRDefault="006A4F08" w:rsidP="008B1162">
            <w:pPr>
              <w:pStyle w:val="Box"/>
              <w:ind w:left="284"/>
            </w:pPr>
            <w:r w:rsidRPr="00C52C8A">
              <w:rPr>
                <w:shd w:val="clear" w:color="auto" w:fill="FCDED3"/>
              </w:rPr>
              <w:t xml:space="preserve">    </w:t>
            </w:r>
            <w:r w:rsidRPr="00C52C8A">
              <w:t xml:space="preserve"> </w:t>
            </w:r>
            <w:r w:rsidR="008B1162" w:rsidRPr="00C52C8A">
              <w:t>in</w:t>
            </w:r>
            <w:r w:rsidR="0049791B" w:rsidRPr="00C52C8A">
              <w:t>complete fo</w:t>
            </w:r>
            <w:r w:rsidR="00F06962" w:rsidRPr="00C52C8A">
              <w:t>r the current reporting period.</w:t>
            </w:r>
            <w:r w:rsidR="00456D0D" w:rsidRPr="00C52C8A">
              <w:t xml:space="preserve"> All required </w:t>
            </w:r>
            <w:r w:rsidR="009D0A7F" w:rsidRPr="00C52C8A">
              <w:t>201</w:t>
            </w:r>
            <w:r w:rsidR="009D0A7F">
              <w:t>9</w:t>
            </w:r>
            <w:r w:rsidR="009D0A7F" w:rsidRPr="00C52C8A">
              <w:noBreakHyphen/>
            </w:r>
            <w:r w:rsidR="009D0A7F">
              <w:t>20</w:t>
            </w:r>
            <w:r w:rsidR="009D0A7F" w:rsidRPr="00C52C8A">
              <w:t xml:space="preserve"> </w:t>
            </w:r>
            <w:r w:rsidR="00456D0D" w:rsidRPr="00C52C8A">
              <w:t xml:space="preserve">data </w:t>
            </w:r>
            <w:r w:rsidR="008B1162" w:rsidRPr="00C52C8A">
              <w:t xml:space="preserve">are not available for </w:t>
            </w:r>
            <w:r w:rsidR="008B1162" w:rsidRPr="00A4641D">
              <w:t>the NT</w:t>
            </w:r>
            <w:r w:rsidR="00456D0D" w:rsidRPr="00A4641D">
              <w:t>.</w:t>
            </w:r>
          </w:p>
        </w:tc>
      </w:tr>
      <w:tr w:rsidR="0049791B" w:rsidRPr="00C52C8A" w14:paraId="69F311C5"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4C0153A7" w14:textId="77777777" w:rsidR="0049791B" w:rsidRPr="00C52C8A" w:rsidRDefault="0049791B" w:rsidP="00983812">
            <w:pPr>
              <w:pStyle w:val="Box"/>
              <w:spacing w:before="0" w:line="120" w:lineRule="exact"/>
            </w:pPr>
          </w:p>
        </w:tc>
      </w:tr>
      <w:tr w:rsidR="0049791B" w:rsidRPr="00C52C8A" w14:paraId="19DD16F8" w14:textId="77777777" w:rsidTr="006F761F">
        <w:tc>
          <w:tcPr>
            <w:tcW w:w="8789" w:type="dxa"/>
            <w:tcBorders>
              <w:top w:val="single" w:sz="6" w:space="0" w:color="78A22F"/>
              <w:left w:val="nil"/>
              <w:bottom w:val="nil"/>
              <w:right w:val="nil"/>
            </w:tcBorders>
          </w:tcPr>
          <w:p w14:paraId="2CFDA62F" w14:textId="557DCB19" w:rsidR="0049791B" w:rsidRPr="002E39DF" w:rsidRDefault="0049791B" w:rsidP="00983812">
            <w:pPr>
              <w:pStyle w:val="BoxSpaceBelow"/>
            </w:pPr>
          </w:p>
        </w:tc>
      </w:tr>
    </w:tbl>
    <w:p w14:paraId="51C6DCEB" w14:textId="4E2DF304" w:rsidR="00413C3F" w:rsidRPr="00C52C8A" w:rsidRDefault="00413C3F" w:rsidP="00983812">
      <w:pPr>
        <w:pStyle w:val="BodyText"/>
      </w:pPr>
      <w:r w:rsidRPr="00A4641D">
        <w:t>Nationally</w:t>
      </w:r>
      <w:r w:rsidR="005C233B" w:rsidRPr="00A4641D">
        <w:t xml:space="preserve"> </w:t>
      </w:r>
      <w:r w:rsidR="008B1162" w:rsidRPr="00A4641D">
        <w:t xml:space="preserve">(excluding the NT) </w:t>
      </w:r>
      <w:r w:rsidR="005C233B" w:rsidRPr="00A4641D">
        <w:t xml:space="preserve">in </w:t>
      </w:r>
      <w:r w:rsidR="009D0A7F" w:rsidRPr="00A4641D">
        <w:t>2019</w:t>
      </w:r>
      <w:r w:rsidR="009D0A7F" w:rsidRPr="00A4641D">
        <w:noBreakHyphen/>
        <w:t>20</w:t>
      </w:r>
      <w:r w:rsidR="00762449" w:rsidRPr="00A4641D">
        <w:t xml:space="preserve">, </w:t>
      </w:r>
      <w:r w:rsidR="0011285D" w:rsidRPr="00A4641D">
        <w:t>9</w:t>
      </w:r>
      <w:r w:rsidR="008B1162" w:rsidRPr="00A4641D">
        <w:t>9</w:t>
      </w:r>
      <w:r w:rsidR="007F70C7" w:rsidRPr="00A4641D">
        <w:t>.</w:t>
      </w:r>
      <w:r w:rsidR="00175EF2">
        <w:t>8</w:t>
      </w:r>
      <w:r w:rsidR="00762449" w:rsidRPr="00A4641D">
        <w:t xml:space="preserve"> p</w:t>
      </w:r>
      <w:r w:rsidRPr="00A4641D">
        <w:t xml:space="preserve">er cent of young people </w:t>
      </w:r>
      <w:r w:rsidR="005C233B" w:rsidRPr="00A4641D">
        <w:t xml:space="preserve">in detention and </w:t>
      </w:r>
      <w:r w:rsidRPr="00A4641D">
        <w:t>of compulsory school age were attending an education course</w:t>
      </w:r>
      <w:r w:rsidR="00762449" w:rsidRPr="00A4641D">
        <w:t xml:space="preserve"> and </w:t>
      </w:r>
      <w:r w:rsidR="0011285D" w:rsidRPr="00A4641D">
        <w:t>9</w:t>
      </w:r>
      <w:r w:rsidR="008B1162" w:rsidRPr="00A4641D">
        <w:t>9</w:t>
      </w:r>
      <w:r w:rsidR="0011285D" w:rsidRPr="00A4641D">
        <w:t>.</w:t>
      </w:r>
      <w:r w:rsidR="00175EF2">
        <w:t>9</w:t>
      </w:r>
      <w:r w:rsidR="00762449" w:rsidRPr="00A4641D">
        <w:t xml:space="preserve"> p</w:t>
      </w:r>
      <w:r w:rsidRPr="00A4641D">
        <w:t>er</w:t>
      </w:r>
      <w:r w:rsidRPr="00C52C8A">
        <w:t xml:space="preserve"> cent of young people in detention </w:t>
      </w:r>
      <w:r w:rsidRPr="00C52C8A">
        <w:rPr>
          <w:u w:val="single"/>
        </w:rPr>
        <w:t>not</w:t>
      </w:r>
      <w:r w:rsidRPr="00C52C8A">
        <w:rPr>
          <w:i/>
        </w:rPr>
        <w:t xml:space="preserve"> </w:t>
      </w:r>
      <w:r w:rsidRPr="00C52C8A">
        <w:t>of compulsory school age were attending an accredite</w:t>
      </w:r>
      <w:r w:rsidR="00B92838" w:rsidRPr="00C52C8A">
        <w:t>d education or training course</w:t>
      </w:r>
      <w:r w:rsidRPr="00C52C8A">
        <w:t xml:space="preserve">. </w:t>
      </w:r>
      <w:r w:rsidR="00B92838" w:rsidRPr="00C52C8A">
        <w:t>Most jurisdictions recorded 100 per cent for both measures, including for Aboriginal and Torres Strait Islander young people</w:t>
      </w:r>
      <w:r w:rsidR="00AD782C" w:rsidRPr="00C52C8A">
        <w:t xml:space="preserve"> (table</w:t>
      </w:r>
      <w:r w:rsidR="005B0070">
        <w:t> </w:t>
      </w:r>
      <w:r w:rsidR="00AD782C" w:rsidRPr="00C52C8A">
        <w:t>17A.13)</w:t>
      </w:r>
      <w:r w:rsidR="009C6B51" w:rsidRPr="00C52C8A">
        <w:t xml:space="preserve">. </w:t>
      </w:r>
      <w:r w:rsidR="00205A0F" w:rsidRPr="00C52C8A">
        <w:t>D</w:t>
      </w:r>
      <w:r w:rsidR="00290D76" w:rsidRPr="00C52C8A">
        <w:t xml:space="preserve">ata </w:t>
      </w:r>
      <w:r w:rsidR="00AD782C" w:rsidRPr="00C52C8A">
        <w:t xml:space="preserve">from </w:t>
      </w:r>
      <w:r w:rsidR="00290D76" w:rsidRPr="00C52C8A">
        <w:t>201</w:t>
      </w:r>
      <w:r w:rsidR="00554F6E" w:rsidRPr="00C52C8A">
        <w:t>4</w:t>
      </w:r>
      <w:r w:rsidR="00F4592C" w:rsidRPr="00C52C8A">
        <w:noBreakHyphen/>
      </w:r>
      <w:r w:rsidR="00290D76" w:rsidRPr="00C52C8A">
        <w:t>1</w:t>
      </w:r>
      <w:r w:rsidR="00554F6E" w:rsidRPr="00C52C8A">
        <w:t>5</w:t>
      </w:r>
      <w:r w:rsidR="00290D76" w:rsidRPr="00C52C8A">
        <w:t xml:space="preserve"> are available in </w:t>
      </w:r>
      <w:r w:rsidR="004D1120" w:rsidRPr="00C52C8A">
        <w:t>table </w:t>
      </w:r>
      <w:r w:rsidR="003149EB" w:rsidRPr="00C52C8A">
        <w:t>17</w:t>
      </w:r>
      <w:r w:rsidR="00B92838" w:rsidRPr="00C52C8A">
        <w:t>A.1</w:t>
      </w:r>
      <w:r w:rsidR="00CA0B01" w:rsidRPr="00C52C8A">
        <w:t>3</w:t>
      </w:r>
      <w:r w:rsidR="00B92838" w:rsidRPr="00C52C8A">
        <w:t>.</w:t>
      </w:r>
    </w:p>
    <w:p w14:paraId="5515FF62" w14:textId="166BDBBA" w:rsidR="00CA0B01" w:rsidRPr="00C52C8A" w:rsidRDefault="00AC7113" w:rsidP="00117074">
      <w:pPr>
        <w:pStyle w:val="Heading4"/>
      </w:pPr>
      <w:r w:rsidRPr="00C52C8A">
        <w:t>Appropriateness — F</w:t>
      </w:r>
      <w:r w:rsidR="00CA0B01" w:rsidRPr="00C52C8A">
        <w:t>amily engagement with youth justice services</w:t>
      </w:r>
    </w:p>
    <w:p w14:paraId="47F32E8A" w14:textId="07C46299" w:rsidR="00CA0B01" w:rsidRPr="00C52C8A" w:rsidRDefault="00CA0B01" w:rsidP="00CA0B01">
      <w:pPr>
        <w:pStyle w:val="BodyText"/>
      </w:pPr>
      <w:r w:rsidRPr="00C52C8A">
        <w:t xml:space="preserve">‘Family engagement with youth justice services’ is an indicator of government’s objective to promote the importance of the families of young people </w:t>
      </w:r>
      <w:r w:rsidR="00637B99" w:rsidRPr="00C52C8A">
        <w:t xml:space="preserve">who </w:t>
      </w:r>
      <w:r w:rsidR="009E26E5" w:rsidRPr="00C52C8A">
        <w:t>offend,</w:t>
      </w:r>
      <w:r w:rsidR="00637B99" w:rsidRPr="00C52C8A">
        <w:t xml:space="preserve"> </w:t>
      </w:r>
      <w:proofErr w:type="gramStart"/>
      <w:r w:rsidR="009E26E5" w:rsidRPr="00C52C8A">
        <w:t xml:space="preserve">in </w:t>
      </w:r>
      <w:r w:rsidR="00637B99" w:rsidRPr="00C52C8A">
        <w:t>particular Aboriginal</w:t>
      </w:r>
      <w:proofErr w:type="gramEnd"/>
      <w:r w:rsidR="00637B99" w:rsidRPr="00C52C8A">
        <w:t xml:space="preserve"> and Torres Strait Islander communities, in the provision of services and programs</w:t>
      </w:r>
      <w:r w:rsidR="00401E9A" w:rsidRPr="00C52C8A">
        <w:t xml:space="preserve"> (box</w:t>
      </w:r>
      <w:r w:rsidR="005B0070">
        <w:t> </w:t>
      </w:r>
      <w:r w:rsidR="00B27E61" w:rsidRPr="00C52C8A">
        <w:t>17.8</w:t>
      </w:r>
      <w:r w:rsidR="00401E9A" w:rsidRPr="00C52C8A">
        <w:t>)</w:t>
      </w:r>
      <w:r w:rsidR="00637B99" w:rsidRPr="00C52C8A">
        <w:t>.</w:t>
      </w:r>
    </w:p>
    <w:p w14:paraId="48947389" w14:textId="60DD05E0" w:rsidR="00637B99" w:rsidRPr="002E39DF" w:rsidRDefault="00637B9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37B99" w:rsidRPr="00C52C8A" w14:paraId="4CF49C48" w14:textId="77777777" w:rsidTr="006F761F">
        <w:tc>
          <w:tcPr>
            <w:tcW w:w="8789" w:type="dxa"/>
            <w:tcBorders>
              <w:top w:val="single" w:sz="6" w:space="0" w:color="78A22F"/>
              <w:left w:val="nil"/>
              <w:bottom w:val="nil"/>
              <w:right w:val="nil"/>
            </w:tcBorders>
            <w:shd w:val="clear" w:color="auto" w:fill="F2F2F2"/>
          </w:tcPr>
          <w:p w14:paraId="0221277D" w14:textId="4959D27B" w:rsidR="00637B99" w:rsidRPr="00C52C8A" w:rsidRDefault="00637B99" w:rsidP="00401E9A">
            <w:pPr>
              <w:pStyle w:val="BoxTitle"/>
            </w:pPr>
            <w:r w:rsidRPr="00C52C8A">
              <w:rPr>
                <w:b w:val="0"/>
              </w:rPr>
              <w:t>Box</w:t>
            </w:r>
            <w:r w:rsidR="00A242CE" w:rsidRPr="00C52C8A">
              <w:rPr>
                <w:b w:val="0"/>
              </w:rPr>
              <w:t xml:space="preserve"> </w:t>
            </w:r>
            <w:bookmarkStart w:id="33" w:name="OLE_LINK21"/>
            <w:r w:rsidR="00C87A43">
              <w:rPr>
                <w:b w:val="0"/>
              </w:rPr>
              <w:t>17.</w:t>
            </w:r>
            <w:r w:rsidR="00AF64D0">
              <w:rPr>
                <w:b w:val="0"/>
                <w:noProof/>
              </w:rPr>
              <w:t>8</w:t>
            </w:r>
            <w:bookmarkEnd w:id="33"/>
            <w:r w:rsidRPr="00C52C8A">
              <w:tab/>
              <w:t>Family engagement with youth justice services</w:t>
            </w:r>
          </w:p>
        </w:tc>
      </w:tr>
      <w:tr w:rsidR="00637B99" w:rsidRPr="00C52C8A" w14:paraId="2695B3D8" w14:textId="77777777" w:rsidTr="006F761F">
        <w:tc>
          <w:tcPr>
            <w:tcW w:w="8789" w:type="dxa"/>
            <w:tcBorders>
              <w:top w:val="nil"/>
              <w:left w:val="nil"/>
              <w:bottom w:val="nil"/>
              <w:right w:val="nil"/>
            </w:tcBorders>
            <w:shd w:val="clear" w:color="auto" w:fill="F2F2F2"/>
          </w:tcPr>
          <w:p w14:paraId="5F1C6700" w14:textId="0B584A29" w:rsidR="00637B99" w:rsidRPr="00C52C8A" w:rsidRDefault="00637B99" w:rsidP="00637B99">
            <w:pPr>
              <w:pStyle w:val="Box"/>
            </w:pPr>
            <w:r w:rsidRPr="00C52C8A">
              <w:t>‘Family engagement with youth justice services’ is defined as the proportion of young people receiving youth justice services whose family is engaged with youth justice services. There are three measures for reporting against this indicator:</w:t>
            </w:r>
          </w:p>
          <w:p w14:paraId="5FA84A9B" w14:textId="45249F4C" w:rsidR="00637B99" w:rsidRPr="00C52C8A" w:rsidRDefault="00637B99" w:rsidP="00637B99">
            <w:pPr>
              <w:pStyle w:val="BoxListBullet"/>
            </w:pPr>
            <w:r w:rsidRPr="00C52C8A">
              <w:t xml:space="preserve">proportion of young people participating in </w:t>
            </w:r>
            <w:r w:rsidR="009E26E5" w:rsidRPr="00C52C8A">
              <w:t>group</w:t>
            </w:r>
            <w:r w:rsidRPr="00C52C8A">
              <w:t xml:space="preserve"> conferencing whose family is engaged</w:t>
            </w:r>
          </w:p>
          <w:p w14:paraId="564313D1" w14:textId="61116B06" w:rsidR="00637B99" w:rsidRPr="00C52C8A" w:rsidRDefault="00637B99" w:rsidP="00637B99">
            <w:pPr>
              <w:pStyle w:val="BoxListBullet"/>
            </w:pPr>
            <w:r w:rsidRPr="00C52C8A">
              <w:t>proportion of young people subject to community</w:t>
            </w:r>
            <w:r w:rsidR="00911FAF">
              <w:noBreakHyphen/>
            </w:r>
            <w:r w:rsidRPr="00C52C8A">
              <w:t>based supervision whose family is engaged</w:t>
            </w:r>
          </w:p>
          <w:p w14:paraId="665C2E43" w14:textId="64A22D2C" w:rsidR="00637B99" w:rsidRPr="00C52C8A" w:rsidRDefault="00637B99" w:rsidP="00637B99">
            <w:pPr>
              <w:pStyle w:val="BoxListBullet"/>
            </w:pPr>
            <w:r w:rsidRPr="00C52C8A">
              <w:t>proportion of young people subject to detention</w:t>
            </w:r>
            <w:r w:rsidR="00911FAF">
              <w:noBreakHyphen/>
            </w:r>
            <w:r w:rsidRPr="00C52C8A">
              <w:t>based supervision who</w:t>
            </w:r>
            <w:r w:rsidR="006F761F" w:rsidRPr="00C52C8A">
              <w:t xml:space="preserve"> have contact with their family.</w:t>
            </w:r>
            <w:r w:rsidRPr="00C52C8A">
              <w:t xml:space="preserve"> </w:t>
            </w:r>
          </w:p>
          <w:p w14:paraId="7967AB69" w14:textId="150F69BE" w:rsidR="00637B99" w:rsidRPr="00C52C8A" w:rsidRDefault="00637B99" w:rsidP="00637B99">
            <w:pPr>
              <w:pStyle w:val="Box"/>
            </w:pPr>
            <w:r w:rsidRPr="00C52C8A">
              <w:t xml:space="preserve">A high or increasing </w:t>
            </w:r>
            <w:r w:rsidR="009E26E5" w:rsidRPr="00C52C8A">
              <w:t xml:space="preserve">proportion </w:t>
            </w:r>
            <w:r w:rsidRPr="00C52C8A">
              <w:t xml:space="preserve">of young people </w:t>
            </w:r>
            <w:r w:rsidR="00403802" w:rsidRPr="00C52C8A">
              <w:t xml:space="preserve">receiving </w:t>
            </w:r>
            <w:r w:rsidRPr="00C52C8A">
              <w:t>youth justice services who</w:t>
            </w:r>
            <w:r w:rsidR="00F45ED1" w:rsidRPr="00C52C8A">
              <w:t>se families</w:t>
            </w:r>
            <w:r w:rsidRPr="00C52C8A">
              <w:t xml:space="preserve"> engage with youth justice services is desirable.</w:t>
            </w:r>
          </w:p>
          <w:p w14:paraId="1927CAA4" w14:textId="77777777" w:rsidR="00637B99" w:rsidRPr="00C52C8A" w:rsidRDefault="00637B99" w:rsidP="00637B99">
            <w:pPr>
              <w:pStyle w:val="Box"/>
            </w:pPr>
            <w:r w:rsidRPr="00C52C8A">
              <w:t>Data are not yet available for reporting against this indicator.</w:t>
            </w:r>
          </w:p>
        </w:tc>
      </w:tr>
      <w:tr w:rsidR="00637B99" w:rsidRPr="00C52C8A" w14:paraId="0E332F20" w14:textId="77777777" w:rsidTr="006F761F">
        <w:tc>
          <w:tcPr>
            <w:tcW w:w="8789" w:type="dxa"/>
            <w:tcBorders>
              <w:top w:val="nil"/>
              <w:left w:val="nil"/>
              <w:bottom w:val="single" w:sz="6" w:space="0" w:color="78A22F"/>
              <w:right w:val="nil"/>
            </w:tcBorders>
            <w:shd w:val="clear" w:color="auto" w:fill="F2F2F2"/>
          </w:tcPr>
          <w:p w14:paraId="58213D22" w14:textId="77777777" w:rsidR="00637B99" w:rsidRPr="00C52C8A" w:rsidRDefault="00637B99">
            <w:pPr>
              <w:pStyle w:val="Box"/>
              <w:spacing w:before="0" w:line="120" w:lineRule="exact"/>
            </w:pPr>
          </w:p>
        </w:tc>
      </w:tr>
      <w:tr w:rsidR="00637B99" w:rsidRPr="00C52C8A" w14:paraId="0AC11A44" w14:textId="77777777" w:rsidTr="006F761F">
        <w:tc>
          <w:tcPr>
            <w:tcW w:w="8789" w:type="dxa"/>
            <w:tcBorders>
              <w:top w:val="single" w:sz="6" w:space="0" w:color="78A22F"/>
              <w:left w:val="nil"/>
              <w:bottom w:val="nil"/>
              <w:right w:val="nil"/>
            </w:tcBorders>
          </w:tcPr>
          <w:p w14:paraId="5CA39612" w14:textId="1A3745CF" w:rsidR="00637B99" w:rsidRPr="002E39DF" w:rsidRDefault="00637B99" w:rsidP="005F5F3C">
            <w:pPr>
              <w:pStyle w:val="BoxSpaceBelow"/>
            </w:pPr>
          </w:p>
        </w:tc>
      </w:tr>
    </w:tbl>
    <w:p w14:paraId="2D19617F" w14:textId="759FB25A" w:rsidR="00117074" w:rsidRPr="00C52C8A" w:rsidRDefault="00117074" w:rsidP="00117074">
      <w:pPr>
        <w:pStyle w:val="Heading4"/>
      </w:pPr>
      <w:r w:rsidRPr="00C52C8A">
        <w:lastRenderedPageBreak/>
        <w:t xml:space="preserve">Appropriateness — </w:t>
      </w:r>
      <w:r w:rsidR="00F45ED1" w:rsidRPr="00C52C8A">
        <w:t>C</w:t>
      </w:r>
      <w:r w:rsidR="00637B99" w:rsidRPr="00C52C8A">
        <w:t>ompletion of programs that aim to address offending behaviour</w:t>
      </w:r>
    </w:p>
    <w:p w14:paraId="41BE00DB" w14:textId="40C9F956" w:rsidR="00117074" w:rsidRPr="00C52C8A" w:rsidRDefault="00637B99" w:rsidP="00117074">
      <w:pPr>
        <w:pStyle w:val="BodyText"/>
      </w:pPr>
      <w:r w:rsidRPr="00C52C8A">
        <w:t xml:space="preserve">‘Completion of programs that aim to address offending behaviour’ is a proxy </w:t>
      </w:r>
      <w:r w:rsidR="00117074" w:rsidRPr="00C52C8A">
        <w:t xml:space="preserve">indicator of governments’ objective to </w:t>
      </w:r>
      <w:r w:rsidRPr="00C52C8A">
        <w:t>support</w:t>
      </w:r>
      <w:r w:rsidR="00117074" w:rsidRPr="00C52C8A">
        <w:t xml:space="preserve"> young people </w:t>
      </w:r>
      <w:r w:rsidRPr="00C52C8A">
        <w:t xml:space="preserve">to understand the impact of </w:t>
      </w:r>
      <w:r w:rsidR="00117074" w:rsidRPr="00C52C8A">
        <w:t xml:space="preserve">their offending </w:t>
      </w:r>
      <w:r w:rsidRPr="00C52C8A">
        <w:t>on others, including victims and the wider community</w:t>
      </w:r>
      <w:r w:rsidR="00117074" w:rsidRPr="00C52C8A">
        <w:t xml:space="preserve"> (box </w:t>
      </w:r>
      <w:r w:rsidR="00B27E61" w:rsidRPr="00C52C8A">
        <w:t>17.9</w:t>
      </w:r>
      <w:r w:rsidR="001C1FFA" w:rsidRPr="00C52C8A">
        <w:t>)</w:t>
      </w:r>
      <w:r w:rsidR="00117074" w:rsidRPr="00C52C8A">
        <w:t>.</w:t>
      </w:r>
    </w:p>
    <w:p w14:paraId="3133A27B" w14:textId="17C5D3C0" w:rsidR="00117074" w:rsidRPr="002E39DF" w:rsidRDefault="00117074" w:rsidP="0011707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17074" w:rsidRPr="00C52C8A" w14:paraId="394F34F9" w14:textId="77777777" w:rsidTr="006F761F">
        <w:tc>
          <w:tcPr>
            <w:tcW w:w="8789" w:type="dxa"/>
            <w:tcBorders>
              <w:top w:val="single" w:sz="6" w:space="0" w:color="78A22F"/>
              <w:left w:val="nil"/>
              <w:bottom w:val="nil"/>
              <w:right w:val="nil"/>
            </w:tcBorders>
            <w:shd w:val="clear" w:color="auto" w:fill="F2F2F2" w:themeFill="background1" w:themeFillShade="F2"/>
          </w:tcPr>
          <w:p w14:paraId="24ED291E" w14:textId="2801589C" w:rsidR="00117074" w:rsidRPr="00C52C8A" w:rsidRDefault="00117074" w:rsidP="00401E9A">
            <w:pPr>
              <w:pStyle w:val="BoxTitle"/>
            </w:pPr>
            <w:r w:rsidRPr="00C52C8A">
              <w:rPr>
                <w:b w:val="0"/>
              </w:rPr>
              <w:t>Box</w:t>
            </w:r>
            <w:r w:rsidR="00A242CE" w:rsidRPr="00C52C8A">
              <w:rPr>
                <w:b w:val="0"/>
              </w:rPr>
              <w:t xml:space="preserve"> </w:t>
            </w:r>
            <w:bookmarkStart w:id="34" w:name="OLE_LINK23"/>
            <w:r w:rsidR="00C87A43">
              <w:rPr>
                <w:b w:val="0"/>
              </w:rPr>
              <w:t>17.</w:t>
            </w:r>
            <w:r w:rsidR="00AF64D0">
              <w:rPr>
                <w:b w:val="0"/>
                <w:noProof/>
              </w:rPr>
              <w:t>9</w:t>
            </w:r>
            <w:bookmarkEnd w:id="34"/>
            <w:r w:rsidRPr="00C52C8A">
              <w:tab/>
            </w:r>
            <w:r w:rsidR="00637B99" w:rsidRPr="00C52C8A">
              <w:t>Completion of programs that aim to address offending behaviour</w:t>
            </w:r>
          </w:p>
        </w:tc>
      </w:tr>
      <w:tr w:rsidR="00637B99" w:rsidRPr="00C52C8A" w14:paraId="79C854EC" w14:textId="77777777" w:rsidTr="006F761F">
        <w:trPr>
          <w:cantSplit/>
        </w:trPr>
        <w:tc>
          <w:tcPr>
            <w:tcW w:w="8789" w:type="dxa"/>
            <w:tcBorders>
              <w:top w:val="nil"/>
              <w:left w:val="nil"/>
              <w:bottom w:val="nil"/>
              <w:right w:val="nil"/>
            </w:tcBorders>
            <w:shd w:val="clear" w:color="auto" w:fill="F2F2F2" w:themeFill="background1" w:themeFillShade="F2"/>
          </w:tcPr>
          <w:p w14:paraId="2EAFFC77" w14:textId="226B7C89" w:rsidR="00637B99" w:rsidRPr="00C52C8A" w:rsidRDefault="00637B99" w:rsidP="005F5F3C">
            <w:pPr>
              <w:pStyle w:val="Box"/>
            </w:pPr>
            <w:r w:rsidRPr="00C52C8A">
              <w:t>‘Completion of programs that aim to address offending behaviour’ is defined as the proportion of young people referred to programs that aim to address offending beha</w:t>
            </w:r>
            <w:r w:rsidR="00F06962" w:rsidRPr="00C52C8A">
              <w:t>viour</w:t>
            </w:r>
            <w:r w:rsidR="009E26E5" w:rsidRPr="00C52C8A">
              <w:t>,</w:t>
            </w:r>
            <w:r w:rsidR="00F06962" w:rsidRPr="00C52C8A">
              <w:t xml:space="preserve"> who complete the program.</w:t>
            </w:r>
          </w:p>
          <w:p w14:paraId="30752A10" w14:textId="7DA889C5" w:rsidR="00637B99" w:rsidRPr="00C52C8A" w:rsidRDefault="00637B99" w:rsidP="005F5F3C">
            <w:pPr>
              <w:pStyle w:val="Box"/>
            </w:pPr>
            <w:r w:rsidRPr="00C52C8A">
              <w:t xml:space="preserve">A high or increasing </w:t>
            </w:r>
            <w:r w:rsidR="009E26E5" w:rsidRPr="00C52C8A">
              <w:t xml:space="preserve">proportion </w:t>
            </w:r>
            <w:r w:rsidRPr="00C52C8A">
              <w:t>of young people completing these programs is desirable.</w:t>
            </w:r>
          </w:p>
          <w:p w14:paraId="19DB7092" w14:textId="382F6092" w:rsidR="00637B99" w:rsidRPr="00C52C8A" w:rsidRDefault="00637B99" w:rsidP="005F5F3C">
            <w:pPr>
              <w:pStyle w:val="Box"/>
            </w:pPr>
            <w:r w:rsidRPr="00C52C8A">
              <w:t xml:space="preserve">This indicator is a proxy indicator and needs to be interpreted with care. Completion of a program that aims to address offending </w:t>
            </w:r>
            <w:r w:rsidR="009E26E5" w:rsidRPr="00C52C8A">
              <w:t>behaviour</w:t>
            </w:r>
            <w:r w:rsidRPr="00C52C8A">
              <w:t xml:space="preserve"> may not change the young person’s understanding of the impact of their behaviour.</w:t>
            </w:r>
          </w:p>
          <w:p w14:paraId="127A52D4" w14:textId="333DA8B3" w:rsidR="00637B99" w:rsidRPr="00C52C8A" w:rsidRDefault="00637B99" w:rsidP="009E26E5">
            <w:pPr>
              <w:pStyle w:val="Box"/>
            </w:pPr>
            <w:r w:rsidRPr="00C52C8A">
              <w:t>Data are not yet available for reporting against this indicator.</w:t>
            </w:r>
            <w:r w:rsidR="005374A3" w:rsidRPr="00C52C8A">
              <w:t xml:space="preserve"> Table</w:t>
            </w:r>
            <w:r w:rsidR="005B0070">
              <w:t> </w:t>
            </w:r>
            <w:r w:rsidR="005374A3" w:rsidRPr="00C52C8A">
              <w:t>17A.</w:t>
            </w:r>
            <w:r w:rsidR="00385AEC">
              <w:t>29</w:t>
            </w:r>
            <w:r w:rsidR="00F06962" w:rsidRPr="00C52C8A">
              <w:t xml:space="preserve"> provides summary information about programs </w:t>
            </w:r>
            <w:r w:rsidR="009E26E5" w:rsidRPr="00C52C8A">
              <w:t xml:space="preserve">available to young offenders </w:t>
            </w:r>
            <w:r w:rsidR="00F06962" w:rsidRPr="00C52C8A">
              <w:t xml:space="preserve">that aim to address </w:t>
            </w:r>
            <w:r w:rsidR="009E26E5" w:rsidRPr="00C52C8A">
              <w:t xml:space="preserve">their </w:t>
            </w:r>
            <w:r w:rsidR="00F06962" w:rsidRPr="00C52C8A">
              <w:t>offending behaviour.</w:t>
            </w:r>
          </w:p>
        </w:tc>
      </w:tr>
      <w:tr w:rsidR="00117074" w:rsidRPr="00C52C8A" w14:paraId="56D388E8"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156ECDA2" w14:textId="77777777" w:rsidR="00117074" w:rsidRPr="00C52C8A" w:rsidRDefault="00117074" w:rsidP="005F5F3C">
            <w:pPr>
              <w:pStyle w:val="Box"/>
              <w:spacing w:before="0" w:line="120" w:lineRule="exact"/>
            </w:pPr>
          </w:p>
        </w:tc>
      </w:tr>
      <w:tr w:rsidR="00117074" w:rsidRPr="00C52C8A" w14:paraId="5CE23E56" w14:textId="77777777" w:rsidTr="006F761F">
        <w:tc>
          <w:tcPr>
            <w:tcW w:w="8789" w:type="dxa"/>
            <w:tcBorders>
              <w:top w:val="single" w:sz="6" w:space="0" w:color="78A22F"/>
              <w:left w:val="nil"/>
              <w:bottom w:val="nil"/>
              <w:right w:val="nil"/>
            </w:tcBorders>
          </w:tcPr>
          <w:p w14:paraId="0C3809F2" w14:textId="38853F43" w:rsidR="00117074" w:rsidRPr="002E39DF" w:rsidRDefault="00117074" w:rsidP="005F5F3C">
            <w:pPr>
              <w:pStyle w:val="BoxSpaceBelow"/>
            </w:pPr>
          </w:p>
        </w:tc>
      </w:tr>
    </w:tbl>
    <w:p w14:paraId="6E7E56A3" w14:textId="0A8A1701" w:rsidR="00413C3F" w:rsidRPr="00C52C8A" w:rsidRDefault="003149EB" w:rsidP="00983812">
      <w:pPr>
        <w:pStyle w:val="Heading4"/>
      </w:pPr>
      <w:r w:rsidRPr="00C52C8A">
        <w:t>Quality</w:t>
      </w:r>
      <w:r w:rsidR="00413C3F" w:rsidRPr="00C52C8A">
        <w:t xml:space="preserve"> — </w:t>
      </w:r>
      <w:r w:rsidR="00F45ED1" w:rsidRPr="00C52C8A">
        <w:t>D</w:t>
      </w:r>
      <w:r w:rsidR="00413C3F" w:rsidRPr="00C52C8A">
        <w:t>eaths in custody</w:t>
      </w:r>
    </w:p>
    <w:p w14:paraId="7FCE8C8B" w14:textId="5C5C2BBE" w:rsidR="00413C3F" w:rsidRPr="00C52C8A" w:rsidRDefault="00413C3F" w:rsidP="00983812">
      <w:pPr>
        <w:pStyle w:val="BodyText"/>
      </w:pPr>
      <w:r w:rsidRPr="00C52C8A">
        <w:t xml:space="preserve">‘Deaths in custody’ is an indicator of governments’ objective to </w:t>
      </w:r>
      <w:r w:rsidR="002703F7" w:rsidRPr="00C52C8A">
        <w:t>provide a safe and secure environment for the protection of young people during their time in detention</w:t>
      </w:r>
      <w:r w:rsidRPr="00C52C8A">
        <w:t xml:space="preserve"> (box</w:t>
      </w:r>
      <w:r w:rsidR="00F4592C" w:rsidRPr="00C52C8A">
        <w:t> </w:t>
      </w:r>
      <w:r w:rsidR="00B27E61" w:rsidRPr="00C52C8A">
        <w:t>17.10</w:t>
      </w:r>
      <w:r w:rsidRPr="00C52C8A">
        <w:t>).</w:t>
      </w:r>
    </w:p>
    <w:p w14:paraId="31F2AEE7" w14:textId="74D55E08" w:rsidR="00804A36" w:rsidRPr="002E39DF" w:rsidRDefault="00804A36"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04A36" w:rsidRPr="00C52C8A" w14:paraId="37CB62EA" w14:textId="77777777" w:rsidTr="006F761F">
        <w:tc>
          <w:tcPr>
            <w:tcW w:w="8789" w:type="dxa"/>
            <w:tcBorders>
              <w:top w:val="single" w:sz="6" w:space="0" w:color="78A22F"/>
              <w:left w:val="nil"/>
              <w:bottom w:val="nil"/>
              <w:right w:val="nil"/>
            </w:tcBorders>
            <w:shd w:val="clear" w:color="auto" w:fill="F2F2F2" w:themeFill="background1" w:themeFillShade="F2"/>
          </w:tcPr>
          <w:p w14:paraId="462C97E1" w14:textId="57F0532B" w:rsidR="00804A36" w:rsidRPr="00C52C8A" w:rsidRDefault="00804A36" w:rsidP="00401E9A">
            <w:pPr>
              <w:pStyle w:val="BoxTitle"/>
            </w:pPr>
            <w:r w:rsidRPr="00C52C8A">
              <w:rPr>
                <w:b w:val="0"/>
              </w:rPr>
              <w:t>Box</w:t>
            </w:r>
            <w:r w:rsidR="00A242CE" w:rsidRPr="00C52C8A">
              <w:rPr>
                <w:b w:val="0"/>
              </w:rPr>
              <w:t xml:space="preserve"> </w:t>
            </w:r>
            <w:bookmarkStart w:id="35" w:name="OLE_LINK24"/>
            <w:r w:rsidR="00C87A43">
              <w:rPr>
                <w:b w:val="0"/>
              </w:rPr>
              <w:t>17.</w:t>
            </w:r>
            <w:r w:rsidR="00AF64D0">
              <w:rPr>
                <w:b w:val="0"/>
                <w:noProof/>
              </w:rPr>
              <w:t>10</w:t>
            </w:r>
            <w:bookmarkEnd w:id="35"/>
            <w:r w:rsidRPr="00C52C8A">
              <w:tab/>
              <w:t>Deaths in custody</w:t>
            </w:r>
          </w:p>
        </w:tc>
      </w:tr>
      <w:tr w:rsidR="00804A36" w:rsidRPr="00C52C8A" w14:paraId="5F3E7E56" w14:textId="77777777" w:rsidTr="006F761F">
        <w:trPr>
          <w:cantSplit/>
        </w:trPr>
        <w:tc>
          <w:tcPr>
            <w:tcW w:w="8789" w:type="dxa"/>
            <w:tcBorders>
              <w:top w:val="nil"/>
              <w:left w:val="nil"/>
              <w:bottom w:val="nil"/>
              <w:right w:val="nil"/>
            </w:tcBorders>
            <w:shd w:val="clear" w:color="auto" w:fill="F2F2F2" w:themeFill="background1" w:themeFillShade="F2"/>
          </w:tcPr>
          <w:p w14:paraId="109E6C20" w14:textId="77777777" w:rsidR="00804A36" w:rsidRPr="00C52C8A" w:rsidRDefault="00804A36" w:rsidP="00983812">
            <w:pPr>
              <w:pStyle w:val="Box"/>
            </w:pPr>
            <w:r w:rsidRPr="00C52C8A">
              <w:t>‘Deaths in custody’ is defined as the number of young people who died while in custody.</w:t>
            </w:r>
          </w:p>
          <w:p w14:paraId="28A6B52F" w14:textId="77777777" w:rsidR="00804A36" w:rsidRPr="00C52C8A" w:rsidRDefault="00804A36" w:rsidP="00983812">
            <w:pPr>
              <w:pStyle w:val="Box"/>
            </w:pPr>
            <w:r w:rsidRPr="00C52C8A">
              <w:t>A zero or decreasing deaths in custody rate is desirable.</w:t>
            </w:r>
          </w:p>
          <w:p w14:paraId="1E819056" w14:textId="77777777" w:rsidR="00804A36" w:rsidRPr="00C52C8A" w:rsidRDefault="0018347D" w:rsidP="00983812">
            <w:pPr>
              <w:pStyle w:val="Box"/>
            </w:pPr>
            <w:r w:rsidRPr="00C52C8A">
              <w:t>Deaths are restricted to those that occurred</w:t>
            </w:r>
            <w:r w:rsidR="00804A36" w:rsidRPr="00C52C8A">
              <w:t xml:space="preserve"> while </w:t>
            </w:r>
            <w:r w:rsidR="00CD7491" w:rsidRPr="00C52C8A">
              <w:t xml:space="preserve">the young person was </w:t>
            </w:r>
            <w:r w:rsidR="00804A36" w:rsidRPr="00C52C8A">
              <w:t xml:space="preserve">in the legal and/or physical custody of a youth justice agency or </w:t>
            </w:r>
            <w:proofErr w:type="spellStart"/>
            <w:r w:rsidR="00804A36" w:rsidRPr="00C52C8A">
              <w:t>en</w:t>
            </w:r>
            <w:proofErr w:type="spellEnd"/>
            <w:r w:rsidR="00804A36" w:rsidRPr="00C52C8A">
              <w:t xml:space="preserve"> route to an external medical facility (even if not escorted by youth justice agency workers).</w:t>
            </w:r>
            <w:r w:rsidR="00FA73FE" w:rsidRPr="00C52C8A">
              <w:t xml:space="preserve"> Deaths from apparently natural causes are included.</w:t>
            </w:r>
          </w:p>
          <w:p w14:paraId="6B8AF8EC" w14:textId="77777777" w:rsidR="00804A36" w:rsidRPr="00C52C8A" w:rsidRDefault="00804A36" w:rsidP="00983812">
            <w:pPr>
              <w:pStyle w:val="Box"/>
            </w:pPr>
            <w:r w:rsidRPr="00C52C8A">
              <w:t>Data reported for this indicator are:</w:t>
            </w:r>
          </w:p>
          <w:p w14:paraId="4D7C7317" w14:textId="14565099" w:rsidR="00804A36" w:rsidRPr="00C52C8A" w:rsidRDefault="006A4F08" w:rsidP="002044F6">
            <w:pPr>
              <w:pStyle w:val="Box"/>
            </w:pPr>
            <w:r w:rsidRPr="00C52C8A">
              <w:rPr>
                <w:shd w:val="clear" w:color="auto" w:fill="F15A25"/>
              </w:rPr>
              <w:t xml:space="preserve">    </w:t>
            </w:r>
            <w:r w:rsidRPr="00C52C8A">
              <w:t xml:space="preserve"> </w:t>
            </w:r>
            <w:r w:rsidR="00804A36" w:rsidRPr="00C52C8A">
              <w:t xml:space="preserve">comparable </w:t>
            </w:r>
            <w:r w:rsidR="008F1646" w:rsidRPr="00C52C8A">
              <w:t xml:space="preserve">(subject to caveats) </w:t>
            </w:r>
            <w:r w:rsidR="00804A36" w:rsidRPr="00C52C8A">
              <w:t>across jurisdictions and over time</w:t>
            </w:r>
          </w:p>
          <w:p w14:paraId="3A580ED9" w14:textId="0126F41E" w:rsidR="00804A36" w:rsidRPr="00C52C8A" w:rsidRDefault="006A4F08" w:rsidP="00554F6E">
            <w:pPr>
              <w:pStyle w:val="Box"/>
            </w:pPr>
            <w:r w:rsidRPr="00C52C8A">
              <w:rPr>
                <w:shd w:val="clear" w:color="auto" w:fill="F15A25"/>
              </w:rPr>
              <w:t xml:space="preserve">    </w:t>
            </w:r>
            <w:r w:rsidRPr="00C52C8A">
              <w:t xml:space="preserve"> </w:t>
            </w:r>
            <w:r w:rsidR="00804A36" w:rsidRPr="00C52C8A">
              <w:t xml:space="preserve">complete </w:t>
            </w:r>
            <w:r w:rsidR="008F1646" w:rsidRPr="00C52C8A">
              <w:t xml:space="preserve">(subject to caveats) </w:t>
            </w:r>
            <w:r w:rsidR="00804A36" w:rsidRPr="00C52C8A">
              <w:t>for the current</w:t>
            </w:r>
            <w:r w:rsidR="00DE7550" w:rsidRPr="00C52C8A">
              <w:t xml:space="preserve"> reporting period.</w:t>
            </w:r>
            <w:r w:rsidR="00456D0D" w:rsidRPr="00C52C8A">
              <w:t xml:space="preserve"> All required 201</w:t>
            </w:r>
            <w:r w:rsidR="00171328">
              <w:t>9</w:t>
            </w:r>
            <w:r w:rsidR="00600E00" w:rsidRPr="00C52C8A">
              <w:noBreakHyphen/>
            </w:r>
            <w:r w:rsidR="00171328">
              <w:t>20</w:t>
            </w:r>
            <w:r w:rsidR="00456D0D" w:rsidRPr="00C52C8A">
              <w:t xml:space="preserve"> data </w:t>
            </w:r>
            <w:r w:rsidR="00403802" w:rsidRPr="00C52C8A">
              <w:t>are</w:t>
            </w:r>
            <w:r w:rsidR="00456D0D" w:rsidRPr="00C52C8A">
              <w:t xml:space="preserve"> available</w:t>
            </w:r>
            <w:r w:rsidR="00403802" w:rsidRPr="00C52C8A">
              <w:t xml:space="preserve"> for all jurisdictions</w:t>
            </w:r>
            <w:r w:rsidR="00456D0D" w:rsidRPr="00C52C8A">
              <w:t>.</w:t>
            </w:r>
          </w:p>
        </w:tc>
      </w:tr>
      <w:tr w:rsidR="00804A36" w:rsidRPr="00C52C8A" w14:paraId="33D07FD1"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7B818B78" w14:textId="77777777" w:rsidR="00804A36" w:rsidRPr="00C52C8A" w:rsidRDefault="00804A36" w:rsidP="00983812">
            <w:pPr>
              <w:pStyle w:val="Box"/>
              <w:spacing w:before="0" w:line="120" w:lineRule="exact"/>
            </w:pPr>
          </w:p>
        </w:tc>
      </w:tr>
      <w:tr w:rsidR="00804A36" w:rsidRPr="00C52C8A" w14:paraId="65D50976" w14:textId="77777777" w:rsidTr="006F761F">
        <w:tc>
          <w:tcPr>
            <w:tcW w:w="8789" w:type="dxa"/>
            <w:tcBorders>
              <w:top w:val="single" w:sz="6" w:space="0" w:color="78A22F"/>
              <w:left w:val="nil"/>
              <w:bottom w:val="nil"/>
              <w:right w:val="nil"/>
            </w:tcBorders>
          </w:tcPr>
          <w:p w14:paraId="60C44D44" w14:textId="363F1C17" w:rsidR="00804A36" w:rsidRPr="002E39DF" w:rsidRDefault="00804A36" w:rsidP="00983812">
            <w:pPr>
              <w:pStyle w:val="BoxSpaceBelow"/>
            </w:pPr>
          </w:p>
        </w:tc>
      </w:tr>
    </w:tbl>
    <w:p w14:paraId="38D8D2F4" w14:textId="67F1AA6A" w:rsidR="00413C3F" w:rsidRPr="00C52C8A" w:rsidRDefault="00523157" w:rsidP="00983812">
      <w:pPr>
        <w:pStyle w:val="BodyText"/>
      </w:pPr>
      <w:r w:rsidRPr="00C52C8A">
        <w:t>No</w:t>
      </w:r>
      <w:r w:rsidR="00413C3F" w:rsidRPr="00C52C8A">
        <w:t xml:space="preserve"> young people died while in the legal or physical custody of an Australian youth justice agency in </w:t>
      </w:r>
      <w:r w:rsidR="009D0A7F" w:rsidRPr="00C52C8A">
        <w:t>201</w:t>
      </w:r>
      <w:r w:rsidR="009D0A7F">
        <w:t>9</w:t>
      </w:r>
      <w:r w:rsidR="009D0A7F" w:rsidRPr="00C52C8A">
        <w:noBreakHyphen/>
      </w:r>
      <w:r w:rsidR="009D0A7F">
        <w:t>20</w:t>
      </w:r>
      <w:r w:rsidR="009C6B51" w:rsidRPr="00C52C8A">
        <w:t>.</w:t>
      </w:r>
      <w:r w:rsidR="00413C3F" w:rsidRPr="00C52C8A">
        <w:t xml:space="preserve"> </w:t>
      </w:r>
      <w:r w:rsidR="00205A0F" w:rsidRPr="00C52C8A">
        <w:t>D</w:t>
      </w:r>
      <w:r w:rsidR="00145BB9" w:rsidRPr="00C52C8A">
        <w:t xml:space="preserve">ata </w:t>
      </w:r>
      <w:r w:rsidR="00F04155" w:rsidRPr="00C52C8A">
        <w:t xml:space="preserve">by Indigenous status </w:t>
      </w:r>
      <w:r w:rsidR="00F45ED1" w:rsidRPr="00C52C8A">
        <w:t>from 201</w:t>
      </w:r>
      <w:r w:rsidR="00B01D07" w:rsidRPr="00C52C8A">
        <w:t>4</w:t>
      </w:r>
      <w:r w:rsidR="00600E00" w:rsidRPr="00C52C8A">
        <w:noBreakHyphen/>
      </w:r>
      <w:r w:rsidR="00F45ED1" w:rsidRPr="00C52C8A">
        <w:t>1</w:t>
      </w:r>
      <w:r w:rsidR="00B01D07" w:rsidRPr="00C52C8A">
        <w:t>5</w:t>
      </w:r>
      <w:r w:rsidR="00F45ED1" w:rsidRPr="00C52C8A">
        <w:t xml:space="preserve"> </w:t>
      </w:r>
      <w:r w:rsidR="00145BB9" w:rsidRPr="00C52C8A">
        <w:t xml:space="preserve">are </w:t>
      </w:r>
      <w:r w:rsidR="007C6C22" w:rsidRPr="00C52C8A">
        <w:t xml:space="preserve">available </w:t>
      </w:r>
      <w:r w:rsidR="00145BB9" w:rsidRPr="00C52C8A">
        <w:t xml:space="preserve">in </w:t>
      </w:r>
      <w:r w:rsidR="002703F7" w:rsidRPr="00C52C8A">
        <w:t>table 17</w:t>
      </w:r>
      <w:r w:rsidR="005374A3" w:rsidRPr="00C52C8A">
        <w:t>A.1</w:t>
      </w:r>
      <w:r w:rsidR="00C32D9A">
        <w:t>4</w:t>
      </w:r>
      <w:r w:rsidR="003936BE" w:rsidRPr="00C52C8A">
        <w:t xml:space="preserve"> and show no deaths in custody occurred during this </w:t>
      </w:r>
      <w:r w:rsidR="009E26E5" w:rsidRPr="00C52C8A">
        <w:t>period.</w:t>
      </w:r>
    </w:p>
    <w:p w14:paraId="7121A15F" w14:textId="37A342BB" w:rsidR="00413C3F" w:rsidRPr="00C52C8A" w:rsidRDefault="00B135D3" w:rsidP="00983812">
      <w:pPr>
        <w:pStyle w:val="Heading4"/>
      </w:pPr>
      <w:r w:rsidRPr="00C52C8A">
        <w:lastRenderedPageBreak/>
        <w:t>Quality</w:t>
      </w:r>
      <w:r w:rsidR="00413C3F" w:rsidRPr="00C52C8A">
        <w:t xml:space="preserve"> — </w:t>
      </w:r>
      <w:r w:rsidR="00F45ED1" w:rsidRPr="00C52C8A">
        <w:t>A</w:t>
      </w:r>
      <w:r w:rsidR="00413C3F" w:rsidRPr="00C52C8A">
        <w:t>ssaults in custody</w:t>
      </w:r>
    </w:p>
    <w:p w14:paraId="3238A556" w14:textId="4044DE73" w:rsidR="00F2210B" w:rsidRPr="00C52C8A" w:rsidRDefault="00413C3F" w:rsidP="00983812">
      <w:pPr>
        <w:pStyle w:val="BodyText"/>
      </w:pPr>
      <w:r w:rsidRPr="00C52C8A">
        <w:t xml:space="preserve">‘Assaults in custody’ is an indicator of governments’ objective to </w:t>
      </w:r>
      <w:r w:rsidR="00B135D3" w:rsidRPr="00C52C8A">
        <w:t>provide a safe and secure environment for the protection of young people during their time in detention</w:t>
      </w:r>
      <w:r w:rsidRPr="00C52C8A">
        <w:t xml:space="preserve"> (box</w:t>
      </w:r>
      <w:r w:rsidR="00F4592C" w:rsidRPr="00C52C8A">
        <w:t> </w:t>
      </w:r>
      <w:r w:rsidR="00B27E61" w:rsidRPr="00C52C8A">
        <w:t>17.11</w:t>
      </w:r>
      <w:r w:rsidRPr="00C52C8A">
        <w:t>).</w:t>
      </w:r>
    </w:p>
    <w:p w14:paraId="422B9667" w14:textId="05DA8774" w:rsidR="00595066" w:rsidRPr="002E39DF" w:rsidRDefault="00595066"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95066" w:rsidRPr="00C52C8A" w14:paraId="356606EA" w14:textId="77777777" w:rsidTr="006F761F">
        <w:tc>
          <w:tcPr>
            <w:tcW w:w="8789" w:type="dxa"/>
            <w:tcBorders>
              <w:top w:val="single" w:sz="6" w:space="0" w:color="78A22F"/>
              <w:left w:val="nil"/>
              <w:bottom w:val="nil"/>
              <w:right w:val="nil"/>
            </w:tcBorders>
            <w:shd w:val="clear" w:color="auto" w:fill="F2F2F2" w:themeFill="background1" w:themeFillShade="F2"/>
          </w:tcPr>
          <w:p w14:paraId="1D35D62C" w14:textId="07F28C76" w:rsidR="00595066" w:rsidRPr="00C52C8A" w:rsidRDefault="00595066" w:rsidP="00401E9A">
            <w:pPr>
              <w:pStyle w:val="BoxTitle"/>
            </w:pPr>
            <w:r w:rsidRPr="00C52C8A">
              <w:rPr>
                <w:b w:val="0"/>
              </w:rPr>
              <w:t>Box</w:t>
            </w:r>
            <w:r w:rsidR="006542C2" w:rsidRPr="00C52C8A">
              <w:rPr>
                <w:b w:val="0"/>
              </w:rPr>
              <w:t xml:space="preserve"> </w:t>
            </w:r>
            <w:bookmarkStart w:id="36" w:name="OLE_LINK25"/>
            <w:r w:rsidR="00C87A43">
              <w:rPr>
                <w:b w:val="0"/>
              </w:rPr>
              <w:t>17.</w:t>
            </w:r>
            <w:r w:rsidR="00AF64D0">
              <w:rPr>
                <w:b w:val="0"/>
                <w:noProof/>
              </w:rPr>
              <w:t>11</w:t>
            </w:r>
            <w:bookmarkEnd w:id="36"/>
            <w:r w:rsidRPr="00C52C8A">
              <w:tab/>
              <w:t>Assaults in custody</w:t>
            </w:r>
          </w:p>
        </w:tc>
      </w:tr>
      <w:tr w:rsidR="00595066" w:rsidRPr="00C52C8A" w14:paraId="1B8E3506" w14:textId="77777777" w:rsidTr="006F761F">
        <w:trPr>
          <w:cantSplit/>
        </w:trPr>
        <w:tc>
          <w:tcPr>
            <w:tcW w:w="8789" w:type="dxa"/>
            <w:tcBorders>
              <w:top w:val="nil"/>
              <w:left w:val="nil"/>
              <w:bottom w:val="nil"/>
              <w:right w:val="nil"/>
            </w:tcBorders>
            <w:shd w:val="clear" w:color="auto" w:fill="F2F2F2" w:themeFill="background1" w:themeFillShade="F2"/>
          </w:tcPr>
          <w:p w14:paraId="262409F0" w14:textId="77777777" w:rsidR="00595066" w:rsidRPr="00C52C8A" w:rsidRDefault="00595066" w:rsidP="00983812">
            <w:pPr>
              <w:pStyle w:val="Box"/>
            </w:pPr>
            <w:r w:rsidRPr="00C52C8A">
              <w:t>‘Assaults in custody’ is defined by two measures:</w:t>
            </w:r>
          </w:p>
          <w:p w14:paraId="4F9E083D" w14:textId="07865F29" w:rsidR="00595066" w:rsidRPr="00C52C8A" w:rsidRDefault="00595066" w:rsidP="00761D2A">
            <w:pPr>
              <w:pStyle w:val="BoxListBullet"/>
            </w:pPr>
            <w:r w:rsidRPr="00C52C8A">
              <w:t xml:space="preserve">the rate of </w:t>
            </w:r>
            <w:r w:rsidR="00D32266" w:rsidRPr="00C52C8A">
              <w:t xml:space="preserve">young people </w:t>
            </w:r>
            <w:r w:rsidRPr="00C52C8A">
              <w:t xml:space="preserve">who are seriously assaulted (that is, sustain an injury that requires hospitalisation and any act of sexual assault) due to an act perpetrated by one or more </w:t>
            </w:r>
            <w:r w:rsidR="00D32266" w:rsidRPr="00C52C8A">
              <w:t>young people</w:t>
            </w:r>
            <w:r w:rsidRPr="00C52C8A">
              <w:t xml:space="preserve">, </w:t>
            </w:r>
            <w:r w:rsidR="00761D2A" w:rsidRPr="00C52C8A">
              <w:t>per 10</w:t>
            </w:r>
            <w:r w:rsidR="00E64971" w:rsidRPr="00C52C8A">
              <w:t> </w:t>
            </w:r>
            <w:r w:rsidR="00761D2A" w:rsidRPr="00C52C8A">
              <w:t xml:space="preserve">000 custody nights </w:t>
            </w:r>
          </w:p>
          <w:p w14:paraId="7CAEF402" w14:textId="77777777" w:rsidR="00595066" w:rsidRPr="00C52C8A" w:rsidRDefault="00595066" w:rsidP="00761D2A">
            <w:pPr>
              <w:pStyle w:val="BoxListBullet"/>
            </w:pPr>
            <w:r w:rsidRPr="00C52C8A">
              <w:t xml:space="preserve">the rate of </w:t>
            </w:r>
            <w:r w:rsidR="00D32266" w:rsidRPr="00C52C8A">
              <w:t xml:space="preserve">young people </w:t>
            </w:r>
            <w:r w:rsidRPr="00C52C8A">
              <w:t xml:space="preserve">who are assaulted (that is, sustain an injury, but do not require hospitalisation) due to an act perpetrated by one or more </w:t>
            </w:r>
            <w:r w:rsidR="00D32266" w:rsidRPr="00C52C8A">
              <w:t>young people</w:t>
            </w:r>
            <w:r w:rsidRPr="00C52C8A">
              <w:t xml:space="preserve">, </w:t>
            </w:r>
            <w:r w:rsidR="00761D2A" w:rsidRPr="00C52C8A">
              <w:t>per 10</w:t>
            </w:r>
            <w:r w:rsidR="00E64971" w:rsidRPr="00C52C8A">
              <w:t> </w:t>
            </w:r>
            <w:r w:rsidR="00761D2A" w:rsidRPr="00C52C8A">
              <w:t>000 custody nights</w:t>
            </w:r>
            <w:r w:rsidRPr="00C52C8A">
              <w:t>.</w:t>
            </w:r>
          </w:p>
          <w:p w14:paraId="5ED3E77D" w14:textId="03FD2863" w:rsidR="00F40E46" w:rsidRPr="00C52C8A" w:rsidRDefault="001B6D69" w:rsidP="00983812">
            <w:pPr>
              <w:pStyle w:val="Box"/>
            </w:pPr>
            <w:r w:rsidRPr="00C52C8A">
              <w:t xml:space="preserve">If a young person is injured in more than one separate </w:t>
            </w:r>
            <w:proofErr w:type="gramStart"/>
            <w:r w:rsidRPr="00C52C8A">
              <w:t>incident</w:t>
            </w:r>
            <w:proofErr w:type="gramEnd"/>
            <w:r w:rsidRPr="00C52C8A">
              <w:t xml:space="preserve"> then each incident is counted. If multiple young people are injured, then each young person is counted. </w:t>
            </w:r>
            <w:r w:rsidR="00F40E46" w:rsidRPr="00C52C8A">
              <w:t>The rate</w:t>
            </w:r>
            <w:r w:rsidR="00403802" w:rsidRPr="00C52C8A">
              <w:t>s</w:t>
            </w:r>
            <w:r w:rsidR="00F40E46" w:rsidRPr="00C52C8A">
              <w:t xml:space="preserve"> of staff who are seriously assaulted and assaulted are included as contextual information to assist with interpreting th</w:t>
            </w:r>
            <w:r w:rsidR="005F5F3C" w:rsidRPr="00C52C8A">
              <w:t>is indicator</w:t>
            </w:r>
            <w:r w:rsidR="00DE7550" w:rsidRPr="00C52C8A">
              <w:t>.</w:t>
            </w:r>
          </w:p>
          <w:p w14:paraId="02647C82" w14:textId="0D43C266" w:rsidR="00595066" w:rsidRPr="00C52C8A" w:rsidRDefault="00595066" w:rsidP="00983812">
            <w:pPr>
              <w:pStyle w:val="Box"/>
            </w:pPr>
            <w:r w:rsidRPr="00C52C8A">
              <w:t>Injuries resulting from a range of actions are captured. Types of actions that constitute assaults include intentional acts of direct infliction of force and violence (for example, fistfights) and inten</w:t>
            </w:r>
            <w:r w:rsidR="00A3042E" w:rsidRPr="00C52C8A">
              <w:t>tional acts of indirect and non</w:t>
            </w:r>
            <w:r w:rsidR="00F4592C" w:rsidRPr="00C52C8A">
              <w:noBreakHyphen/>
            </w:r>
            <w:r w:rsidRPr="00C52C8A">
              <w:t xml:space="preserve">confrontational force or violence (for example, administering illicit drugs or poison, spiking food or drink, and </w:t>
            </w:r>
            <w:r w:rsidRPr="00C52C8A">
              <w:rPr>
                <w:shd w:val="clear" w:color="auto" w:fill="F2F2F2" w:themeFill="background1" w:themeFillShade="F2"/>
              </w:rPr>
              <w:t>setting traps).</w:t>
            </w:r>
            <w:r w:rsidR="00A9201B" w:rsidRPr="00C52C8A">
              <w:rPr>
                <w:shd w:val="clear" w:color="auto" w:fill="F2F2F2" w:themeFill="background1" w:themeFillShade="F2"/>
              </w:rPr>
              <w:t xml:space="preserve"> </w:t>
            </w:r>
            <w:r w:rsidR="00697CC4" w:rsidRPr="00C52C8A">
              <w:t>Types of injuries include bruises, cuts or lacerations, open wounds, fractured or broken bones or teeth, burns or scalds, poisoning, dislocations and sprains, and concussions</w:t>
            </w:r>
            <w:r w:rsidR="00DE7550" w:rsidRPr="00C52C8A">
              <w:t>.</w:t>
            </w:r>
          </w:p>
          <w:p w14:paraId="64092F63" w14:textId="7B857AF3" w:rsidR="00595066" w:rsidRPr="00C52C8A" w:rsidRDefault="00595066" w:rsidP="00983812">
            <w:pPr>
              <w:pStyle w:val="Box"/>
            </w:pPr>
            <w:r w:rsidRPr="00C52C8A">
              <w:t xml:space="preserve">A zero or </w:t>
            </w:r>
            <w:proofErr w:type="gramStart"/>
            <w:r w:rsidRPr="00C52C8A">
              <w:t>low, or</w:t>
            </w:r>
            <w:proofErr w:type="gramEnd"/>
            <w:r w:rsidRPr="00C52C8A">
              <w:t xml:space="preserve"> decreasing </w:t>
            </w:r>
            <w:r w:rsidR="00F40E46" w:rsidRPr="00C52C8A">
              <w:t>rates</w:t>
            </w:r>
            <w:r w:rsidR="00BA3E13" w:rsidRPr="00C52C8A">
              <w:t xml:space="preserve"> of assaults in custody</w:t>
            </w:r>
            <w:r w:rsidR="00F40E46" w:rsidRPr="00C52C8A">
              <w:t xml:space="preserve"> </w:t>
            </w:r>
            <w:r w:rsidRPr="00C52C8A">
              <w:t>is desirable.</w:t>
            </w:r>
          </w:p>
          <w:p w14:paraId="4F6BD098" w14:textId="77777777" w:rsidR="00595066" w:rsidRPr="00C52C8A" w:rsidRDefault="00595066" w:rsidP="00983812">
            <w:pPr>
              <w:pStyle w:val="Box"/>
            </w:pPr>
            <w:r w:rsidRPr="00C52C8A">
              <w:t>Data reported for these measures are:</w:t>
            </w:r>
          </w:p>
          <w:p w14:paraId="762E29B6" w14:textId="49640422" w:rsidR="00595066" w:rsidRDefault="006A4F08" w:rsidP="002044F6">
            <w:pPr>
              <w:pStyle w:val="Box"/>
              <w:ind w:left="284"/>
            </w:pPr>
            <w:r w:rsidRPr="00C52C8A">
              <w:rPr>
                <w:shd w:val="clear" w:color="auto" w:fill="FCDED3"/>
              </w:rPr>
              <w:t xml:space="preserve">    </w:t>
            </w:r>
            <w:r w:rsidRPr="00C52C8A">
              <w:t xml:space="preserve"> </w:t>
            </w:r>
            <w:r w:rsidR="0044726F" w:rsidRPr="00C52C8A">
              <w:t xml:space="preserve">not comparable across jurisdictions or </w:t>
            </w:r>
            <w:r w:rsidR="00826495" w:rsidRPr="00C52C8A">
              <w:t>within some jurisdictions over time</w:t>
            </w:r>
            <w:r w:rsidR="00AF0AA0" w:rsidRPr="00C52C8A">
              <w:t>,</w:t>
            </w:r>
            <w:r w:rsidR="00826495" w:rsidRPr="00C52C8A">
              <w:t xml:space="preserve"> but are comparable over time </w:t>
            </w:r>
            <w:r w:rsidR="0044726F" w:rsidRPr="00C52C8A">
              <w:t xml:space="preserve">for other jurisdictions </w:t>
            </w:r>
            <w:r w:rsidR="00595066" w:rsidRPr="00C52C8A">
              <w:t xml:space="preserve">(see caveats in </w:t>
            </w:r>
            <w:r w:rsidR="00361640" w:rsidRPr="00C52C8A">
              <w:t xml:space="preserve">data </w:t>
            </w:r>
            <w:r w:rsidR="00595066" w:rsidRPr="00C52C8A">
              <w:t>tables</w:t>
            </w:r>
            <w:r w:rsidR="008F1646" w:rsidRPr="00C52C8A">
              <w:t xml:space="preserve"> for specific jurisdictions</w:t>
            </w:r>
            <w:r w:rsidR="00595066" w:rsidRPr="00C52C8A">
              <w:t>)</w:t>
            </w:r>
          </w:p>
          <w:p w14:paraId="081154B8" w14:textId="73B83D2F" w:rsidR="0049255A" w:rsidRPr="00C52C8A" w:rsidRDefault="0049255A" w:rsidP="002044F6">
            <w:pPr>
              <w:pStyle w:val="Box"/>
              <w:ind w:left="284"/>
            </w:pPr>
            <w:r w:rsidRPr="00C52C8A">
              <w:rPr>
                <w:shd w:val="clear" w:color="auto" w:fill="FCDED3"/>
              </w:rPr>
              <w:t xml:space="preserve">    </w:t>
            </w:r>
            <w:r w:rsidRPr="00C52C8A">
              <w:t xml:space="preserve"> </w:t>
            </w:r>
            <w:r w:rsidRPr="00156983">
              <w:t>incomplete for the current reporting period for serious assaults. All required 2019</w:t>
            </w:r>
            <w:r w:rsidRPr="00156983">
              <w:noBreakHyphen/>
              <w:t xml:space="preserve">20 data are not </w:t>
            </w:r>
            <w:r w:rsidR="001E1A96" w:rsidRPr="00156983">
              <w:t>published</w:t>
            </w:r>
            <w:r w:rsidRPr="00156983">
              <w:t xml:space="preserve"> for Tasmania</w:t>
            </w:r>
          </w:p>
          <w:p w14:paraId="64032ACB" w14:textId="71742DC6" w:rsidR="00595066" w:rsidRPr="00C52C8A" w:rsidRDefault="006A4F08" w:rsidP="002044F6">
            <w:pPr>
              <w:pStyle w:val="Box"/>
              <w:ind w:left="284"/>
            </w:pPr>
            <w:r w:rsidRPr="00C52C8A">
              <w:rPr>
                <w:shd w:val="clear" w:color="auto" w:fill="F15A25"/>
              </w:rPr>
              <w:t xml:space="preserve">    </w:t>
            </w:r>
            <w:r w:rsidRPr="00C52C8A">
              <w:t xml:space="preserve"> </w:t>
            </w:r>
            <w:r w:rsidR="00595066" w:rsidRPr="00C52C8A">
              <w:t xml:space="preserve">complete </w:t>
            </w:r>
            <w:r w:rsidR="008F1646" w:rsidRPr="00C52C8A">
              <w:t>(subject to caveats</w:t>
            </w:r>
            <w:r w:rsidR="008F1646" w:rsidRPr="00156983">
              <w:t xml:space="preserve">) </w:t>
            </w:r>
            <w:r w:rsidR="00595066" w:rsidRPr="00156983">
              <w:t>for the current reporting period</w:t>
            </w:r>
            <w:r w:rsidR="001E1A96" w:rsidRPr="00156983">
              <w:t xml:space="preserve"> for assaults</w:t>
            </w:r>
            <w:r w:rsidR="002A37D7" w:rsidRPr="00156983">
              <w:t xml:space="preserve"> (excluding serious assaults)</w:t>
            </w:r>
            <w:r w:rsidR="00595066" w:rsidRPr="00156983">
              <w:t xml:space="preserve">. All required </w:t>
            </w:r>
            <w:r w:rsidR="00EC0D25" w:rsidRPr="00156983">
              <w:t>201</w:t>
            </w:r>
            <w:r w:rsidR="00321538" w:rsidRPr="00156983">
              <w:t>9</w:t>
            </w:r>
            <w:r w:rsidR="00F4592C" w:rsidRPr="00156983">
              <w:noBreakHyphen/>
            </w:r>
            <w:r w:rsidR="00321538" w:rsidRPr="00156983">
              <w:t>20</w:t>
            </w:r>
            <w:r w:rsidR="00EC0D25" w:rsidRPr="00156983">
              <w:t xml:space="preserve"> </w:t>
            </w:r>
            <w:r w:rsidR="00004F26" w:rsidRPr="00156983">
              <w:t>data</w:t>
            </w:r>
            <w:r w:rsidR="00004F26" w:rsidRPr="00C52C8A">
              <w:t xml:space="preserve"> </w:t>
            </w:r>
            <w:r w:rsidR="00EA2FA4" w:rsidRPr="00C52C8A">
              <w:t>are</w:t>
            </w:r>
            <w:r w:rsidR="00004F26" w:rsidRPr="00C52C8A">
              <w:t xml:space="preserve"> available for </w:t>
            </w:r>
            <w:r w:rsidR="00EA2FA4" w:rsidRPr="00C52C8A">
              <w:t>all jurisdictions</w:t>
            </w:r>
            <w:r w:rsidR="00101D73" w:rsidRPr="00C52C8A">
              <w:t>.</w:t>
            </w:r>
          </w:p>
          <w:p w14:paraId="688D9B5D" w14:textId="756AD6C8" w:rsidR="00595066" w:rsidRPr="00C52C8A" w:rsidRDefault="00157948" w:rsidP="00994E33">
            <w:pPr>
              <w:pStyle w:val="Box"/>
            </w:pPr>
            <w:r w:rsidRPr="00C52C8A">
              <w:t xml:space="preserve">Data reported for this indicator need to be interpreted with caution. </w:t>
            </w:r>
            <w:r w:rsidR="00BF64C2" w:rsidRPr="00C52C8A">
              <w:rPr>
                <w:shd w:val="clear" w:color="auto" w:fill="F2F2F2" w:themeFill="background1" w:themeFillShade="F2"/>
              </w:rPr>
              <w:t xml:space="preserve">The </w:t>
            </w:r>
            <w:r w:rsidR="00BF64C2" w:rsidRPr="00C52C8A">
              <w:rPr>
                <w:rStyle w:val="Strong"/>
                <w:b w:val="0"/>
                <w:bCs w:val="0"/>
              </w:rPr>
              <w:t>thresholds for recording an assault</w:t>
            </w:r>
            <w:r w:rsidR="00BF64C2" w:rsidRPr="00C52C8A">
              <w:rPr>
                <w:shd w:val="clear" w:color="auto" w:fill="F2F2F2" w:themeFill="background1" w:themeFillShade="F2"/>
              </w:rPr>
              <w:t xml:space="preserve"> and the extent to which minor injuries are included </w:t>
            </w:r>
            <w:r w:rsidR="00DD3328">
              <w:rPr>
                <w:shd w:val="clear" w:color="auto" w:fill="F2F2F2" w:themeFill="background1" w:themeFillShade="F2"/>
              </w:rPr>
              <w:t xml:space="preserve">may </w:t>
            </w:r>
            <w:r w:rsidR="00BF64C2" w:rsidRPr="00C52C8A">
              <w:rPr>
                <w:shd w:val="clear" w:color="auto" w:fill="F2F2F2" w:themeFill="background1" w:themeFillShade="F2"/>
              </w:rPr>
              <w:t>differ across jurisdictions.</w:t>
            </w:r>
            <w:r w:rsidR="00DD3328">
              <w:rPr>
                <w:shd w:val="clear" w:color="auto" w:fill="F2F2F2" w:themeFill="background1" w:themeFillShade="F2"/>
              </w:rPr>
              <w:t xml:space="preserve"> </w:t>
            </w:r>
            <w:r w:rsidR="00DD3328">
              <w:t xml:space="preserve">The evidence and information used to determine whether an injury has been sustained, and an assault should be recorded, </w:t>
            </w:r>
            <w:r w:rsidR="00DD3328" w:rsidRPr="00C52C8A">
              <w:t>var</w:t>
            </w:r>
            <w:r w:rsidR="00DD3328">
              <w:t>ies</w:t>
            </w:r>
            <w:r w:rsidR="00DD3328" w:rsidRPr="00C52C8A">
              <w:t xml:space="preserve"> across jurisdictions</w:t>
            </w:r>
            <w:r w:rsidR="00DD3328">
              <w:t>.</w:t>
            </w:r>
          </w:p>
        </w:tc>
      </w:tr>
      <w:tr w:rsidR="00595066" w:rsidRPr="00C52C8A" w14:paraId="2232C710"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3994F2C8" w14:textId="77777777" w:rsidR="00595066" w:rsidRPr="00C52C8A" w:rsidRDefault="00595066" w:rsidP="00983812">
            <w:pPr>
              <w:pStyle w:val="Box"/>
              <w:spacing w:before="0" w:line="120" w:lineRule="exact"/>
            </w:pPr>
          </w:p>
        </w:tc>
      </w:tr>
      <w:tr w:rsidR="00595066" w:rsidRPr="00C52C8A" w14:paraId="7F5DA22B" w14:textId="77777777" w:rsidTr="006F761F">
        <w:tc>
          <w:tcPr>
            <w:tcW w:w="8789" w:type="dxa"/>
            <w:tcBorders>
              <w:top w:val="single" w:sz="6" w:space="0" w:color="78A22F"/>
              <w:left w:val="nil"/>
              <w:bottom w:val="nil"/>
              <w:right w:val="nil"/>
            </w:tcBorders>
          </w:tcPr>
          <w:p w14:paraId="110B7394" w14:textId="2EEF68D2" w:rsidR="00595066" w:rsidRPr="002E39DF" w:rsidRDefault="00595066" w:rsidP="00983812">
            <w:pPr>
              <w:pStyle w:val="BoxSpaceBelow"/>
            </w:pPr>
          </w:p>
        </w:tc>
      </w:tr>
    </w:tbl>
    <w:p w14:paraId="46234EAC" w14:textId="77777777" w:rsidR="00C85572" w:rsidRPr="00C52C8A" w:rsidRDefault="00145BB9" w:rsidP="00983812">
      <w:pPr>
        <w:pStyle w:val="BodyText"/>
      </w:pPr>
      <w:r w:rsidRPr="00C52C8A">
        <w:t>Because of their age and vulnerability, the duty of care required for young people in detention is greater than might be the case in adult custodial facilities. In discharging their duty of care to young people in detention, youth justice agencies aim to create safe and secure environments in which typical adolescent development can occur and in which young people can socialise with others in a positive and constructive way prior to their release back into their families and communities.</w:t>
      </w:r>
    </w:p>
    <w:p w14:paraId="41B3632F" w14:textId="2A62383C" w:rsidR="00966577" w:rsidRPr="00C52C8A" w:rsidRDefault="00413C3F" w:rsidP="005B2DA3">
      <w:pPr>
        <w:pStyle w:val="BodyText"/>
      </w:pPr>
      <w:r w:rsidRPr="00156983">
        <w:lastRenderedPageBreak/>
        <w:t>Nationally</w:t>
      </w:r>
      <w:r w:rsidR="00145BB9" w:rsidRPr="00156983">
        <w:t xml:space="preserve"> </w:t>
      </w:r>
      <w:r w:rsidR="00907455" w:rsidRPr="00156983">
        <w:t xml:space="preserve">(excluding Tasmania) </w:t>
      </w:r>
      <w:r w:rsidR="00145BB9" w:rsidRPr="00156983">
        <w:t xml:space="preserve">in </w:t>
      </w:r>
      <w:r w:rsidR="009D0A7F" w:rsidRPr="00156983">
        <w:t>2019</w:t>
      </w:r>
      <w:r w:rsidR="009D0A7F" w:rsidRPr="00156983">
        <w:noBreakHyphen/>
        <w:t>20</w:t>
      </w:r>
      <w:r w:rsidR="00BA3E13" w:rsidRPr="00156983">
        <w:t xml:space="preserve">, </w:t>
      </w:r>
      <w:r w:rsidR="00907455" w:rsidRPr="00156983">
        <w:t>19</w:t>
      </w:r>
      <w:r w:rsidR="003A529C" w:rsidRPr="00156983">
        <w:t xml:space="preserve"> </w:t>
      </w:r>
      <w:r w:rsidR="00B8620B" w:rsidRPr="00156983">
        <w:t>young people</w:t>
      </w:r>
      <w:r w:rsidRPr="00156983">
        <w:t xml:space="preserve"> </w:t>
      </w:r>
      <w:r w:rsidR="00B8620B" w:rsidRPr="00156983">
        <w:t>were</w:t>
      </w:r>
      <w:r w:rsidR="00172059" w:rsidRPr="00156983">
        <w:t xml:space="preserve"> </w:t>
      </w:r>
      <w:r w:rsidRPr="00156983">
        <w:t xml:space="preserve">reported as injured in custody </w:t>
      </w:r>
      <w:r w:rsidR="00C85572" w:rsidRPr="00156983">
        <w:t>due to a serious assault (table</w:t>
      </w:r>
      <w:r w:rsidR="006D0C33" w:rsidRPr="00156983">
        <w:t> </w:t>
      </w:r>
      <w:r w:rsidR="00B27E61" w:rsidRPr="00156983">
        <w:t>17.1</w:t>
      </w:r>
      <w:r w:rsidRPr="00156983">
        <w:t>)</w:t>
      </w:r>
      <w:r w:rsidR="00907455" w:rsidRPr="00156983">
        <w:t xml:space="preserve">. Nationally, </w:t>
      </w:r>
      <w:r w:rsidR="00537B22" w:rsidRPr="00156983">
        <w:t xml:space="preserve">a further </w:t>
      </w:r>
      <w:r w:rsidR="00555001" w:rsidRPr="00156983">
        <w:t>357</w:t>
      </w:r>
      <w:r w:rsidR="00966577" w:rsidRPr="00156983">
        <w:t xml:space="preserve"> young people were reported as injured in custody due to an assault (excluding serious</w:t>
      </w:r>
      <w:r w:rsidR="00966577" w:rsidRPr="00C52C8A">
        <w:t xml:space="preserve"> assaults) (table</w:t>
      </w:r>
      <w:r w:rsidR="005B0070">
        <w:t> </w:t>
      </w:r>
      <w:r w:rsidR="00B27E61" w:rsidRPr="00C52C8A">
        <w:t>17.2</w:t>
      </w:r>
      <w:r w:rsidR="00966577" w:rsidRPr="00C52C8A">
        <w:t>)</w:t>
      </w:r>
      <w:r w:rsidR="00C579BC" w:rsidRPr="00C52C8A">
        <w:t>.</w:t>
      </w:r>
      <w:r w:rsidR="00BA3E13" w:rsidRPr="00C52C8A">
        <w:t xml:space="preserve"> </w:t>
      </w:r>
      <w:r w:rsidR="00966577" w:rsidRPr="00C52C8A">
        <w:t>These data tend to fluctuate across jurisdictions and over time, particularly for those jurisdictions with small numbers of young people in detention (table</w:t>
      </w:r>
      <w:r w:rsidR="00B543F0" w:rsidRPr="00C52C8A">
        <w:t>s</w:t>
      </w:r>
      <w:r w:rsidR="00966577" w:rsidRPr="00C52C8A">
        <w:t> 17A.1</w:t>
      </w:r>
      <w:r w:rsidR="00C32D9A">
        <w:t>5</w:t>
      </w:r>
      <w:r w:rsidR="00B543F0" w:rsidRPr="00C52C8A">
        <w:t>–</w:t>
      </w:r>
      <w:r w:rsidR="005B2DA3" w:rsidRPr="00C52C8A">
        <w:t>1</w:t>
      </w:r>
      <w:r w:rsidR="00C32D9A">
        <w:t>7</w:t>
      </w:r>
      <w:r w:rsidR="00966577" w:rsidRPr="00C52C8A">
        <w:t>).</w:t>
      </w:r>
    </w:p>
    <w:p w14:paraId="19F0E129" w14:textId="6995B28B" w:rsidR="00595066" w:rsidRPr="002E39DF" w:rsidRDefault="00595066"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595066" w:rsidRPr="00C52C8A" w14:paraId="5323EDF2" w14:textId="77777777" w:rsidTr="00DE63E6">
        <w:tc>
          <w:tcPr>
            <w:tcW w:w="8789" w:type="dxa"/>
            <w:tcBorders>
              <w:top w:val="single" w:sz="6" w:space="0" w:color="78A22F" w:themeColor="accent1"/>
              <w:left w:val="nil"/>
              <w:bottom w:val="nil"/>
              <w:right w:val="nil"/>
            </w:tcBorders>
            <w:shd w:val="clear" w:color="auto" w:fill="auto"/>
          </w:tcPr>
          <w:p w14:paraId="48FAA8A0" w14:textId="4F4FE3F1" w:rsidR="00595066" w:rsidRPr="00C52C8A" w:rsidRDefault="00595066" w:rsidP="0091209F">
            <w:pPr>
              <w:pStyle w:val="TableTitle"/>
            </w:pPr>
            <w:r w:rsidRPr="00C52C8A">
              <w:rPr>
                <w:b w:val="0"/>
              </w:rPr>
              <w:t>Table</w:t>
            </w:r>
            <w:r w:rsidR="00C85572" w:rsidRPr="00C52C8A">
              <w:rPr>
                <w:b w:val="0"/>
              </w:rPr>
              <w:t xml:space="preserve"> </w:t>
            </w:r>
            <w:bookmarkStart w:id="37" w:name="OLE_LINK20"/>
            <w:r w:rsidR="00C87A43">
              <w:rPr>
                <w:b w:val="0"/>
              </w:rPr>
              <w:t>17.</w:t>
            </w:r>
            <w:r w:rsidR="00AF64D0">
              <w:rPr>
                <w:b w:val="0"/>
                <w:noProof/>
              </w:rPr>
              <w:t>1</w:t>
            </w:r>
            <w:bookmarkEnd w:id="37"/>
            <w:r w:rsidRPr="00C52C8A">
              <w:tab/>
            </w:r>
            <w:r w:rsidR="00587E48" w:rsidRPr="00C52C8A">
              <w:t>Y</w:t>
            </w:r>
            <w:r w:rsidR="004F5981" w:rsidRPr="00C52C8A">
              <w:t xml:space="preserve">oung people injured as a result of a serious assault, by </w:t>
            </w:r>
            <w:r w:rsidR="0035320E" w:rsidRPr="00C52C8A">
              <w:t>Indigenous status</w:t>
            </w:r>
            <w:r w:rsidR="004F5981" w:rsidRPr="00C52C8A">
              <w:t>, 201</w:t>
            </w:r>
            <w:r w:rsidR="009D0A7F">
              <w:t>9</w:t>
            </w:r>
            <w:r w:rsidR="00F4592C" w:rsidRPr="00C52C8A">
              <w:noBreakHyphen/>
            </w:r>
            <w:r w:rsidR="009D0A7F">
              <w:t>20</w:t>
            </w:r>
            <w:r w:rsidR="00157948" w:rsidRPr="002576BF">
              <w:rPr>
                <w:rStyle w:val="NoteLabel"/>
                <w:b/>
              </w:rPr>
              <w:t>a</w:t>
            </w:r>
          </w:p>
        </w:tc>
      </w:tr>
      <w:tr w:rsidR="00DE63E6" w:rsidRPr="00C52C8A" w14:paraId="205B4EF3"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C52C8A" w14:paraId="5ED89F58" w14:textId="77777777" w:rsidTr="00B31DCC">
              <w:tc>
                <w:tcPr>
                  <w:tcW w:w="304" w:type="dxa"/>
                  <w:tcBorders>
                    <w:top w:val="nil"/>
                    <w:left w:val="nil"/>
                    <w:bottom w:val="nil"/>
                    <w:right w:val="nil"/>
                  </w:tcBorders>
                  <w:shd w:val="clear" w:color="auto" w:fill="auto"/>
                  <w:tcMar>
                    <w:top w:w="28" w:type="dxa"/>
                    <w:bottom w:w="28" w:type="dxa"/>
                  </w:tcMar>
                </w:tcPr>
                <w:p w14:paraId="0D65804D"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09F7C9AA" w14:textId="77777777" w:rsidR="00DE63E6" w:rsidRPr="00C52C8A" w:rsidRDefault="00DE63E6" w:rsidP="00CC3E5F">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02004160" w14:textId="52AFFD20" w:rsidR="00DE63E6" w:rsidRPr="00C52C8A" w:rsidRDefault="00DE63E6" w:rsidP="0081112C">
                  <w:pPr>
                    <w:pStyle w:val="TableBodyText"/>
                    <w:jc w:val="left"/>
                  </w:pPr>
                  <w:r w:rsidRPr="00C52C8A">
                    <w:t xml:space="preserve">Data are </w:t>
                  </w:r>
                  <w:r w:rsidR="00CC3E5F" w:rsidRPr="00C52C8A">
                    <w:t>not comparable across jurisdictions</w:t>
                  </w:r>
                  <w:r w:rsidRPr="00C52C8A">
                    <w:t>.</w:t>
                  </w:r>
                </w:p>
              </w:tc>
            </w:tr>
            <w:tr w:rsidR="00CC3E5F" w:rsidRPr="00C52C8A" w14:paraId="1C584E17" w14:textId="77777777" w:rsidTr="001E1A96">
              <w:tc>
                <w:tcPr>
                  <w:tcW w:w="304" w:type="dxa"/>
                  <w:tcBorders>
                    <w:top w:val="nil"/>
                    <w:left w:val="nil"/>
                    <w:bottom w:val="nil"/>
                    <w:right w:val="nil"/>
                  </w:tcBorders>
                  <w:shd w:val="clear" w:color="auto" w:fill="auto"/>
                  <w:tcMar>
                    <w:top w:w="28" w:type="dxa"/>
                    <w:bottom w:w="28" w:type="dxa"/>
                  </w:tcMar>
                </w:tcPr>
                <w:p w14:paraId="3765D7E6" w14:textId="77777777" w:rsidR="00CC3E5F" w:rsidRPr="00C52C8A" w:rsidRDefault="00CC3E5F" w:rsidP="00CC3E5F">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591876BC" w14:textId="77777777" w:rsidR="00CC3E5F" w:rsidRPr="00C52C8A" w:rsidRDefault="00CC3E5F" w:rsidP="00CC3E5F">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1A8FDE85" w14:textId="6E84595D" w:rsidR="00CC3E5F" w:rsidRPr="00C52C8A" w:rsidRDefault="001E1A96" w:rsidP="001E1A96">
                  <w:pPr>
                    <w:pStyle w:val="TableBodyText"/>
                    <w:jc w:val="left"/>
                  </w:pPr>
                  <w:r w:rsidRPr="00156983">
                    <w:t>Data are incomplete</w:t>
                  </w:r>
                  <w:r w:rsidRPr="00C52C8A">
                    <w:t xml:space="preserve"> </w:t>
                  </w:r>
                  <w:r w:rsidR="00CC3E5F" w:rsidRPr="00C52C8A">
                    <w:t>for the current repo</w:t>
                  </w:r>
                  <w:r w:rsidR="00D3537D" w:rsidRPr="00C52C8A">
                    <w:t xml:space="preserve">rting period. </w:t>
                  </w:r>
                </w:p>
              </w:tc>
            </w:tr>
          </w:tbl>
          <w:p w14:paraId="76C28AFF" w14:textId="2348062D" w:rsidR="00DE63E6" w:rsidRPr="00C52C8A" w:rsidRDefault="00DE63E6" w:rsidP="00DE63E6">
            <w:pPr>
              <w:pStyle w:val="TableTitle"/>
              <w:rPr>
                <w:b w:val="0"/>
              </w:rPr>
            </w:pPr>
          </w:p>
        </w:tc>
      </w:tr>
      <w:tr w:rsidR="00595066" w:rsidRPr="00C52C8A" w14:paraId="7DD5D120" w14:textId="77777777" w:rsidTr="006F761F">
        <w:trPr>
          <w:cantSplit/>
        </w:trPr>
        <w:tc>
          <w:tcPr>
            <w:tcW w:w="8789" w:type="dxa"/>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3239"/>
              <w:gridCol w:w="659"/>
              <w:gridCol w:w="658"/>
              <w:gridCol w:w="658"/>
              <w:gridCol w:w="658"/>
              <w:gridCol w:w="658"/>
              <w:gridCol w:w="658"/>
              <w:gridCol w:w="658"/>
              <w:gridCol w:w="658"/>
            </w:tblGrid>
            <w:tr w:rsidR="004F5981" w:rsidRPr="00C52C8A" w14:paraId="229C166B" w14:textId="77777777" w:rsidTr="002723FF">
              <w:tc>
                <w:tcPr>
                  <w:tcW w:w="1904" w:type="pct"/>
                  <w:tcBorders>
                    <w:top w:val="single" w:sz="6" w:space="0" w:color="BFBFBF"/>
                    <w:bottom w:val="single" w:sz="6" w:space="0" w:color="BFBFBF"/>
                  </w:tcBorders>
                </w:tcPr>
                <w:p w14:paraId="246C455E" w14:textId="77777777" w:rsidR="007B165C" w:rsidRPr="00C52C8A" w:rsidRDefault="007B165C" w:rsidP="00983812">
                  <w:pPr>
                    <w:pStyle w:val="TableColumnHeading"/>
                  </w:pPr>
                </w:p>
              </w:tc>
              <w:tc>
                <w:tcPr>
                  <w:tcW w:w="387" w:type="pct"/>
                  <w:tcBorders>
                    <w:top w:val="single" w:sz="6" w:space="0" w:color="BFBFBF"/>
                    <w:bottom w:val="single" w:sz="6" w:space="0" w:color="BFBFBF"/>
                  </w:tcBorders>
                </w:tcPr>
                <w:p w14:paraId="68ADE290" w14:textId="77777777" w:rsidR="007B165C" w:rsidRPr="00C52C8A" w:rsidRDefault="007B165C" w:rsidP="00983812">
                  <w:pPr>
                    <w:pStyle w:val="TableColumnHeading"/>
                  </w:pPr>
                  <w:r w:rsidRPr="00C52C8A">
                    <w:t>NSW</w:t>
                  </w:r>
                </w:p>
              </w:tc>
              <w:tc>
                <w:tcPr>
                  <w:tcW w:w="387" w:type="pct"/>
                  <w:tcBorders>
                    <w:top w:val="single" w:sz="6" w:space="0" w:color="BFBFBF"/>
                    <w:bottom w:val="single" w:sz="6" w:space="0" w:color="BFBFBF"/>
                  </w:tcBorders>
                </w:tcPr>
                <w:p w14:paraId="71D9B016" w14:textId="77777777" w:rsidR="007B165C" w:rsidRPr="00C52C8A" w:rsidRDefault="007B165C" w:rsidP="00983812">
                  <w:pPr>
                    <w:pStyle w:val="TableColumnHeading"/>
                  </w:pPr>
                  <w:r w:rsidRPr="00C52C8A">
                    <w:t>Vic</w:t>
                  </w:r>
                </w:p>
              </w:tc>
              <w:tc>
                <w:tcPr>
                  <w:tcW w:w="387" w:type="pct"/>
                  <w:tcBorders>
                    <w:top w:val="single" w:sz="6" w:space="0" w:color="BFBFBF"/>
                    <w:bottom w:val="single" w:sz="6" w:space="0" w:color="BFBFBF"/>
                  </w:tcBorders>
                </w:tcPr>
                <w:p w14:paraId="47452CE9" w14:textId="77777777" w:rsidR="007B165C" w:rsidRPr="00C52C8A" w:rsidRDefault="007B165C" w:rsidP="00983812">
                  <w:pPr>
                    <w:pStyle w:val="TableColumnHeading"/>
                  </w:pPr>
                  <w:r w:rsidRPr="00C52C8A">
                    <w:t>Qld</w:t>
                  </w:r>
                </w:p>
              </w:tc>
              <w:tc>
                <w:tcPr>
                  <w:tcW w:w="387" w:type="pct"/>
                  <w:tcBorders>
                    <w:top w:val="single" w:sz="6" w:space="0" w:color="BFBFBF"/>
                    <w:bottom w:val="single" w:sz="6" w:space="0" w:color="BFBFBF"/>
                  </w:tcBorders>
                </w:tcPr>
                <w:p w14:paraId="43D8B64B" w14:textId="77777777" w:rsidR="007B165C" w:rsidRPr="00C52C8A" w:rsidRDefault="007B165C" w:rsidP="00983812">
                  <w:pPr>
                    <w:pStyle w:val="TableColumnHeading"/>
                  </w:pPr>
                  <w:r w:rsidRPr="00C52C8A">
                    <w:t>WA</w:t>
                  </w:r>
                </w:p>
              </w:tc>
              <w:tc>
                <w:tcPr>
                  <w:tcW w:w="387" w:type="pct"/>
                  <w:tcBorders>
                    <w:top w:val="single" w:sz="6" w:space="0" w:color="BFBFBF"/>
                    <w:bottom w:val="single" w:sz="6" w:space="0" w:color="BFBFBF"/>
                  </w:tcBorders>
                </w:tcPr>
                <w:p w14:paraId="6BD6384E" w14:textId="77777777" w:rsidR="007B165C" w:rsidRPr="00C52C8A" w:rsidRDefault="007B165C" w:rsidP="00983812">
                  <w:pPr>
                    <w:pStyle w:val="TableColumnHeading"/>
                  </w:pPr>
                  <w:r w:rsidRPr="00C52C8A">
                    <w:t>SA</w:t>
                  </w:r>
                </w:p>
              </w:tc>
              <w:tc>
                <w:tcPr>
                  <w:tcW w:w="387" w:type="pct"/>
                  <w:tcBorders>
                    <w:top w:val="single" w:sz="6" w:space="0" w:color="BFBFBF"/>
                    <w:bottom w:val="single" w:sz="6" w:space="0" w:color="BFBFBF"/>
                  </w:tcBorders>
                </w:tcPr>
                <w:p w14:paraId="143AF91B" w14:textId="77777777" w:rsidR="007B165C" w:rsidRPr="00C52C8A" w:rsidRDefault="007B165C" w:rsidP="00983812">
                  <w:pPr>
                    <w:pStyle w:val="TableColumnHeading"/>
                  </w:pPr>
                  <w:r w:rsidRPr="00C52C8A">
                    <w:t>Tas</w:t>
                  </w:r>
                </w:p>
              </w:tc>
              <w:tc>
                <w:tcPr>
                  <w:tcW w:w="387" w:type="pct"/>
                  <w:tcBorders>
                    <w:top w:val="single" w:sz="6" w:space="0" w:color="BFBFBF"/>
                    <w:bottom w:val="single" w:sz="6" w:space="0" w:color="BFBFBF"/>
                  </w:tcBorders>
                </w:tcPr>
                <w:p w14:paraId="35734286" w14:textId="77777777" w:rsidR="007B165C" w:rsidRPr="00C52C8A" w:rsidRDefault="007B165C" w:rsidP="00983812">
                  <w:pPr>
                    <w:pStyle w:val="TableColumnHeading"/>
                  </w:pPr>
                  <w:r w:rsidRPr="00C52C8A">
                    <w:t>ACT</w:t>
                  </w:r>
                </w:p>
              </w:tc>
              <w:tc>
                <w:tcPr>
                  <w:tcW w:w="387" w:type="pct"/>
                  <w:tcBorders>
                    <w:top w:val="single" w:sz="6" w:space="0" w:color="BFBFBF"/>
                    <w:bottom w:val="single" w:sz="6" w:space="0" w:color="BFBFBF"/>
                  </w:tcBorders>
                </w:tcPr>
                <w:p w14:paraId="21CBCD9F" w14:textId="77777777" w:rsidR="007B165C" w:rsidRPr="00C52C8A" w:rsidRDefault="007B165C" w:rsidP="00983812">
                  <w:pPr>
                    <w:pStyle w:val="TableColumnHeading"/>
                  </w:pPr>
                  <w:r w:rsidRPr="00C52C8A">
                    <w:t>NT</w:t>
                  </w:r>
                </w:p>
              </w:tc>
            </w:tr>
            <w:tr w:rsidR="00725258" w:rsidRPr="00C52C8A" w14:paraId="0E6B3568" w14:textId="77777777" w:rsidTr="00725258">
              <w:tc>
                <w:tcPr>
                  <w:tcW w:w="5000" w:type="pct"/>
                  <w:gridSpan w:val="9"/>
                  <w:tcBorders>
                    <w:top w:val="single" w:sz="6" w:space="0" w:color="BFBFBF"/>
                  </w:tcBorders>
                </w:tcPr>
                <w:p w14:paraId="5914CF8D" w14:textId="77777777" w:rsidR="00725258" w:rsidRPr="00C52C8A" w:rsidRDefault="00725258" w:rsidP="006F761F">
                  <w:pPr>
                    <w:pStyle w:val="TableBodyText"/>
                    <w:spacing w:before="40"/>
                    <w:ind w:right="28"/>
                    <w:jc w:val="left"/>
                  </w:pPr>
                  <w:r w:rsidRPr="00C52C8A">
                    <w:rPr>
                      <w:b/>
                    </w:rPr>
                    <w:t>Number of young people injured as a result of a serious assault</w:t>
                  </w:r>
                </w:p>
              </w:tc>
            </w:tr>
            <w:tr w:rsidR="00555001" w:rsidRPr="00C52C8A" w14:paraId="7B34B831" w14:textId="77777777" w:rsidTr="00156983">
              <w:tc>
                <w:tcPr>
                  <w:tcW w:w="1904" w:type="pct"/>
                  <w:shd w:val="clear" w:color="auto" w:fill="auto"/>
                </w:tcPr>
                <w:p w14:paraId="41ECA0D0" w14:textId="77777777" w:rsidR="00555001" w:rsidRPr="00C52C8A" w:rsidRDefault="00555001" w:rsidP="00555001">
                  <w:pPr>
                    <w:pStyle w:val="TableBodyText"/>
                    <w:jc w:val="left"/>
                  </w:pPr>
                  <w:r w:rsidRPr="00C52C8A">
                    <w:t>Aboriginal and Torres Strait Islander</w:t>
                  </w:r>
                </w:p>
              </w:tc>
              <w:tc>
                <w:tcPr>
                  <w:tcW w:w="387" w:type="pct"/>
                  <w:shd w:val="clear" w:color="auto" w:fill="auto"/>
                  <w:vAlign w:val="center"/>
                </w:tcPr>
                <w:p w14:paraId="2DE210B9" w14:textId="0F25FE97" w:rsidR="00555001" w:rsidRPr="00C52C8A" w:rsidRDefault="00555001" w:rsidP="00555001">
                  <w:pPr>
                    <w:pStyle w:val="TableBodyText"/>
                  </w:pPr>
                  <w:r>
                    <w:rPr>
                      <w:rFonts w:cs="Arial"/>
                      <w:szCs w:val="18"/>
                    </w:rPr>
                    <w:t xml:space="preserve">  3</w:t>
                  </w:r>
                </w:p>
              </w:tc>
              <w:tc>
                <w:tcPr>
                  <w:tcW w:w="387" w:type="pct"/>
                  <w:vAlign w:val="center"/>
                </w:tcPr>
                <w:p w14:paraId="54A855C8" w14:textId="3FA4A293" w:rsidR="00555001" w:rsidRPr="00C52C8A" w:rsidRDefault="00555001" w:rsidP="00555001">
                  <w:pPr>
                    <w:pStyle w:val="TableBodyText"/>
                  </w:pPr>
                  <w:r>
                    <w:rPr>
                      <w:rFonts w:cs="Arial"/>
                      <w:szCs w:val="18"/>
                    </w:rPr>
                    <w:t xml:space="preserve">  1</w:t>
                  </w:r>
                </w:p>
              </w:tc>
              <w:tc>
                <w:tcPr>
                  <w:tcW w:w="387" w:type="pct"/>
                  <w:shd w:val="clear" w:color="auto" w:fill="auto"/>
                  <w:vAlign w:val="center"/>
                </w:tcPr>
                <w:p w14:paraId="58EFCBEC" w14:textId="29FDB254" w:rsidR="00555001" w:rsidRPr="00C52C8A" w:rsidRDefault="00555001" w:rsidP="00555001">
                  <w:pPr>
                    <w:pStyle w:val="TableBodyText"/>
                  </w:pPr>
                  <w:r>
                    <w:rPr>
                      <w:rFonts w:cs="Arial"/>
                      <w:szCs w:val="18"/>
                    </w:rPr>
                    <w:t xml:space="preserve">  1</w:t>
                  </w:r>
                </w:p>
              </w:tc>
              <w:tc>
                <w:tcPr>
                  <w:tcW w:w="387" w:type="pct"/>
                  <w:vAlign w:val="center"/>
                </w:tcPr>
                <w:p w14:paraId="026EF6A7" w14:textId="04AEFA97" w:rsidR="00555001" w:rsidRPr="00C52C8A" w:rsidRDefault="00555001" w:rsidP="00555001">
                  <w:pPr>
                    <w:pStyle w:val="TableBodyText"/>
                  </w:pPr>
                  <w:r>
                    <w:rPr>
                      <w:rFonts w:cs="Arial"/>
                      <w:szCs w:val="18"/>
                    </w:rPr>
                    <w:t xml:space="preserve">  3</w:t>
                  </w:r>
                </w:p>
              </w:tc>
              <w:tc>
                <w:tcPr>
                  <w:tcW w:w="387" w:type="pct"/>
                  <w:shd w:val="clear" w:color="auto" w:fill="auto"/>
                  <w:vAlign w:val="center"/>
                </w:tcPr>
                <w:p w14:paraId="75F916F1" w14:textId="47D01D90" w:rsidR="00555001" w:rsidRPr="00156983" w:rsidRDefault="00555001" w:rsidP="00555001">
                  <w:pPr>
                    <w:pStyle w:val="TableBodyText"/>
                  </w:pPr>
                  <w:r w:rsidRPr="00156983">
                    <w:rPr>
                      <w:rFonts w:cs="Arial"/>
                      <w:szCs w:val="18"/>
                    </w:rPr>
                    <w:t>–</w:t>
                  </w:r>
                </w:p>
              </w:tc>
              <w:tc>
                <w:tcPr>
                  <w:tcW w:w="387" w:type="pct"/>
                  <w:shd w:val="clear" w:color="auto" w:fill="auto"/>
                  <w:vAlign w:val="center"/>
                </w:tcPr>
                <w:p w14:paraId="6FF2172F" w14:textId="2DCDA4FB" w:rsidR="00555001" w:rsidRPr="00156983" w:rsidRDefault="00555001" w:rsidP="00187E95">
                  <w:pPr>
                    <w:pStyle w:val="TableBodyText"/>
                  </w:pPr>
                  <w:r w:rsidRPr="00156983">
                    <w:rPr>
                      <w:rFonts w:cs="Arial"/>
                      <w:szCs w:val="18"/>
                    </w:rPr>
                    <w:t xml:space="preserve">  </w:t>
                  </w:r>
                  <w:r w:rsidR="00187E95" w:rsidRPr="00156983">
                    <w:rPr>
                      <w:rFonts w:cs="Arial"/>
                      <w:szCs w:val="18"/>
                    </w:rPr>
                    <w:t>np</w:t>
                  </w:r>
                </w:p>
              </w:tc>
              <w:tc>
                <w:tcPr>
                  <w:tcW w:w="387" w:type="pct"/>
                  <w:shd w:val="clear" w:color="auto" w:fill="auto"/>
                  <w:vAlign w:val="center"/>
                </w:tcPr>
                <w:p w14:paraId="35704BC1" w14:textId="40CC0168" w:rsidR="00555001" w:rsidRPr="00156983" w:rsidRDefault="00555001" w:rsidP="00555001">
                  <w:pPr>
                    <w:pStyle w:val="TableBodyText"/>
                  </w:pPr>
                  <w:r w:rsidRPr="00156983">
                    <w:rPr>
                      <w:rFonts w:cs="Arial"/>
                      <w:szCs w:val="18"/>
                    </w:rPr>
                    <w:t>–</w:t>
                  </w:r>
                </w:p>
              </w:tc>
              <w:tc>
                <w:tcPr>
                  <w:tcW w:w="387" w:type="pct"/>
                  <w:vAlign w:val="center"/>
                </w:tcPr>
                <w:p w14:paraId="3016F153" w14:textId="6D5EBB89" w:rsidR="00555001" w:rsidRPr="00C52C8A" w:rsidRDefault="00555001" w:rsidP="00555001">
                  <w:pPr>
                    <w:pStyle w:val="TableBodyText"/>
                  </w:pPr>
                  <w:r>
                    <w:rPr>
                      <w:rFonts w:cs="Arial"/>
                      <w:szCs w:val="18"/>
                    </w:rPr>
                    <w:t>–</w:t>
                  </w:r>
                </w:p>
              </w:tc>
            </w:tr>
            <w:tr w:rsidR="00555001" w:rsidRPr="00C52C8A" w14:paraId="6F1F934A" w14:textId="77777777" w:rsidTr="00156983">
              <w:tc>
                <w:tcPr>
                  <w:tcW w:w="1904" w:type="pct"/>
                  <w:shd w:val="clear" w:color="auto" w:fill="auto"/>
                </w:tcPr>
                <w:p w14:paraId="308B3519" w14:textId="77777777" w:rsidR="00555001" w:rsidRPr="00C52C8A" w:rsidRDefault="00555001" w:rsidP="00555001">
                  <w:pPr>
                    <w:pStyle w:val="TableBodyText"/>
                    <w:jc w:val="left"/>
                  </w:pPr>
                  <w:r w:rsidRPr="00C52C8A">
                    <w:t>Non</w:t>
                  </w:r>
                  <w:r w:rsidRPr="00C52C8A">
                    <w:noBreakHyphen/>
                    <w:t>Indigenous</w:t>
                  </w:r>
                </w:p>
              </w:tc>
              <w:tc>
                <w:tcPr>
                  <w:tcW w:w="387" w:type="pct"/>
                  <w:shd w:val="clear" w:color="auto" w:fill="auto"/>
                  <w:vAlign w:val="center"/>
                </w:tcPr>
                <w:p w14:paraId="6780DF50" w14:textId="664D5EEB" w:rsidR="00555001" w:rsidRPr="00C52C8A" w:rsidRDefault="00555001" w:rsidP="00555001">
                  <w:pPr>
                    <w:pStyle w:val="TableBodyText"/>
                  </w:pPr>
                  <w:r>
                    <w:rPr>
                      <w:rFonts w:cs="Arial"/>
                      <w:szCs w:val="18"/>
                    </w:rPr>
                    <w:t xml:space="preserve">  3</w:t>
                  </w:r>
                </w:p>
              </w:tc>
              <w:tc>
                <w:tcPr>
                  <w:tcW w:w="387" w:type="pct"/>
                  <w:vAlign w:val="center"/>
                </w:tcPr>
                <w:p w14:paraId="5603FB18" w14:textId="413F49CB" w:rsidR="00555001" w:rsidRPr="00C52C8A" w:rsidRDefault="00555001" w:rsidP="00555001">
                  <w:pPr>
                    <w:pStyle w:val="TableBodyText"/>
                  </w:pPr>
                  <w:r>
                    <w:rPr>
                      <w:rFonts w:cs="Arial"/>
                      <w:szCs w:val="18"/>
                    </w:rPr>
                    <w:t xml:space="preserve">  5</w:t>
                  </w:r>
                </w:p>
              </w:tc>
              <w:tc>
                <w:tcPr>
                  <w:tcW w:w="387" w:type="pct"/>
                  <w:shd w:val="clear" w:color="auto" w:fill="auto"/>
                  <w:vAlign w:val="center"/>
                </w:tcPr>
                <w:p w14:paraId="71C4AB4C" w14:textId="33FEC438" w:rsidR="00555001" w:rsidRPr="00C52C8A" w:rsidRDefault="00555001" w:rsidP="00555001">
                  <w:pPr>
                    <w:pStyle w:val="TableBodyText"/>
                  </w:pPr>
                  <w:r>
                    <w:rPr>
                      <w:rFonts w:cs="Arial"/>
                      <w:szCs w:val="18"/>
                    </w:rPr>
                    <w:t xml:space="preserve">  1</w:t>
                  </w:r>
                </w:p>
              </w:tc>
              <w:tc>
                <w:tcPr>
                  <w:tcW w:w="387" w:type="pct"/>
                  <w:vAlign w:val="center"/>
                </w:tcPr>
                <w:p w14:paraId="20EC6BD0" w14:textId="4FBA5928" w:rsidR="00555001" w:rsidRPr="00C52C8A" w:rsidRDefault="00555001" w:rsidP="00555001">
                  <w:pPr>
                    <w:pStyle w:val="TableBodyText"/>
                  </w:pPr>
                  <w:r>
                    <w:rPr>
                      <w:rFonts w:cs="Arial"/>
                      <w:szCs w:val="18"/>
                    </w:rPr>
                    <w:t>–</w:t>
                  </w:r>
                </w:p>
              </w:tc>
              <w:tc>
                <w:tcPr>
                  <w:tcW w:w="387" w:type="pct"/>
                  <w:shd w:val="clear" w:color="auto" w:fill="auto"/>
                  <w:vAlign w:val="center"/>
                </w:tcPr>
                <w:p w14:paraId="28F0BEF0" w14:textId="3AFB31F1" w:rsidR="00555001" w:rsidRPr="00156983" w:rsidRDefault="00555001" w:rsidP="00555001">
                  <w:pPr>
                    <w:pStyle w:val="TableBodyText"/>
                  </w:pPr>
                  <w:r w:rsidRPr="00156983">
                    <w:rPr>
                      <w:rFonts w:cs="Arial"/>
                      <w:szCs w:val="18"/>
                    </w:rPr>
                    <w:t xml:space="preserve">  2</w:t>
                  </w:r>
                </w:p>
              </w:tc>
              <w:tc>
                <w:tcPr>
                  <w:tcW w:w="387" w:type="pct"/>
                  <w:shd w:val="clear" w:color="auto" w:fill="auto"/>
                  <w:vAlign w:val="center"/>
                </w:tcPr>
                <w:p w14:paraId="36D9D5C1" w14:textId="6ADFD213" w:rsidR="00555001" w:rsidRPr="00156983" w:rsidRDefault="00907455" w:rsidP="00555001">
                  <w:pPr>
                    <w:pStyle w:val="TableBodyText"/>
                  </w:pPr>
                  <w:r w:rsidRPr="00156983">
                    <w:t>np</w:t>
                  </w:r>
                </w:p>
              </w:tc>
              <w:tc>
                <w:tcPr>
                  <w:tcW w:w="387" w:type="pct"/>
                  <w:shd w:val="clear" w:color="auto" w:fill="auto"/>
                  <w:vAlign w:val="center"/>
                </w:tcPr>
                <w:p w14:paraId="5DEA1B69" w14:textId="11328ACC" w:rsidR="00555001" w:rsidRPr="00156983" w:rsidRDefault="00555001" w:rsidP="00555001">
                  <w:pPr>
                    <w:pStyle w:val="TableBodyText"/>
                  </w:pPr>
                  <w:r w:rsidRPr="00156983">
                    <w:rPr>
                      <w:rFonts w:cs="Arial"/>
                      <w:szCs w:val="18"/>
                    </w:rPr>
                    <w:t>–</w:t>
                  </w:r>
                </w:p>
              </w:tc>
              <w:tc>
                <w:tcPr>
                  <w:tcW w:w="387" w:type="pct"/>
                  <w:vAlign w:val="center"/>
                </w:tcPr>
                <w:p w14:paraId="792A843A" w14:textId="5B0372D3" w:rsidR="00555001" w:rsidRPr="00C52C8A" w:rsidRDefault="00555001" w:rsidP="00555001">
                  <w:pPr>
                    <w:pStyle w:val="TableBodyText"/>
                  </w:pPr>
                  <w:r>
                    <w:rPr>
                      <w:rFonts w:cs="Arial"/>
                      <w:szCs w:val="18"/>
                    </w:rPr>
                    <w:t>–</w:t>
                  </w:r>
                </w:p>
              </w:tc>
            </w:tr>
            <w:tr w:rsidR="00555001" w:rsidRPr="00C52C8A" w14:paraId="61EB5320" w14:textId="77777777" w:rsidTr="00156983">
              <w:tc>
                <w:tcPr>
                  <w:tcW w:w="1904" w:type="pct"/>
                  <w:shd w:val="clear" w:color="auto" w:fill="auto"/>
                </w:tcPr>
                <w:p w14:paraId="6646DBB2" w14:textId="77777777" w:rsidR="00555001" w:rsidRPr="00C52C8A" w:rsidRDefault="00555001" w:rsidP="00555001">
                  <w:pPr>
                    <w:pStyle w:val="TableBodyText"/>
                    <w:jc w:val="left"/>
                    <w:rPr>
                      <w:b/>
                    </w:rPr>
                  </w:pPr>
                  <w:r w:rsidRPr="00C52C8A">
                    <w:rPr>
                      <w:b/>
                    </w:rPr>
                    <w:t>Total</w:t>
                  </w:r>
                </w:p>
              </w:tc>
              <w:tc>
                <w:tcPr>
                  <w:tcW w:w="387" w:type="pct"/>
                  <w:shd w:val="clear" w:color="auto" w:fill="auto"/>
                  <w:vAlign w:val="center"/>
                </w:tcPr>
                <w:p w14:paraId="47671906" w14:textId="2E58E3C4" w:rsidR="00555001" w:rsidRPr="00555001" w:rsidRDefault="00555001" w:rsidP="00555001">
                  <w:pPr>
                    <w:pStyle w:val="TableBodyText"/>
                    <w:rPr>
                      <w:b/>
                    </w:rPr>
                  </w:pPr>
                  <w:r w:rsidRPr="00555001">
                    <w:rPr>
                      <w:rFonts w:cs="Arial"/>
                      <w:b/>
                      <w:szCs w:val="18"/>
                    </w:rPr>
                    <w:t xml:space="preserve">  6</w:t>
                  </w:r>
                </w:p>
              </w:tc>
              <w:tc>
                <w:tcPr>
                  <w:tcW w:w="387" w:type="pct"/>
                  <w:vAlign w:val="center"/>
                </w:tcPr>
                <w:p w14:paraId="5937E175" w14:textId="2326AB40" w:rsidR="00555001" w:rsidRPr="00555001" w:rsidRDefault="00555001" w:rsidP="00555001">
                  <w:pPr>
                    <w:pStyle w:val="TableBodyText"/>
                    <w:rPr>
                      <w:b/>
                    </w:rPr>
                  </w:pPr>
                  <w:r w:rsidRPr="00555001">
                    <w:rPr>
                      <w:rFonts w:cs="Arial"/>
                      <w:b/>
                      <w:szCs w:val="18"/>
                    </w:rPr>
                    <w:t xml:space="preserve">  6</w:t>
                  </w:r>
                </w:p>
              </w:tc>
              <w:tc>
                <w:tcPr>
                  <w:tcW w:w="387" w:type="pct"/>
                  <w:shd w:val="clear" w:color="auto" w:fill="auto"/>
                  <w:vAlign w:val="center"/>
                </w:tcPr>
                <w:p w14:paraId="4FD11D05" w14:textId="1D846FF2" w:rsidR="00555001" w:rsidRPr="00555001" w:rsidRDefault="00555001" w:rsidP="00555001">
                  <w:pPr>
                    <w:pStyle w:val="TableBodyText"/>
                    <w:rPr>
                      <w:b/>
                    </w:rPr>
                  </w:pPr>
                  <w:r w:rsidRPr="00555001">
                    <w:rPr>
                      <w:rFonts w:cs="Arial"/>
                      <w:b/>
                      <w:szCs w:val="18"/>
                    </w:rPr>
                    <w:t xml:space="preserve">  2</w:t>
                  </w:r>
                </w:p>
              </w:tc>
              <w:tc>
                <w:tcPr>
                  <w:tcW w:w="387" w:type="pct"/>
                  <w:vAlign w:val="center"/>
                </w:tcPr>
                <w:p w14:paraId="245328A7" w14:textId="7CC76B81" w:rsidR="00555001" w:rsidRPr="00555001" w:rsidRDefault="00555001" w:rsidP="00555001">
                  <w:pPr>
                    <w:pStyle w:val="TableBodyText"/>
                    <w:rPr>
                      <w:b/>
                    </w:rPr>
                  </w:pPr>
                  <w:r w:rsidRPr="00555001">
                    <w:rPr>
                      <w:rFonts w:cs="Arial"/>
                      <w:b/>
                      <w:szCs w:val="18"/>
                    </w:rPr>
                    <w:t xml:space="preserve">  3</w:t>
                  </w:r>
                </w:p>
              </w:tc>
              <w:tc>
                <w:tcPr>
                  <w:tcW w:w="387" w:type="pct"/>
                  <w:shd w:val="clear" w:color="auto" w:fill="auto"/>
                  <w:vAlign w:val="center"/>
                </w:tcPr>
                <w:p w14:paraId="254B4E5C" w14:textId="097436D7" w:rsidR="00555001" w:rsidRPr="00156983" w:rsidRDefault="00555001" w:rsidP="00555001">
                  <w:pPr>
                    <w:pStyle w:val="TableBodyText"/>
                    <w:rPr>
                      <w:b/>
                    </w:rPr>
                  </w:pPr>
                  <w:r w:rsidRPr="00156983">
                    <w:rPr>
                      <w:rFonts w:cs="Arial"/>
                      <w:b/>
                      <w:szCs w:val="18"/>
                    </w:rPr>
                    <w:t xml:space="preserve">  2</w:t>
                  </w:r>
                </w:p>
              </w:tc>
              <w:tc>
                <w:tcPr>
                  <w:tcW w:w="387" w:type="pct"/>
                  <w:shd w:val="clear" w:color="auto" w:fill="auto"/>
                  <w:vAlign w:val="center"/>
                </w:tcPr>
                <w:p w14:paraId="5509E208" w14:textId="1E37DB1F" w:rsidR="00555001" w:rsidRPr="00156983" w:rsidRDefault="00187E95" w:rsidP="00555001">
                  <w:pPr>
                    <w:pStyle w:val="TableBodyText"/>
                    <w:rPr>
                      <w:b/>
                    </w:rPr>
                  </w:pPr>
                  <w:r w:rsidRPr="00156983">
                    <w:rPr>
                      <w:rFonts w:cs="Arial"/>
                      <w:b/>
                      <w:szCs w:val="18"/>
                    </w:rPr>
                    <w:t xml:space="preserve">  np</w:t>
                  </w:r>
                </w:p>
              </w:tc>
              <w:tc>
                <w:tcPr>
                  <w:tcW w:w="387" w:type="pct"/>
                  <w:shd w:val="clear" w:color="auto" w:fill="auto"/>
                  <w:vAlign w:val="center"/>
                </w:tcPr>
                <w:p w14:paraId="7731391A" w14:textId="2A5E492D" w:rsidR="00555001" w:rsidRPr="00156983" w:rsidRDefault="00555001" w:rsidP="00555001">
                  <w:pPr>
                    <w:pStyle w:val="TableBodyText"/>
                    <w:rPr>
                      <w:b/>
                    </w:rPr>
                  </w:pPr>
                  <w:r w:rsidRPr="00156983">
                    <w:rPr>
                      <w:rFonts w:cs="Arial"/>
                      <w:b/>
                      <w:szCs w:val="18"/>
                    </w:rPr>
                    <w:t>–</w:t>
                  </w:r>
                </w:p>
              </w:tc>
              <w:tc>
                <w:tcPr>
                  <w:tcW w:w="387" w:type="pct"/>
                  <w:vAlign w:val="center"/>
                </w:tcPr>
                <w:p w14:paraId="36687F60" w14:textId="7E2A1F6E" w:rsidR="00555001" w:rsidRPr="00555001" w:rsidRDefault="00555001" w:rsidP="00555001">
                  <w:pPr>
                    <w:pStyle w:val="TableBodyText"/>
                    <w:rPr>
                      <w:b/>
                    </w:rPr>
                  </w:pPr>
                  <w:r w:rsidRPr="00555001">
                    <w:rPr>
                      <w:rFonts w:cs="Arial"/>
                      <w:b/>
                      <w:szCs w:val="18"/>
                    </w:rPr>
                    <w:t>–</w:t>
                  </w:r>
                </w:p>
              </w:tc>
            </w:tr>
            <w:tr w:rsidR="00555001" w:rsidRPr="00C52C8A" w14:paraId="26641BC6" w14:textId="77777777" w:rsidTr="00156983">
              <w:tc>
                <w:tcPr>
                  <w:tcW w:w="1904" w:type="pct"/>
                  <w:shd w:val="clear" w:color="auto" w:fill="auto"/>
                </w:tcPr>
                <w:p w14:paraId="1BE0D6E2" w14:textId="77777777" w:rsidR="00555001" w:rsidRPr="00C52C8A" w:rsidRDefault="00555001" w:rsidP="00555001">
                  <w:pPr>
                    <w:pStyle w:val="TableBodyText"/>
                    <w:spacing w:before="40"/>
                    <w:ind w:right="28"/>
                    <w:jc w:val="left"/>
                    <w:rPr>
                      <w:b/>
                    </w:rPr>
                  </w:pPr>
                  <w:r w:rsidRPr="00C52C8A">
                    <w:rPr>
                      <w:b/>
                    </w:rPr>
                    <w:t>Rate per 10 000 custody nights</w:t>
                  </w:r>
                </w:p>
              </w:tc>
              <w:tc>
                <w:tcPr>
                  <w:tcW w:w="387" w:type="pct"/>
                  <w:shd w:val="clear" w:color="auto" w:fill="auto"/>
                  <w:vAlign w:val="center"/>
                </w:tcPr>
                <w:p w14:paraId="1BA050EE" w14:textId="77777777" w:rsidR="00555001" w:rsidRPr="00C52C8A" w:rsidRDefault="00555001" w:rsidP="00555001">
                  <w:pPr>
                    <w:pStyle w:val="TableBodyText"/>
                  </w:pPr>
                </w:p>
              </w:tc>
              <w:tc>
                <w:tcPr>
                  <w:tcW w:w="387" w:type="pct"/>
                  <w:vAlign w:val="center"/>
                </w:tcPr>
                <w:p w14:paraId="704D701B" w14:textId="77777777" w:rsidR="00555001" w:rsidRPr="00C52C8A" w:rsidRDefault="00555001" w:rsidP="00555001">
                  <w:pPr>
                    <w:pStyle w:val="TableBodyText"/>
                    <w:ind w:right="28"/>
                  </w:pPr>
                </w:p>
              </w:tc>
              <w:tc>
                <w:tcPr>
                  <w:tcW w:w="387" w:type="pct"/>
                  <w:shd w:val="clear" w:color="auto" w:fill="auto"/>
                  <w:vAlign w:val="center"/>
                </w:tcPr>
                <w:p w14:paraId="65D2BE1B" w14:textId="77777777" w:rsidR="00555001" w:rsidRPr="00C52C8A" w:rsidRDefault="00555001" w:rsidP="00555001">
                  <w:pPr>
                    <w:pStyle w:val="TableBodyText"/>
                    <w:ind w:right="28"/>
                  </w:pPr>
                </w:p>
              </w:tc>
              <w:tc>
                <w:tcPr>
                  <w:tcW w:w="387" w:type="pct"/>
                  <w:vAlign w:val="center"/>
                </w:tcPr>
                <w:p w14:paraId="60D40D37" w14:textId="77777777" w:rsidR="00555001" w:rsidRPr="00C52C8A" w:rsidRDefault="00555001" w:rsidP="00555001">
                  <w:pPr>
                    <w:pStyle w:val="TableBodyText"/>
                    <w:ind w:right="28"/>
                  </w:pPr>
                </w:p>
              </w:tc>
              <w:tc>
                <w:tcPr>
                  <w:tcW w:w="387" w:type="pct"/>
                  <w:shd w:val="clear" w:color="auto" w:fill="auto"/>
                  <w:vAlign w:val="center"/>
                </w:tcPr>
                <w:p w14:paraId="420BD70A" w14:textId="77777777" w:rsidR="00555001" w:rsidRPr="00156983" w:rsidRDefault="00555001" w:rsidP="00555001">
                  <w:pPr>
                    <w:pStyle w:val="TableBodyText"/>
                    <w:ind w:right="28"/>
                  </w:pPr>
                </w:p>
              </w:tc>
              <w:tc>
                <w:tcPr>
                  <w:tcW w:w="387" w:type="pct"/>
                  <w:shd w:val="clear" w:color="auto" w:fill="auto"/>
                  <w:vAlign w:val="center"/>
                </w:tcPr>
                <w:p w14:paraId="5B456F3A" w14:textId="77777777" w:rsidR="00555001" w:rsidRPr="00156983" w:rsidRDefault="00555001" w:rsidP="00555001">
                  <w:pPr>
                    <w:pStyle w:val="TableBodyText"/>
                    <w:ind w:right="28"/>
                  </w:pPr>
                </w:p>
              </w:tc>
              <w:tc>
                <w:tcPr>
                  <w:tcW w:w="387" w:type="pct"/>
                  <w:shd w:val="clear" w:color="auto" w:fill="auto"/>
                  <w:vAlign w:val="center"/>
                </w:tcPr>
                <w:p w14:paraId="11C8E0AF" w14:textId="77777777" w:rsidR="00555001" w:rsidRPr="00156983" w:rsidRDefault="00555001" w:rsidP="00555001">
                  <w:pPr>
                    <w:pStyle w:val="TableBodyText"/>
                    <w:ind w:right="28"/>
                  </w:pPr>
                </w:p>
              </w:tc>
              <w:tc>
                <w:tcPr>
                  <w:tcW w:w="387" w:type="pct"/>
                  <w:vAlign w:val="center"/>
                </w:tcPr>
                <w:p w14:paraId="62606088" w14:textId="77777777" w:rsidR="00555001" w:rsidRPr="00C52C8A" w:rsidRDefault="00555001" w:rsidP="00555001">
                  <w:pPr>
                    <w:pStyle w:val="TableBodyText"/>
                    <w:ind w:right="28"/>
                  </w:pPr>
                </w:p>
              </w:tc>
            </w:tr>
            <w:tr w:rsidR="00907455" w:rsidRPr="00C52C8A" w14:paraId="657373DF" w14:textId="77777777" w:rsidTr="00156983">
              <w:tc>
                <w:tcPr>
                  <w:tcW w:w="1904" w:type="pct"/>
                  <w:shd w:val="clear" w:color="auto" w:fill="auto"/>
                </w:tcPr>
                <w:p w14:paraId="698A30A7" w14:textId="77777777" w:rsidR="00907455" w:rsidRPr="00C52C8A" w:rsidRDefault="00907455" w:rsidP="00907455">
                  <w:pPr>
                    <w:pStyle w:val="TableBodyText"/>
                    <w:jc w:val="left"/>
                  </w:pPr>
                  <w:r w:rsidRPr="00C52C8A">
                    <w:t>Aboriginal and Torres Strait Islander</w:t>
                  </w:r>
                </w:p>
              </w:tc>
              <w:tc>
                <w:tcPr>
                  <w:tcW w:w="387" w:type="pct"/>
                  <w:shd w:val="clear" w:color="auto" w:fill="auto"/>
                  <w:vAlign w:val="center"/>
                </w:tcPr>
                <w:p w14:paraId="75795992" w14:textId="3104C83B" w:rsidR="00907455" w:rsidRPr="00C52C8A" w:rsidRDefault="00907455" w:rsidP="00907455">
                  <w:pPr>
                    <w:pStyle w:val="TableBodyText"/>
                  </w:pPr>
                  <w:r>
                    <w:rPr>
                      <w:rFonts w:cs="Arial"/>
                      <w:szCs w:val="18"/>
                    </w:rPr>
                    <w:t xml:space="preserve">  0.7</w:t>
                  </w:r>
                </w:p>
              </w:tc>
              <w:tc>
                <w:tcPr>
                  <w:tcW w:w="387" w:type="pct"/>
                  <w:vAlign w:val="center"/>
                </w:tcPr>
                <w:p w14:paraId="4B6E2D40" w14:textId="1F825049" w:rsidR="00907455" w:rsidRPr="00C52C8A" w:rsidRDefault="00907455" w:rsidP="00907455">
                  <w:pPr>
                    <w:pStyle w:val="TableBodyText"/>
                  </w:pPr>
                  <w:r>
                    <w:rPr>
                      <w:rFonts w:cs="Arial"/>
                      <w:szCs w:val="18"/>
                    </w:rPr>
                    <w:t xml:space="preserve">  1.1</w:t>
                  </w:r>
                </w:p>
              </w:tc>
              <w:tc>
                <w:tcPr>
                  <w:tcW w:w="387" w:type="pct"/>
                  <w:shd w:val="clear" w:color="auto" w:fill="auto"/>
                  <w:vAlign w:val="center"/>
                </w:tcPr>
                <w:p w14:paraId="5CCAC9CA" w14:textId="654EB39E" w:rsidR="00907455" w:rsidRPr="00C52C8A" w:rsidRDefault="00907455" w:rsidP="00907455">
                  <w:pPr>
                    <w:pStyle w:val="TableBodyText"/>
                  </w:pPr>
                  <w:r>
                    <w:rPr>
                      <w:rFonts w:cs="Arial"/>
                      <w:szCs w:val="18"/>
                    </w:rPr>
                    <w:t xml:space="preserve">  0.2</w:t>
                  </w:r>
                </w:p>
              </w:tc>
              <w:tc>
                <w:tcPr>
                  <w:tcW w:w="387" w:type="pct"/>
                  <w:vAlign w:val="center"/>
                </w:tcPr>
                <w:p w14:paraId="6AAC268B" w14:textId="174DAFF5" w:rsidR="00907455" w:rsidRPr="00C52C8A" w:rsidRDefault="00907455" w:rsidP="00907455">
                  <w:pPr>
                    <w:pStyle w:val="TableBodyText"/>
                  </w:pPr>
                  <w:r>
                    <w:rPr>
                      <w:rFonts w:cs="Arial"/>
                      <w:szCs w:val="18"/>
                    </w:rPr>
                    <w:t xml:space="preserve">  1.1</w:t>
                  </w:r>
                </w:p>
              </w:tc>
              <w:tc>
                <w:tcPr>
                  <w:tcW w:w="387" w:type="pct"/>
                  <w:shd w:val="clear" w:color="auto" w:fill="auto"/>
                  <w:vAlign w:val="center"/>
                </w:tcPr>
                <w:p w14:paraId="694F8C5E" w14:textId="1A6411A3" w:rsidR="00907455" w:rsidRPr="00156983" w:rsidRDefault="00907455" w:rsidP="00907455">
                  <w:pPr>
                    <w:pStyle w:val="TableBodyText"/>
                  </w:pPr>
                  <w:r w:rsidRPr="00156983">
                    <w:rPr>
                      <w:rFonts w:cs="Arial"/>
                      <w:szCs w:val="18"/>
                    </w:rPr>
                    <w:t>–</w:t>
                  </w:r>
                </w:p>
              </w:tc>
              <w:tc>
                <w:tcPr>
                  <w:tcW w:w="387" w:type="pct"/>
                  <w:shd w:val="clear" w:color="auto" w:fill="auto"/>
                  <w:vAlign w:val="center"/>
                </w:tcPr>
                <w:p w14:paraId="2BC8E53D" w14:textId="41DFB7F8" w:rsidR="00907455" w:rsidRPr="00156983" w:rsidRDefault="00907455" w:rsidP="00907455">
                  <w:pPr>
                    <w:pStyle w:val="TableBodyText"/>
                  </w:pPr>
                  <w:r w:rsidRPr="00156983">
                    <w:rPr>
                      <w:rFonts w:cs="Arial"/>
                      <w:szCs w:val="18"/>
                    </w:rPr>
                    <w:t xml:space="preserve">  </w:t>
                  </w:r>
                  <w:proofErr w:type="spellStart"/>
                  <w:r w:rsidRPr="00156983">
                    <w:rPr>
                      <w:rFonts w:cs="Arial"/>
                      <w:szCs w:val="18"/>
                    </w:rPr>
                    <w:t>n</w:t>
                  </w:r>
                  <w:r w:rsidR="00652A2C">
                    <w:rPr>
                      <w:rFonts w:cs="Arial"/>
                      <w:szCs w:val="18"/>
                    </w:rPr>
                    <w:t>a</w:t>
                  </w:r>
                  <w:proofErr w:type="spellEnd"/>
                </w:p>
              </w:tc>
              <w:tc>
                <w:tcPr>
                  <w:tcW w:w="387" w:type="pct"/>
                  <w:shd w:val="clear" w:color="auto" w:fill="auto"/>
                  <w:vAlign w:val="center"/>
                </w:tcPr>
                <w:p w14:paraId="550F2F00" w14:textId="463CA609" w:rsidR="00907455" w:rsidRPr="00156983" w:rsidRDefault="00907455" w:rsidP="00907455">
                  <w:pPr>
                    <w:pStyle w:val="TableBodyText"/>
                  </w:pPr>
                  <w:r w:rsidRPr="00156983">
                    <w:rPr>
                      <w:rFonts w:cs="Arial"/>
                      <w:szCs w:val="18"/>
                    </w:rPr>
                    <w:t>–</w:t>
                  </w:r>
                </w:p>
              </w:tc>
              <w:tc>
                <w:tcPr>
                  <w:tcW w:w="387" w:type="pct"/>
                  <w:vAlign w:val="center"/>
                </w:tcPr>
                <w:p w14:paraId="428AE4AC" w14:textId="1FBA8D8D" w:rsidR="00907455" w:rsidRPr="00C52C8A" w:rsidRDefault="00907455" w:rsidP="00907455">
                  <w:pPr>
                    <w:pStyle w:val="TableBodyText"/>
                  </w:pPr>
                  <w:r>
                    <w:rPr>
                      <w:rFonts w:cs="Arial"/>
                      <w:szCs w:val="18"/>
                    </w:rPr>
                    <w:t>–</w:t>
                  </w:r>
                </w:p>
              </w:tc>
            </w:tr>
            <w:tr w:rsidR="00907455" w:rsidRPr="00C52C8A" w14:paraId="0B7F93B8" w14:textId="77777777" w:rsidTr="00156983">
              <w:tc>
                <w:tcPr>
                  <w:tcW w:w="1904" w:type="pct"/>
                  <w:shd w:val="clear" w:color="auto" w:fill="auto"/>
                </w:tcPr>
                <w:p w14:paraId="1931269A" w14:textId="77777777" w:rsidR="00907455" w:rsidRPr="00C52C8A" w:rsidRDefault="00907455" w:rsidP="00907455">
                  <w:pPr>
                    <w:pStyle w:val="TableBodyText"/>
                    <w:jc w:val="left"/>
                  </w:pPr>
                  <w:r w:rsidRPr="00C52C8A">
                    <w:t>Non</w:t>
                  </w:r>
                  <w:r w:rsidRPr="00C52C8A">
                    <w:noBreakHyphen/>
                    <w:t>Indigenous</w:t>
                  </w:r>
                </w:p>
              </w:tc>
              <w:tc>
                <w:tcPr>
                  <w:tcW w:w="387" w:type="pct"/>
                  <w:shd w:val="clear" w:color="auto" w:fill="auto"/>
                  <w:vAlign w:val="center"/>
                </w:tcPr>
                <w:p w14:paraId="0DA2ADB4" w14:textId="52D50B60" w:rsidR="00907455" w:rsidRPr="00C52C8A" w:rsidRDefault="00907455" w:rsidP="00907455">
                  <w:pPr>
                    <w:pStyle w:val="TableBodyText"/>
                  </w:pPr>
                  <w:r>
                    <w:rPr>
                      <w:rFonts w:cs="Arial"/>
                      <w:szCs w:val="18"/>
                    </w:rPr>
                    <w:t xml:space="preserve">  0.6</w:t>
                  </w:r>
                </w:p>
              </w:tc>
              <w:tc>
                <w:tcPr>
                  <w:tcW w:w="387" w:type="pct"/>
                  <w:vAlign w:val="center"/>
                </w:tcPr>
                <w:p w14:paraId="34EE7801" w14:textId="522241B5" w:rsidR="00907455" w:rsidRPr="00C52C8A" w:rsidRDefault="00907455" w:rsidP="00907455">
                  <w:pPr>
                    <w:pStyle w:val="TableBodyText"/>
                  </w:pPr>
                  <w:r>
                    <w:rPr>
                      <w:rFonts w:cs="Arial"/>
                      <w:szCs w:val="18"/>
                    </w:rPr>
                    <w:t xml:space="preserve">  0.9</w:t>
                  </w:r>
                </w:p>
              </w:tc>
              <w:tc>
                <w:tcPr>
                  <w:tcW w:w="387" w:type="pct"/>
                  <w:shd w:val="clear" w:color="auto" w:fill="auto"/>
                  <w:vAlign w:val="center"/>
                </w:tcPr>
                <w:p w14:paraId="3B7E9F3F" w14:textId="073FA2CF" w:rsidR="00907455" w:rsidRPr="00C52C8A" w:rsidRDefault="00907455" w:rsidP="00907455">
                  <w:pPr>
                    <w:pStyle w:val="TableBodyText"/>
                  </w:pPr>
                  <w:r>
                    <w:rPr>
                      <w:rFonts w:cs="Arial"/>
                      <w:szCs w:val="18"/>
                    </w:rPr>
                    <w:t xml:space="preserve">  0.5</w:t>
                  </w:r>
                </w:p>
              </w:tc>
              <w:tc>
                <w:tcPr>
                  <w:tcW w:w="387" w:type="pct"/>
                  <w:vAlign w:val="center"/>
                </w:tcPr>
                <w:p w14:paraId="03B00869" w14:textId="2F55A1D0" w:rsidR="00907455" w:rsidRPr="00C52C8A" w:rsidRDefault="00907455" w:rsidP="00907455">
                  <w:pPr>
                    <w:pStyle w:val="TableBodyText"/>
                  </w:pPr>
                  <w:r>
                    <w:rPr>
                      <w:rFonts w:cs="Arial"/>
                      <w:szCs w:val="18"/>
                    </w:rPr>
                    <w:t>–</w:t>
                  </w:r>
                </w:p>
              </w:tc>
              <w:tc>
                <w:tcPr>
                  <w:tcW w:w="387" w:type="pct"/>
                  <w:shd w:val="clear" w:color="auto" w:fill="auto"/>
                  <w:vAlign w:val="center"/>
                </w:tcPr>
                <w:p w14:paraId="133F536D" w14:textId="032D6E66" w:rsidR="00907455" w:rsidRPr="00156983" w:rsidRDefault="00907455" w:rsidP="00907455">
                  <w:pPr>
                    <w:pStyle w:val="TableBodyText"/>
                  </w:pPr>
                  <w:r w:rsidRPr="00156983">
                    <w:rPr>
                      <w:rFonts w:cs="Arial"/>
                      <w:szCs w:val="18"/>
                    </w:rPr>
                    <w:t xml:space="preserve">  3.3</w:t>
                  </w:r>
                </w:p>
              </w:tc>
              <w:tc>
                <w:tcPr>
                  <w:tcW w:w="387" w:type="pct"/>
                  <w:shd w:val="clear" w:color="auto" w:fill="auto"/>
                  <w:vAlign w:val="center"/>
                </w:tcPr>
                <w:p w14:paraId="7F7047AC" w14:textId="3EA18C6C" w:rsidR="00907455" w:rsidRPr="00156983" w:rsidRDefault="00907455" w:rsidP="00907455">
                  <w:pPr>
                    <w:pStyle w:val="TableBodyText"/>
                  </w:pPr>
                  <w:proofErr w:type="spellStart"/>
                  <w:r w:rsidRPr="00156983">
                    <w:t>n</w:t>
                  </w:r>
                  <w:r w:rsidR="00652A2C">
                    <w:t>a</w:t>
                  </w:r>
                  <w:proofErr w:type="spellEnd"/>
                </w:p>
              </w:tc>
              <w:tc>
                <w:tcPr>
                  <w:tcW w:w="387" w:type="pct"/>
                  <w:shd w:val="clear" w:color="auto" w:fill="auto"/>
                  <w:vAlign w:val="center"/>
                </w:tcPr>
                <w:p w14:paraId="117A91D7" w14:textId="383E89F1" w:rsidR="00907455" w:rsidRPr="00156983" w:rsidRDefault="00907455" w:rsidP="00907455">
                  <w:pPr>
                    <w:pStyle w:val="TableBodyText"/>
                  </w:pPr>
                  <w:r w:rsidRPr="00156983">
                    <w:rPr>
                      <w:rFonts w:cs="Arial"/>
                      <w:szCs w:val="18"/>
                    </w:rPr>
                    <w:t>–</w:t>
                  </w:r>
                </w:p>
              </w:tc>
              <w:tc>
                <w:tcPr>
                  <w:tcW w:w="387" w:type="pct"/>
                  <w:vAlign w:val="center"/>
                </w:tcPr>
                <w:p w14:paraId="26399E6D" w14:textId="523EB078" w:rsidR="00907455" w:rsidRPr="00C52C8A" w:rsidRDefault="00907455" w:rsidP="00907455">
                  <w:pPr>
                    <w:pStyle w:val="TableBodyText"/>
                  </w:pPr>
                  <w:r>
                    <w:rPr>
                      <w:rFonts w:cs="Arial"/>
                      <w:szCs w:val="18"/>
                    </w:rPr>
                    <w:t>–</w:t>
                  </w:r>
                </w:p>
              </w:tc>
            </w:tr>
            <w:tr w:rsidR="00907455" w:rsidRPr="00C52C8A" w14:paraId="5957B3FE" w14:textId="77777777" w:rsidTr="00156983">
              <w:tc>
                <w:tcPr>
                  <w:tcW w:w="1904" w:type="pct"/>
                  <w:tcBorders>
                    <w:bottom w:val="single" w:sz="6" w:space="0" w:color="BFBFBF"/>
                  </w:tcBorders>
                  <w:shd w:val="clear" w:color="auto" w:fill="auto"/>
                </w:tcPr>
                <w:p w14:paraId="57A3AE3D" w14:textId="77777777" w:rsidR="00907455" w:rsidRPr="00C52C8A" w:rsidRDefault="00907455" w:rsidP="00907455">
                  <w:pPr>
                    <w:pStyle w:val="TableBodyText"/>
                    <w:jc w:val="left"/>
                    <w:rPr>
                      <w:b/>
                    </w:rPr>
                  </w:pPr>
                  <w:r w:rsidRPr="00C52C8A">
                    <w:rPr>
                      <w:b/>
                    </w:rPr>
                    <w:t>Total</w:t>
                  </w:r>
                </w:p>
              </w:tc>
              <w:tc>
                <w:tcPr>
                  <w:tcW w:w="387" w:type="pct"/>
                  <w:tcBorders>
                    <w:bottom w:val="single" w:sz="6" w:space="0" w:color="BFBFBF"/>
                  </w:tcBorders>
                  <w:shd w:val="clear" w:color="auto" w:fill="auto"/>
                  <w:vAlign w:val="center"/>
                </w:tcPr>
                <w:p w14:paraId="3D604ED3" w14:textId="4A04D518" w:rsidR="00907455" w:rsidRPr="00555001" w:rsidRDefault="00907455" w:rsidP="00907455">
                  <w:pPr>
                    <w:pStyle w:val="TableBodyText"/>
                    <w:rPr>
                      <w:b/>
                    </w:rPr>
                  </w:pPr>
                  <w:r w:rsidRPr="00555001">
                    <w:rPr>
                      <w:rFonts w:cs="Arial"/>
                      <w:b/>
                      <w:szCs w:val="18"/>
                    </w:rPr>
                    <w:t xml:space="preserve">  0.7</w:t>
                  </w:r>
                </w:p>
              </w:tc>
              <w:tc>
                <w:tcPr>
                  <w:tcW w:w="387" w:type="pct"/>
                  <w:tcBorders>
                    <w:bottom w:val="single" w:sz="6" w:space="0" w:color="BFBFBF"/>
                  </w:tcBorders>
                  <w:vAlign w:val="center"/>
                </w:tcPr>
                <w:p w14:paraId="32BCC760" w14:textId="366FC9F8" w:rsidR="00907455" w:rsidRPr="00555001" w:rsidRDefault="00907455" w:rsidP="00907455">
                  <w:pPr>
                    <w:pStyle w:val="TableBodyText"/>
                    <w:rPr>
                      <w:b/>
                    </w:rPr>
                  </w:pPr>
                  <w:r w:rsidRPr="00555001">
                    <w:rPr>
                      <w:rFonts w:cs="Arial"/>
                      <w:b/>
                      <w:szCs w:val="18"/>
                    </w:rPr>
                    <w:t xml:space="preserve">  0.9</w:t>
                  </w:r>
                </w:p>
              </w:tc>
              <w:tc>
                <w:tcPr>
                  <w:tcW w:w="387" w:type="pct"/>
                  <w:tcBorders>
                    <w:bottom w:val="single" w:sz="6" w:space="0" w:color="BFBFBF"/>
                  </w:tcBorders>
                  <w:shd w:val="clear" w:color="auto" w:fill="auto"/>
                  <w:vAlign w:val="center"/>
                </w:tcPr>
                <w:p w14:paraId="0F3975BC" w14:textId="79A3F72C" w:rsidR="00907455" w:rsidRPr="00555001" w:rsidRDefault="00907455" w:rsidP="00907455">
                  <w:pPr>
                    <w:pStyle w:val="TableBodyText"/>
                    <w:rPr>
                      <w:b/>
                    </w:rPr>
                  </w:pPr>
                  <w:r w:rsidRPr="00555001">
                    <w:rPr>
                      <w:rFonts w:cs="Arial"/>
                      <w:b/>
                      <w:szCs w:val="18"/>
                    </w:rPr>
                    <w:t xml:space="preserve">  0.3</w:t>
                  </w:r>
                </w:p>
              </w:tc>
              <w:tc>
                <w:tcPr>
                  <w:tcW w:w="387" w:type="pct"/>
                  <w:tcBorders>
                    <w:bottom w:val="single" w:sz="6" w:space="0" w:color="BFBFBF"/>
                  </w:tcBorders>
                  <w:vAlign w:val="center"/>
                </w:tcPr>
                <w:p w14:paraId="2A666831" w14:textId="224E4926" w:rsidR="00907455" w:rsidRPr="00555001" w:rsidRDefault="00907455" w:rsidP="00907455">
                  <w:pPr>
                    <w:pStyle w:val="TableBodyText"/>
                    <w:rPr>
                      <w:b/>
                    </w:rPr>
                  </w:pPr>
                  <w:r w:rsidRPr="00555001">
                    <w:rPr>
                      <w:rFonts w:cs="Arial"/>
                      <w:b/>
                      <w:szCs w:val="18"/>
                    </w:rPr>
                    <w:t xml:space="preserve">  0.8</w:t>
                  </w:r>
                </w:p>
              </w:tc>
              <w:tc>
                <w:tcPr>
                  <w:tcW w:w="387" w:type="pct"/>
                  <w:tcBorders>
                    <w:bottom w:val="single" w:sz="6" w:space="0" w:color="BFBFBF"/>
                  </w:tcBorders>
                  <w:shd w:val="clear" w:color="auto" w:fill="auto"/>
                  <w:vAlign w:val="center"/>
                </w:tcPr>
                <w:p w14:paraId="35B7F0CD" w14:textId="3058FB84" w:rsidR="00907455" w:rsidRPr="00156983" w:rsidRDefault="00907455" w:rsidP="00907455">
                  <w:pPr>
                    <w:pStyle w:val="TableBodyText"/>
                    <w:rPr>
                      <w:b/>
                    </w:rPr>
                  </w:pPr>
                  <w:r w:rsidRPr="00156983">
                    <w:rPr>
                      <w:rFonts w:cs="Arial"/>
                      <w:b/>
                      <w:szCs w:val="18"/>
                    </w:rPr>
                    <w:t xml:space="preserve">  1.6</w:t>
                  </w:r>
                </w:p>
              </w:tc>
              <w:tc>
                <w:tcPr>
                  <w:tcW w:w="387" w:type="pct"/>
                  <w:tcBorders>
                    <w:bottom w:val="single" w:sz="6" w:space="0" w:color="BFBFBF"/>
                  </w:tcBorders>
                  <w:shd w:val="clear" w:color="auto" w:fill="auto"/>
                  <w:vAlign w:val="center"/>
                </w:tcPr>
                <w:p w14:paraId="6C9DA982" w14:textId="5694D137" w:rsidR="00907455" w:rsidRPr="00156983" w:rsidRDefault="00907455" w:rsidP="00907455">
                  <w:pPr>
                    <w:pStyle w:val="TableBodyText"/>
                    <w:rPr>
                      <w:b/>
                    </w:rPr>
                  </w:pPr>
                  <w:r w:rsidRPr="00156983">
                    <w:rPr>
                      <w:rFonts w:cs="Arial"/>
                      <w:b/>
                      <w:szCs w:val="18"/>
                    </w:rPr>
                    <w:t xml:space="preserve">  </w:t>
                  </w:r>
                  <w:proofErr w:type="spellStart"/>
                  <w:r w:rsidRPr="00156983">
                    <w:rPr>
                      <w:rFonts w:cs="Arial"/>
                      <w:b/>
                      <w:szCs w:val="18"/>
                    </w:rPr>
                    <w:t>n</w:t>
                  </w:r>
                  <w:r w:rsidR="00652A2C">
                    <w:rPr>
                      <w:rFonts w:cs="Arial"/>
                      <w:b/>
                      <w:szCs w:val="18"/>
                    </w:rPr>
                    <w:t>a</w:t>
                  </w:r>
                  <w:proofErr w:type="spellEnd"/>
                </w:p>
              </w:tc>
              <w:tc>
                <w:tcPr>
                  <w:tcW w:w="387" w:type="pct"/>
                  <w:tcBorders>
                    <w:bottom w:val="single" w:sz="6" w:space="0" w:color="BFBFBF"/>
                  </w:tcBorders>
                  <w:shd w:val="clear" w:color="auto" w:fill="auto"/>
                  <w:vAlign w:val="center"/>
                </w:tcPr>
                <w:p w14:paraId="777CD38A" w14:textId="3796CA42" w:rsidR="00907455" w:rsidRPr="00156983" w:rsidRDefault="00907455" w:rsidP="00907455">
                  <w:pPr>
                    <w:pStyle w:val="TableBodyText"/>
                    <w:rPr>
                      <w:b/>
                    </w:rPr>
                  </w:pPr>
                  <w:r w:rsidRPr="00156983">
                    <w:rPr>
                      <w:rFonts w:cs="Arial"/>
                      <w:b/>
                      <w:szCs w:val="18"/>
                    </w:rPr>
                    <w:t>–</w:t>
                  </w:r>
                </w:p>
              </w:tc>
              <w:tc>
                <w:tcPr>
                  <w:tcW w:w="387" w:type="pct"/>
                  <w:tcBorders>
                    <w:bottom w:val="single" w:sz="6" w:space="0" w:color="BFBFBF"/>
                  </w:tcBorders>
                  <w:vAlign w:val="center"/>
                </w:tcPr>
                <w:p w14:paraId="0ACC43F5" w14:textId="2EDA1DA5" w:rsidR="00907455" w:rsidRPr="00555001" w:rsidRDefault="00907455" w:rsidP="00907455">
                  <w:pPr>
                    <w:pStyle w:val="TableBodyText"/>
                    <w:rPr>
                      <w:b/>
                    </w:rPr>
                  </w:pPr>
                  <w:r w:rsidRPr="00555001">
                    <w:rPr>
                      <w:rFonts w:cs="Arial"/>
                      <w:b/>
                      <w:szCs w:val="18"/>
                    </w:rPr>
                    <w:t>–</w:t>
                  </w:r>
                </w:p>
              </w:tc>
            </w:tr>
          </w:tbl>
          <w:p w14:paraId="14A0F4A3" w14:textId="77777777" w:rsidR="00595066" w:rsidRPr="00C52C8A" w:rsidRDefault="00595066" w:rsidP="00983812">
            <w:pPr>
              <w:pStyle w:val="Box"/>
            </w:pPr>
          </w:p>
        </w:tc>
      </w:tr>
      <w:tr w:rsidR="00595066" w:rsidRPr="00C52C8A" w14:paraId="2B9A52B3" w14:textId="77777777" w:rsidTr="006F761F">
        <w:trPr>
          <w:cantSplit/>
        </w:trPr>
        <w:tc>
          <w:tcPr>
            <w:tcW w:w="8789" w:type="dxa"/>
            <w:tcBorders>
              <w:top w:val="nil"/>
              <w:left w:val="nil"/>
              <w:bottom w:val="nil"/>
              <w:right w:val="nil"/>
            </w:tcBorders>
            <w:shd w:val="clear" w:color="auto" w:fill="auto"/>
          </w:tcPr>
          <w:p w14:paraId="0EC4B682" w14:textId="250BFEAD" w:rsidR="00595066" w:rsidRPr="00C52C8A" w:rsidRDefault="00595066" w:rsidP="001E1A96">
            <w:pPr>
              <w:pStyle w:val="Note"/>
              <w:rPr>
                <w:i/>
              </w:rPr>
            </w:pPr>
            <w:r w:rsidRPr="00C52C8A">
              <w:rPr>
                <w:rStyle w:val="NoteLabel"/>
              </w:rPr>
              <w:t>a</w:t>
            </w:r>
            <w:r w:rsidRPr="00C52C8A">
              <w:t xml:space="preserve"> </w:t>
            </w:r>
            <w:r w:rsidR="00014206" w:rsidRPr="00C52C8A">
              <w:t>See</w:t>
            </w:r>
            <w:r w:rsidR="00157948" w:rsidRPr="00C52C8A">
              <w:t xml:space="preserve"> </w:t>
            </w:r>
            <w:r w:rsidR="00231A04" w:rsidRPr="00C52C8A">
              <w:t>box</w:t>
            </w:r>
            <w:r w:rsidR="00F4592C" w:rsidRPr="00C52C8A">
              <w:t> </w:t>
            </w:r>
            <w:r w:rsidR="00AD782C" w:rsidRPr="00C52C8A">
              <w:t>17.11</w:t>
            </w:r>
            <w:r w:rsidR="00231A04" w:rsidRPr="00C52C8A">
              <w:t xml:space="preserve"> </w:t>
            </w:r>
            <w:r w:rsidR="00014206" w:rsidRPr="00C52C8A">
              <w:t xml:space="preserve">and </w:t>
            </w:r>
            <w:r w:rsidR="00157948" w:rsidRPr="00C52C8A">
              <w:t>table</w:t>
            </w:r>
            <w:r w:rsidR="0081381F" w:rsidRPr="00C52C8A">
              <w:t>s</w:t>
            </w:r>
            <w:r w:rsidR="00157948" w:rsidRPr="00C52C8A">
              <w:t> 1</w:t>
            </w:r>
            <w:r w:rsidR="00B135D3" w:rsidRPr="00C52C8A">
              <w:t>7</w:t>
            </w:r>
            <w:r w:rsidR="00157948" w:rsidRPr="00C52C8A">
              <w:t>A.1</w:t>
            </w:r>
            <w:r w:rsidR="00C32D9A">
              <w:t>5</w:t>
            </w:r>
            <w:r w:rsidR="0081381F" w:rsidRPr="00C52C8A">
              <w:t xml:space="preserve"> and 17A.1</w:t>
            </w:r>
            <w:r w:rsidR="00C32D9A">
              <w:t>7</w:t>
            </w:r>
            <w:r w:rsidR="00157948" w:rsidRPr="00C52C8A">
              <w:t xml:space="preserve"> for detailed </w:t>
            </w:r>
            <w:r w:rsidR="00014206" w:rsidRPr="002576BF">
              <w:t xml:space="preserve">definitions, </w:t>
            </w:r>
            <w:r w:rsidR="00157948" w:rsidRPr="002576BF">
              <w:t>footnotes</w:t>
            </w:r>
            <w:r w:rsidR="00014206" w:rsidRPr="002576BF">
              <w:t xml:space="preserve"> and caveats</w:t>
            </w:r>
            <w:r w:rsidR="00D831ED" w:rsidRPr="002576BF">
              <w:t>.</w:t>
            </w:r>
            <w:r w:rsidR="00B46B51" w:rsidRPr="002576BF">
              <w:t xml:space="preserve"> </w:t>
            </w:r>
            <w:proofErr w:type="spellStart"/>
            <w:r w:rsidR="00652A2C" w:rsidRPr="00652A2C">
              <w:rPr>
                <w:b/>
                <w:bCs/>
              </w:rPr>
              <w:t>na</w:t>
            </w:r>
            <w:proofErr w:type="spellEnd"/>
            <w:r w:rsidR="00652A2C">
              <w:t xml:space="preserve"> Not available. </w:t>
            </w:r>
            <w:r w:rsidR="003672DE" w:rsidRPr="002576BF">
              <w:t>– Nil</w:t>
            </w:r>
            <w:r w:rsidR="003672DE" w:rsidRPr="00C52C8A">
              <w:t xml:space="preserve"> or rounded to zero.</w:t>
            </w:r>
            <w:r w:rsidR="00187E95">
              <w:t xml:space="preserve"> </w:t>
            </w:r>
            <w:r w:rsidR="00187E95" w:rsidRPr="00187E95">
              <w:rPr>
                <w:b/>
              </w:rPr>
              <w:t>np</w:t>
            </w:r>
            <w:r w:rsidR="00187E95">
              <w:t xml:space="preserve"> Not published.</w:t>
            </w:r>
          </w:p>
        </w:tc>
      </w:tr>
      <w:tr w:rsidR="00595066" w:rsidRPr="00C52C8A" w14:paraId="30E8C175" w14:textId="77777777" w:rsidTr="006F761F">
        <w:trPr>
          <w:cantSplit/>
        </w:trPr>
        <w:tc>
          <w:tcPr>
            <w:tcW w:w="8789" w:type="dxa"/>
            <w:tcBorders>
              <w:top w:val="nil"/>
              <w:left w:val="nil"/>
              <w:bottom w:val="nil"/>
              <w:right w:val="nil"/>
            </w:tcBorders>
            <w:shd w:val="clear" w:color="auto" w:fill="auto"/>
          </w:tcPr>
          <w:p w14:paraId="5A635CB7" w14:textId="4A310415" w:rsidR="00595066" w:rsidRPr="00C52C8A" w:rsidRDefault="00595066" w:rsidP="00C32D9A">
            <w:pPr>
              <w:pStyle w:val="Source"/>
            </w:pPr>
            <w:r w:rsidRPr="00C52C8A">
              <w:rPr>
                <w:i/>
              </w:rPr>
              <w:t>Source</w:t>
            </w:r>
            <w:r w:rsidR="00CF76CB" w:rsidRPr="00C52C8A">
              <w:rPr>
                <w:i/>
              </w:rPr>
              <w:t>s</w:t>
            </w:r>
            <w:r w:rsidRPr="00C52C8A">
              <w:t xml:space="preserve">: </w:t>
            </w:r>
            <w:r w:rsidR="003672DE" w:rsidRPr="00C52C8A">
              <w:t xml:space="preserve">State and Territory governments (unpublished); </w:t>
            </w:r>
            <w:r w:rsidR="00237D77" w:rsidRPr="00C52C8A">
              <w:t>tables</w:t>
            </w:r>
            <w:r w:rsidR="005B0070">
              <w:t> </w:t>
            </w:r>
            <w:r w:rsidR="003672DE" w:rsidRPr="00C52C8A">
              <w:t>1</w:t>
            </w:r>
            <w:r w:rsidR="00787194" w:rsidRPr="00C52C8A">
              <w:t>7</w:t>
            </w:r>
            <w:r w:rsidR="003672DE" w:rsidRPr="00C52C8A">
              <w:t>A.1</w:t>
            </w:r>
            <w:r w:rsidR="00C32D9A">
              <w:t>5</w:t>
            </w:r>
            <w:r w:rsidR="005374A3" w:rsidRPr="00C52C8A">
              <w:t xml:space="preserve"> and 17A.1</w:t>
            </w:r>
            <w:r w:rsidR="00C32D9A">
              <w:t>7</w:t>
            </w:r>
            <w:r w:rsidR="003672DE" w:rsidRPr="00C52C8A">
              <w:t>.</w:t>
            </w:r>
          </w:p>
        </w:tc>
      </w:tr>
      <w:tr w:rsidR="00595066" w:rsidRPr="00C52C8A" w14:paraId="30ECA72C" w14:textId="77777777" w:rsidTr="006F761F">
        <w:trPr>
          <w:cantSplit/>
        </w:trPr>
        <w:tc>
          <w:tcPr>
            <w:tcW w:w="8789" w:type="dxa"/>
            <w:tcBorders>
              <w:top w:val="nil"/>
              <w:left w:val="nil"/>
              <w:bottom w:val="single" w:sz="6" w:space="0" w:color="78A22F" w:themeColor="accent1"/>
              <w:right w:val="nil"/>
            </w:tcBorders>
            <w:shd w:val="clear" w:color="auto" w:fill="auto"/>
          </w:tcPr>
          <w:p w14:paraId="6C526B56" w14:textId="77777777" w:rsidR="00595066" w:rsidRPr="00C52C8A" w:rsidRDefault="00595066" w:rsidP="00983812">
            <w:pPr>
              <w:pStyle w:val="Box"/>
              <w:spacing w:before="0" w:line="120" w:lineRule="exact"/>
            </w:pPr>
          </w:p>
        </w:tc>
      </w:tr>
      <w:tr w:rsidR="00595066" w:rsidRPr="00C52C8A" w14:paraId="0C39B20E" w14:textId="77777777" w:rsidTr="006F761F">
        <w:tc>
          <w:tcPr>
            <w:tcW w:w="8789" w:type="dxa"/>
            <w:tcBorders>
              <w:top w:val="single" w:sz="6" w:space="0" w:color="78A22F" w:themeColor="accent1"/>
              <w:left w:val="nil"/>
              <w:bottom w:val="nil"/>
              <w:right w:val="nil"/>
            </w:tcBorders>
          </w:tcPr>
          <w:p w14:paraId="01D6103D" w14:textId="3A4E0017" w:rsidR="00595066" w:rsidRPr="002E39DF" w:rsidRDefault="00595066" w:rsidP="00983812">
            <w:pPr>
              <w:pStyle w:val="BoxSpaceBelow"/>
            </w:pPr>
          </w:p>
        </w:tc>
      </w:tr>
    </w:tbl>
    <w:p w14:paraId="1C7077EA" w14:textId="7A236105" w:rsidR="00B53C32" w:rsidRPr="002E39DF" w:rsidRDefault="00B53C32"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53C32" w:rsidRPr="00C52C8A" w14:paraId="3B7F824B" w14:textId="77777777" w:rsidTr="00DE63E6">
        <w:tc>
          <w:tcPr>
            <w:tcW w:w="8789" w:type="dxa"/>
            <w:tcBorders>
              <w:top w:val="single" w:sz="6" w:space="0" w:color="78A22F" w:themeColor="accent1"/>
              <w:left w:val="nil"/>
              <w:bottom w:val="nil"/>
              <w:right w:val="nil"/>
            </w:tcBorders>
            <w:shd w:val="clear" w:color="auto" w:fill="auto"/>
          </w:tcPr>
          <w:p w14:paraId="21B518A7" w14:textId="2B7806C5" w:rsidR="00B53C32" w:rsidRPr="00C52C8A" w:rsidRDefault="00B53C32" w:rsidP="0091209F">
            <w:pPr>
              <w:pStyle w:val="TableTitle"/>
            </w:pPr>
            <w:r w:rsidRPr="00C52C8A">
              <w:rPr>
                <w:b w:val="0"/>
              </w:rPr>
              <w:t>Table</w:t>
            </w:r>
            <w:r w:rsidR="0008039C" w:rsidRPr="00C52C8A">
              <w:rPr>
                <w:b w:val="0"/>
              </w:rPr>
              <w:t xml:space="preserve"> </w:t>
            </w:r>
            <w:bookmarkStart w:id="38" w:name="OLE_LINK22"/>
            <w:r w:rsidR="00C87A43">
              <w:rPr>
                <w:b w:val="0"/>
              </w:rPr>
              <w:t>17.</w:t>
            </w:r>
            <w:r w:rsidR="00AF64D0">
              <w:rPr>
                <w:b w:val="0"/>
                <w:noProof/>
              </w:rPr>
              <w:t>2</w:t>
            </w:r>
            <w:bookmarkEnd w:id="38"/>
            <w:r w:rsidRPr="00C52C8A">
              <w:tab/>
            </w:r>
            <w:r w:rsidR="00587E48" w:rsidRPr="00C52C8A">
              <w:t>Y</w:t>
            </w:r>
            <w:r w:rsidR="006E2C88" w:rsidRPr="00C52C8A">
              <w:t>oung people</w:t>
            </w:r>
            <w:r w:rsidR="00AE0CE1" w:rsidRPr="00C52C8A">
              <w:t xml:space="preserve"> injured as a result of an assault</w:t>
            </w:r>
            <w:r w:rsidR="00BA3E13" w:rsidRPr="00C52C8A">
              <w:t xml:space="preserve"> (excludes serious assaults)</w:t>
            </w:r>
            <w:r w:rsidR="00AE0CE1" w:rsidRPr="00C52C8A">
              <w:t xml:space="preserve">, by </w:t>
            </w:r>
            <w:r w:rsidR="0035320E" w:rsidRPr="00C52C8A">
              <w:t>Indigenous status</w:t>
            </w:r>
            <w:r w:rsidR="00AE0CE1" w:rsidRPr="00C52C8A">
              <w:t>, 201</w:t>
            </w:r>
            <w:r w:rsidR="009D0A7F">
              <w:t>9</w:t>
            </w:r>
            <w:r w:rsidR="00AE0CE1" w:rsidRPr="00C52C8A">
              <w:noBreakHyphen/>
            </w:r>
            <w:r w:rsidR="009D0A7F">
              <w:t>20</w:t>
            </w:r>
            <w:r w:rsidR="0045508D" w:rsidRPr="00C52C8A">
              <w:rPr>
                <w:rStyle w:val="NoteLabel"/>
                <w:b/>
              </w:rPr>
              <w:t>a</w:t>
            </w:r>
          </w:p>
        </w:tc>
      </w:tr>
      <w:tr w:rsidR="00DE63E6" w:rsidRPr="00C52C8A" w14:paraId="21588B9A"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C52C8A" w14:paraId="6E3576E5" w14:textId="77777777" w:rsidTr="00B31DCC">
              <w:tc>
                <w:tcPr>
                  <w:tcW w:w="304" w:type="dxa"/>
                  <w:tcBorders>
                    <w:top w:val="nil"/>
                    <w:left w:val="nil"/>
                    <w:bottom w:val="nil"/>
                    <w:right w:val="nil"/>
                  </w:tcBorders>
                  <w:shd w:val="clear" w:color="auto" w:fill="auto"/>
                  <w:tcMar>
                    <w:top w:w="28" w:type="dxa"/>
                    <w:bottom w:w="28" w:type="dxa"/>
                  </w:tcMar>
                </w:tcPr>
                <w:p w14:paraId="44652018"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768D0DFC"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C5E7183" w14:textId="23DC31CD" w:rsidR="00DE63E6" w:rsidRPr="00C52C8A" w:rsidRDefault="000714BE" w:rsidP="0081112C">
                  <w:pPr>
                    <w:pStyle w:val="TableBodyText"/>
                    <w:jc w:val="left"/>
                  </w:pPr>
                  <w:r w:rsidRPr="00C52C8A">
                    <w:t>Data are not comparable across jurisdictions</w:t>
                  </w:r>
                  <w:r w:rsidR="009A4756" w:rsidRPr="00C52C8A">
                    <w:t>.</w:t>
                  </w:r>
                </w:p>
              </w:tc>
            </w:tr>
            <w:tr w:rsidR="00DE63E6" w:rsidRPr="00C52C8A" w14:paraId="29A81629" w14:textId="77777777" w:rsidTr="00B31DCC">
              <w:tc>
                <w:tcPr>
                  <w:tcW w:w="304" w:type="dxa"/>
                  <w:tcBorders>
                    <w:top w:val="nil"/>
                    <w:left w:val="nil"/>
                    <w:bottom w:val="nil"/>
                    <w:right w:val="nil"/>
                  </w:tcBorders>
                  <w:shd w:val="clear" w:color="auto" w:fill="auto"/>
                  <w:tcMar>
                    <w:top w:w="28" w:type="dxa"/>
                    <w:bottom w:w="28" w:type="dxa"/>
                  </w:tcMar>
                </w:tcPr>
                <w:p w14:paraId="141F13E6"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5A25"/>
                </w:tcPr>
                <w:p w14:paraId="074B16D4" w14:textId="77777777" w:rsidR="00DE63E6" w:rsidRPr="00C52C8A" w:rsidRDefault="00DE63E6" w:rsidP="00B31DCC">
                  <w:pPr>
                    <w:keepNext/>
                    <w:keepLines/>
                    <w:spacing w:before="60" w:after="60" w:line="240" w:lineRule="atLeast"/>
                    <w:rPr>
                      <w:rFonts w:ascii="Arial" w:hAnsi="Arial" w:cs="Arial"/>
                      <w:sz w:val="18"/>
                      <w:szCs w:val="18"/>
                    </w:rPr>
                  </w:pPr>
                </w:p>
              </w:tc>
              <w:tc>
                <w:tcPr>
                  <w:tcW w:w="7938" w:type="dxa"/>
                  <w:tcBorders>
                    <w:top w:val="nil"/>
                    <w:left w:val="nil"/>
                    <w:bottom w:val="nil"/>
                    <w:right w:val="nil"/>
                  </w:tcBorders>
                  <w:shd w:val="clear" w:color="auto" w:fill="auto"/>
                </w:tcPr>
                <w:p w14:paraId="66B7864D" w14:textId="33DC2C7F" w:rsidR="00DE63E6" w:rsidRPr="00C52C8A" w:rsidRDefault="00D3537D" w:rsidP="00EF49AD">
                  <w:pPr>
                    <w:pStyle w:val="TableBodyText"/>
                    <w:jc w:val="left"/>
                  </w:pPr>
                  <w:r w:rsidRPr="00C52C8A">
                    <w:t>D</w:t>
                  </w:r>
                  <w:r w:rsidR="00B31DCC" w:rsidRPr="00C52C8A">
                    <w:t xml:space="preserve">ata are </w:t>
                  </w:r>
                  <w:r w:rsidRPr="00C52C8A">
                    <w:t xml:space="preserve">complete </w:t>
                  </w:r>
                  <w:r w:rsidR="009A4756" w:rsidRPr="00C52C8A">
                    <w:t xml:space="preserve">(subject to caveats) </w:t>
                  </w:r>
                  <w:r w:rsidRPr="00C52C8A">
                    <w:t xml:space="preserve">for the current reporting period. </w:t>
                  </w:r>
                </w:p>
              </w:tc>
            </w:tr>
          </w:tbl>
          <w:p w14:paraId="7AB58913" w14:textId="77777777" w:rsidR="00DE63E6" w:rsidRPr="00C52C8A" w:rsidRDefault="00DE63E6" w:rsidP="00DE63E6">
            <w:pPr>
              <w:pStyle w:val="TableTitle"/>
              <w:rPr>
                <w:b w:val="0"/>
              </w:rPr>
            </w:pPr>
          </w:p>
        </w:tc>
      </w:tr>
      <w:tr w:rsidR="00B53C32" w:rsidRPr="00C52C8A" w14:paraId="68A6F79E" w14:textId="77777777" w:rsidTr="006F761F">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073"/>
              <w:gridCol w:w="678"/>
              <w:gridCol w:w="679"/>
              <w:gridCol w:w="679"/>
              <w:gridCol w:w="679"/>
              <w:gridCol w:w="679"/>
              <w:gridCol w:w="679"/>
              <w:gridCol w:w="679"/>
              <w:gridCol w:w="680"/>
            </w:tblGrid>
            <w:tr w:rsidR="006F45D3" w:rsidRPr="00C52C8A" w14:paraId="69C534EF" w14:textId="77777777" w:rsidTr="000714BE">
              <w:tc>
                <w:tcPr>
                  <w:tcW w:w="1807" w:type="pct"/>
                  <w:tcBorders>
                    <w:top w:val="single" w:sz="6" w:space="0" w:color="BFBFBF"/>
                    <w:bottom w:val="single" w:sz="6" w:space="0" w:color="BFBFBF"/>
                  </w:tcBorders>
                </w:tcPr>
                <w:p w14:paraId="25B63B3F" w14:textId="77777777" w:rsidR="006F45D3" w:rsidRPr="00C52C8A" w:rsidRDefault="006F45D3" w:rsidP="00983812">
                  <w:pPr>
                    <w:pStyle w:val="TableUnitsRow"/>
                    <w:jc w:val="left"/>
                  </w:pPr>
                </w:p>
              </w:tc>
              <w:tc>
                <w:tcPr>
                  <w:tcW w:w="399" w:type="pct"/>
                  <w:tcBorders>
                    <w:top w:val="single" w:sz="6" w:space="0" w:color="BFBFBF"/>
                    <w:bottom w:val="single" w:sz="6" w:space="0" w:color="BFBFBF"/>
                  </w:tcBorders>
                </w:tcPr>
                <w:p w14:paraId="5B0BA053" w14:textId="77777777" w:rsidR="006F45D3" w:rsidRPr="00C52C8A" w:rsidRDefault="006F45D3" w:rsidP="00983812">
                  <w:pPr>
                    <w:pStyle w:val="TableColumnHeading"/>
                    <w:rPr>
                      <w:rStyle w:val="NoteLabel"/>
                    </w:rPr>
                  </w:pPr>
                  <w:r w:rsidRPr="00C52C8A">
                    <w:t>NSW</w:t>
                  </w:r>
                </w:p>
              </w:tc>
              <w:tc>
                <w:tcPr>
                  <w:tcW w:w="399" w:type="pct"/>
                  <w:tcBorders>
                    <w:top w:val="single" w:sz="6" w:space="0" w:color="BFBFBF"/>
                    <w:bottom w:val="single" w:sz="6" w:space="0" w:color="BFBFBF"/>
                  </w:tcBorders>
                </w:tcPr>
                <w:p w14:paraId="68127215" w14:textId="77777777" w:rsidR="006F45D3" w:rsidRPr="00C52C8A" w:rsidRDefault="006F45D3" w:rsidP="00983812">
                  <w:pPr>
                    <w:pStyle w:val="TableColumnHeading"/>
                    <w:rPr>
                      <w:rStyle w:val="NoteLabel"/>
                    </w:rPr>
                  </w:pPr>
                  <w:r w:rsidRPr="00C52C8A">
                    <w:t>Vic</w:t>
                  </w:r>
                </w:p>
              </w:tc>
              <w:tc>
                <w:tcPr>
                  <w:tcW w:w="399" w:type="pct"/>
                  <w:tcBorders>
                    <w:top w:val="single" w:sz="6" w:space="0" w:color="BFBFBF"/>
                    <w:bottom w:val="single" w:sz="6" w:space="0" w:color="BFBFBF"/>
                  </w:tcBorders>
                </w:tcPr>
                <w:p w14:paraId="26AF78FB" w14:textId="77777777" w:rsidR="006F45D3" w:rsidRPr="00C52C8A" w:rsidRDefault="006F45D3" w:rsidP="00983812">
                  <w:pPr>
                    <w:pStyle w:val="TableColumnHeading"/>
                    <w:rPr>
                      <w:rStyle w:val="NoteLabel"/>
                    </w:rPr>
                  </w:pPr>
                  <w:r w:rsidRPr="00C52C8A">
                    <w:t>Qld</w:t>
                  </w:r>
                </w:p>
              </w:tc>
              <w:tc>
                <w:tcPr>
                  <w:tcW w:w="399" w:type="pct"/>
                  <w:tcBorders>
                    <w:top w:val="single" w:sz="6" w:space="0" w:color="BFBFBF"/>
                    <w:bottom w:val="single" w:sz="6" w:space="0" w:color="BFBFBF"/>
                  </w:tcBorders>
                </w:tcPr>
                <w:p w14:paraId="34C0F77F" w14:textId="77777777" w:rsidR="006F45D3" w:rsidRPr="00C52C8A" w:rsidRDefault="006F45D3" w:rsidP="00983812">
                  <w:pPr>
                    <w:pStyle w:val="TableColumnHeading"/>
                    <w:rPr>
                      <w:rStyle w:val="NoteLabel"/>
                    </w:rPr>
                  </w:pPr>
                  <w:r w:rsidRPr="00C52C8A">
                    <w:t>WA</w:t>
                  </w:r>
                </w:p>
              </w:tc>
              <w:tc>
                <w:tcPr>
                  <w:tcW w:w="399" w:type="pct"/>
                  <w:tcBorders>
                    <w:top w:val="single" w:sz="6" w:space="0" w:color="BFBFBF"/>
                    <w:bottom w:val="single" w:sz="6" w:space="0" w:color="BFBFBF"/>
                  </w:tcBorders>
                </w:tcPr>
                <w:p w14:paraId="69E39375" w14:textId="77777777" w:rsidR="006F45D3" w:rsidRPr="00C52C8A" w:rsidRDefault="006F45D3" w:rsidP="00983812">
                  <w:pPr>
                    <w:pStyle w:val="TableColumnHeading"/>
                    <w:rPr>
                      <w:rStyle w:val="NoteLabel"/>
                    </w:rPr>
                  </w:pPr>
                  <w:r w:rsidRPr="00C52C8A">
                    <w:t>SA</w:t>
                  </w:r>
                </w:p>
              </w:tc>
              <w:tc>
                <w:tcPr>
                  <w:tcW w:w="399" w:type="pct"/>
                  <w:tcBorders>
                    <w:top w:val="single" w:sz="6" w:space="0" w:color="BFBFBF"/>
                    <w:bottom w:val="single" w:sz="6" w:space="0" w:color="BFBFBF"/>
                  </w:tcBorders>
                </w:tcPr>
                <w:p w14:paraId="5A9CE4EA" w14:textId="77777777" w:rsidR="006F45D3" w:rsidRPr="00C52C8A" w:rsidRDefault="006F45D3" w:rsidP="00983812">
                  <w:pPr>
                    <w:pStyle w:val="TableColumnHeading"/>
                    <w:rPr>
                      <w:rStyle w:val="NoteLabel"/>
                    </w:rPr>
                  </w:pPr>
                  <w:r w:rsidRPr="00C52C8A">
                    <w:t>Tas</w:t>
                  </w:r>
                </w:p>
              </w:tc>
              <w:tc>
                <w:tcPr>
                  <w:tcW w:w="399" w:type="pct"/>
                  <w:tcBorders>
                    <w:top w:val="single" w:sz="6" w:space="0" w:color="BFBFBF"/>
                    <w:bottom w:val="single" w:sz="6" w:space="0" w:color="BFBFBF"/>
                  </w:tcBorders>
                </w:tcPr>
                <w:p w14:paraId="5006D70C" w14:textId="77777777" w:rsidR="006F45D3" w:rsidRPr="00C52C8A" w:rsidRDefault="006F45D3" w:rsidP="00983812">
                  <w:pPr>
                    <w:pStyle w:val="TableColumnHeading"/>
                    <w:rPr>
                      <w:rStyle w:val="NoteLabel"/>
                    </w:rPr>
                  </w:pPr>
                  <w:r w:rsidRPr="00C52C8A">
                    <w:t>ACT</w:t>
                  </w:r>
                </w:p>
              </w:tc>
              <w:tc>
                <w:tcPr>
                  <w:tcW w:w="400" w:type="pct"/>
                  <w:tcBorders>
                    <w:top w:val="single" w:sz="6" w:space="0" w:color="BFBFBF"/>
                    <w:bottom w:val="single" w:sz="6" w:space="0" w:color="BFBFBF"/>
                  </w:tcBorders>
                </w:tcPr>
                <w:p w14:paraId="3174D2BC" w14:textId="77777777" w:rsidR="006F45D3" w:rsidRPr="00C52C8A" w:rsidRDefault="006F45D3" w:rsidP="00983812">
                  <w:pPr>
                    <w:pStyle w:val="TableColumnHeading"/>
                    <w:rPr>
                      <w:rStyle w:val="NoteLabel"/>
                    </w:rPr>
                  </w:pPr>
                  <w:r w:rsidRPr="00C52C8A">
                    <w:t>NT</w:t>
                  </w:r>
                </w:p>
              </w:tc>
            </w:tr>
            <w:tr w:rsidR="00725258" w:rsidRPr="00C52C8A" w14:paraId="292F290C" w14:textId="77777777" w:rsidTr="00725258">
              <w:tc>
                <w:tcPr>
                  <w:tcW w:w="5000" w:type="pct"/>
                  <w:gridSpan w:val="9"/>
                  <w:tcBorders>
                    <w:top w:val="single" w:sz="6" w:space="0" w:color="BFBFBF"/>
                  </w:tcBorders>
                </w:tcPr>
                <w:p w14:paraId="4D8CAF55" w14:textId="77777777" w:rsidR="00725258" w:rsidRPr="00C52C8A" w:rsidRDefault="00725258" w:rsidP="006F761F">
                  <w:pPr>
                    <w:pStyle w:val="TableBodyText"/>
                    <w:spacing w:before="40"/>
                    <w:ind w:right="28"/>
                    <w:jc w:val="left"/>
                  </w:pPr>
                  <w:r w:rsidRPr="00C52C8A">
                    <w:rPr>
                      <w:b/>
                    </w:rPr>
                    <w:t>Number of young people injured as a result of an assault</w:t>
                  </w:r>
                </w:p>
              </w:tc>
            </w:tr>
            <w:tr w:rsidR="00555001" w:rsidRPr="00C52C8A" w14:paraId="60503802" w14:textId="77777777" w:rsidTr="00113D98">
              <w:tc>
                <w:tcPr>
                  <w:tcW w:w="1807" w:type="pct"/>
                </w:tcPr>
                <w:p w14:paraId="11466AAF" w14:textId="77777777" w:rsidR="00555001" w:rsidRPr="00C52C8A" w:rsidRDefault="00555001" w:rsidP="00555001">
                  <w:pPr>
                    <w:pStyle w:val="TableBodyText"/>
                    <w:jc w:val="left"/>
                  </w:pPr>
                  <w:r w:rsidRPr="00C52C8A">
                    <w:t>Aboriginal and Torres Strait Islander</w:t>
                  </w:r>
                </w:p>
              </w:tc>
              <w:tc>
                <w:tcPr>
                  <w:tcW w:w="399" w:type="pct"/>
                  <w:vAlign w:val="center"/>
                </w:tcPr>
                <w:p w14:paraId="55776D53" w14:textId="51167F55" w:rsidR="00555001" w:rsidRPr="00C52C8A" w:rsidRDefault="00555001" w:rsidP="00555001">
                  <w:pPr>
                    <w:pStyle w:val="TableBodyText"/>
                  </w:pPr>
                  <w:r>
                    <w:rPr>
                      <w:rFonts w:cs="Arial"/>
                      <w:szCs w:val="18"/>
                    </w:rPr>
                    <w:t xml:space="preserve">  58</w:t>
                  </w:r>
                </w:p>
              </w:tc>
              <w:tc>
                <w:tcPr>
                  <w:tcW w:w="399" w:type="pct"/>
                  <w:vAlign w:val="center"/>
                </w:tcPr>
                <w:p w14:paraId="61A9FA5E" w14:textId="671FCD7F" w:rsidR="00555001" w:rsidRPr="00C52C8A" w:rsidRDefault="00555001" w:rsidP="00555001">
                  <w:pPr>
                    <w:pStyle w:val="TableBodyText"/>
                  </w:pPr>
                  <w:r>
                    <w:rPr>
                      <w:rFonts w:cs="Arial"/>
                      <w:szCs w:val="18"/>
                    </w:rPr>
                    <w:t xml:space="preserve">  9</w:t>
                  </w:r>
                </w:p>
              </w:tc>
              <w:tc>
                <w:tcPr>
                  <w:tcW w:w="399" w:type="pct"/>
                  <w:shd w:val="clear" w:color="auto" w:fill="auto"/>
                  <w:vAlign w:val="center"/>
                </w:tcPr>
                <w:p w14:paraId="50F6D398" w14:textId="4A1B7760" w:rsidR="00555001" w:rsidRPr="00C52C8A" w:rsidRDefault="00555001" w:rsidP="00555001">
                  <w:pPr>
                    <w:pStyle w:val="TableBodyText"/>
                  </w:pPr>
                  <w:r>
                    <w:rPr>
                      <w:rFonts w:cs="Arial"/>
                      <w:szCs w:val="18"/>
                    </w:rPr>
                    <w:t xml:space="preserve">  25</w:t>
                  </w:r>
                </w:p>
              </w:tc>
              <w:tc>
                <w:tcPr>
                  <w:tcW w:w="399" w:type="pct"/>
                  <w:vAlign w:val="center"/>
                </w:tcPr>
                <w:p w14:paraId="28205A31" w14:textId="1ABF697B" w:rsidR="00555001" w:rsidRPr="00C52C8A" w:rsidRDefault="00555001" w:rsidP="00555001">
                  <w:pPr>
                    <w:pStyle w:val="TableBodyText"/>
                  </w:pPr>
                  <w:r>
                    <w:rPr>
                      <w:rFonts w:cs="Arial"/>
                      <w:szCs w:val="18"/>
                    </w:rPr>
                    <w:t xml:space="preserve">  28</w:t>
                  </w:r>
                </w:p>
              </w:tc>
              <w:tc>
                <w:tcPr>
                  <w:tcW w:w="399" w:type="pct"/>
                  <w:shd w:val="clear" w:color="auto" w:fill="auto"/>
                  <w:vAlign w:val="center"/>
                </w:tcPr>
                <w:p w14:paraId="7C30D9D2" w14:textId="3C3E51BA" w:rsidR="00555001" w:rsidRPr="00C52C8A" w:rsidRDefault="00555001" w:rsidP="00555001">
                  <w:pPr>
                    <w:pStyle w:val="TableBodyText"/>
                  </w:pPr>
                  <w:r>
                    <w:rPr>
                      <w:rFonts w:cs="Arial"/>
                      <w:szCs w:val="18"/>
                    </w:rPr>
                    <w:t xml:space="preserve">  9</w:t>
                  </w:r>
                </w:p>
              </w:tc>
              <w:tc>
                <w:tcPr>
                  <w:tcW w:w="399" w:type="pct"/>
                  <w:vAlign w:val="center"/>
                </w:tcPr>
                <w:p w14:paraId="79214D30" w14:textId="3DD20F55" w:rsidR="00555001" w:rsidRPr="00C52C8A" w:rsidRDefault="00555001" w:rsidP="00555001">
                  <w:pPr>
                    <w:pStyle w:val="TableBodyText"/>
                  </w:pPr>
                  <w:r>
                    <w:rPr>
                      <w:rFonts w:cs="Arial"/>
                      <w:szCs w:val="18"/>
                    </w:rPr>
                    <w:t xml:space="preserve">  10</w:t>
                  </w:r>
                </w:p>
              </w:tc>
              <w:tc>
                <w:tcPr>
                  <w:tcW w:w="399" w:type="pct"/>
                  <w:shd w:val="clear" w:color="auto" w:fill="auto"/>
                  <w:vAlign w:val="center"/>
                </w:tcPr>
                <w:p w14:paraId="0D9B2D0A" w14:textId="3EA303A6" w:rsidR="00555001" w:rsidRPr="00C52C8A" w:rsidRDefault="00555001" w:rsidP="00555001">
                  <w:pPr>
                    <w:pStyle w:val="TableBodyText"/>
                  </w:pPr>
                  <w:r>
                    <w:rPr>
                      <w:rFonts w:cs="Arial"/>
                      <w:szCs w:val="18"/>
                    </w:rPr>
                    <w:t xml:space="preserve">  2</w:t>
                  </w:r>
                </w:p>
              </w:tc>
              <w:tc>
                <w:tcPr>
                  <w:tcW w:w="400" w:type="pct"/>
                  <w:vAlign w:val="center"/>
                </w:tcPr>
                <w:p w14:paraId="151BA330" w14:textId="0ECFD3FF" w:rsidR="00555001" w:rsidRPr="00C52C8A" w:rsidRDefault="00555001" w:rsidP="00555001">
                  <w:pPr>
                    <w:pStyle w:val="TableBodyText"/>
                  </w:pPr>
                  <w:r>
                    <w:rPr>
                      <w:rFonts w:cs="Arial"/>
                      <w:szCs w:val="18"/>
                    </w:rPr>
                    <w:t xml:space="preserve">  3</w:t>
                  </w:r>
                </w:p>
              </w:tc>
            </w:tr>
            <w:tr w:rsidR="00555001" w:rsidRPr="00C52C8A" w14:paraId="38704CBA" w14:textId="77777777" w:rsidTr="00113D98">
              <w:tc>
                <w:tcPr>
                  <w:tcW w:w="1807" w:type="pct"/>
                </w:tcPr>
                <w:p w14:paraId="0081A130" w14:textId="77777777" w:rsidR="00555001" w:rsidRPr="00C52C8A" w:rsidRDefault="00555001" w:rsidP="00555001">
                  <w:pPr>
                    <w:pStyle w:val="TableBodyText"/>
                    <w:jc w:val="left"/>
                  </w:pPr>
                  <w:r w:rsidRPr="00C52C8A">
                    <w:t>Non</w:t>
                  </w:r>
                  <w:r w:rsidRPr="00C52C8A">
                    <w:noBreakHyphen/>
                    <w:t>Indigenous</w:t>
                  </w:r>
                </w:p>
              </w:tc>
              <w:tc>
                <w:tcPr>
                  <w:tcW w:w="399" w:type="pct"/>
                  <w:vAlign w:val="center"/>
                </w:tcPr>
                <w:p w14:paraId="0811569A" w14:textId="56048533" w:rsidR="00555001" w:rsidRPr="00C52C8A" w:rsidRDefault="00555001" w:rsidP="00555001">
                  <w:pPr>
                    <w:pStyle w:val="TableBodyText"/>
                  </w:pPr>
                  <w:r>
                    <w:rPr>
                      <w:rFonts w:cs="Arial"/>
                      <w:szCs w:val="18"/>
                    </w:rPr>
                    <w:t xml:space="preserve">  55</w:t>
                  </w:r>
                </w:p>
              </w:tc>
              <w:tc>
                <w:tcPr>
                  <w:tcW w:w="399" w:type="pct"/>
                  <w:vAlign w:val="center"/>
                </w:tcPr>
                <w:p w14:paraId="1C341336" w14:textId="0676CBC6" w:rsidR="00555001" w:rsidRPr="00C52C8A" w:rsidRDefault="00555001" w:rsidP="00555001">
                  <w:pPr>
                    <w:pStyle w:val="TableBodyText"/>
                  </w:pPr>
                  <w:r>
                    <w:rPr>
                      <w:rFonts w:cs="Arial"/>
                      <w:szCs w:val="18"/>
                    </w:rPr>
                    <w:t xml:space="preserve">  85</w:t>
                  </w:r>
                </w:p>
              </w:tc>
              <w:tc>
                <w:tcPr>
                  <w:tcW w:w="399" w:type="pct"/>
                  <w:shd w:val="clear" w:color="auto" w:fill="auto"/>
                  <w:vAlign w:val="center"/>
                </w:tcPr>
                <w:p w14:paraId="14D1C59D" w14:textId="16742108" w:rsidR="00555001" w:rsidRPr="00C52C8A" w:rsidRDefault="00555001" w:rsidP="00555001">
                  <w:pPr>
                    <w:pStyle w:val="TableBodyText"/>
                  </w:pPr>
                  <w:r>
                    <w:rPr>
                      <w:rFonts w:cs="Arial"/>
                      <w:szCs w:val="18"/>
                    </w:rPr>
                    <w:t xml:space="preserve">  13</w:t>
                  </w:r>
                </w:p>
              </w:tc>
              <w:tc>
                <w:tcPr>
                  <w:tcW w:w="399" w:type="pct"/>
                  <w:vAlign w:val="center"/>
                </w:tcPr>
                <w:p w14:paraId="4E96E2B3" w14:textId="0023E8EE" w:rsidR="00555001" w:rsidRPr="00C52C8A" w:rsidRDefault="00555001" w:rsidP="00555001">
                  <w:pPr>
                    <w:pStyle w:val="TableBodyText"/>
                  </w:pPr>
                  <w:r>
                    <w:rPr>
                      <w:rFonts w:cs="Arial"/>
                      <w:szCs w:val="18"/>
                    </w:rPr>
                    <w:t xml:space="preserve">  24</w:t>
                  </w:r>
                </w:p>
              </w:tc>
              <w:tc>
                <w:tcPr>
                  <w:tcW w:w="399" w:type="pct"/>
                  <w:shd w:val="clear" w:color="auto" w:fill="auto"/>
                  <w:vAlign w:val="center"/>
                </w:tcPr>
                <w:p w14:paraId="0D83DA3D" w14:textId="7CABAEB3" w:rsidR="00555001" w:rsidRPr="00C52C8A" w:rsidRDefault="00555001" w:rsidP="00555001">
                  <w:pPr>
                    <w:pStyle w:val="TableBodyText"/>
                  </w:pPr>
                  <w:r>
                    <w:rPr>
                      <w:rFonts w:cs="Arial"/>
                      <w:szCs w:val="18"/>
                    </w:rPr>
                    <w:t xml:space="preserve">  16</w:t>
                  </w:r>
                </w:p>
              </w:tc>
              <w:tc>
                <w:tcPr>
                  <w:tcW w:w="399" w:type="pct"/>
                  <w:vAlign w:val="center"/>
                </w:tcPr>
                <w:p w14:paraId="165812DB" w14:textId="615A0ABA" w:rsidR="00555001" w:rsidRPr="00C52C8A" w:rsidRDefault="00555001" w:rsidP="00555001">
                  <w:pPr>
                    <w:pStyle w:val="TableBodyText"/>
                  </w:pPr>
                  <w:r>
                    <w:rPr>
                      <w:rFonts w:cs="Arial"/>
                      <w:szCs w:val="18"/>
                    </w:rPr>
                    <w:t xml:space="preserve">  18</w:t>
                  </w:r>
                </w:p>
              </w:tc>
              <w:tc>
                <w:tcPr>
                  <w:tcW w:w="399" w:type="pct"/>
                  <w:shd w:val="clear" w:color="auto" w:fill="auto"/>
                  <w:vAlign w:val="center"/>
                </w:tcPr>
                <w:p w14:paraId="4BD813FB" w14:textId="565A79FB" w:rsidR="00555001" w:rsidRPr="00C52C8A" w:rsidRDefault="00555001" w:rsidP="00555001">
                  <w:pPr>
                    <w:pStyle w:val="TableBodyText"/>
                  </w:pPr>
                  <w:r>
                    <w:rPr>
                      <w:rFonts w:cs="Arial"/>
                      <w:szCs w:val="18"/>
                    </w:rPr>
                    <w:t xml:space="preserve">  2</w:t>
                  </w:r>
                </w:p>
              </w:tc>
              <w:tc>
                <w:tcPr>
                  <w:tcW w:w="400" w:type="pct"/>
                  <w:vAlign w:val="center"/>
                </w:tcPr>
                <w:p w14:paraId="3B835568" w14:textId="6806680D" w:rsidR="00555001" w:rsidRPr="00C52C8A" w:rsidRDefault="00555001" w:rsidP="00555001">
                  <w:pPr>
                    <w:pStyle w:val="TableBodyText"/>
                  </w:pPr>
                  <w:r>
                    <w:rPr>
                      <w:rFonts w:cs="Arial"/>
                      <w:szCs w:val="18"/>
                    </w:rPr>
                    <w:t>–</w:t>
                  </w:r>
                </w:p>
              </w:tc>
            </w:tr>
            <w:tr w:rsidR="00555001" w:rsidRPr="00C52C8A" w14:paraId="13278BDE" w14:textId="77777777" w:rsidTr="00113D98">
              <w:tc>
                <w:tcPr>
                  <w:tcW w:w="1807" w:type="pct"/>
                </w:tcPr>
                <w:p w14:paraId="7F499322" w14:textId="77777777" w:rsidR="00555001" w:rsidRPr="00C52C8A" w:rsidRDefault="00555001" w:rsidP="00555001">
                  <w:pPr>
                    <w:pStyle w:val="TableBodyText"/>
                    <w:jc w:val="left"/>
                    <w:rPr>
                      <w:b/>
                    </w:rPr>
                  </w:pPr>
                  <w:r w:rsidRPr="00C52C8A">
                    <w:rPr>
                      <w:b/>
                    </w:rPr>
                    <w:t>Total</w:t>
                  </w:r>
                </w:p>
              </w:tc>
              <w:tc>
                <w:tcPr>
                  <w:tcW w:w="399" w:type="pct"/>
                  <w:vAlign w:val="center"/>
                </w:tcPr>
                <w:p w14:paraId="449E8759" w14:textId="58D29AB4" w:rsidR="00555001" w:rsidRPr="00C52C8A" w:rsidRDefault="00555001" w:rsidP="00555001">
                  <w:pPr>
                    <w:pStyle w:val="TableBodyText"/>
                    <w:rPr>
                      <w:b/>
                    </w:rPr>
                  </w:pPr>
                  <w:r>
                    <w:rPr>
                      <w:rFonts w:cs="Arial"/>
                      <w:b/>
                      <w:bCs/>
                      <w:szCs w:val="18"/>
                    </w:rPr>
                    <w:t xml:space="preserve">  113</w:t>
                  </w:r>
                </w:p>
              </w:tc>
              <w:tc>
                <w:tcPr>
                  <w:tcW w:w="399" w:type="pct"/>
                  <w:vAlign w:val="center"/>
                </w:tcPr>
                <w:p w14:paraId="10BB2EE3" w14:textId="2285DF62" w:rsidR="00555001" w:rsidRPr="00C52C8A" w:rsidRDefault="00555001" w:rsidP="00555001">
                  <w:pPr>
                    <w:pStyle w:val="TableBodyText"/>
                    <w:rPr>
                      <w:b/>
                    </w:rPr>
                  </w:pPr>
                  <w:r>
                    <w:rPr>
                      <w:rFonts w:cs="Arial"/>
                      <w:b/>
                      <w:bCs/>
                      <w:szCs w:val="18"/>
                    </w:rPr>
                    <w:t xml:space="preserve">  94</w:t>
                  </w:r>
                </w:p>
              </w:tc>
              <w:tc>
                <w:tcPr>
                  <w:tcW w:w="399" w:type="pct"/>
                  <w:shd w:val="clear" w:color="auto" w:fill="auto"/>
                  <w:vAlign w:val="center"/>
                </w:tcPr>
                <w:p w14:paraId="78026DDD" w14:textId="04D76CFA" w:rsidR="00555001" w:rsidRPr="00C52C8A" w:rsidRDefault="00555001" w:rsidP="00555001">
                  <w:pPr>
                    <w:pStyle w:val="TableBodyText"/>
                    <w:rPr>
                      <w:b/>
                    </w:rPr>
                  </w:pPr>
                  <w:r>
                    <w:rPr>
                      <w:rFonts w:cs="Arial"/>
                      <w:b/>
                      <w:bCs/>
                      <w:szCs w:val="18"/>
                    </w:rPr>
                    <w:t xml:space="preserve">  38</w:t>
                  </w:r>
                </w:p>
              </w:tc>
              <w:tc>
                <w:tcPr>
                  <w:tcW w:w="399" w:type="pct"/>
                  <w:vAlign w:val="center"/>
                </w:tcPr>
                <w:p w14:paraId="103DA85B" w14:textId="577C530A" w:rsidR="00555001" w:rsidRPr="00C52C8A" w:rsidRDefault="00555001" w:rsidP="00555001">
                  <w:pPr>
                    <w:pStyle w:val="TableBodyText"/>
                    <w:rPr>
                      <w:b/>
                    </w:rPr>
                  </w:pPr>
                  <w:r>
                    <w:rPr>
                      <w:rFonts w:cs="Arial"/>
                      <w:b/>
                      <w:bCs/>
                      <w:szCs w:val="18"/>
                    </w:rPr>
                    <w:t xml:space="preserve">  52</w:t>
                  </w:r>
                </w:p>
              </w:tc>
              <w:tc>
                <w:tcPr>
                  <w:tcW w:w="399" w:type="pct"/>
                  <w:shd w:val="clear" w:color="auto" w:fill="auto"/>
                  <w:vAlign w:val="center"/>
                </w:tcPr>
                <w:p w14:paraId="28706248" w14:textId="578A8484" w:rsidR="00555001" w:rsidRPr="00C52C8A" w:rsidRDefault="00555001" w:rsidP="00555001">
                  <w:pPr>
                    <w:pStyle w:val="TableBodyText"/>
                    <w:rPr>
                      <w:b/>
                    </w:rPr>
                  </w:pPr>
                  <w:r>
                    <w:rPr>
                      <w:rFonts w:cs="Arial"/>
                      <w:b/>
                      <w:bCs/>
                      <w:szCs w:val="18"/>
                    </w:rPr>
                    <w:t xml:space="preserve">  25</w:t>
                  </w:r>
                </w:p>
              </w:tc>
              <w:tc>
                <w:tcPr>
                  <w:tcW w:w="399" w:type="pct"/>
                  <w:vAlign w:val="center"/>
                </w:tcPr>
                <w:p w14:paraId="7A7738F9" w14:textId="780AACA4" w:rsidR="00555001" w:rsidRPr="00C52C8A" w:rsidRDefault="00555001" w:rsidP="00555001">
                  <w:pPr>
                    <w:pStyle w:val="TableBodyText"/>
                    <w:rPr>
                      <w:b/>
                    </w:rPr>
                  </w:pPr>
                  <w:r>
                    <w:rPr>
                      <w:rFonts w:cs="Arial"/>
                      <w:b/>
                      <w:bCs/>
                      <w:szCs w:val="18"/>
                    </w:rPr>
                    <w:t xml:space="preserve">  28</w:t>
                  </w:r>
                </w:p>
              </w:tc>
              <w:tc>
                <w:tcPr>
                  <w:tcW w:w="399" w:type="pct"/>
                  <w:shd w:val="clear" w:color="auto" w:fill="auto"/>
                  <w:vAlign w:val="center"/>
                </w:tcPr>
                <w:p w14:paraId="4AD199F9" w14:textId="4C8E16F9" w:rsidR="00555001" w:rsidRPr="00C52C8A" w:rsidRDefault="00555001" w:rsidP="00555001">
                  <w:pPr>
                    <w:pStyle w:val="TableBodyText"/>
                    <w:rPr>
                      <w:b/>
                    </w:rPr>
                  </w:pPr>
                  <w:r>
                    <w:rPr>
                      <w:rFonts w:cs="Arial"/>
                      <w:b/>
                      <w:bCs/>
                      <w:szCs w:val="18"/>
                    </w:rPr>
                    <w:t xml:space="preserve">  4</w:t>
                  </w:r>
                </w:p>
              </w:tc>
              <w:tc>
                <w:tcPr>
                  <w:tcW w:w="400" w:type="pct"/>
                  <w:vAlign w:val="center"/>
                </w:tcPr>
                <w:p w14:paraId="660CC67D" w14:textId="021430FE" w:rsidR="00555001" w:rsidRPr="00C52C8A" w:rsidRDefault="00555001" w:rsidP="00555001">
                  <w:pPr>
                    <w:pStyle w:val="TableBodyText"/>
                    <w:rPr>
                      <w:b/>
                    </w:rPr>
                  </w:pPr>
                  <w:r>
                    <w:rPr>
                      <w:rFonts w:cs="Arial"/>
                      <w:b/>
                      <w:bCs/>
                      <w:szCs w:val="18"/>
                    </w:rPr>
                    <w:t xml:space="preserve">  3</w:t>
                  </w:r>
                </w:p>
              </w:tc>
            </w:tr>
            <w:tr w:rsidR="00555001" w:rsidRPr="00C52C8A" w14:paraId="037EDBCC" w14:textId="77777777" w:rsidTr="00113D98">
              <w:tc>
                <w:tcPr>
                  <w:tcW w:w="1807" w:type="pct"/>
                </w:tcPr>
                <w:p w14:paraId="6F2D910C" w14:textId="77777777" w:rsidR="00555001" w:rsidRPr="00C52C8A" w:rsidRDefault="00555001" w:rsidP="00555001">
                  <w:pPr>
                    <w:pStyle w:val="TableBodyText"/>
                    <w:ind w:right="0"/>
                    <w:jc w:val="left"/>
                    <w:rPr>
                      <w:b/>
                    </w:rPr>
                  </w:pPr>
                  <w:r w:rsidRPr="00C52C8A">
                    <w:rPr>
                      <w:b/>
                    </w:rPr>
                    <w:t>Rate per 10 000 custody nights</w:t>
                  </w:r>
                </w:p>
              </w:tc>
              <w:tc>
                <w:tcPr>
                  <w:tcW w:w="399" w:type="pct"/>
                  <w:vAlign w:val="center"/>
                </w:tcPr>
                <w:p w14:paraId="42226B8D" w14:textId="77777777" w:rsidR="00555001" w:rsidRPr="00C52C8A" w:rsidRDefault="00555001" w:rsidP="00555001">
                  <w:pPr>
                    <w:pStyle w:val="TableBodyText"/>
                  </w:pPr>
                </w:p>
              </w:tc>
              <w:tc>
                <w:tcPr>
                  <w:tcW w:w="399" w:type="pct"/>
                  <w:vAlign w:val="center"/>
                </w:tcPr>
                <w:p w14:paraId="3D84D32B" w14:textId="77777777" w:rsidR="00555001" w:rsidRPr="00C52C8A" w:rsidRDefault="00555001" w:rsidP="00555001">
                  <w:pPr>
                    <w:pStyle w:val="TableBodyText"/>
                    <w:ind w:right="28"/>
                  </w:pPr>
                </w:p>
              </w:tc>
              <w:tc>
                <w:tcPr>
                  <w:tcW w:w="399" w:type="pct"/>
                  <w:shd w:val="clear" w:color="auto" w:fill="auto"/>
                  <w:vAlign w:val="center"/>
                </w:tcPr>
                <w:p w14:paraId="2BA5F562" w14:textId="77777777" w:rsidR="00555001" w:rsidRPr="00C52C8A" w:rsidRDefault="00555001" w:rsidP="00555001">
                  <w:pPr>
                    <w:pStyle w:val="TableBodyText"/>
                    <w:ind w:right="28"/>
                  </w:pPr>
                </w:p>
              </w:tc>
              <w:tc>
                <w:tcPr>
                  <w:tcW w:w="399" w:type="pct"/>
                  <w:vAlign w:val="center"/>
                </w:tcPr>
                <w:p w14:paraId="18C3857F" w14:textId="77777777" w:rsidR="00555001" w:rsidRPr="00C52C8A" w:rsidRDefault="00555001" w:rsidP="00555001">
                  <w:pPr>
                    <w:pStyle w:val="TableBodyText"/>
                    <w:ind w:right="28"/>
                  </w:pPr>
                </w:p>
              </w:tc>
              <w:tc>
                <w:tcPr>
                  <w:tcW w:w="399" w:type="pct"/>
                  <w:shd w:val="clear" w:color="auto" w:fill="auto"/>
                  <w:vAlign w:val="center"/>
                </w:tcPr>
                <w:p w14:paraId="1FE52B43" w14:textId="77777777" w:rsidR="00555001" w:rsidRPr="00C52C8A" w:rsidRDefault="00555001" w:rsidP="00555001">
                  <w:pPr>
                    <w:pStyle w:val="TableBodyText"/>
                    <w:ind w:right="28"/>
                  </w:pPr>
                </w:p>
              </w:tc>
              <w:tc>
                <w:tcPr>
                  <w:tcW w:w="399" w:type="pct"/>
                  <w:vAlign w:val="center"/>
                </w:tcPr>
                <w:p w14:paraId="35B95FD0" w14:textId="77777777" w:rsidR="00555001" w:rsidRPr="00C52C8A" w:rsidRDefault="00555001" w:rsidP="00555001">
                  <w:pPr>
                    <w:pStyle w:val="TableBodyText"/>
                    <w:ind w:right="28"/>
                  </w:pPr>
                </w:p>
              </w:tc>
              <w:tc>
                <w:tcPr>
                  <w:tcW w:w="399" w:type="pct"/>
                  <w:shd w:val="clear" w:color="auto" w:fill="auto"/>
                  <w:vAlign w:val="center"/>
                </w:tcPr>
                <w:p w14:paraId="239D8A6D" w14:textId="77777777" w:rsidR="00555001" w:rsidRPr="00C52C8A" w:rsidRDefault="00555001" w:rsidP="00555001">
                  <w:pPr>
                    <w:pStyle w:val="TableBodyText"/>
                    <w:ind w:right="28"/>
                  </w:pPr>
                </w:p>
              </w:tc>
              <w:tc>
                <w:tcPr>
                  <w:tcW w:w="400" w:type="pct"/>
                  <w:vAlign w:val="center"/>
                </w:tcPr>
                <w:p w14:paraId="6DD44598" w14:textId="77777777" w:rsidR="00555001" w:rsidRPr="00C52C8A" w:rsidRDefault="00555001" w:rsidP="00555001">
                  <w:pPr>
                    <w:pStyle w:val="TableBodyText"/>
                    <w:ind w:right="28"/>
                  </w:pPr>
                </w:p>
              </w:tc>
            </w:tr>
            <w:tr w:rsidR="00555001" w:rsidRPr="00C52C8A" w14:paraId="000EA36C" w14:textId="77777777" w:rsidTr="00113D98">
              <w:tc>
                <w:tcPr>
                  <w:tcW w:w="1807" w:type="pct"/>
                </w:tcPr>
                <w:p w14:paraId="34C2D316" w14:textId="77777777" w:rsidR="00555001" w:rsidRPr="00C52C8A" w:rsidRDefault="00555001" w:rsidP="00555001">
                  <w:pPr>
                    <w:pStyle w:val="TableBodyText"/>
                    <w:jc w:val="left"/>
                  </w:pPr>
                  <w:r w:rsidRPr="00C52C8A">
                    <w:t>Aboriginal and Torres Strait Islander</w:t>
                  </w:r>
                </w:p>
              </w:tc>
              <w:tc>
                <w:tcPr>
                  <w:tcW w:w="399" w:type="pct"/>
                  <w:vAlign w:val="center"/>
                </w:tcPr>
                <w:p w14:paraId="3128D2C0" w14:textId="5BA82E47" w:rsidR="00555001" w:rsidRPr="00C52C8A" w:rsidRDefault="00555001" w:rsidP="00555001">
                  <w:pPr>
                    <w:pStyle w:val="TableBodyText"/>
                  </w:pPr>
                  <w:r>
                    <w:rPr>
                      <w:rFonts w:cs="Arial"/>
                      <w:szCs w:val="18"/>
                    </w:rPr>
                    <w:t xml:space="preserve">  14.1</w:t>
                  </w:r>
                </w:p>
              </w:tc>
              <w:tc>
                <w:tcPr>
                  <w:tcW w:w="399" w:type="pct"/>
                  <w:vAlign w:val="center"/>
                </w:tcPr>
                <w:p w14:paraId="0629EED6" w14:textId="5E0447DD" w:rsidR="00555001" w:rsidRPr="00C52C8A" w:rsidRDefault="00555001" w:rsidP="00555001">
                  <w:pPr>
                    <w:pStyle w:val="TableBodyText"/>
                  </w:pPr>
                  <w:r>
                    <w:rPr>
                      <w:rFonts w:cs="Arial"/>
                      <w:szCs w:val="18"/>
                    </w:rPr>
                    <w:t xml:space="preserve">  9.6</w:t>
                  </w:r>
                </w:p>
              </w:tc>
              <w:tc>
                <w:tcPr>
                  <w:tcW w:w="399" w:type="pct"/>
                  <w:shd w:val="clear" w:color="auto" w:fill="auto"/>
                  <w:vAlign w:val="center"/>
                </w:tcPr>
                <w:p w14:paraId="11BC4E7A" w14:textId="6545D39B" w:rsidR="00555001" w:rsidRPr="00C52C8A" w:rsidRDefault="00555001" w:rsidP="00555001">
                  <w:pPr>
                    <w:pStyle w:val="TableBodyText"/>
                  </w:pPr>
                  <w:r>
                    <w:rPr>
                      <w:rFonts w:cs="Arial"/>
                      <w:szCs w:val="18"/>
                    </w:rPr>
                    <w:t xml:space="preserve">  4.9</w:t>
                  </w:r>
                </w:p>
              </w:tc>
              <w:tc>
                <w:tcPr>
                  <w:tcW w:w="399" w:type="pct"/>
                  <w:vAlign w:val="center"/>
                </w:tcPr>
                <w:p w14:paraId="001B63C8" w14:textId="42D3D7D8" w:rsidR="00555001" w:rsidRPr="00C52C8A" w:rsidRDefault="00555001" w:rsidP="00555001">
                  <w:pPr>
                    <w:pStyle w:val="TableBodyText"/>
                  </w:pPr>
                  <w:r>
                    <w:rPr>
                      <w:rFonts w:cs="Arial"/>
                      <w:szCs w:val="18"/>
                    </w:rPr>
                    <w:t xml:space="preserve">  9.9</w:t>
                  </w:r>
                </w:p>
              </w:tc>
              <w:tc>
                <w:tcPr>
                  <w:tcW w:w="399" w:type="pct"/>
                  <w:shd w:val="clear" w:color="auto" w:fill="auto"/>
                  <w:vAlign w:val="center"/>
                </w:tcPr>
                <w:p w14:paraId="35CFB1BE" w14:textId="540C60F2" w:rsidR="00555001" w:rsidRPr="00C52C8A" w:rsidRDefault="00555001" w:rsidP="00555001">
                  <w:pPr>
                    <w:pStyle w:val="TableBodyText"/>
                  </w:pPr>
                  <w:r>
                    <w:rPr>
                      <w:rFonts w:cs="Arial"/>
                      <w:szCs w:val="18"/>
                    </w:rPr>
                    <w:t xml:space="preserve">  13.6</w:t>
                  </w:r>
                </w:p>
              </w:tc>
              <w:tc>
                <w:tcPr>
                  <w:tcW w:w="399" w:type="pct"/>
                  <w:vAlign w:val="center"/>
                </w:tcPr>
                <w:p w14:paraId="7BE2A7CE" w14:textId="79EFF7D5" w:rsidR="00555001" w:rsidRPr="00C52C8A" w:rsidRDefault="00555001" w:rsidP="00555001">
                  <w:pPr>
                    <w:pStyle w:val="TableBodyText"/>
                  </w:pPr>
                  <w:r>
                    <w:rPr>
                      <w:rFonts w:cs="Arial"/>
                      <w:szCs w:val="18"/>
                    </w:rPr>
                    <w:t xml:space="preserve">  44.0</w:t>
                  </w:r>
                </w:p>
              </w:tc>
              <w:tc>
                <w:tcPr>
                  <w:tcW w:w="399" w:type="pct"/>
                  <w:shd w:val="clear" w:color="auto" w:fill="auto"/>
                  <w:vAlign w:val="center"/>
                </w:tcPr>
                <w:p w14:paraId="414C73A3" w14:textId="06039101" w:rsidR="00555001" w:rsidRPr="00C52C8A" w:rsidRDefault="00555001" w:rsidP="00555001">
                  <w:pPr>
                    <w:pStyle w:val="TableBodyText"/>
                  </w:pPr>
                  <w:r>
                    <w:rPr>
                      <w:rFonts w:cs="Arial"/>
                      <w:szCs w:val="18"/>
                    </w:rPr>
                    <w:t xml:space="preserve">  10.7</w:t>
                  </w:r>
                </w:p>
              </w:tc>
              <w:tc>
                <w:tcPr>
                  <w:tcW w:w="400" w:type="pct"/>
                  <w:vAlign w:val="center"/>
                </w:tcPr>
                <w:p w14:paraId="2CFCF9F9" w14:textId="51DE991F" w:rsidR="00555001" w:rsidRPr="00C52C8A" w:rsidRDefault="00555001" w:rsidP="00555001">
                  <w:pPr>
                    <w:pStyle w:val="TableBodyText"/>
                  </w:pPr>
                  <w:r>
                    <w:rPr>
                      <w:rFonts w:cs="Arial"/>
                      <w:szCs w:val="18"/>
                    </w:rPr>
                    <w:t xml:space="preserve">  3.5</w:t>
                  </w:r>
                </w:p>
              </w:tc>
            </w:tr>
            <w:tr w:rsidR="00555001" w:rsidRPr="00C52C8A" w14:paraId="7624D459" w14:textId="77777777" w:rsidTr="00113D98">
              <w:tc>
                <w:tcPr>
                  <w:tcW w:w="1807" w:type="pct"/>
                </w:tcPr>
                <w:p w14:paraId="4CA0112B" w14:textId="77777777" w:rsidR="00555001" w:rsidRPr="00C52C8A" w:rsidRDefault="00555001" w:rsidP="00555001">
                  <w:pPr>
                    <w:pStyle w:val="TableBodyText"/>
                    <w:jc w:val="left"/>
                  </w:pPr>
                  <w:r w:rsidRPr="00C52C8A">
                    <w:t>Non</w:t>
                  </w:r>
                  <w:r w:rsidRPr="00C52C8A">
                    <w:noBreakHyphen/>
                    <w:t>Indigenous</w:t>
                  </w:r>
                </w:p>
              </w:tc>
              <w:tc>
                <w:tcPr>
                  <w:tcW w:w="399" w:type="pct"/>
                  <w:vAlign w:val="center"/>
                </w:tcPr>
                <w:p w14:paraId="33BF7B89" w14:textId="63A51838" w:rsidR="00555001" w:rsidRPr="00C52C8A" w:rsidRDefault="00555001" w:rsidP="00555001">
                  <w:pPr>
                    <w:pStyle w:val="TableBodyText"/>
                  </w:pPr>
                  <w:r>
                    <w:rPr>
                      <w:rFonts w:cs="Arial"/>
                      <w:szCs w:val="18"/>
                    </w:rPr>
                    <w:t xml:space="preserve">  11.0</w:t>
                  </w:r>
                </w:p>
              </w:tc>
              <w:tc>
                <w:tcPr>
                  <w:tcW w:w="399" w:type="pct"/>
                  <w:vAlign w:val="center"/>
                </w:tcPr>
                <w:p w14:paraId="53F300DF" w14:textId="4F9F1401" w:rsidR="00555001" w:rsidRPr="00C52C8A" w:rsidRDefault="00555001" w:rsidP="00555001">
                  <w:pPr>
                    <w:pStyle w:val="TableBodyText"/>
                  </w:pPr>
                  <w:r>
                    <w:rPr>
                      <w:rFonts w:cs="Arial"/>
                      <w:szCs w:val="18"/>
                    </w:rPr>
                    <w:t xml:space="preserve">  14.5</w:t>
                  </w:r>
                </w:p>
              </w:tc>
              <w:tc>
                <w:tcPr>
                  <w:tcW w:w="399" w:type="pct"/>
                  <w:shd w:val="clear" w:color="auto" w:fill="auto"/>
                  <w:vAlign w:val="center"/>
                </w:tcPr>
                <w:p w14:paraId="2C755D81" w14:textId="24CF4747" w:rsidR="00555001" w:rsidRPr="00C52C8A" w:rsidRDefault="00555001" w:rsidP="00555001">
                  <w:pPr>
                    <w:pStyle w:val="TableBodyText"/>
                  </w:pPr>
                  <w:r>
                    <w:rPr>
                      <w:rFonts w:cs="Arial"/>
                      <w:szCs w:val="18"/>
                    </w:rPr>
                    <w:t xml:space="preserve">  6.0</w:t>
                  </w:r>
                </w:p>
              </w:tc>
              <w:tc>
                <w:tcPr>
                  <w:tcW w:w="399" w:type="pct"/>
                  <w:shd w:val="clear" w:color="auto" w:fill="auto"/>
                  <w:vAlign w:val="center"/>
                </w:tcPr>
                <w:p w14:paraId="2D90E652" w14:textId="3EEE2B43" w:rsidR="00555001" w:rsidRPr="00C52C8A" w:rsidRDefault="00555001" w:rsidP="00555001">
                  <w:pPr>
                    <w:pStyle w:val="TableBodyText"/>
                  </w:pPr>
                  <w:r>
                    <w:rPr>
                      <w:rFonts w:cs="Arial"/>
                      <w:szCs w:val="18"/>
                    </w:rPr>
                    <w:t xml:space="preserve">  22.1</w:t>
                  </w:r>
                </w:p>
              </w:tc>
              <w:tc>
                <w:tcPr>
                  <w:tcW w:w="399" w:type="pct"/>
                  <w:shd w:val="clear" w:color="auto" w:fill="auto"/>
                  <w:vAlign w:val="center"/>
                </w:tcPr>
                <w:p w14:paraId="2AE0A411" w14:textId="51FE7338" w:rsidR="00555001" w:rsidRPr="00C52C8A" w:rsidRDefault="00555001" w:rsidP="00555001">
                  <w:pPr>
                    <w:pStyle w:val="TableBodyText"/>
                  </w:pPr>
                  <w:r>
                    <w:rPr>
                      <w:rFonts w:cs="Arial"/>
                      <w:szCs w:val="18"/>
                    </w:rPr>
                    <w:t xml:space="preserve">  26.4</w:t>
                  </w:r>
                </w:p>
              </w:tc>
              <w:tc>
                <w:tcPr>
                  <w:tcW w:w="399" w:type="pct"/>
                  <w:vAlign w:val="center"/>
                </w:tcPr>
                <w:p w14:paraId="0702F692" w14:textId="299708EE" w:rsidR="00555001" w:rsidRPr="00C52C8A" w:rsidRDefault="00555001" w:rsidP="00555001">
                  <w:pPr>
                    <w:pStyle w:val="TableBodyText"/>
                  </w:pPr>
                  <w:r>
                    <w:rPr>
                      <w:rFonts w:cs="Arial"/>
                      <w:szCs w:val="18"/>
                    </w:rPr>
                    <w:t xml:space="preserve">  53.5</w:t>
                  </w:r>
                </w:p>
              </w:tc>
              <w:tc>
                <w:tcPr>
                  <w:tcW w:w="399" w:type="pct"/>
                  <w:shd w:val="clear" w:color="auto" w:fill="auto"/>
                  <w:vAlign w:val="center"/>
                </w:tcPr>
                <w:p w14:paraId="17BA0314" w14:textId="223E6748" w:rsidR="00555001" w:rsidRPr="00C52C8A" w:rsidRDefault="00555001" w:rsidP="00555001">
                  <w:pPr>
                    <w:pStyle w:val="TableBodyText"/>
                  </w:pPr>
                  <w:r>
                    <w:rPr>
                      <w:rFonts w:cs="Arial"/>
                      <w:szCs w:val="18"/>
                    </w:rPr>
                    <w:t xml:space="preserve">  5.4</w:t>
                  </w:r>
                </w:p>
              </w:tc>
              <w:tc>
                <w:tcPr>
                  <w:tcW w:w="400" w:type="pct"/>
                  <w:vAlign w:val="center"/>
                </w:tcPr>
                <w:p w14:paraId="5614C70B" w14:textId="4F0D004F" w:rsidR="00555001" w:rsidRPr="00C52C8A" w:rsidRDefault="00555001" w:rsidP="00555001">
                  <w:pPr>
                    <w:pStyle w:val="TableBodyText"/>
                  </w:pPr>
                  <w:r>
                    <w:rPr>
                      <w:rFonts w:cs="Arial"/>
                      <w:szCs w:val="18"/>
                    </w:rPr>
                    <w:t>–</w:t>
                  </w:r>
                </w:p>
              </w:tc>
            </w:tr>
            <w:tr w:rsidR="00555001" w:rsidRPr="00C52C8A" w14:paraId="3CDED1C1" w14:textId="77777777" w:rsidTr="00113D98">
              <w:tc>
                <w:tcPr>
                  <w:tcW w:w="1807" w:type="pct"/>
                  <w:tcBorders>
                    <w:bottom w:val="single" w:sz="6" w:space="0" w:color="C8C8C8"/>
                  </w:tcBorders>
                  <w:shd w:val="clear" w:color="auto" w:fill="auto"/>
                </w:tcPr>
                <w:p w14:paraId="672C1CC5" w14:textId="77777777" w:rsidR="00555001" w:rsidRPr="00C52C8A" w:rsidRDefault="00555001" w:rsidP="00555001">
                  <w:pPr>
                    <w:pStyle w:val="TableBodyText"/>
                    <w:jc w:val="left"/>
                    <w:rPr>
                      <w:b/>
                    </w:rPr>
                  </w:pPr>
                  <w:r w:rsidRPr="00C52C8A">
                    <w:rPr>
                      <w:b/>
                    </w:rPr>
                    <w:t>Total</w:t>
                  </w:r>
                </w:p>
              </w:tc>
              <w:tc>
                <w:tcPr>
                  <w:tcW w:w="399" w:type="pct"/>
                  <w:tcBorders>
                    <w:bottom w:val="single" w:sz="6" w:space="0" w:color="C8C8C8"/>
                  </w:tcBorders>
                  <w:shd w:val="clear" w:color="auto" w:fill="auto"/>
                  <w:vAlign w:val="center"/>
                </w:tcPr>
                <w:p w14:paraId="22588E1B" w14:textId="40D1B7A8" w:rsidR="00555001" w:rsidRPr="00C52C8A" w:rsidRDefault="00555001" w:rsidP="00555001">
                  <w:pPr>
                    <w:pStyle w:val="TableBodyText"/>
                    <w:rPr>
                      <w:b/>
                    </w:rPr>
                  </w:pPr>
                  <w:r>
                    <w:rPr>
                      <w:rFonts w:cs="Arial"/>
                      <w:b/>
                      <w:bCs/>
                      <w:szCs w:val="18"/>
                    </w:rPr>
                    <w:t xml:space="preserve">  12.3</w:t>
                  </w:r>
                </w:p>
              </w:tc>
              <w:tc>
                <w:tcPr>
                  <w:tcW w:w="399" w:type="pct"/>
                  <w:tcBorders>
                    <w:bottom w:val="single" w:sz="6" w:space="0" w:color="C8C8C8"/>
                  </w:tcBorders>
                  <w:shd w:val="clear" w:color="auto" w:fill="auto"/>
                  <w:vAlign w:val="center"/>
                </w:tcPr>
                <w:p w14:paraId="3A5061CC" w14:textId="487F8385" w:rsidR="00555001" w:rsidRPr="00C52C8A" w:rsidRDefault="00555001" w:rsidP="00555001">
                  <w:pPr>
                    <w:pStyle w:val="TableBodyText"/>
                    <w:rPr>
                      <w:b/>
                    </w:rPr>
                  </w:pPr>
                  <w:r>
                    <w:rPr>
                      <w:rFonts w:cs="Arial"/>
                      <w:b/>
                      <w:bCs/>
                      <w:szCs w:val="18"/>
                    </w:rPr>
                    <w:t xml:space="preserve">  13.9</w:t>
                  </w:r>
                </w:p>
              </w:tc>
              <w:tc>
                <w:tcPr>
                  <w:tcW w:w="399" w:type="pct"/>
                  <w:tcBorders>
                    <w:bottom w:val="single" w:sz="6" w:space="0" w:color="C8C8C8"/>
                  </w:tcBorders>
                  <w:shd w:val="clear" w:color="auto" w:fill="auto"/>
                  <w:vAlign w:val="center"/>
                </w:tcPr>
                <w:p w14:paraId="38C4AD98" w14:textId="5EE556D6" w:rsidR="00555001" w:rsidRPr="00C52C8A" w:rsidRDefault="00555001" w:rsidP="00555001">
                  <w:pPr>
                    <w:pStyle w:val="TableBodyText"/>
                    <w:rPr>
                      <w:b/>
                    </w:rPr>
                  </w:pPr>
                  <w:r>
                    <w:rPr>
                      <w:rFonts w:cs="Arial"/>
                      <w:b/>
                      <w:bCs/>
                      <w:szCs w:val="18"/>
                    </w:rPr>
                    <w:t xml:space="preserve">  5.2</w:t>
                  </w:r>
                </w:p>
              </w:tc>
              <w:tc>
                <w:tcPr>
                  <w:tcW w:w="399" w:type="pct"/>
                  <w:tcBorders>
                    <w:bottom w:val="single" w:sz="6" w:space="0" w:color="C8C8C8"/>
                  </w:tcBorders>
                  <w:shd w:val="clear" w:color="auto" w:fill="auto"/>
                  <w:vAlign w:val="center"/>
                </w:tcPr>
                <w:p w14:paraId="6C447BEE" w14:textId="1F414190" w:rsidR="00555001" w:rsidRPr="00C52C8A" w:rsidRDefault="00555001" w:rsidP="00555001">
                  <w:pPr>
                    <w:pStyle w:val="TableBodyText"/>
                    <w:rPr>
                      <w:b/>
                    </w:rPr>
                  </w:pPr>
                  <w:r>
                    <w:rPr>
                      <w:rFonts w:cs="Arial"/>
                      <w:b/>
                      <w:bCs/>
                      <w:szCs w:val="18"/>
                    </w:rPr>
                    <w:t xml:space="preserve">  13.3</w:t>
                  </w:r>
                </w:p>
              </w:tc>
              <w:tc>
                <w:tcPr>
                  <w:tcW w:w="399" w:type="pct"/>
                  <w:tcBorders>
                    <w:bottom w:val="single" w:sz="6" w:space="0" w:color="C8C8C8"/>
                  </w:tcBorders>
                  <w:shd w:val="clear" w:color="auto" w:fill="auto"/>
                  <w:vAlign w:val="center"/>
                </w:tcPr>
                <w:p w14:paraId="1A533FE4" w14:textId="257CE16B" w:rsidR="00555001" w:rsidRPr="00C52C8A" w:rsidRDefault="00555001" w:rsidP="00555001">
                  <w:pPr>
                    <w:pStyle w:val="TableBodyText"/>
                    <w:rPr>
                      <w:b/>
                    </w:rPr>
                  </w:pPr>
                  <w:r>
                    <w:rPr>
                      <w:rFonts w:cs="Arial"/>
                      <w:b/>
                      <w:bCs/>
                      <w:szCs w:val="18"/>
                    </w:rPr>
                    <w:t xml:space="preserve">  19.8</w:t>
                  </w:r>
                </w:p>
              </w:tc>
              <w:tc>
                <w:tcPr>
                  <w:tcW w:w="399" w:type="pct"/>
                  <w:tcBorders>
                    <w:bottom w:val="single" w:sz="6" w:space="0" w:color="C8C8C8"/>
                  </w:tcBorders>
                  <w:vAlign w:val="center"/>
                </w:tcPr>
                <w:p w14:paraId="06C6CCFF" w14:textId="42E090E0" w:rsidR="00555001" w:rsidRPr="00C52C8A" w:rsidRDefault="00555001" w:rsidP="00555001">
                  <w:pPr>
                    <w:pStyle w:val="TableBodyText"/>
                    <w:rPr>
                      <w:b/>
                    </w:rPr>
                  </w:pPr>
                  <w:r>
                    <w:rPr>
                      <w:rFonts w:cs="Arial"/>
                      <w:b/>
                      <w:bCs/>
                      <w:szCs w:val="18"/>
                    </w:rPr>
                    <w:t xml:space="preserve">  49.6</w:t>
                  </w:r>
                </w:p>
              </w:tc>
              <w:tc>
                <w:tcPr>
                  <w:tcW w:w="399" w:type="pct"/>
                  <w:tcBorders>
                    <w:bottom w:val="single" w:sz="6" w:space="0" w:color="C8C8C8"/>
                  </w:tcBorders>
                  <w:shd w:val="clear" w:color="auto" w:fill="auto"/>
                  <w:vAlign w:val="center"/>
                </w:tcPr>
                <w:p w14:paraId="13B30AD6" w14:textId="3C22B465" w:rsidR="00555001" w:rsidRPr="00C52C8A" w:rsidRDefault="00555001" w:rsidP="00555001">
                  <w:pPr>
                    <w:pStyle w:val="TableBodyText"/>
                    <w:rPr>
                      <w:b/>
                    </w:rPr>
                  </w:pPr>
                  <w:r>
                    <w:rPr>
                      <w:rFonts w:cs="Arial"/>
                      <w:b/>
                      <w:bCs/>
                      <w:szCs w:val="18"/>
                    </w:rPr>
                    <w:t xml:space="preserve">  7.1</w:t>
                  </w:r>
                </w:p>
              </w:tc>
              <w:tc>
                <w:tcPr>
                  <w:tcW w:w="400" w:type="pct"/>
                  <w:tcBorders>
                    <w:bottom w:val="single" w:sz="6" w:space="0" w:color="C8C8C8"/>
                  </w:tcBorders>
                  <w:vAlign w:val="center"/>
                </w:tcPr>
                <w:p w14:paraId="56B3700F" w14:textId="1A6F6A6C" w:rsidR="00555001" w:rsidRPr="00C52C8A" w:rsidRDefault="00555001" w:rsidP="00555001">
                  <w:pPr>
                    <w:pStyle w:val="TableBodyText"/>
                    <w:rPr>
                      <w:b/>
                    </w:rPr>
                  </w:pPr>
                  <w:r>
                    <w:rPr>
                      <w:rFonts w:cs="Arial"/>
                      <w:b/>
                      <w:bCs/>
                      <w:szCs w:val="18"/>
                    </w:rPr>
                    <w:t xml:space="preserve">  3.4</w:t>
                  </w:r>
                </w:p>
              </w:tc>
            </w:tr>
          </w:tbl>
          <w:p w14:paraId="4B21BEF1" w14:textId="77777777" w:rsidR="00B53C32" w:rsidRPr="00C52C8A" w:rsidRDefault="00B53C32" w:rsidP="00983812">
            <w:pPr>
              <w:pStyle w:val="Box"/>
            </w:pPr>
          </w:p>
        </w:tc>
      </w:tr>
      <w:tr w:rsidR="00B53C32" w:rsidRPr="00C52C8A" w14:paraId="20727AD0" w14:textId="77777777" w:rsidTr="006F761F">
        <w:trPr>
          <w:cantSplit/>
        </w:trPr>
        <w:tc>
          <w:tcPr>
            <w:tcW w:w="8789" w:type="dxa"/>
            <w:tcBorders>
              <w:top w:val="nil"/>
              <w:left w:val="nil"/>
              <w:bottom w:val="nil"/>
              <w:right w:val="nil"/>
            </w:tcBorders>
            <w:shd w:val="clear" w:color="auto" w:fill="auto"/>
          </w:tcPr>
          <w:p w14:paraId="687660F5" w14:textId="5558E2BA" w:rsidR="00B53C32" w:rsidRPr="00C52C8A" w:rsidRDefault="00B53C32" w:rsidP="0091209F">
            <w:pPr>
              <w:pStyle w:val="Note"/>
              <w:rPr>
                <w:i/>
              </w:rPr>
            </w:pPr>
            <w:r w:rsidRPr="00C52C8A">
              <w:rPr>
                <w:rStyle w:val="NoteLabel"/>
              </w:rPr>
              <w:t>a</w:t>
            </w:r>
            <w:r w:rsidR="00A746D2" w:rsidRPr="00C52C8A">
              <w:t> </w:t>
            </w:r>
            <w:r w:rsidR="00014206" w:rsidRPr="00C52C8A">
              <w:t>See</w:t>
            </w:r>
            <w:r w:rsidR="00AE4B31" w:rsidRPr="00C52C8A">
              <w:t xml:space="preserve"> </w:t>
            </w:r>
            <w:r w:rsidR="00AE4B31" w:rsidRPr="002576BF">
              <w:t>box</w:t>
            </w:r>
            <w:r w:rsidR="00F4592C" w:rsidRPr="002576BF">
              <w:t> </w:t>
            </w:r>
            <w:r w:rsidR="00AD782C" w:rsidRPr="002576BF">
              <w:t>17.11</w:t>
            </w:r>
            <w:r w:rsidR="007B210C" w:rsidRPr="002576BF">
              <w:t xml:space="preserve"> </w:t>
            </w:r>
            <w:r w:rsidR="00231A04" w:rsidRPr="002576BF">
              <w:t xml:space="preserve">and </w:t>
            </w:r>
            <w:r w:rsidR="006F45D3" w:rsidRPr="002576BF">
              <w:t>table</w:t>
            </w:r>
            <w:r w:rsidR="0081381F" w:rsidRPr="002576BF">
              <w:t>s</w:t>
            </w:r>
            <w:r w:rsidR="005B0070">
              <w:t> </w:t>
            </w:r>
            <w:r w:rsidR="006F45D3" w:rsidRPr="002576BF">
              <w:t>1</w:t>
            </w:r>
            <w:r w:rsidR="00787194" w:rsidRPr="002576BF">
              <w:t>7</w:t>
            </w:r>
            <w:r w:rsidR="006F45D3" w:rsidRPr="002576BF">
              <w:t>A.1</w:t>
            </w:r>
            <w:r w:rsidR="00C32D9A">
              <w:t>6</w:t>
            </w:r>
            <w:r w:rsidR="0081381F" w:rsidRPr="002576BF">
              <w:t>–1</w:t>
            </w:r>
            <w:r w:rsidR="00C32D9A">
              <w:t>7</w:t>
            </w:r>
            <w:r w:rsidR="006F45D3" w:rsidRPr="002576BF">
              <w:t xml:space="preserve"> for detailed </w:t>
            </w:r>
            <w:r w:rsidR="00014206" w:rsidRPr="002576BF">
              <w:t xml:space="preserve">definitions, </w:t>
            </w:r>
            <w:r w:rsidR="006F45D3" w:rsidRPr="002576BF">
              <w:t>footnotes</w:t>
            </w:r>
            <w:r w:rsidR="00014206" w:rsidRPr="002576BF">
              <w:t xml:space="preserve"> and caveats</w:t>
            </w:r>
            <w:r w:rsidR="006F45D3" w:rsidRPr="002576BF">
              <w:t>.</w:t>
            </w:r>
            <w:r w:rsidR="000603EB" w:rsidRPr="002576BF">
              <w:t xml:space="preserve"> </w:t>
            </w:r>
            <w:r w:rsidR="006F45D3" w:rsidRPr="00C52C8A">
              <w:t>– Nil or rounded to zero.</w:t>
            </w:r>
          </w:p>
        </w:tc>
      </w:tr>
      <w:tr w:rsidR="00B53C32" w:rsidRPr="00C52C8A" w14:paraId="00BBA1EE" w14:textId="77777777" w:rsidTr="006F761F">
        <w:trPr>
          <w:cantSplit/>
        </w:trPr>
        <w:tc>
          <w:tcPr>
            <w:tcW w:w="8789" w:type="dxa"/>
            <w:tcBorders>
              <w:top w:val="nil"/>
              <w:left w:val="nil"/>
              <w:bottom w:val="nil"/>
              <w:right w:val="nil"/>
            </w:tcBorders>
            <w:shd w:val="clear" w:color="auto" w:fill="auto"/>
          </w:tcPr>
          <w:p w14:paraId="62DE2EF0" w14:textId="707663A8" w:rsidR="00B53C32" w:rsidRPr="00C52C8A" w:rsidRDefault="00B53C32" w:rsidP="00C32D9A">
            <w:pPr>
              <w:pStyle w:val="Source"/>
            </w:pPr>
            <w:r w:rsidRPr="00C52C8A">
              <w:rPr>
                <w:i/>
              </w:rPr>
              <w:t>Source</w:t>
            </w:r>
            <w:r w:rsidR="00CF76CB" w:rsidRPr="00C52C8A">
              <w:rPr>
                <w:i/>
              </w:rPr>
              <w:t>s</w:t>
            </w:r>
            <w:r w:rsidRPr="00C52C8A">
              <w:t xml:space="preserve">: </w:t>
            </w:r>
            <w:r w:rsidR="006F45D3" w:rsidRPr="00C52C8A">
              <w:t>State and Territory governme</w:t>
            </w:r>
            <w:r w:rsidR="00CC3254" w:rsidRPr="00C52C8A">
              <w:t xml:space="preserve">nts (unpublished); </w:t>
            </w:r>
            <w:r w:rsidR="00C36790" w:rsidRPr="00C52C8A">
              <w:t>tables</w:t>
            </w:r>
            <w:r w:rsidR="005B0070">
              <w:t> </w:t>
            </w:r>
            <w:r w:rsidR="00CC3254" w:rsidRPr="00C52C8A">
              <w:t>1</w:t>
            </w:r>
            <w:r w:rsidR="00787194" w:rsidRPr="00C52C8A">
              <w:t>7</w:t>
            </w:r>
            <w:r w:rsidR="00CC3254" w:rsidRPr="00C52C8A">
              <w:t>A.1</w:t>
            </w:r>
            <w:r w:rsidR="00C32D9A">
              <w:t>6</w:t>
            </w:r>
            <w:r w:rsidR="00C36790" w:rsidRPr="00C52C8A">
              <w:t>–1</w:t>
            </w:r>
            <w:r w:rsidR="00C32D9A">
              <w:t>7</w:t>
            </w:r>
            <w:r w:rsidR="00CC3254" w:rsidRPr="00C52C8A">
              <w:t>.</w:t>
            </w:r>
          </w:p>
        </w:tc>
      </w:tr>
      <w:tr w:rsidR="00B53C32" w:rsidRPr="00C52C8A" w14:paraId="61B93B1E" w14:textId="77777777" w:rsidTr="006F761F">
        <w:trPr>
          <w:cantSplit/>
        </w:trPr>
        <w:tc>
          <w:tcPr>
            <w:tcW w:w="8789" w:type="dxa"/>
            <w:tcBorders>
              <w:top w:val="nil"/>
              <w:left w:val="nil"/>
              <w:bottom w:val="single" w:sz="6" w:space="0" w:color="78A22F" w:themeColor="accent1"/>
              <w:right w:val="nil"/>
            </w:tcBorders>
            <w:shd w:val="clear" w:color="auto" w:fill="auto"/>
          </w:tcPr>
          <w:p w14:paraId="393FDACA" w14:textId="77777777" w:rsidR="00B53C32" w:rsidRPr="00C52C8A" w:rsidRDefault="00B53C32" w:rsidP="00983812">
            <w:pPr>
              <w:pStyle w:val="Box"/>
              <w:spacing w:before="0" w:line="120" w:lineRule="exact"/>
            </w:pPr>
          </w:p>
        </w:tc>
      </w:tr>
      <w:tr w:rsidR="00B53C32" w:rsidRPr="00C52C8A" w14:paraId="06672E19" w14:textId="77777777" w:rsidTr="006F761F">
        <w:tc>
          <w:tcPr>
            <w:tcW w:w="8789" w:type="dxa"/>
            <w:tcBorders>
              <w:top w:val="single" w:sz="6" w:space="0" w:color="78A22F" w:themeColor="accent1"/>
              <w:left w:val="nil"/>
              <w:bottom w:val="nil"/>
              <w:right w:val="nil"/>
            </w:tcBorders>
          </w:tcPr>
          <w:p w14:paraId="1A1DDAFF" w14:textId="73BFAB8C" w:rsidR="00B53C32" w:rsidRPr="002E39DF" w:rsidRDefault="00B53C32" w:rsidP="00983812">
            <w:pPr>
              <w:pStyle w:val="BoxSpaceBelow"/>
            </w:pPr>
          </w:p>
        </w:tc>
      </w:tr>
    </w:tbl>
    <w:p w14:paraId="3F60372B" w14:textId="06444C99" w:rsidR="00413C3F" w:rsidRPr="00C52C8A" w:rsidRDefault="00787194" w:rsidP="00983812">
      <w:pPr>
        <w:pStyle w:val="Heading4"/>
      </w:pPr>
      <w:r w:rsidRPr="00C52C8A">
        <w:lastRenderedPageBreak/>
        <w:t>Quality</w:t>
      </w:r>
      <w:r w:rsidR="00413C3F" w:rsidRPr="00C52C8A">
        <w:t xml:space="preserve"> — </w:t>
      </w:r>
      <w:r w:rsidR="00BA3E13" w:rsidRPr="00C52C8A">
        <w:t>S</w:t>
      </w:r>
      <w:r w:rsidR="00413C3F" w:rsidRPr="00C52C8A">
        <w:t>elf</w:t>
      </w:r>
      <w:r w:rsidR="00F4592C" w:rsidRPr="00C52C8A">
        <w:noBreakHyphen/>
      </w:r>
      <w:r w:rsidR="00413C3F" w:rsidRPr="00C52C8A">
        <w:t>harm and attempted suicide in custody</w:t>
      </w:r>
    </w:p>
    <w:p w14:paraId="69314E66" w14:textId="23A12B3B" w:rsidR="00413C3F" w:rsidRPr="00C52C8A" w:rsidRDefault="00413C3F" w:rsidP="00983812">
      <w:pPr>
        <w:pStyle w:val="BodyText"/>
      </w:pPr>
      <w:r w:rsidRPr="00C52C8A">
        <w:t>‘Self</w:t>
      </w:r>
      <w:r w:rsidR="00F4592C" w:rsidRPr="00C52C8A">
        <w:noBreakHyphen/>
      </w:r>
      <w:r w:rsidRPr="00C52C8A">
        <w:t xml:space="preserve">harm and attempted suicide in custody’ is an indicator of governments’ objective to provide a </w:t>
      </w:r>
      <w:r w:rsidR="005C588B" w:rsidRPr="00C52C8A">
        <w:t>safe and secure environment for the protection of young people during their time in detention</w:t>
      </w:r>
      <w:r w:rsidR="00380659" w:rsidRPr="00C52C8A">
        <w:t xml:space="preserve"> (box</w:t>
      </w:r>
      <w:r w:rsidR="00F4592C" w:rsidRPr="00C52C8A">
        <w:t> </w:t>
      </w:r>
      <w:r w:rsidR="00B27E61" w:rsidRPr="00C52C8A">
        <w:t>17.12</w:t>
      </w:r>
      <w:r w:rsidRPr="00C52C8A">
        <w:t>).</w:t>
      </w:r>
    </w:p>
    <w:p w14:paraId="2399A0D5" w14:textId="1ECE848C" w:rsidR="005212B1" w:rsidRPr="002E39DF" w:rsidRDefault="005212B1"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212B1" w:rsidRPr="00C52C8A" w14:paraId="5C0B0166" w14:textId="77777777" w:rsidTr="006A71F6">
        <w:tc>
          <w:tcPr>
            <w:tcW w:w="8789" w:type="dxa"/>
            <w:tcBorders>
              <w:top w:val="single" w:sz="6" w:space="0" w:color="78A22F"/>
              <w:left w:val="nil"/>
              <w:bottom w:val="nil"/>
              <w:right w:val="nil"/>
            </w:tcBorders>
            <w:shd w:val="clear" w:color="auto" w:fill="F2F2F2" w:themeFill="background1" w:themeFillShade="F2"/>
          </w:tcPr>
          <w:p w14:paraId="57BBD5EE" w14:textId="46E3C208" w:rsidR="005212B1" w:rsidRPr="00C52C8A" w:rsidRDefault="005212B1" w:rsidP="00401E9A">
            <w:pPr>
              <w:pStyle w:val="BoxTitle"/>
            </w:pPr>
            <w:r w:rsidRPr="00C52C8A">
              <w:rPr>
                <w:b w:val="0"/>
              </w:rPr>
              <w:t>Box</w:t>
            </w:r>
            <w:r w:rsidR="006542C2" w:rsidRPr="00C52C8A">
              <w:rPr>
                <w:b w:val="0"/>
              </w:rPr>
              <w:t xml:space="preserve"> </w:t>
            </w:r>
            <w:bookmarkStart w:id="39" w:name="OLE_LINK26"/>
            <w:r w:rsidR="00C87A43">
              <w:rPr>
                <w:b w:val="0"/>
              </w:rPr>
              <w:t>17.</w:t>
            </w:r>
            <w:r w:rsidR="00AF64D0">
              <w:rPr>
                <w:b w:val="0"/>
                <w:noProof/>
              </w:rPr>
              <w:t>12</w:t>
            </w:r>
            <w:bookmarkEnd w:id="39"/>
            <w:r w:rsidRPr="00C52C8A">
              <w:tab/>
              <w:t>Self</w:t>
            </w:r>
            <w:r w:rsidR="00F4592C" w:rsidRPr="00C52C8A">
              <w:noBreakHyphen/>
            </w:r>
            <w:r w:rsidRPr="00C52C8A">
              <w:t>harm and attempted suicide in custody</w:t>
            </w:r>
          </w:p>
        </w:tc>
      </w:tr>
      <w:tr w:rsidR="005212B1" w:rsidRPr="00C52C8A" w14:paraId="13D7BC75" w14:textId="77777777" w:rsidTr="006A71F6">
        <w:trPr>
          <w:cantSplit/>
        </w:trPr>
        <w:tc>
          <w:tcPr>
            <w:tcW w:w="8789" w:type="dxa"/>
            <w:tcBorders>
              <w:top w:val="nil"/>
              <w:left w:val="nil"/>
              <w:bottom w:val="nil"/>
              <w:right w:val="nil"/>
            </w:tcBorders>
            <w:shd w:val="clear" w:color="auto" w:fill="F2F2F2" w:themeFill="background1" w:themeFillShade="F2"/>
          </w:tcPr>
          <w:p w14:paraId="2D417C26" w14:textId="77777777" w:rsidR="005212B1" w:rsidRPr="00C52C8A" w:rsidRDefault="005212B1" w:rsidP="00983812">
            <w:pPr>
              <w:pStyle w:val="Box"/>
            </w:pPr>
            <w:r w:rsidRPr="00C52C8A">
              <w:t>‘Self</w:t>
            </w:r>
            <w:r w:rsidR="00F4592C" w:rsidRPr="00C52C8A">
              <w:noBreakHyphen/>
            </w:r>
            <w:r w:rsidRPr="00C52C8A">
              <w:t xml:space="preserve">harm and attempted suicide in custody’ is defined by </w:t>
            </w:r>
            <w:r w:rsidR="00F40E46" w:rsidRPr="00C52C8A">
              <w:t>two</w:t>
            </w:r>
            <w:r w:rsidRPr="00C52C8A">
              <w:t xml:space="preserve"> measures:</w:t>
            </w:r>
          </w:p>
          <w:p w14:paraId="44448C54" w14:textId="6FECD5E6" w:rsidR="005212B1" w:rsidRPr="00C52C8A" w:rsidRDefault="00403802" w:rsidP="00983812">
            <w:pPr>
              <w:pStyle w:val="BoxListBullet"/>
            </w:pPr>
            <w:r w:rsidRPr="00C52C8A">
              <w:t xml:space="preserve">rate of </w:t>
            </w:r>
            <w:r w:rsidR="000C60FC" w:rsidRPr="00C52C8A">
              <w:t>incidents o</w:t>
            </w:r>
            <w:r w:rsidR="005212B1" w:rsidRPr="00C52C8A">
              <w:t>f self</w:t>
            </w:r>
            <w:r w:rsidR="00F4592C" w:rsidRPr="00C52C8A">
              <w:noBreakHyphen/>
            </w:r>
            <w:r w:rsidR="005212B1" w:rsidRPr="00C52C8A">
              <w:t>harm or attempted suicide in custody requiring hospitalisation</w:t>
            </w:r>
            <w:r w:rsidRPr="00C52C8A">
              <w:t xml:space="preserve"> per 10</w:t>
            </w:r>
            <w:r w:rsidR="0040398C" w:rsidRPr="00C52C8A">
              <w:t> </w:t>
            </w:r>
            <w:r w:rsidRPr="00C52C8A">
              <w:t>000 custody nights</w:t>
            </w:r>
          </w:p>
          <w:p w14:paraId="14C85A25" w14:textId="14009FBF" w:rsidR="005212B1" w:rsidRPr="00C52C8A" w:rsidRDefault="00403802" w:rsidP="00983812">
            <w:pPr>
              <w:pStyle w:val="BoxListBullet"/>
            </w:pPr>
            <w:r w:rsidRPr="00C52C8A">
              <w:t xml:space="preserve">rate of </w:t>
            </w:r>
            <w:r w:rsidR="000C60FC" w:rsidRPr="00C52C8A">
              <w:t>incidents of s</w:t>
            </w:r>
            <w:r w:rsidR="005212B1" w:rsidRPr="00C52C8A">
              <w:t>elf</w:t>
            </w:r>
            <w:r w:rsidR="00F4592C" w:rsidRPr="00C52C8A">
              <w:noBreakHyphen/>
            </w:r>
            <w:r w:rsidR="005212B1" w:rsidRPr="00C52C8A">
              <w:t>harm or attempted suicide in custody not requiring hospitalisation</w:t>
            </w:r>
            <w:r w:rsidRPr="00C52C8A">
              <w:t xml:space="preserve"> per 10</w:t>
            </w:r>
            <w:r w:rsidR="0040398C" w:rsidRPr="00C52C8A">
              <w:t> </w:t>
            </w:r>
            <w:r w:rsidRPr="00C52C8A">
              <w:t>000 custody nights</w:t>
            </w:r>
            <w:r w:rsidR="005212B1" w:rsidRPr="00C52C8A">
              <w:t>.</w:t>
            </w:r>
          </w:p>
          <w:p w14:paraId="6536F8EF" w14:textId="277F3C15" w:rsidR="005212B1" w:rsidRPr="00C52C8A" w:rsidRDefault="00F40E46" w:rsidP="00983812">
            <w:pPr>
              <w:pStyle w:val="Box"/>
            </w:pPr>
            <w:r w:rsidRPr="00C52C8A">
              <w:t xml:space="preserve">The number of </w:t>
            </w:r>
            <w:r w:rsidR="000C60FC" w:rsidRPr="00C52C8A">
              <w:t xml:space="preserve">young people who </w:t>
            </w:r>
            <w:r w:rsidRPr="00C52C8A">
              <w:t>self</w:t>
            </w:r>
            <w:r w:rsidR="00911FAF">
              <w:noBreakHyphen/>
            </w:r>
            <w:r w:rsidRPr="00C52C8A">
              <w:t>harm</w:t>
            </w:r>
            <w:r w:rsidR="000C60FC" w:rsidRPr="00C52C8A">
              <w:t>ed</w:t>
            </w:r>
            <w:r w:rsidRPr="00C52C8A">
              <w:t xml:space="preserve"> or attempted suicide </w:t>
            </w:r>
            <w:r w:rsidR="00403802" w:rsidRPr="00C52C8A">
              <w:t>is</w:t>
            </w:r>
            <w:r w:rsidRPr="00C52C8A">
              <w:t xml:space="preserve"> reported as contextual information to assist with interpreting the results. </w:t>
            </w:r>
            <w:r w:rsidR="005212B1" w:rsidRPr="00C52C8A">
              <w:t>An incident is</w:t>
            </w:r>
            <w:r w:rsidR="00FF110D" w:rsidRPr="00C52C8A">
              <w:t xml:space="preserve"> </w:t>
            </w:r>
            <w:r w:rsidR="005212B1" w:rsidRPr="00C52C8A">
              <w:t>counted each time a young person self</w:t>
            </w:r>
            <w:r w:rsidR="00F4592C" w:rsidRPr="00C52C8A">
              <w:noBreakHyphen/>
            </w:r>
            <w:r w:rsidR="005212B1" w:rsidRPr="00C52C8A">
              <w:t xml:space="preserve">harms or attempts suicide. Therefore, the number of incidents and the number of </w:t>
            </w:r>
            <w:r w:rsidR="00A11BBC" w:rsidRPr="00C52C8A">
              <w:t>young people</w:t>
            </w:r>
            <w:r w:rsidR="005212B1" w:rsidRPr="00C52C8A">
              <w:t xml:space="preserve"> will differ when one </w:t>
            </w:r>
            <w:r w:rsidR="00A11BBC" w:rsidRPr="00C52C8A">
              <w:t>young person</w:t>
            </w:r>
            <w:r w:rsidR="005212B1" w:rsidRPr="00C52C8A">
              <w:t xml:space="preserve"> has self</w:t>
            </w:r>
            <w:r w:rsidR="00F4592C" w:rsidRPr="00C52C8A">
              <w:noBreakHyphen/>
            </w:r>
            <w:r w:rsidR="005212B1" w:rsidRPr="00C52C8A">
              <w:t>harmed on two or more occasions</w:t>
            </w:r>
            <w:r w:rsidR="00335FF2" w:rsidRPr="00C52C8A">
              <w:t xml:space="preserve"> in the reporting period</w:t>
            </w:r>
            <w:r w:rsidR="005212B1" w:rsidRPr="00C52C8A">
              <w:t>, as each occasion will be counted as a separate inciden</w:t>
            </w:r>
            <w:r w:rsidR="00FF110D" w:rsidRPr="00C52C8A">
              <w:t>t</w:t>
            </w:r>
            <w:r w:rsidR="005212B1" w:rsidRPr="00C52C8A">
              <w:t>.</w:t>
            </w:r>
          </w:p>
          <w:p w14:paraId="08F8CB35" w14:textId="2FF80466" w:rsidR="005212B1" w:rsidRPr="00C52C8A" w:rsidRDefault="005212B1" w:rsidP="00983812">
            <w:pPr>
              <w:pStyle w:val="Box"/>
            </w:pPr>
            <w:r w:rsidRPr="00C52C8A">
              <w:t>Types of self</w:t>
            </w:r>
            <w:r w:rsidR="00F4592C" w:rsidRPr="00C52C8A">
              <w:noBreakHyphen/>
            </w:r>
            <w:r w:rsidRPr="00C52C8A">
              <w:t>inflicted incidents that constitute self</w:t>
            </w:r>
            <w:r w:rsidR="00F4592C" w:rsidRPr="00C52C8A">
              <w:noBreakHyphen/>
            </w:r>
            <w:r w:rsidRPr="00C52C8A">
              <w:t xml:space="preserve">harm include poisoning, hanging, </w:t>
            </w:r>
            <w:r w:rsidR="006523B1" w:rsidRPr="00C52C8A">
              <w:t xml:space="preserve">attempted </w:t>
            </w:r>
            <w:r w:rsidRPr="00C52C8A">
              <w:t>strangulation, suffocation, drowning</w:t>
            </w:r>
            <w:r w:rsidR="006523B1" w:rsidRPr="00C52C8A">
              <w:t xml:space="preserve"> or electrocution,</w:t>
            </w:r>
            <w:r w:rsidRPr="00C52C8A">
              <w:t xml:space="preserve"> submersion in water, burning, cutting, jumping from a high place, </w:t>
            </w:r>
            <w:r w:rsidR="006523B1" w:rsidRPr="00C52C8A">
              <w:t xml:space="preserve">and </w:t>
            </w:r>
            <w:r w:rsidRPr="00C52C8A">
              <w:t>jumping or lying in front of a moving object.</w:t>
            </w:r>
          </w:p>
          <w:p w14:paraId="4B9876B0" w14:textId="4987DDD4" w:rsidR="005212B1" w:rsidRPr="00C52C8A" w:rsidRDefault="005212B1" w:rsidP="00983812">
            <w:pPr>
              <w:pStyle w:val="Box"/>
            </w:pPr>
            <w:r w:rsidRPr="00C52C8A">
              <w:t xml:space="preserve">A zero or </w:t>
            </w:r>
            <w:proofErr w:type="gramStart"/>
            <w:r w:rsidRPr="00C52C8A">
              <w:t>low, or</w:t>
            </w:r>
            <w:proofErr w:type="gramEnd"/>
            <w:r w:rsidRPr="00C52C8A">
              <w:t xml:space="preserve"> decreasing rate</w:t>
            </w:r>
            <w:r w:rsidR="00BA3E13" w:rsidRPr="00C52C8A">
              <w:t xml:space="preserve"> of</w:t>
            </w:r>
            <w:r w:rsidRPr="00C52C8A">
              <w:t xml:space="preserve"> </w:t>
            </w:r>
            <w:r w:rsidR="00BA3E13" w:rsidRPr="00C52C8A">
              <w:t>self</w:t>
            </w:r>
            <w:r w:rsidR="00BA3E13" w:rsidRPr="00C52C8A">
              <w:noBreakHyphen/>
              <w:t xml:space="preserve">harm and attempted suicide in custody </w:t>
            </w:r>
            <w:r w:rsidRPr="00C52C8A">
              <w:t>is desirable.</w:t>
            </w:r>
          </w:p>
          <w:p w14:paraId="330E0DE3" w14:textId="77777777" w:rsidR="005212B1" w:rsidRPr="00C52C8A" w:rsidRDefault="005212B1" w:rsidP="00983812">
            <w:pPr>
              <w:pStyle w:val="Box"/>
            </w:pPr>
            <w:r w:rsidRPr="00C52C8A">
              <w:t>Data r</w:t>
            </w:r>
            <w:r w:rsidR="00F35B11" w:rsidRPr="00C52C8A">
              <w:t>eported for these measures are:</w:t>
            </w:r>
          </w:p>
          <w:p w14:paraId="3D379009" w14:textId="037ECD97" w:rsidR="005212B1" w:rsidRPr="00C52C8A" w:rsidRDefault="006A4F08" w:rsidP="002044F6">
            <w:pPr>
              <w:pStyle w:val="Box"/>
              <w:ind w:left="284"/>
            </w:pPr>
            <w:r w:rsidRPr="00C52C8A">
              <w:rPr>
                <w:shd w:val="clear" w:color="auto" w:fill="FCDED3"/>
              </w:rPr>
              <w:t xml:space="preserve">    </w:t>
            </w:r>
            <w:r w:rsidRPr="00C52C8A">
              <w:t xml:space="preserve"> </w:t>
            </w:r>
            <w:r w:rsidR="0044726F" w:rsidRPr="00C52C8A">
              <w:t xml:space="preserve">are not comparable across jurisdictions or </w:t>
            </w:r>
            <w:r w:rsidR="00E50320" w:rsidRPr="00C52C8A">
              <w:t>within some jurisdictions over time</w:t>
            </w:r>
            <w:r w:rsidR="00AF0AA0" w:rsidRPr="00C52C8A">
              <w:t>,</w:t>
            </w:r>
            <w:r w:rsidR="00E50320" w:rsidRPr="00C52C8A">
              <w:t xml:space="preserve"> but are comparable </w:t>
            </w:r>
            <w:r w:rsidR="0044726F" w:rsidRPr="00C52C8A">
              <w:t xml:space="preserve">over time for other jurisdictions </w:t>
            </w:r>
            <w:r w:rsidR="005212B1" w:rsidRPr="00C52C8A">
              <w:t xml:space="preserve">(see caveats in </w:t>
            </w:r>
            <w:r w:rsidR="00361640" w:rsidRPr="00C52C8A">
              <w:t xml:space="preserve">data </w:t>
            </w:r>
            <w:r w:rsidR="005212B1" w:rsidRPr="00C52C8A">
              <w:t>tables</w:t>
            </w:r>
            <w:r w:rsidR="009A4756" w:rsidRPr="00C52C8A">
              <w:t xml:space="preserve"> for specific jurisdictions</w:t>
            </w:r>
            <w:r w:rsidR="005212B1" w:rsidRPr="00C52C8A">
              <w:t>)</w:t>
            </w:r>
          </w:p>
          <w:p w14:paraId="019C14A0" w14:textId="2FFF73E7" w:rsidR="005212B1" w:rsidRPr="00C52C8A" w:rsidRDefault="006A4F08" w:rsidP="002044F6">
            <w:pPr>
              <w:pStyle w:val="Box"/>
              <w:ind w:left="284"/>
            </w:pPr>
            <w:r w:rsidRPr="00C52C8A">
              <w:rPr>
                <w:shd w:val="clear" w:color="auto" w:fill="FCDED3"/>
              </w:rPr>
              <w:t xml:space="preserve">    </w:t>
            </w:r>
            <w:r w:rsidRPr="00C52C8A">
              <w:t xml:space="preserve"> </w:t>
            </w:r>
            <w:r w:rsidR="005212B1" w:rsidRPr="00C52C8A">
              <w:t xml:space="preserve">incomplete for the current reporting </w:t>
            </w:r>
            <w:r w:rsidR="005212B1" w:rsidRPr="0091209F">
              <w:t xml:space="preserve">period. Data </w:t>
            </w:r>
            <w:r w:rsidR="00E60D65" w:rsidRPr="0091209F">
              <w:t>for 201</w:t>
            </w:r>
            <w:r w:rsidR="00321538" w:rsidRPr="0091209F">
              <w:t>9</w:t>
            </w:r>
            <w:r w:rsidR="00F4592C" w:rsidRPr="0091209F">
              <w:noBreakHyphen/>
            </w:r>
            <w:r w:rsidR="00321538" w:rsidRPr="0091209F">
              <w:t>20</w:t>
            </w:r>
            <w:r w:rsidR="00E60D65" w:rsidRPr="0091209F">
              <w:t xml:space="preserve"> </w:t>
            </w:r>
            <w:r w:rsidR="009A4756" w:rsidRPr="0091209F">
              <w:t>are</w:t>
            </w:r>
            <w:r w:rsidR="005212B1" w:rsidRPr="0091209F">
              <w:t xml:space="preserve"> not available for WA.</w:t>
            </w:r>
          </w:p>
          <w:p w14:paraId="11B2CFBA" w14:textId="7E8445D3" w:rsidR="00590CEC" w:rsidRPr="00C52C8A" w:rsidRDefault="002B536B" w:rsidP="00BF64C2">
            <w:pPr>
              <w:pStyle w:val="Box"/>
            </w:pPr>
            <w:r w:rsidRPr="00C52C8A">
              <w:t>Data reported for this indicator need to be interpreted with caution. Methods of data collection vary across jurisdictions and their ability to report is dependent on the docum</w:t>
            </w:r>
            <w:r w:rsidR="00BF64C2" w:rsidRPr="00C52C8A">
              <w:t>entation of relevant incidents.</w:t>
            </w:r>
          </w:p>
        </w:tc>
      </w:tr>
      <w:tr w:rsidR="005212B1" w:rsidRPr="00C52C8A" w14:paraId="1334F64B"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56659C95" w14:textId="77777777" w:rsidR="005212B1" w:rsidRPr="00C52C8A" w:rsidRDefault="005212B1" w:rsidP="00983812">
            <w:pPr>
              <w:pStyle w:val="Box"/>
              <w:spacing w:before="0" w:line="120" w:lineRule="exact"/>
            </w:pPr>
          </w:p>
        </w:tc>
      </w:tr>
      <w:tr w:rsidR="005212B1" w:rsidRPr="00C52C8A" w14:paraId="3B402344" w14:textId="77777777" w:rsidTr="006A71F6">
        <w:tc>
          <w:tcPr>
            <w:tcW w:w="8789" w:type="dxa"/>
            <w:tcBorders>
              <w:top w:val="single" w:sz="6" w:space="0" w:color="78A22F"/>
              <w:left w:val="nil"/>
              <w:bottom w:val="nil"/>
              <w:right w:val="nil"/>
            </w:tcBorders>
          </w:tcPr>
          <w:p w14:paraId="71D95FE1" w14:textId="6491A52F" w:rsidR="005212B1" w:rsidRPr="002E39DF" w:rsidRDefault="005212B1" w:rsidP="00983812">
            <w:pPr>
              <w:pStyle w:val="BoxSpaceBelow"/>
            </w:pPr>
          </w:p>
        </w:tc>
      </w:tr>
    </w:tbl>
    <w:p w14:paraId="1ADDDC0E" w14:textId="610A964C" w:rsidR="00D66C77" w:rsidRPr="00C52C8A" w:rsidRDefault="00413C3F" w:rsidP="00D66C77">
      <w:pPr>
        <w:pStyle w:val="BodyText"/>
      </w:pPr>
      <w:r w:rsidRPr="00C52C8A">
        <w:t>Nationally</w:t>
      </w:r>
      <w:r w:rsidR="00155BED" w:rsidRPr="00C52C8A">
        <w:t xml:space="preserve"> in </w:t>
      </w:r>
      <w:r w:rsidR="009D0A7F" w:rsidRPr="0091209F">
        <w:t>2019</w:t>
      </w:r>
      <w:r w:rsidR="009D0A7F" w:rsidRPr="0091209F">
        <w:noBreakHyphen/>
        <w:t xml:space="preserve">20 </w:t>
      </w:r>
      <w:r w:rsidR="002558BE" w:rsidRPr="0091209F">
        <w:t>(excluding WA)</w:t>
      </w:r>
      <w:r w:rsidR="00BA3E13" w:rsidRPr="0091209F">
        <w:t xml:space="preserve">, </w:t>
      </w:r>
      <w:r w:rsidR="00AD1812">
        <w:t>41</w:t>
      </w:r>
      <w:r w:rsidR="00F74617" w:rsidRPr="0091209F">
        <w:t xml:space="preserve"> </w:t>
      </w:r>
      <w:r w:rsidR="000C60FC" w:rsidRPr="0091209F">
        <w:t>incidents of self</w:t>
      </w:r>
      <w:r w:rsidR="00911FAF">
        <w:noBreakHyphen/>
      </w:r>
      <w:r w:rsidR="000C60FC" w:rsidRPr="0091209F">
        <w:t>harm</w:t>
      </w:r>
      <w:r w:rsidRPr="0091209F">
        <w:t xml:space="preserve"> or attempted suicide requiring hospitalisation</w:t>
      </w:r>
      <w:r w:rsidR="000C60FC" w:rsidRPr="0091209F">
        <w:t xml:space="preserve"> </w:t>
      </w:r>
      <w:r w:rsidR="00DF6AB6" w:rsidRPr="0091209F">
        <w:t>(table</w:t>
      </w:r>
      <w:r w:rsidR="005B0070" w:rsidRPr="0091209F">
        <w:t> </w:t>
      </w:r>
      <w:r w:rsidR="00B27E61" w:rsidRPr="0091209F">
        <w:t>17.3</w:t>
      </w:r>
      <w:r w:rsidR="00CD0F82" w:rsidRPr="0091209F">
        <w:t>)</w:t>
      </w:r>
      <w:r w:rsidR="00BA3E13" w:rsidRPr="0091209F">
        <w:t xml:space="preserve"> and </w:t>
      </w:r>
      <w:r w:rsidR="00537B22" w:rsidRPr="0091209F">
        <w:t xml:space="preserve">a further </w:t>
      </w:r>
      <w:r w:rsidR="0091209F" w:rsidRPr="0091209F">
        <w:t>203</w:t>
      </w:r>
      <w:r w:rsidR="00D66C77" w:rsidRPr="0091209F">
        <w:t xml:space="preserve"> </w:t>
      </w:r>
      <w:r w:rsidR="000C60FC" w:rsidRPr="0091209F">
        <w:t xml:space="preserve">incidents </w:t>
      </w:r>
      <w:r w:rsidR="00D66C77" w:rsidRPr="0091209F">
        <w:t>not requiring</w:t>
      </w:r>
      <w:r w:rsidR="00DF6AB6" w:rsidRPr="0091209F">
        <w:t xml:space="preserve"> hospitalisation</w:t>
      </w:r>
      <w:r w:rsidR="000C60FC" w:rsidRPr="0091209F">
        <w:t xml:space="preserve"> were reported</w:t>
      </w:r>
      <w:r w:rsidR="00DF6AB6" w:rsidRPr="0091209F">
        <w:t xml:space="preserve"> (table</w:t>
      </w:r>
      <w:r w:rsidR="005B0070" w:rsidRPr="0091209F">
        <w:t> </w:t>
      </w:r>
      <w:r w:rsidR="00B27E61" w:rsidRPr="0091209F">
        <w:t>17.4</w:t>
      </w:r>
      <w:r w:rsidR="00D66C77" w:rsidRPr="0091209F">
        <w:t>)</w:t>
      </w:r>
      <w:r w:rsidR="00BA3E13" w:rsidRPr="0091209F">
        <w:t xml:space="preserve">. </w:t>
      </w:r>
      <w:r w:rsidR="00D66C77" w:rsidRPr="0091209F">
        <w:t>Proportions varied</w:t>
      </w:r>
      <w:r w:rsidR="00D66C77" w:rsidRPr="002576BF">
        <w:t xml:space="preserve"> across jurisdictions</w:t>
      </w:r>
      <w:r w:rsidR="00D66C77" w:rsidRPr="00C52C8A">
        <w:t xml:space="preserve"> and fluctuate</w:t>
      </w:r>
      <w:r w:rsidR="00FF110D" w:rsidRPr="00C52C8A">
        <w:t>d</w:t>
      </w:r>
      <w:r w:rsidR="00D66C77" w:rsidRPr="00C52C8A">
        <w:t xml:space="preserve"> over time (table 17A.</w:t>
      </w:r>
      <w:r w:rsidR="00322B5C" w:rsidRPr="00C52C8A">
        <w:t>1</w:t>
      </w:r>
      <w:r w:rsidR="00C32D9A">
        <w:t>8</w:t>
      </w:r>
      <w:r w:rsidR="00D66C77" w:rsidRPr="00C52C8A">
        <w:t>).</w:t>
      </w:r>
    </w:p>
    <w:p w14:paraId="4C4FC30D" w14:textId="43F336FF" w:rsidR="00BF7B77" w:rsidRPr="002E39DF" w:rsidRDefault="00BF7B77" w:rsidP="003B4C7F">
      <w:pPr>
        <w:pStyle w:val="BoxSpaceAbove"/>
        <w:spacing w:before="28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F7B77" w:rsidRPr="00C52C8A" w14:paraId="6DA0AEA0" w14:textId="77777777" w:rsidTr="00DE63E6">
        <w:tc>
          <w:tcPr>
            <w:tcW w:w="8789" w:type="dxa"/>
            <w:tcBorders>
              <w:top w:val="single" w:sz="6" w:space="0" w:color="78A22F" w:themeColor="accent1"/>
              <w:left w:val="nil"/>
              <w:bottom w:val="nil"/>
              <w:right w:val="nil"/>
            </w:tcBorders>
            <w:shd w:val="clear" w:color="auto" w:fill="auto"/>
          </w:tcPr>
          <w:p w14:paraId="2AFAABE1" w14:textId="24AF4B28" w:rsidR="00BF7B77" w:rsidRPr="00C52C8A" w:rsidRDefault="00BF7B77" w:rsidP="00CE7AB7">
            <w:pPr>
              <w:pStyle w:val="TableTitle"/>
            </w:pPr>
            <w:r w:rsidRPr="00C52C8A">
              <w:rPr>
                <w:b w:val="0"/>
              </w:rPr>
              <w:t>Table</w:t>
            </w:r>
            <w:r w:rsidR="008E3491" w:rsidRPr="00C52C8A">
              <w:rPr>
                <w:b w:val="0"/>
              </w:rPr>
              <w:t xml:space="preserve"> </w:t>
            </w:r>
            <w:bookmarkStart w:id="40" w:name="OLE_LINK27"/>
            <w:r w:rsidR="00C87A43">
              <w:rPr>
                <w:b w:val="0"/>
              </w:rPr>
              <w:t>17.</w:t>
            </w:r>
            <w:r w:rsidR="00AF64D0">
              <w:rPr>
                <w:b w:val="0"/>
                <w:noProof/>
              </w:rPr>
              <w:t>3</w:t>
            </w:r>
            <w:bookmarkEnd w:id="40"/>
            <w:r w:rsidRPr="00C52C8A">
              <w:tab/>
            </w:r>
            <w:r w:rsidR="004B5AB8" w:rsidRPr="00C52C8A">
              <w:t>I</w:t>
            </w:r>
            <w:r w:rsidR="000C60FC" w:rsidRPr="00C52C8A">
              <w:rPr>
                <w:bCs/>
              </w:rPr>
              <w:t>ncidents of</w:t>
            </w:r>
            <w:r w:rsidR="005B628B" w:rsidRPr="00C52C8A">
              <w:rPr>
                <w:bCs/>
              </w:rPr>
              <w:t xml:space="preserve"> </w:t>
            </w:r>
            <w:r w:rsidR="00C06D4B" w:rsidRPr="00C52C8A">
              <w:rPr>
                <w:bCs/>
              </w:rPr>
              <w:t>self</w:t>
            </w:r>
            <w:r w:rsidR="00F4592C" w:rsidRPr="00C52C8A">
              <w:rPr>
                <w:bCs/>
              </w:rPr>
              <w:noBreakHyphen/>
            </w:r>
            <w:r w:rsidR="00C06D4B" w:rsidRPr="00C52C8A">
              <w:rPr>
                <w:bCs/>
              </w:rPr>
              <w:t xml:space="preserve">harm or attempted suicide in custody requiring hospitalisation, by </w:t>
            </w:r>
            <w:r w:rsidR="0035320E" w:rsidRPr="00C52C8A">
              <w:rPr>
                <w:bCs/>
              </w:rPr>
              <w:t>Indigenous status</w:t>
            </w:r>
            <w:r w:rsidR="00C06D4B" w:rsidRPr="00C52C8A">
              <w:rPr>
                <w:bCs/>
              </w:rPr>
              <w:t>, 201</w:t>
            </w:r>
            <w:r w:rsidR="009D0A7F">
              <w:rPr>
                <w:bCs/>
              </w:rPr>
              <w:t>9</w:t>
            </w:r>
            <w:r w:rsidR="00F4592C" w:rsidRPr="00C52C8A">
              <w:rPr>
                <w:bCs/>
              </w:rPr>
              <w:noBreakHyphen/>
            </w:r>
            <w:r w:rsidR="009D0A7F">
              <w:rPr>
                <w:bCs/>
              </w:rPr>
              <w:t>20</w:t>
            </w:r>
            <w:r w:rsidR="00157948" w:rsidRPr="00C52C8A">
              <w:rPr>
                <w:rStyle w:val="NoteLabel"/>
                <w:b/>
              </w:rPr>
              <w:t>a</w:t>
            </w:r>
          </w:p>
        </w:tc>
      </w:tr>
      <w:tr w:rsidR="00DE63E6" w:rsidRPr="00C52C8A" w14:paraId="221A406D"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C52C8A" w14:paraId="742C1060" w14:textId="77777777" w:rsidTr="00322B5C">
              <w:tc>
                <w:tcPr>
                  <w:tcW w:w="304" w:type="dxa"/>
                  <w:tcBorders>
                    <w:top w:val="nil"/>
                    <w:left w:val="nil"/>
                    <w:bottom w:val="nil"/>
                    <w:right w:val="nil"/>
                  </w:tcBorders>
                  <w:shd w:val="clear" w:color="auto" w:fill="auto"/>
                  <w:tcMar>
                    <w:top w:w="28" w:type="dxa"/>
                    <w:bottom w:w="28" w:type="dxa"/>
                  </w:tcMar>
                </w:tcPr>
                <w:p w14:paraId="6897E4D2"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63243E0"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162BE51" w14:textId="377D5F2F" w:rsidR="00DE63E6" w:rsidRPr="00C52C8A" w:rsidRDefault="00DE63E6" w:rsidP="0081112C">
                  <w:pPr>
                    <w:pStyle w:val="TableBodyText"/>
                    <w:jc w:val="left"/>
                  </w:pPr>
                  <w:r w:rsidRPr="00C52C8A">
                    <w:t xml:space="preserve">Data are </w:t>
                  </w:r>
                  <w:r w:rsidR="00322B5C" w:rsidRPr="00C52C8A">
                    <w:t>not comparable across jurisdictions</w:t>
                  </w:r>
                  <w:r w:rsidRPr="00C52C8A">
                    <w:t>.</w:t>
                  </w:r>
                </w:p>
              </w:tc>
            </w:tr>
            <w:tr w:rsidR="00DE63E6" w:rsidRPr="00C52C8A" w14:paraId="14E59916" w14:textId="77777777" w:rsidTr="00322B5C">
              <w:tc>
                <w:tcPr>
                  <w:tcW w:w="304" w:type="dxa"/>
                  <w:tcBorders>
                    <w:top w:val="nil"/>
                    <w:left w:val="nil"/>
                    <w:bottom w:val="nil"/>
                    <w:right w:val="nil"/>
                  </w:tcBorders>
                  <w:shd w:val="clear" w:color="auto" w:fill="auto"/>
                  <w:tcMar>
                    <w:top w:w="28" w:type="dxa"/>
                    <w:bottom w:w="28" w:type="dxa"/>
                  </w:tcMar>
                </w:tcPr>
                <w:p w14:paraId="597D22E4"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30B073F3" w14:textId="77777777" w:rsidR="00DE63E6" w:rsidRPr="00C52C8A" w:rsidRDefault="00DE63E6" w:rsidP="00322B5C">
                  <w:pPr>
                    <w:keepNext/>
                    <w:keepLines/>
                    <w:spacing w:before="60" w:after="60" w:line="240" w:lineRule="atLeast"/>
                    <w:rPr>
                      <w:rFonts w:ascii="Arial" w:hAnsi="Arial" w:cs="Arial"/>
                      <w:sz w:val="18"/>
                      <w:szCs w:val="18"/>
                    </w:rPr>
                  </w:pPr>
                </w:p>
              </w:tc>
              <w:tc>
                <w:tcPr>
                  <w:tcW w:w="7938" w:type="dxa"/>
                  <w:tcBorders>
                    <w:top w:val="nil"/>
                    <w:left w:val="nil"/>
                    <w:bottom w:val="nil"/>
                    <w:right w:val="nil"/>
                  </w:tcBorders>
                  <w:shd w:val="clear" w:color="auto" w:fill="auto"/>
                </w:tcPr>
                <w:p w14:paraId="7C5CF310" w14:textId="0FF26C74" w:rsidR="00DE63E6" w:rsidRPr="00C52C8A" w:rsidRDefault="00DE63E6" w:rsidP="00747133">
                  <w:pPr>
                    <w:pStyle w:val="TableBodyText"/>
                    <w:jc w:val="left"/>
                  </w:pPr>
                  <w:r w:rsidRPr="00C52C8A">
                    <w:t xml:space="preserve">Data are </w:t>
                  </w:r>
                  <w:r w:rsidR="00322B5C" w:rsidRPr="00C52C8A">
                    <w:t xml:space="preserve">incomplete for the current reporting period. </w:t>
                  </w:r>
                </w:p>
              </w:tc>
            </w:tr>
          </w:tbl>
          <w:p w14:paraId="761516D8" w14:textId="77777777" w:rsidR="00DE63E6" w:rsidRPr="00C52C8A" w:rsidRDefault="00DE63E6" w:rsidP="00DE63E6">
            <w:pPr>
              <w:pStyle w:val="TableTitle"/>
              <w:rPr>
                <w:b w:val="0"/>
              </w:rPr>
            </w:pPr>
          </w:p>
        </w:tc>
      </w:tr>
      <w:tr w:rsidR="00BF7B77" w:rsidRPr="00C52C8A" w14:paraId="6730EDA9" w14:textId="77777777" w:rsidTr="006A71F6">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391"/>
              <w:gridCol w:w="639"/>
              <w:gridCol w:w="639"/>
              <w:gridCol w:w="640"/>
              <w:gridCol w:w="640"/>
              <w:gridCol w:w="640"/>
              <w:gridCol w:w="640"/>
              <w:gridCol w:w="640"/>
              <w:gridCol w:w="636"/>
            </w:tblGrid>
            <w:tr w:rsidR="00C06D4B" w:rsidRPr="00C52C8A" w14:paraId="79FAA9B0" w14:textId="77777777" w:rsidTr="00683219">
              <w:tc>
                <w:tcPr>
                  <w:tcW w:w="1994" w:type="pct"/>
                  <w:tcBorders>
                    <w:top w:val="single" w:sz="6" w:space="0" w:color="BFBFBF"/>
                    <w:bottom w:val="single" w:sz="6" w:space="0" w:color="BFBFBF"/>
                  </w:tcBorders>
                </w:tcPr>
                <w:p w14:paraId="485832CD" w14:textId="77777777" w:rsidR="00C06D4B" w:rsidRPr="00C52C8A" w:rsidRDefault="00C06D4B" w:rsidP="00D67BB1">
                  <w:pPr>
                    <w:pStyle w:val="TableUnitsRow"/>
                    <w:keepLines w:val="0"/>
                    <w:widowControl w:val="0"/>
                    <w:jc w:val="left"/>
                  </w:pPr>
                </w:p>
              </w:tc>
              <w:tc>
                <w:tcPr>
                  <w:tcW w:w="376" w:type="pct"/>
                  <w:tcBorders>
                    <w:top w:val="single" w:sz="6" w:space="0" w:color="BFBFBF"/>
                    <w:bottom w:val="single" w:sz="6" w:space="0" w:color="BFBFBF"/>
                  </w:tcBorders>
                </w:tcPr>
                <w:p w14:paraId="7AA1B3EB" w14:textId="77777777" w:rsidR="00C06D4B" w:rsidRPr="00C52C8A" w:rsidRDefault="00C06D4B" w:rsidP="00D67BB1">
                  <w:pPr>
                    <w:pStyle w:val="TableColumnHeading"/>
                    <w:keepLines w:val="0"/>
                    <w:widowControl w:val="0"/>
                    <w:rPr>
                      <w:rStyle w:val="NoteLabel"/>
                    </w:rPr>
                  </w:pPr>
                  <w:r w:rsidRPr="00C52C8A">
                    <w:t>NSW</w:t>
                  </w:r>
                </w:p>
              </w:tc>
              <w:tc>
                <w:tcPr>
                  <w:tcW w:w="376" w:type="pct"/>
                  <w:tcBorders>
                    <w:top w:val="single" w:sz="6" w:space="0" w:color="BFBFBF"/>
                    <w:bottom w:val="single" w:sz="6" w:space="0" w:color="BFBFBF"/>
                  </w:tcBorders>
                </w:tcPr>
                <w:p w14:paraId="28802938" w14:textId="77777777" w:rsidR="00C06D4B" w:rsidRPr="00C52C8A" w:rsidRDefault="00C06D4B" w:rsidP="00D67BB1">
                  <w:pPr>
                    <w:pStyle w:val="TableColumnHeading"/>
                    <w:keepLines w:val="0"/>
                    <w:widowControl w:val="0"/>
                    <w:rPr>
                      <w:rStyle w:val="NoteLabel"/>
                    </w:rPr>
                  </w:pPr>
                  <w:r w:rsidRPr="00C52C8A">
                    <w:t>Vic</w:t>
                  </w:r>
                </w:p>
              </w:tc>
              <w:tc>
                <w:tcPr>
                  <w:tcW w:w="376" w:type="pct"/>
                  <w:tcBorders>
                    <w:top w:val="single" w:sz="6" w:space="0" w:color="BFBFBF"/>
                    <w:bottom w:val="single" w:sz="6" w:space="0" w:color="BFBFBF"/>
                  </w:tcBorders>
                </w:tcPr>
                <w:p w14:paraId="57BA2415" w14:textId="77777777" w:rsidR="00C06D4B" w:rsidRPr="00C52C8A" w:rsidRDefault="00C06D4B" w:rsidP="00D67BB1">
                  <w:pPr>
                    <w:pStyle w:val="TableColumnHeading"/>
                    <w:keepLines w:val="0"/>
                    <w:widowControl w:val="0"/>
                    <w:rPr>
                      <w:rStyle w:val="NoteLabel"/>
                    </w:rPr>
                  </w:pPr>
                  <w:r w:rsidRPr="00C52C8A">
                    <w:t>Qld</w:t>
                  </w:r>
                </w:p>
              </w:tc>
              <w:tc>
                <w:tcPr>
                  <w:tcW w:w="376" w:type="pct"/>
                  <w:tcBorders>
                    <w:top w:val="single" w:sz="6" w:space="0" w:color="BFBFBF"/>
                    <w:bottom w:val="single" w:sz="6" w:space="0" w:color="BFBFBF"/>
                  </w:tcBorders>
                </w:tcPr>
                <w:p w14:paraId="1B071232" w14:textId="77777777" w:rsidR="00C06D4B" w:rsidRPr="00C52C8A" w:rsidRDefault="00C06D4B" w:rsidP="00D67BB1">
                  <w:pPr>
                    <w:pStyle w:val="TableColumnHeading"/>
                    <w:keepLines w:val="0"/>
                    <w:widowControl w:val="0"/>
                    <w:rPr>
                      <w:rStyle w:val="NoteLabel"/>
                    </w:rPr>
                  </w:pPr>
                  <w:r w:rsidRPr="00C52C8A">
                    <w:t>WA</w:t>
                  </w:r>
                </w:p>
              </w:tc>
              <w:tc>
                <w:tcPr>
                  <w:tcW w:w="376" w:type="pct"/>
                  <w:tcBorders>
                    <w:top w:val="single" w:sz="6" w:space="0" w:color="BFBFBF"/>
                    <w:bottom w:val="single" w:sz="6" w:space="0" w:color="BFBFBF"/>
                  </w:tcBorders>
                </w:tcPr>
                <w:p w14:paraId="7951D676" w14:textId="77777777" w:rsidR="00C06D4B" w:rsidRPr="00C52C8A" w:rsidRDefault="00C06D4B" w:rsidP="00D67BB1">
                  <w:pPr>
                    <w:pStyle w:val="TableColumnHeading"/>
                    <w:keepLines w:val="0"/>
                    <w:widowControl w:val="0"/>
                    <w:rPr>
                      <w:rStyle w:val="NoteLabel"/>
                    </w:rPr>
                  </w:pPr>
                  <w:r w:rsidRPr="00C52C8A">
                    <w:t>SA</w:t>
                  </w:r>
                </w:p>
              </w:tc>
              <w:tc>
                <w:tcPr>
                  <w:tcW w:w="376" w:type="pct"/>
                  <w:tcBorders>
                    <w:top w:val="single" w:sz="6" w:space="0" w:color="BFBFBF"/>
                    <w:bottom w:val="single" w:sz="6" w:space="0" w:color="BFBFBF"/>
                  </w:tcBorders>
                </w:tcPr>
                <w:p w14:paraId="539D65F3" w14:textId="77777777" w:rsidR="00C06D4B" w:rsidRPr="00C52C8A" w:rsidRDefault="00C06D4B" w:rsidP="00D67BB1">
                  <w:pPr>
                    <w:pStyle w:val="TableColumnHeading"/>
                    <w:keepLines w:val="0"/>
                    <w:widowControl w:val="0"/>
                    <w:rPr>
                      <w:rStyle w:val="NoteLabel"/>
                    </w:rPr>
                  </w:pPr>
                  <w:r w:rsidRPr="00C52C8A">
                    <w:t>Tas</w:t>
                  </w:r>
                </w:p>
              </w:tc>
              <w:tc>
                <w:tcPr>
                  <w:tcW w:w="376" w:type="pct"/>
                  <w:tcBorders>
                    <w:top w:val="single" w:sz="6" w:space="0" w:color="BFBFBF"/>
                    <w:bottom w:val="single" w:sz="6" w:space="0" w:color="BFBFBF"/>
                  </w:tcBorders>
                </w:tcPr>
                <w:p w14:paraId="585D097F" w14:textId="77777777" w:rsidR="00C06D4B" w:rsidRPr="00C52C8A" w:rsidRDefault="00C06D4B" w:rsidP="00D67BB1">
                  <w:pPr>
                    <w:pStyle w:val="TableColumnHeading"/>
                    <w:keepLines w:val="0"/>
                    <w:widowControl w:val="0"/>
                    <w:rPr>
                      <w:rStyle w:val="NoteLabel"/>
                    </w:rPr>
                  </w:pPr>
                  <w:r w:rsidRPr="00C52C8A">
                    <w:t>ACT</w:t>
                  </w:r>
                </w:p>
              </w:tc>
              <w:tc>
                <w:tcPr>
                  <w:tcW w:w="374" w:type="pct"/>
                  <w:tcBorders>
                    <w:top w:val="single" w:sz="6" w:space="0" w:color="BFBFBF"/>
                    <w:bottom w:val="single" w:sz="6" w:space="0" w:color="BFBFBF"/>
                  </w:tcBorders>
                </w:tcPr>
                <w:p w14:paraId="04422E66" w14:textId="77777777" w:rsidR="00C06D4B" w:rsidRPr="00C52C8A" w:rsidRDefault="00C06D4B" w:rsidP="00D67BB1">
                  <w:pPr>
                    <w:pStyle w:val="TableColumnHeading"/>
                    <w:keepLines w:val="0"/>
                    <w:widowControl w:val="0"/>
                    <w:rPr>
                      <w:rStyle w:val="NoteLabel"/>
                    </w:rPr>
                  </w:pPr>
                  <w:r w:rsidRPr="00C52C8A">
                    <w:t>NT</w:t>
                  </w:r>
                </w:p>
              </w:tc>
            </w:tr>
            <w:tr w:rsidR="00725258" w:rsidRPr="00C52C8A" w14:paraId="387C528F" w14:textId="77777777" w:rsidTr="00CE2334">
              <w:tc>
                <w:tcPr>
                  <w:tcW w:w="5000" w:type="pct"/>
                  <w:gridSpan w:val="9"/>
                  <w:tcBorders>
                    <w:top w:val="single" w:sz="6" w:space="0" w:color="BFBFBF"/>
                  </w:tcBorders>
                </w:tcPr>
                <w:p w14:paraId="204CAC57" w14:textId="7B237374" w:rsidR="00725258" w:rsidRPr="00C52C8A" w:rsidRDefault="00725258" w:rsidP="006A71F6">
                  <w:pPr>
                    <w:pStyle w:val="TableBodyText"/>
                    <w:keepLines w:val="0"/>
                    <w:widowControl w:val="0"/>
                    <w:spacing w:before="40"/>
                    <w:ind w:right="28"/>
                    <w:jc w:val="left"/>
                  </w:pPr>
                  <w:r w:rsidRPr="00C52C8A">
                    <w:rPr>
                      <w:b/>
                    </w:rPr>
                    <w:t xml:space="preserve">Number of </w:t>
                  </w:r>
                  <w:r w:rsidR="000C60FC" w:rsidRPr="00C52C8A">
                    <w:rPr>
                      <w:b/>
                    </w:rPr>
                    <w:t>incidents of</w:t>
                  </w:r>
                  <w:r w:rsidRPr="00C52C8A">
                    <w:rPr>
                      <w:b/>
                    </w:rPr>
                    <w:t xml:space="preserve"> self</w:t>
                  </w:r>
                  <w:r w:rsidRPr="00C52C8A">
                    <w:rPr>
                      <w:b/>
                    </w:rPr>
                    <w:noBreakHyphen/>
                    <w:t>harm or attempted suicide in custody requiring hospitalisation</w:t>
                  </w:r>
                </w:p>
              </w:tc>
            </w:tr>
            <w:tr w:rsidR="0091209F" w:rsidRPr="00C52C8A" w14:paraId="696FD98A" w14:textId="77777777" w:rsidTr="00113D98">
              <w:tc>
                <w:tcPr>
                  <w:tcW w:w="1994" w:type="pct"/>
                  <w:shd w:val="clear" w:color="auto" w:fill="auto"/>
                </w:tcPr>
                <w:p w14:paraId="14780055" w14:textId="77777777" w:rsidR="0091209F" w:rsidRPr="00C52C8A" w:rsidRDefault="0091209F" w:rsidP="0091209F">
                  <w:pPr>
                    <w:pStyle w:val="TableBodyText"/>
                    <w:keepLines w:val="0"/>
                    <w:widowControl w:val="0"/>
                    <w:jc w:val="left"/>
                  </w:pPr>
                  <w:r w:rsidRPr="00C52C8A">
                    <w:t>Aboriginal and Torres Strait Islander</w:t>
                  </w:r>
                </w:p>
              </w:tc>
              <w:tc>
                <w:tcPr>
                  <w:tcW w:w="376" w:type="pct"/>
                  <w:shd w:val="clear" w:color="auto" w:fill="auto"/>
                  <w:vAlign w:val="center"/>
                </w:tcPr>
                <w:p w14:paraId="5AB18230" w14:textId="5B245183" w:rsidR="0091209F" w:rsidRPr="00C52C8A" w:rsidRDefault="0091209F" w:rsidP="0091209F">
                  <w:pPr>
                    <w:pStyle w:val="TableBodyText"/>
                    <w:keepLines w:val="0"/>
                    <w:widowControl w:val="0"/>
                  </w:pPr>
                  <w:r>
                    <w:rPr>
                      <w:rFonts w:cs="Arial"/>
                      <w:szCs w:val="18"/>
                    </w:rPr>
                    <w:t xml:space="preserve">  8</w:t>
                  </w:r>
                </w:p>
              </w:tc>
              <w:tc>
                <w:tcPr>
                  <w:tcW w:w="376" w:type="pct"/>
                  <w:shd w:val="clear" w:color="auto" w:fill="auto"/>
                  <w:vAlign w:val="center"/>
                </w:tcPr>
                <w:p w14:paraId="66DC45F3" w14:textId="1B57F924" w:rsidR="0091209F" w:rsidRPr="00C52C8A" w:rsidRDefault="0091209F" w:rsidP="0091209F">
                  <w:pPr>
                    <w:pStyle w:val="TableBodyText"/>
                    <w:keepLines w:val="0"/>
                    <w:widowControl w:val="0"/>
                  </w:pPr>
                  <w:r>
                    <w:rPr>
                      <w:rFonts w:cs="Arial"/>
                      <w:szCs w:val="18"/>
                    </w:rPr>
                    <w:t xml:space="preserve">  2</w:t>
                  </w:r>
                </w:p>
              </w:tc>
              <w:tc>
                <w:tcPr>
                  <w:tcW w:w="376" w:type="pct"/>
                  <w:vAlign w:val="center"/>
                </w:tcPr>
                <w:p w14:paraId="2B74654D" w14:textId="18FD98CC" w:rsidR="0091209F" w:rsidRPr="00C52C8A" w:rsidRDefault="0091209F" w:rsidP="0091209F">
                  <w:pPr>
                    <w:pStyle w:val="TableBodyText"/>
                    <w:keepLines w:val="0"/>
                    <w:widowControl w:val="0"/>
                  </w:pPr>
                  <w:r>
                    <w:rPr>
                      <w:rFonts w:cs="Arial"/>
                      <w:szCs w:val="18"/>
                    </w:rPr>
                    <w:t xml:space="preserve">  1</w:t>
                  </w:r>
                </w:p>
              </w:tc>
              <w:tc>
                <w:tcPr>
                  <w:tcW w:w="376" w:type="pct"/>
                  <w:vAlign w:val="center"/>
                </w:tcPr>
                <w:p w14:paraId="2B5F15A3" w14:textId="53DB7EDC" w:rsidR="0091209F" w:rsidRPr="00C52C8A" w:rsidRDefault="0091209F" w:rsidP="0091209F">
                  <w:pPr>
                    <w:pStyle w:val="TableBodyText"/>
                    <w:keepLines w:val="0"/>
                    <w:widowControl w:val="0"/>
                  </w:pPr>
                  <w:proofErr w:type="spellStart"/>
                  <w:r>
                    <w:rPr>
                      <w:rFonts w:cs="Arial"/>
                      <w:szCs w:val="18"/>
                    </w:rPr>
                    <w:t>na</w:t>
                  </w:r>
                  <w:proofErr w:type="spellEnd"/>
                </w:p>
              </w:tc>
              <w:tc>
                <w:tcPr>
                  <w:tcW w:w="376" w:type="pct"/>
                  <w:shd w:val="clear" w:color="auto" w:fill="auto"/>
                  <w:vAlign w:val="center"/>
                </w:tcPr>
                <w:p w14:paraId="79CDDFCF" w14:textId="269E92F8" w:rsidR="0091209F" w:rsidRPr="00C52C8A" w:rsidRDefault="0091209F" w:rsidP="0091209F">
                  <w:pPr>
                    <w:pStyle w:val="TableBodyText"/>
                    <w:keepLines w:val="0"/>
                    <w:widowControl w:val="0"/>
                  </w:pPr>
                  <w:r>
                    <w:rPr>
                      <w:rFonts w:cs="Arial"/>
                      <w:szCs w:val="18"/>
                    </w:rPr>
                    <w:t xml:space="preserve">  5</w:t>
                  </w:r>
                </w:p>
              </w:tc>
              <w:tc>
                <w:tcPr>
                  <w:tcW w:w="376" w:type="pct"/>
                  <w:vAlign w:val="center"/>
                </w:tcPr>
                <w:p w14:paraId="6A1000FB" w14:textId="2C78EDCA" w:rsidR="0091209F" w:rsidRPr="00C52C8A" w:rsidRDefault="0091209F" w:rsidP="0091209F">
                  <w:pPr>
                    <w:pStyle w:val="TableBodyText"/>
                    <w:keepLines w:val="0"/>
                    <w:widowControl w:val="0"/>
                  </w:pPr>
                  <w:r>
                    <w:rPr>
                      <w:rFonts w:cs="Arial"/>
                      <w:szCs w:val="18"/>
                    </w:rPr>
                    <w:t>–</w:t>
                  </w:r>
                </w:p>
              </w:tc>
              <w:tc>
                <w:tcPr>
                  <w:tcW w:w="376" w:type="pct"/>
                  <w:vAlign w:val="center"/>
                </w:tcPr>
                <w:p w14:paraId="030295E6" w14:textId="364732FA" w:rsidR="0091209F" w:rsidRPr="00C52C8A" w:rsidRDefault="0091209F" w:rsidP="0091209F">
                  <w:pPr>
                    <w:pStyle w:val="TableBodyText"/>
                    <w:keepLines w:val="0"/>
                    <w:widowControl w:val="0"/>
                  </w:pPr>
                  <w:r>
                    <w:rPr>
                      <w:rFonts w:cs="Arial"/>
                      <w:szCs w:val="18"/>
                    </w:rPr>
                    <w:t>–</w:t>
                  </w:r>
                </w:p>
              </w:tc>
              <w:tc>
                <w:tcPr>
                  <w:tcW w:w="374" w:type="pct"/>
                  <w:vAlign w:val="center"/>
                </w:tcPr>
                <w:p w14:paraId="153D3D92" w14:textId="647B7D6E" w:rsidR="0091209F" w:rsidRPr="00C52C8A" w:rsidRDefault="0091209F" w:rsidP="0091209F">
                  <w:pPr>
                    <w:pStyle w:val="TableBodyText"/>
                    <w:keepLines w:val="0"/>
                    <w:widowControl w:val="0"/>
                  </w:pPr>
                  <w:r>
                    <w:rPr>
                      <w:rFonts w:cs="Arial"/>
                      <w:szCs w:val="18"/>
                    </w:rPr>
                    <w:t xml:space="preserve">  13</w:t>
                  </w:r>
                </w:p>
              </w:tc>
            </w:tr>
            <w:tr w:rsidR="0091209F" w:rsidRPr="00C52C8A" w14:paraId="6E38FFCA" w14:textId="77777777" w:rsidTr="00113D98">
              <w:tc>
                <w:tcPr>
                  <w:tcW w:w="1994" w:type="pct"/>
                  <w:shd w:val="clear" w:color="auto" w:fill="auto"/>
                </w:tcPr>
                <w:p w14:paraId="02F96944" w14:textId="77777777" w:rsidR="0091209F" w:rsidRPr="00C52C8A" w:rsidRDefault="0091209F" w:rsidP="0091209F">
                  <w:pPr>
                    <w:pStyle w:val="TableBodyText"/>
                    <w:keepLines w:val="0"/>
                    <w:widowControl w:val="0"/>
                    <w:jc w:val="left"/>
                  </w:pPr>
                  <w:r w:rsidRPr="00C52C8A">
                    <w:t>Non</w:t>
                  </w:r>
                  <w:r w:rsidRPr="00C52C8A">
                    <w:noBreakHyphen/>
                    <w:t>Indigenous</w:t>
                  </w:r>
                </w:p>
              </w:tc>
              <w:tc>
                <w:tcPr>
                  <w:tcW w:w="376" w:type="pct"/>
                  <w:shd w:val="clear" w:color="auto" w:fill="auto"/>
                  <w:vAlign w:val="center"/>
                </w:tcPr>
                <w:p w14:paraId="3547F8EC" w14:textId="7087D247" w:rsidR="0091209F" w:rsidRPr="00C52C8A" w:rsidRDefault="0091209F" w:rsidP="0091209F">
                  <w:pPr>
                    <w:pStyle w:val="TableBodyText"/>
                    <w:keepLines w:val="0"/>
                    <w:widowControl w:val="0"/>
                  </w:pPr>
                  <w:r>
                    <w:rPr>
                      <w:rFonts w:cs="Arial"/>
                      <w:szCs w:val="18"/>
                    </w:rPr>
                    <w:t xml:space="preserve">  10</w:t>
                  </w:r>
                </w:p>
              </w:tc>
              <w:tc>
                <w:tcPr>
                  <w:tcW w:w="376" w:type="pct"/>
                  <w:shd w:val="clear" w:color="auto" w:fill="auto"/>
                  <w:vAlign w:val="center"/>
                </w:tcPr>
                <w:p w14:paraId="25253773" w14:textId="259AEE86" w:rsidR="0091209F" w:rsidRPr="00C52C8A" w:rsidRDefault="0091209F" w:rsidP="0091209F">
                  <w:pPr>
                    <w:pStyle w:val="TableBodyText"/>
                    <w:keepLines w:val="0"/>
                    <w:widowControl w:val="0"/>
                  </w:pPr>
                  <w:r>
                    <w:rPr>
                      <w:rFonts w:cs="Arial"/>
                      <w:szCs w:val="18"/>
                    </w:rPr>
                    <w:t>–</w:t>
                  </w:r>
                </w:p>
              </w:tc>
              <w:tc>
                <w:tcPr>
                  <w:tcW w:w="376" w:type="pct"/>
                  <w:vAlign w:val="center"/>
                </w:tcPr>
                <w:p w14:paraId="1FCD0CB9" w14:textId="43BD408E" w:rsidR="0091209F" w:rsidRPr="00C52C8A" w:rsidRDefault="0091209F" w:rsidP="0091209F">
                  <w:pPr>
                    <w:pStyle w:val="TableBodyText"/>
                    <w:keepLines w:val="0"/>
                    <w:widowControl w:val="0"/>
                  </w:pPr>
                  <w:r>
                    <w:rPr>
                      <w:rFonts w:cs="Arial"/>
                      <w:szCs w:val="18"/>
                    </w:rPr>
                    <w:t xml:space="preserve">  1</w:t>
                  </w:r>
                </w:p>
              </w:tc>
              <w:tc>
                <w:tcPr>
                  <w:tcW w:w="376" w:type="pct"/>
                  <w:vAlign w:val="center"/>
                </w:tcPr>
                <w:p w14:paraId="186DD5CC" w14:textId="4E625210" w:rsidR="0091209F" w:rsidRPr="00C52C8A" w:rsidRDefault="0091209F" w:rsidP="0091209F">
                  <w:pPr>
                    <w:pStyle w:val="TableBodyText"/>
                    <w:keepLines w:val="0"/>
                    <w:widowControl w:val="0"/>
                  </w:pPr>
                  <w:proofErr w:type="spellStart"/>
                  <w:r>
                    <w:rPr>
                      <w:rFonts w:cs="Arial"/>
                      <w:szCs w:val="18"/>
                    </w:rPr>
                    <w:t>na</w:t>
                  </w:r>
                  <w:proofErr w:type="spellEnd"/>
                </w:p>
              </w:tc>
              <w:tc>
                <w:tcPr>
                  <w:tcW w:w="376" w:type="pct"/>
                  <w:shd w:val="clear" w:color="auto" w:fill="auto"/>
                  <w:vAlign w:val="center"/>
                </w:tcPr>
                <w:p w14:paraId="48AFBC9D" w14:textId="2CF31EC8" w:rsidR="0091209F" w:rsidRPr="00C52C8A" w:rsidRDefault="0091209F" w:rsidP="0091209F">
                  <w:pPr>
                    <w:pStyle w:val="TableBodyText"/>
                    <w:keepLines w:val="0"/>
                    <w:widowControl w:val="0"/>
                  </w:pPr>
                  <w:r>
                    <w:rPr>
                      <w:rFonts w:cs="Arial"/>
                      <w:szCs w:val="18"/>
                    </w:rPr>
                    <w:t>–</w:t>
                  </w:r>
                </w:p>
              </w:tc>
              <w:tc>
                <w:tcPr>
                  <w:tcW w:w="376" w:type="pct"/>
                  <w:vAlign w:val="center"/>
                </w:tcPr>
                <w:p w14:paraId="18E3B425" w14:textId="05F0B8E0" w:rsidR="0091209F" w:rsidRPr="00C52C8A" w:rsidRDefault="0091209F" w:rsidP="0091209F">
                  <w:pPr>
                    <w:pStyle w:val="TableBodyText"/>
                    <w:keepLines w:val="0"/>
                    <w:widowControl w:val="0"/>
                  </w:pPr>
                  <w:r>
                    <w:rPr>
                      <w:rFonts w:cs="Arial"/>
                      <w:szCs w:val="18"/>
                    </w:rPr>
                    <w:t>–</w:t>
                  </w:r>
                </w:p>
              </w:tc>
              <w:tc>
                <w:tcPr>
                  <w:tcW w:w="376" w:type="pct"/>
                  <w:vAlign w:val="center"/>
                </w:tcPr>
                <w:p w14:paraId="7282B280" w14:textId="7EF11129" w:rsidR="0091209F" w:rsidRPr="00C52C8A" w:rsidRDefault="0091209F" w:rsidP="0091209F">
                  <w:pPr>
                    <w:pStyle w:val="TableBodyText"/>
                    <w:keepLines w:val="0"/>
                    <w:widowControl w:val="0"/>
                  </w:pPr>
                  <w:r>
                    <w:rPr>
                      <w:rFonts w:cs="Arial"/>
                      <w:szCs w:val="18"/>
                    </w:rPr>
                    <w:t>–</w:t>
                  </w:r>
                </w:p>
              </w:tc>
              <w:tc>
                <w:tcPr>
                  <w:tcW w:w="374" w:type="pct"/>
                  <w:vAlign w:val="center"/>
                </w:tcPr>
                <w:p w14:paraId="1B06C825" w14:textId="012C3D0C" w:rsidR="0091209F" w:rsidRPr="00C52C8A" w:rsidRDefault="0091209F" w:rsidP="0091209F">
                  <w:pPr>
                    <w:pStyle w:val="TableBodyText"/>
                    <w:keepLines w:val="0"/>
                    <w:widowControl w:val="0"/>
                  </w:pPr>
                  <w:r>
                    <w:rPr>
                      <w:rFonts w:cs="Arial"/>
                      <w:szCs w:val="18"/>
                    </w:rPr>
                    <w:t xml:space="preserve">  1</w:t>
                  </w:r>
                </w:p>
              </w:tc>
            </w:tr>
            <w:tr w:rsidR="0091209F" w:rsidRPr="00C52C8A" w14:paraId="35072BBB" w14:textId="77777777" w:rsidTr="00113D98">
              <w:tc>
                <w:tcPr>
                  <w:tcW w:w="1994" w:type="pct"/>
                  <w:shd w:val="clear" w:color="auto" w:fill="auto"/>
                </w:tcPr>
                <w:p w14:paraId="1BB9EC1C" w14:textId="77777777" w:rsidR="0091209F" w:rsidRPr="00C52C8A" w:rsidRDefault="0091209F" w:rsidP="0091209F">
                  <w:pPr>
                    <w:pStyle w:val="TableBodyText"/>
                    <w:keepLines w:val="0"/>
                    <w:widowControl w:val="0"/>
                    <w:jc w:val="left"/>
                    <w:rPr>
                      <w:b/>
                    </w:rPr>
                  </w:pPr>
                  <w:r w:rsidRPr="00C52C8A">
                    <w:rPr>
                      <w:b/>
                    </w:rPr>
                    <w:t>Total</w:t>
                  </w:r>
                </w:p>
              </w:tc>
              <w:tc>
                <w:tcPr>
                  <w:tcW w:w="376" w:type="pct"/>
                  <w:shd w:val="clear" w:color="auto" w:fill="auto"/>
                  <w:vAlign w:val="center"/>
                </w:tcPr>
                <w:p w14:paraId="46A3AE3C" w14:textId="192E9F3F" w:rsidR="0091209F" w:rsidRPr="00652A2C" w:rsidRDefault="0091209F" w:rsidP="0091209F">
                  <w:pPr>
                    <w:pStyle w:val="TableBodyText"/>
                    <w:keepLines w:val="0"/>
                    <w:widowControl w:val="0"/>
                    <w:rPr>
                      <w:b/>
                      <w:bCs/>
                    </w:rPr>
                  </w:pPr>
                  <w:r w:rsidRPr="00652A2C">
                    <w:rPr>
                      <w:rFonts w:cs="Arial"/>
                      <w:b/>
                      <w:bCs/>
                      <w:szCs w:val="18"/>
                    </w:rPr>
                    <w:t xml:space="preserve">  18</w:t>
                  </w:r>
                </w:p>
              </w:tc>
              <w:tc>
                <w:tcPr>
                  <w:tcW w:w="376" w:type="pct"/>
                  <w:shd w:val="clear" w:color="auto" w:fill="auto"/>
                  <w:vAlign w:val="center"/>
                </w:tcPr>
                <w:p w14:paraId="10601941" w14:textId="55C783C1" w:rsidR="0091209F" w:rsidRPr="0076777B" w:rsidRDefault="0076777B" w:rsidP="0091209F">
                  <w:pPr>
                    <w:pStyle w:val="TableBodyText"/>
                    <w:keepLines w:val="0"/>
                    <w:widowControl w:val="0"/>
                    <w:rPr>
                      <w:b/>
                      <w:bCs/>
                    </w:rPr>
                  </w:pPr>
                  <w:r w:rsidRPr="0076777B">
                    <w:rPr>
                      <w:rFonts w:cs="Arial"/>
                      <w:b/>
                      <w:bCs/>
                      <w:szCs w:val="18"/>
                    </w:rPr>
                    <w:t>2</w:t>
                  </w:r>
                </w:p>
              </w:tc>
              <w:tc>
                <w:tcPr>
                  <w:tcW w:w="376" w:type="pct"/>
                  <w:vAlign w:val="center"/>
                </w:tcPr>
                <w:p w14:paraId="51B583D7" w14:textId="10923466" w:rsidR="0091209F" w:rsidRPr="0076777B" w:rsidRDefault="0091209F" w:rsidP="0091209F">
                  <w:pPr>
                    <w:pStyle w:val="TableBodyText"/>
                    <w:keepLines w:val="0"/>
                    <w:widowControl w:val="0"/>
                    <w:rPr>
                      <w:b/>
                      <w:bCs/>
                    </w:rPr>
                  </w:pPr>
                  <w:r w:rsidRPr="0076777B">
                    <w:rPr>
                      <w:rFonts w:cs="Arial"/>
                      <w:b/>
                      <w:bCs/>
                      <w:szCs w:val="18"/>
                    </w:rPr>
                    <w:t xml:space="preserve">  2</w:t>
                  </w:r>
                </w:p>
              </w:tc>
              <w:tc>
                <w:tcPr>
                  <w:tcW w:w="376" w:type="pct"/>
                  <w:vAlign w:val="center"/>
                </w:tcPr>
                <w:p w14:paraId="3B8FB5E8" w14:textId="53F0D9F9" w:rsidR="0091209F" w:rsidRPr="00652A2C" w:rsidRDefault="0091209F" w:rsidP="0091209F">
                  <w:pPr>
                    <w:pStyle w:val="TableBodyText"/>
                    <w:keepLines w:val="0"/>
                    <w:widowControl w:val="0"/>
                    <w:rPr>
                      <w:b/>
                      <w:bCs/>
                    </w:rPr>
                  </w:pPr>
                  <w:proofErr w:type="spellStart"/>
                  <w:r w:rsidRPr="00652A2C">
                    <w:rPr>
                      <w:rFonts w:cs="Arial"/>
                      <w:b/>
                      <w:bCs/>
                      <w:szCs w:val="18"/>
                    </w:rPr>
                    <w:t>na</w:t>
                  </w:r>
                  <w:proofErr w:type="spellEnd"/>
                </w:p>
              </w:tc>
              <w:tc>
                <w:tcPr>
                  <w:tcW w:w="376" w:type="pct"/>
                  <w:shd w:val="clear" w:color="auto" w:fill="auto"/>
                  <w:vAlign w:val="center"/>
                </w:tcPr>
                <w:p w14:paraId="13426737" w14:textId="59E70E65" w:rsidR="0091209F" w:rsidRPr="00652A2C" w:rsidRDefault="0091209F" w:rsidP="0091209F">
                  <w:pPr>
                    <w:pStyle w:val="TableBodyText"/>
                    <w:keepLines w:val="0"/>
                    <w:widowControl w:val="0"/>
                    <w:rPr>
                      <w:b/>
                      <w:bCs/>
                    </w:rPr>
                  </w:pPr>
                  <w:r w:rsidRPr="00652A2C">
                    <w:rPr>
                      <w:rFonts w:cs="Arial"/>
                      <w:b/>
                      <w:bCs/>
                      <w:szCs w:val="18"/>
                    </w:rPr>
                    <w:t xml:space="preserve">  5</w:t>
                  </w:r>
                </w:p>
              </w:tc>
              <w:tc>
                <w:tcPr>
                  <w:tcW w:w="376" w:type="pct"/>
                  <w:vAlign w:val="center"/>
                </w:tcPr>
                <w:p w14:paraId="757E6BF7" w14:textId="10200E43" w:rsidR="0091209F" w:rsidRPr="00652A2C" w:rsidRDefault="0091209F" w:rsidP="0091209F">
                  <w:pPr>
                    <w:pStyle w:val="TableBodyText"/>
                    <w:keepLines w:val="0"/>
                    <w:widowControl w:val="0"/>
                    <w:rPr>
                      <w:b/>
                      <w:bCs/>
                    </w:rPr>
                  </w:pPr>
                  <w:r w:rsidRPr="00652A2C">
                    <w:rPr>
                      <w:rFonts w:cs="Arial"/>
                      <w:b/>
                      <w:bCs/>
                      <w:szCs w:val="18"/>
                    </w:rPr>
                    <w:t>–</w:t>
                  </w:r>
                </w:p>
              </w:tc>
              <w:tc>
                <w:tcPr>
                  <w:tcW w:w="376" w:type="pct"/>
                  <w:shd w:val="clear" w:color="auto" w:fill="auto"/>
                  <w:vAlign w:val="center"/>
                </w:tcPr>
                <w:p w14:paraId="0E00CB69" w14:textId="38CFE473" w:rsidR="0091209F" w:rsidRPr="00652A2C" w:rsidRDefault="0091209F" w:rsidP="0091209F">
                  <w:pPr>
                    <w:pStyle w:val="TableBodyText"/>
                    <w:keepLines w:val="0"/>
                    <w:widowControl w:val="0"/>
                    <w:rPr>
                      <w:b/>
                      <w:bCs/>
                    </w:rPr>
                  </w:pPr>
                  <w:r w:rsidRPr="00652A2C">
                    <w:rPr>
                      <w:rFonts w:cs="Arial"/>
                      <w:b/>
                      <w:bCs/>
                      <w:szCs w:val="18"/>
                    </w:rPr>
                    <w:t>–</w:t>
                  </w:r>
                </w:p>
              </w:tc>
              <w:tc>
                <w:tcPr>
                  <w:tcW w:w="374" w:type="pct"/>
                  <w:vAlign w:val="center"/>
                </w:tcPr>
                <w:p w14:paraId="4F88252E" w14:textId="1A7BEDE4" w:rsidR="0091209F" w:rsidRPr="00652A2C" w:rsidRDefault="0091209F" w:rsidP="0091209F">
                  <w:pPr>
                    <w:pStyle w:val="TableBodyText"/>
                    <w:keepLines w:val="0"/>
                    <w:widowControl w:val="0"/>
                    <w:rPr>
                      <w:b/>
                      <w:bCs/>
                    </w:rPr>
                  </w:pPr>
                  <w:r w:rsidRPr="00652A2C">
                    <w:rPr>
                      <w:rFonts w:cs="Arial"/>
                      <w:b/>
                      <w:bCs/>
                      <w:szCs w:val="18"/>
                    </w:rPr>
                    <w:t xml:space="preserve">  14</w:t>
                  </w:r>
                </w:p>
              </w:tc>
            </w:tr>
            <w:tr w:rsidR="0091209F" w:rsidRPr="00C52C8A" w14:paraId="42F61892" w14:textId="77777777" w:rsidTr="00113D98">
              <w:tc>
                <w:tcPr>
                  <w:tcW w:w="1994" w:type="pct"/>
                  <w:shd w:val="clear" w:color="auto" w:fill="auto"/>
                </w:tcPr>
                <w:p w14:paraId="6F256C7D" w14:textId="77777777" w:rsidR="0091209F" w:rsidRPr="00C52C8A" w:rsidRDefault="0091209F" w:rsidP="0091209F">
                  <w:pPr>
                    <w:pStyle w:val="TableBodyText"/>
                    <w:keepLines w:val="0"/>
                    <w:widowControl w:val="0"/>
                    <w:spacing w:before="40"/>
                    <w:ind w:right="28"/>
                    <w:jc w:val="left"/>
                    <w:rPr>
                      <w:b/>
                    </w:rPr>
                  </w:pPr>
                  <w:r w:rsidRPr="00C52C8A">
                    <w:rPr>
                      <w:b/>
                    </w:rPr>
                    <w:t>Rate per 10 000 custody nights</w:t>
                  </w:r>
                </w:p>
              </w:tc>
              <w:tc>
                <w:tcPr>
                  <w:tcW w:w="376" w:type="pct"/>
                  <w:shd w:val="clear" w:color="auto" w:fill="auto"/>
                  <w:vAlign w:val="center"/>
                </w:tcPr>
                <w:p w14:paraId="09BFE329" w14:textId="77777777" w:rsidR="0091209F" w:rsidRPr="00C52C8A" w:rsidRDefault="0091209F" w:rsidP="0091209F">
                  <w:pPr>
                    <w:pStyle w:val="TableBodyText"/>
                    <w:keepLines w:val="0"/>
                    <w:widowControl w:val="0"/>
                  </w:pPr>
                </w:p>
              </w:tc>
              <w:tc>
                <w:tcPr>
                  <w:tcW w:w="376" w:type="pct"/>
                  <w:shd w:val="clear" w:color="auto" w:fill="auto"/>
                  <w:vAlign w:val="center"/>
                </w:tcPr>
                <w:p w14:paraId="217A572A" w14:textId="77777777" w:rsidR="0091209F" w:rsidRPr="0076777B" w:rsidRDefault="0091209F" w:rsidP="0091209F">
                  <w:pPr>
                    <w:pStyle w:val="TableBodyText"/>
                    <w:keepLines w:val="0"/>
                    <w:widowControl w:val="0"/>
                  </w:pPr>
                </w:p>
              </w:tc>
              <w:tc>
                <w:tcPr>
                  <w:tcW w:w="376" w:type="pct"/>
                  <w:vAlign w:val="center"/>
                </w:tcPr>
                <w:p w14:paraId="6D6EB3BB" w14:textId="77777777" w:rsidR="0091209F" w:rsidRPr="0076777B" w:rsidRDefault="0091209F" w:rsidP="0091209F">
                  <w:pPr>
                    <w:pStyle w:val="TableBodyText"/>
                    <w:keepLines w:val="0"/>
                    <w:widowControl w:val="0"/>
                  </w:pPr>
                </w:p>
              </w:tc>
              <w:tc>
                <w:tcPr>
                  <w:tcW w:w="376" w:type="pct"/>
                  <w:vAlign w:val="center"/>
                </w:tcPr>
                <w:p w14:paraId="4AF20618" w14:textId="77777777" w:rsidR="0091209F" w:rsidRPr="00C52C8A" w:rsidRDefault="0091209F" w:rsidP="0091209F">
                  <w:pPr>
                    <w:pStyle w:val="TableBodyText"/>
                    <w:keepLines w:val="0"/>
                    <w:widowControl w:val="0"/>
                  </w:pPr>
                </w:p>
              </w:tc>
              <w:tc>
                <w:tcPr>
                  <w:tcW w:w="376" w:type="pct"/>
                  <w:shd w:val="clear" w:color="auto" w:fill="auto"/>
                  <w:vAlign w:val="center"/>
                </w:tcPr>
                <w:p w14:paraId="41E0959E" w14:textId="77777777" w:rsidR="0091209F" w:rsidRPr="00C52C8A" w:rsidRDefault="0091209F" w:rsidP="0091209F">
                  <w:pPr>
                    <w:pStyle w:val="TableBodyText"/>
                    <w:keepLines w:val="0"/>
                    <w:widowControl w:val="0"/>
                  </w:pPr>
                </w:p>
              </w:tc>
              <w:tc>
                <w:tcPr>
                  <w:tcW w:w="376" w:type="pct"/>
                  <w:vAlign w:val="center"/>
                </w:tcPr>
                <w:p w14:paraId="5FD8B280" w14:textId="77777777" w:rsidR="0091209F" w:rsidRPr="00C52C8A" w:rsidRDefault="0091209F" w:rsidP="0091209F">
                  <w:pPr>
                    <w:pStyle w:val="TableBodyText"/>
                    <w:keepLines w:val="0"/>
                    <w:widowControl w:val="0"/>
                  </w:pPr>
                </w:p>
              </w:tc>
              <w:tc>
                <w:tcPr>
                  <w:tcW w:w="376" w:type="pct"/>
                  <w:shd w:val="clear" w:color="auto" w:fill="auto"/>
                  <w:vAlign w:val="center"/>
                </w:tcPr>
                <w:p w14:paraId="1744CC1E" w14:textId="77777777" w:rsidR="0091209F" w:rsidRPr="00C52C8A" w:rsidRDefault="0091209F" w:rsidP="0091209F">
                  <w:pPr>
                    <w:pStyle w:val="TableBodyText"/>
                    <w:keepLines w:val="0"/>
                    <w:widowControl w:val="0"/>
                  </w:pPr>
                </w:p>
              </w:tc>
              <w:tc>
                <w:tcPr>
                  <w:tcW w:w="374" w:type="pct"/>
                  <w:vAlign w:val="center"/>
                </w:tcPr>
                <w:p w14:paraId="455758CA" w14:textId="77777777" w:rsidR="0091209F" w:rsidRPr="00C52C8A" w:rsidRDefault="0091209F" w:rsidP="0091209F">
                  <w:pPr>
                    <w:pStyle w:val="TableBodyText"/>
                    <w:keepLines w:val="0"/>
                    <w:widowControl w:val="0"/>
                  </w:pPr>
                </w:p>
              </w:tc>
            </w:tr>
            <w:tr w:rsidR="0091209F" w:rsidRPr="00C52C8A" w14:paraId="11EE6111" w14:textId="77777777" w:rsidTr="00113D98">
              <w:tc>
                <w:tcPr>
                  <w:tcW w:w="1994" w:type="pct"/>
                  <w:shd w:val="clear" w:color="auto" w:fill="auto"/>
                </w:tcPr>
                <w:p w14:paraId="7619750C" w14:textId="77777777" w:rsidR="0091209F" w:rsidRPr="00C52C8A" w:rsidRDefault="0091209F" w:rsidP="0091209F">
                  <w:pPr>
                    <w:pStyle w:val="TableBodyText"/>
                    <w:keepLines w:val="0"/>
                    <w:widowControl w:val="0"/>
                    <w:jc w:val="left"/>
                  </w:pPr>
                  <w:r w:rsidRPr="00C52C8A">
                    <w:t>Aboriginal and Torres Strait Islander</w:t>
                  </w:r>
                </w:p>
              </w:tc>
              <w:tc>
                <w:tcPr>
                  <w:tcW w:w="376" w:type="pct"/>
                  <w:shd w:val="clear" w:color="auto" w:fill="auto"/>
                  <w:vAlign w:val="center"/>
                </w:tcPr>
                <w:p w14:paraId="49AC4FA9" w14:textId="1F61FCB3" w:rsidR="0091209F" w:rsidRPr="00C52C8A" w:rsidRDefault="0091209F" w:rsidP="0091209F">
                  <w:pPr>
                    <w:pStyle w:val="TableBodyText"/>
                    <w:keepLines w:val="0"/>
                    <w:widowControl w:val="0"/>
                  </w:pPr>
                  <w:r>
                    <w:rPr>
                      <w:rFonts w:cs="Arial"/>
                      <w:szCs w:val="18"/>
                    </w:rPr>
                    <w:t xml:space="preserve">  1.9</w:t>
                  </w:r>
                </w:p>
              </w:tc>
              <w:tc>
                <w:tcPr>
                  <w:tcW w:w="376" w:type="pct"/>
                  <w:shd w:val="clear" w:color="auto" w:fill="auto"/>
                  <w:vAlign w:val="center"/>
                </w:tcPr>
                <w:p w14:paraId="7278DB6F" w14:textId="0D2833B3" w:rsidR="0091209F" w:rsidRPr="0076777B" w:rsidRDefault="0091209F" w:rsidP="0091209F">
                  <w:pPr>
                    <w:pStyle w:val="TableBodyText"/>
                    <w:keepLines w:val="0"/>
                    <w:widowControl w:val="0"/>
                  </w:pPr>
                  <w:r w:rsidRPr="0076777B">
                    <w:rPr>
                      <w:rFonts w:cs="Arial"/>
                      <w:szCs w:val="18"/>
                    </w:rPr>
                    <w:t xml:space="preserve">  2.1</w:t>
                  </w:r>
                </w:p>
              </w:tc>
              <w:tc>
                <w:tcPr>
                  <w:tcW w:w="376" w:type="pct"/>
                  <w:vAlign w:val="center"/>
                </w:tcPr>
                <w:p w14:paraId="218737BF" w14:textId="5A54173E" w:rsidR="0091209F" w:rsidRPr="0076777B" w:rsidRDefault="0091209F" w:rsidP="0091209F">
                  <w:pPr>
                    <w:pStyle w:val="TableBodyText"/>
                    <w:keepLines w:val="0"/>
                    <w:widowControl w:val="0"/>
                  </w:pPr>
                  <w:r w:rsidRPr="0076777B">
                    <w:rPr>
                      <w:rFonts w:cs="Arial"/>
                      <w:szCs w:val="18"/>
                    </w:rPr>
                    <w:t xml:space="preserve">  0.2</w:t>
                  </w:r>
                </w:p>
              </w:tc>
              <w:tc>
                <w:tcPr>
                  <w:tcW w:w="376" w:type="pct"/>
                  <w:vAlign w:val="center"/>
                </w:tcPr>
                <w:p w14:paraId="5B726F21" w14:textId="670C8EB8" w:rsidR="0091209F" w:rsidRPr="00C52C8A" w:rsidRDefault="0091209F" w:rsidP="0091209F">
                  <w:pPr>
                    <w:pStyle w:val="TableBodyText"/>
                    <w:keepLines w:val="0"/>
                    <w:widowControl w:val="0"/>
                  </w:pPr>
                  <w:proofErr w:type="spellStart"/>
                  <w:r>
                    <w:rPr>
                      <w:rFonts w:cs="Arial"/>
                      <w:szCs w:val="18"/>
                    </w:rPr>
                    <w:t>na</w:t>
                  </w:r>
                  <w:proofErr w:type="spellEnd"/>
                </w:p>
              </w:tc>
              <w:tc>
                <w:tcPr>
                  <w:tcW w:w="376" w:type="pct"/>
                  <w:shd w:val="clear" w:color="auto" w:fill="auto"/>
                  <w:vAlign w:val="center"/>
                </w:tcPr>
                <w:p w14:paraId="501E2F89" w14:textId="67CC29F1" w:rsidR="0091209F" w:rsidRPr="00C52C8A" w:rsidRDefault="0091209F" w:rsidP="0091209F">
                  <w:pPr>
                    <w:pStyle w:val="TableBodyText"/>
                    <w:keepLines w:val="0"/>
                    <w:widowControl w:val="0"/>
                  </w:pPr>
                  <w:r>
                    <w:rPr>
                      <w:rFonts w:cs="Arial"/>
                      <w:szCs w:val="18"/>
                    </w:rPr>
                    <w:t xml:space="preserve">  7.6</w:t>
                  </w:r>
                </w:p>
              </w:tc>
              <w:tc>
                <w:tcPr>
                  <w:tcW w:w="376" w:type="pct"/>
                  <w:vAlign w:val="center"/>
                </w:tcPr>
                <w:p w14:paraId="31127FD9" w14:textId="1E72017B" w:rsidR="0091209F" w:rsidRPr="00C52C8A" w:rsidRDefault="0091209F" w:rsidP="0091209F">
                  <w:pPr>
                    <w:pStyle w:val="TableBodyText"/>
                    <w:keepLines w:val="0"/>
                    <w:widowControl w:val="0"/>
                  </w:pPr>
                  <w:r>
                    <w:rPr>
                      <w:rFonts w:cs="Arial"/>
                      <w:szCs w:val="18"/>
                    </w:rPr>
                    <w:t>–</w:t>
                  </w:r>
                </w:p>
              </w:tc>
              <w:tc>
                <w:tcPr>
                  <w:tcW w:w="376" w:type="pct"/>
                  <w:shd w:val="clear" w:color="auto" w:fill="auto"/>
                  <w:vAlign w:val="center"/>
                </w:tcPr>
                <w:p w14:paraId="2DBF82F2" w14:textId="16AF99FD" w:rsidR="0091209F" w:rsidRPr="00C52C8A" w:rsidRDefault="0091209F" w:rsidP="0091209F">
                  <w:pPr>
                    <w:pStyle w:val="TableBodyText"/>
                    <w:keepLines w:val="0"/>
                    <w:widowControl w:val="0"/>
                  </w:pPr>
                  <w:r>
                    <w:rPr>
                      <w:rFonts w:cs="Arial"/>
                      <w:szCs w:val="18"/>
                    </w:rPr>
                    <w:t>–</w:t>
                  </w:r>
                </w:p>
              </w:tc>
              <w:tc>
                <w:tcPr>
                  <w:tcW w:w="374" w:type="pct"/>
                  <w:vAlign w:val="center"/>
                </w:tcPr>
                <w:p w14:paraId="270F52F6" w14:textId="69B32B44" w:rsidR="0091209F" w:rsidRPr="00C52C8A" w:rsidRDefault="0091209F" w:rsidP="0091209F">
                  <w:pPr>
                    <w:pStyle w:val="TableBodyText"/>
                    <w:keepLines w:val="0"/>
                    <w:widowControl w:val="0"/>
                  </w:pPr>
                  <w:r>
                    <w:rPr>
                      <w:rFonts w:cs="Arial"/>
                      <w:szCs w:val="18"/>
                    </w:rPr>
                    <w:t xml:space="preserve">  15.1</w:t>
                  </w:r>
                </w:p>
              </w:tc>
            </w:tr>
            <w:tr w:rsidR="0091209F" w:rsidRPr="00C52C8A" w14:paraId="64F233FE" w14:textId="77777777" w:rsidTr="00113D98">
              <w:tc>
                <w:tcPr>
                  <w:tcW w:w="1994" w:type="pct"/>
                  <w:shd w:val="clear" w:color="auto" w:fill="auto"/>
                </w:tcPr>
                <w:p w14:paraId="010E7769" w14:textId="77777777" w:rsidR="0091209F" w:rsidRPr="00C52C8A" w:rsidRDefault="0091209F" w:rsidP="0091209F">
                  <w:pPr>
                    <w:pStyle w:val="TableBodyText"/>
                    <w:keepLines w:val="0"/>
                    <w:widowControl w:val="0"/>
                    <w:jc w:val="left"/>
                  </w:pPr>
                  <w:r w:rsidRPr="00C52C8A">
                    <w:t>Non</w:t>
                  </w:r>
                  <w:r w:rsidRPr="00C52C8A">
                    <w:noBreakHyphen/>
                    <w:t>Indigenous</w:t>
                  </w:r>
                </w:p>
              </w:tc>
              <w:tc>
                <w:tcPr>
                  <w:tcW w:w="376" w:type="pct"/>
                  <w:shd w:val="clear" w:color="auto" w:fill="auto"/>
                  <w:vAlign w:val="center"/>
                </w:tcPr>
                <w:p w14:paraId="2307AD65" w14:textId="198FBDED" w:rsidR="0091209F" w:rsidRPr="00C52C8A" w:rsidRDefault="0091209F" w:rsidP="0091209F">
                  <w:pPr>
                    <w:pStyle w:val="TableBodyText"/>
                    <w:keepLines w:val="0"/>
                    <w:widowControl w:val="0"/>
                  </w:pPr>
                  <w:r>
                    <w:rPr>
                      <w:rFonts w:cs="Arial"/>
                      <w:szCs w:val="18"/>
                    </w:rPr>
                    <w:t xml:space="preserve">  2.0</w:t>
                  </w:r>
                </w:p>
              </w:tc>
              <w:tc>
                <w:tcPr>
                  <w:tcW w:w="376" w:type="pct"/>
                  <w:shd w:val="clear" w:color="auto" w:fill="auto"/>
                  <w:vAlign w:val="center"/>
                </w:tcPr>
                <w:p w14:paraId="7893C2A6" w14:textId="3A75E7FE" w:rsidR="0091209F" w:rsidRPr="0076777B" w:rsidRDefault="0091209F" w:rsidP="0091209F">
                  <w:pPr>
                    <w:pStyle w:val="TableBodyText"/>
                    <w:keepLines w:val="0"/>
                    <w:widowControl w:val="0"/>
                  </w:pPr>
                  <w:r w:rsidRPr="0076777B">
                    <w:rPr>
                      <w:rFonts w:cs="Arial"/>
                      <w:szCs w:val="18"/>
                    </w:rPr>
                    <w:t>–</w:t>
                  </w:r>
                </w:p>
              </w:tc>
              <w:tc>
                <w:tcPr>
                  <w:tcW w:w="376" w:type="pct"/>
                  <w:vAlign w:val="center"/>
                </w:tcPr>
                <w:p w14:paraId="579F402B" w14:textId="5851CC45" w:rsidR="0091209F" w:rsidRPr="0076777B" w:rsidRDefault="0091209F" w:rsidP="0091209F">
                  <w:pPr>
                    <w:pStyle w:val="TableBodyText"/>
                    <w:keepLines w:val="0"/>
                    <w:widowControl w:val="0"/>
                  </w:pPr>
                  <w:r w:rsidRPr="0076777B">
                    <w:rPr>
                      <w:rFonts w:cs="Arial"/>
                      <w:szCs w:val="18"/>
                    </w:rPr>
                    <w:t xml:space="preserve">  0.5</w:t>
                  </w:r>
                </w:p>
              </w:tc>
              <w:tc>
                <w:tcPr>
                  <w:tcW w:w="376" w:type="pct"/>
                  <w:vAlign w:val="center"/>
                </w:tcPr>
                <w:p w14:paraId="136D9C66" w14:textId="55165A77" w:rsidR="0091209F" w:rsidRPr="00C52C8A" w:rsidRDefault="0091209F" w:rsidP="0091209F">
                  <w:pPr>
                    <w:pStyle w:val="TableBodyText"/>
                    <w:keepLines w:val="0"/>
                    <w:widowControl w:val="0"/>
                  </w:pPr>
                  <w:proofErr w:type="spellStart"/>
                  <w:r>
                    <w:rPr>
                      <w:rFonts w:cs="Arial"/>
                      <w:szCs w:val="18"/>
                    </w:rPr>
                    <w:t>na</w:t>
                  </w:r>
                  <w:proofErr w:type="spellEnd"/>
                </w:p>
              </w:tc>
              <w:tc>
                <w:tcPr>
                  <w:tcW w:w="376" w:type="pct"/>
                  <w:shd w:val="clear" w:color="auto" w:fill="auto"/>
                  <w:vAlign w:val="center"/>
                </w:tcPr>
                <w:p w14:paraId="6F15A24F" w14:textId="55997A8B" w:rsidR="0091209F" w:rsidRPr="00C52C8A" w:rsidRDefault="0091209F" w:rsidP="0091209F">
                  <w:pPr>
                    <w:pStyle w:val="TableBodyText"/>
                    <w:keepLines w:val="0"/>
                    <w:widowControl w:val="0"/>
                  </w:pPr>
                  <w:r>
                    <w:rPr>
                      <w:rFonts w:cs="Arial"/>
                      <w:szCs w:val="18"/>
                    </w:rPr>
                    <w:t>–</w:t>
                  </w:r>
                </w:p>
              </w:tc>
              <w:tc>
                <w:tcPr>
                  <w:tcW w:w="376" w:type="pct"/>
                  <w:vAlign w:val="center"/>
                </w:tcPr>
                <w:p w14:paraId="2C00A5D0" w14:textId="7BFF153D" w:rsidR="0091209F" w:rsidRPr="00C52C8A" w:rsidRDefault="0091209F" w:rsidP="0091209F">
                  <w:pPr>
                    <w:pStyle w:val="TableBodyText"/>
                    <w:keepLines w:val="0"/>
                    <w:widowControl w:val="0"/>
                  </w:pPr>
                  <w:r>
                    <w:rPr>
                      <w:rFonts w:cs="Arial"/>
                      <w:szCs w:val="18"/>
                    </w:rPr>
                    <w:t>–</w:t>
                  </w:r>
                </w:p>
              </w:tc>
              <w:tc>
                <w:tcPr>
                  <w:tcW w:w="376" w:type="pct"/>
                  <w:shd w:val="clear" w:color="auto" w:fill="auto"/>
                  <w:vAlign w:val="center"/>
                </w:tcPr>
                <w:p w14:paraId="2FE5F2CE" w14:textId="03DEB0D6" w:rsidR="0091209F" w:rsidRPr="00C52C8A" w:rsidRDefault="0091209F" w:rsidP="0091209F">
                  <w:pPr>
                    <w:pStyle w:val="TableBodyText"/>
                    <w:keepLines w:val="0"/>
                    <w:widowControl w:val="0"/>
                  </w:pPr>
                  <w:r>
                    <w:rPr>
                      <w:rFonts w:cs="Arial"/>
                      <w:szCs w:val="18"/>
                    </w:rPr>
                    <w:t>–</w:t>
                  </w:r>
                </w:p>
              </w:tc>
              <w:tc>
                <w:tcPr>
                  <w:tcW w:w="374" w:type="pct"/>
                  <w:vAlign w:val="center"/>
                </w:tcPr>
                <w:p w14:paraId="23A0A54D" w14:textId="1132B5F8" w:rsidR="0091209F" w:rsidRPr="00C52C8A" w:rsidRDefault="0091209F" w:rsidP="0091209F">
                  <w:pPr>
                    <w:pStyle w:val="TableBodyText"/>
                    <w:keepLines w:val="0"/>
                    <w:widowControl w:val="0"/>
                  </w:pPr>
                  <w:r>
                    <w:rPr>
                      <w:rFonts w:cs="Arial"/>
                      <w:szCs w:val="18"/>
                    </w:rPr>
                    <w:t xml:space="preserve">  41.8</w:t>
                  </w:r>
                </w:p>
              </w:tc>
            </w:tr>
            <w:tr w:rsidR="0091209F" w:rsidRPr="00C52C8A" w14:paraId="442F3B76" w14:textId="77777777" w:rsidTr="00113D98">
              <w:tc>
                <w:tcPr>
                  <w:tcW w:w="1994" w:type="pct"/>
                  <w:tcBorders>
                    <w:bottom w:val="single" w:sz="6" w:space="0" w:color="C8C8C8"/>
                  </w:tcBorders>
                  <w:shd w:val="clear" w:color="auto" w:fill="auto"/>
                </w:tcPr>
                <w:p w14:paraId="3AC179E1" w14:textId="77777777" w:rsidR="0091209F" w:rsidRPr="00C52C8A" w:rsidRDefault="0091209F" w:rsidP="0091209F">
                  <w:pPr>
                    <w:pStyle w:val="TableBodyText"/>
                    <w:keepLines w:val="0"/>
                    <w:widowControl w:val="0"/>
                    <w:jc w:val="left"/>
                    <w:rPr>
                      <w:b/>
                    </w:rPr>
                  </w:pPr>
                  <w:r w:rsidRPr="00C52C8A">
                    <w:rPr>
                      <w:b/>
                    </w:rPr>
                    <w:t>Total</w:t>
                  </w:r>
                </w:p>
              </w:tc>
              <w:tc>
                <w:tcPr>
                  <w:tcW w:w="376" w:type="pct"/>
                  <w:tcBorders>
                    <w:bottom w:val="single" w:sz="6" w:space="0" w:color="C8C8C8"/>
                  </w:tcBorders>
                  <w:shd w:val="clear" w:color="auto" w:fill="auto"/>
                  <w:vAlign w:val="center"/>
                </w:tcPr>
                <w:p w14:paraId="2B6D8814" w14:textId="617BB5B8" w:rsidR="0091209F" w:rsidRPr="00C52C8A" w:rsidRDefault="0091209F" w:rsidP="0091209F">
                  <w:pPr>
                    <w:pStyle w:val="TableBodyText"/>
                    <w:keepLines w:val="0"/>
                    <w:widowControl w:val="0"/>
                    <w:rPr>
                      <w:b/>
                    </w:rPr>
                  </w:pPr>
                  <w:r>
                    <w:rPr>
                      <w:rFonts w:cs="Arial"/>
                      <w:b/>
                      <w:bCs/>
                      <w:szCs w:val="18"/>
                    </w:rPr>
                    <w:t xml:space="preserve">  2.0</w:t>
                  </w:r>
                </w:p>
              </w:tc>
              <w:tc>
                <w:tcPr>
                  <w:tcW w:w="376" w:type="pct"/>
                  <w:tcBorders>
                    <w:bottom w:val="single" w:sz="6" w:space="0" w:color="C8C8C8"/>
                  </w:tcBorders>
                  <w:shd w:val="clear" w:color="auto" w:fill="auto"/>
                  <w:vAlign w:val="center"/>
                </w:tcPr>
                <w:p w14:paraId="240A2ADA" w14:textId="62166425" w:rsidR="0091209F" w:rsidRPr="0076777B" w:rsidRDefault="0076777B" w:rsidP="0076777B">
                  <w:pPr>
                    <w:pStyle w:val="TableBodyText"/>
                    <w:keepLines w:val="0"/>
                    <w:widowControl w:val="0"/>
                    <w:rPr>
                      <w:b/>
                    </w:rPr>
                  </w:pPr>
                  <w:r w:rsidRPr="0076777B">
                    <w:rPr>
                      <w:rFonts w:cs="Arial"/>
                      <w:b/>
                      <w:bCs/>
                      <w:szCs w:val="18"/>
                    </w:rPr>
                    <w:t>0.3</w:t>
                  </w:r>
                </w:p>
              </w:tc>
              <w:tc>
                <w:tcPr>
                  <w:tcW w:w="376" w:type="pct"/>
                  <w:tcBorders>
                    <w:bottom w:val="single" w:sz="6" w:space="0" w:color="C8C8C8"/>
                  </w:tcBorders>
                  <w:vAlign w:val="center"/>
                </w:tcPr>
                <w:p w14:paraId="351AC0E4" w14:textId="67E1A7B8" w:rsidR="0091209F" w:rsidRPr="0076777B" w:rsidRDefault="0091209F" w:rsidP="0091209F">
                  <w:pPr>
                    <w:pStyle w:val="TableBodyText"/>
                    <w:keepLines w:val="0"/>
                    <w:widowControl w:val="0"/>
                    <w:rPr>
                      <w:b/>
                    </w:rPr>
                  </w:pPr>
                  <w:r w:rsidRPr="0076777B">
                    <w:rPr>
                      <w:rFonts w:cs="Arial"/>
                      <w:b/>
                      <w:bCs/>
                      <w:szCs w:val="18"/>
                    </w:rPr>
                    <w:t xml:space="preserve">  0.3</w:t>
                  </w:r>
                </w:p>
              </w:tc>
              <w:tc>
                <w:tcPr>
                  <w:tcW w:w="376" w:type="pct"/>
                  <w:tcBorders>
                    <w:bottom w:val="single" w:sz="6" w:space="0" w:color="C8C8C8"/>
                  </w:tcBorders>
                  <w:vAlign w:val="center"/>
                </w:tcPr>
                <w:p w14:paraId="5E66C08B" w14:textId="56EC331B" w:rsidR="0091209F" w:rsidRPr="00C52C8A" w:rsidRDefault="0091209F" w:rsidP="0091209F">
                  <w:pPr>
                    <w:pStyle w:val="TableBodyText"/>
                    <w:keepLines w:val="0"/>
                    <w:widowControl w:val="0"/>
                    <w:rPr>
                      <w:b/>
                    </w:rPr>
                  </w:pPr>
                  <w:proofErr w:type="spellStart"/>
                  <w:r>
                    <w:rPr>
                      <w:rFonts w:cs="Arial"/>
                      <w:b/>
                      <w:bCs/>
                      <w:szCs w:val="18"/>
                    </w:rPr>
                    <w:t>na</w:t>
                  </w:r>
                  <w:proofErr w:type="spellEnd"/>
                </w:p>
              </w:tc>
              <w:tc>
                <w:tcPr>
                  <w:tcW w:w="376" w:type="pct"/>
                  <w:tcBorders>
                    <w:bottom w:val="single" w:sz="6" w:space="0" w:color="C8C8C8"/>
                  </w:tcBorders>
                  <w:shd w:val="clear" w:color="auto" w:fill="auto"/>
                  <w:vAlign w:val="center"/>
                </w:tcPr>
                <w:p w14:paraId="26F58CE8" w14:textId="3E7176EA" w:rsidR="0091209F" w:rsidRPr="00C52C8A" w:rsidRDefault="0091209F" w:rsidP="0091209F">
                  <w:pPr>
                    <w:pStyle w:val="TableBodyText"/>
                    <w:keepLines w:val="0"/>
                    <w:widowControl w:val="0"/>
                    <w:rPr>
                      <w:b/>
                    </w:rPr>
                  </w:pPr>
                  <w:r>
                    <w:rPr>
                      <w:rFonts w:cs="Arial"/>
                      <w:b/>
                      <w:bCs/>
                      <w:szCs w:val="18"/>
                    </w:rPr>
                    <w:t xml:space="preserve">  4.0</w:t>
                  </w:r>
                </w:p>
              </w:tc>
              <w:tc>
                <w:tcPr>
                  <w:tcW w:w="376" w:type="pct"/>
                  <w:tcBorders>
                    <w:bottom w:val="single" w:sz="6" w:space="0" w:color="C8C8C8"/>
                  </w:tcBorders>
                  <w:vAlign w:val="center"/>
                </w:tcPr>
                <w:p w14:paraId="352B7626" w14:textId="21EBBC43" w:rsidR="0091209F" w:rsidRPr="00C52C8A" w:rsidRDefault="0091209F" w:rsidP="0091209F">
                  <w:pPr>
                    <w:pStyle w:val="TableBodyText"/>
                    <w:keepLines w:val="0"/>
                    <w:widowControl w:val="0"/>
                    <w:rPr>
                      <w:b/>
                    </w:rPr>
                  </w:pPr>
                  <w:r>
                    <w:rPr>
                      <w:rFonts w:cs="Arial"/>
                      <w:b/>
                      <w:bCs/>
                      <w:szCs w:val="18"/>
                    </w:rPr>
                    <w:t>–</w:t>
                  </w:r>
                </w:p>
              </w:tc>
              <w:tc>
                <w:tcPr>
                  <w:tcW w:w="376" w:type="pct"/>
                  <w:tcBorders>
                    <w:bottom w:val="single" w:sz="6" w:space="0" w:color="C8C8C8"/>
                  </w:tcBorders>
                  <w:shd w:val="clear" w:color="auto" w:fill="auto"/>
                  <w:vAlign w:val="center"/>
                </w:tcPr>
                <w:p w14:paraId="5F606FC9" w14:textId="6BA2143A" w:rsidR="0091209F" w:rsidRPr="00C52C8A" w:rsidRDefault="0091209F" w:rsidP="0091209F">
                  <w:pPr>
                    <w:pStyle w:val="TableBodyText"/>
                    <w:keepLines w:val="0"/>
                    <w:widowControl w:val="0"/>
                    <w:rPr>
                      <w:b/>
                    </w:rPr>
                  </w:pPr>
                  <w:r>
                    <w:rPr>
                      <w:rFonts w:cs="Arial"/>
                      <w:b/>
                      <w:bCs/>
                      <w:szCs w:val="18"/>
                    </w:rPr>
                    <w:t>–</w:t>
                  </w:r>
                </w:p>
              </w:tc>
              <w:tc>
                <w:tcPr>
                  <w:tcW w:w="374" w:type="pct"/>
                  <w:tcBorders>
                    <w:bottom w:val="single" w:sz="6" w:space="0" w:color="C8C8C8"/>
                  </w:tcBorders>
                  <w:vAlign w:val="center"/>
                </w:tcPr>
                <w:p w14:paraId="11AD6603" w14:textId="43EEF69F" w:rsidR="0091209F" w:rsidRPr="00C52C8A" w:rsidRDefault="0091209F" w:rsidP="0091209F">
                  <w:pPr>
                    <w:pStyle w:val="TableBodyText"/>
                    <w:keepLines w:val="0"/>
                    <w:widowControl w:val="0"/>
                    <w:rPr>
                      <w:b/>
                    </w:rPr>
                  </w:pPr>
                  <w:r>
                    <w:rPr>
                      <w:rFonts w:cs="Arial"/>
                      <w:b/>
                      <w:bCs/>
                      <w:szCs w:val="18"/>
                    </w:rPr>
                    <w:t xml:space="preserve">  15.8</w:t>
                  </w:r>
                </w:p>
              </w:tc>
            </w:tr>
          </w:tbl>
          <w:p w14:paraId="6308E473" w14:textId="77777777" w:rsidR="00BF7B77" w:rsidRPr="00C52C8A" w:rsidRDefault="00BF7B77" w:rsidP="00D67BB1">
            <w:pPr>
              <w:pStyle w:val="Box"/>
              <w:widowControl w:val="0"/>
            </w:pPr>
          </w:p>
        </w:tc>
      </w:tr>
      <w:tr w:rsidR="00BF7B77" w:rsidRPr="00C52C8A" w14:paraId="1D71F607" w14:textId="77777777" w:rsidTr="006A71F6">
        <w:trPr>
          <w:cantSplit/>
        </w:trPr>
        <w:tc>
          <w:tcPr>
            <w:tcW w:w="8789" w:type="dxa"/>
            <w:tcBorders>
              <w:top w:val="nil"/>
              <w:left w:val="nil"/>
              <w:bottom w:val="nil"/>
              <w:right w:val="nil"/>
            </w:tcBorders>
            <w:shd w:val="clear" w:color="auto" w:fill="auto"/>
          </w:tcPr>
          <w:p w14:paraId="5B1A5D16" w14:textId="5D4E5748" w:rsidR="00BF7B77" w:rsidRPr="00C52C8A" w:rsidRDefault="00BF7B77" w:rsidP="00C32D9A">
            <w:pPr>
              <w:pStyle w:val="Note"/>
              <w:keepNext/>
              <w:keepLines w:val="0"/>
              <w:widowControl w:val="0"/>
              <w:rPr>
                <w:i/>
              </w:rPr>
            </w:pPr>
            <w:r w:rsidRPr="00C52C8A">
              <w:rPr>
                <w:rStyle w:val="NoteLabel"/>
              </w:rPr>
              <w:t>a</w:t>
            </w:r>
            <w:r w:rsidRPr="00C52C8A">
              <w:t xml:space="preserve"> </w:t>
            </w:r>
            <w:r w:rsidR="00014206" w:rsidRPr="00C52C8A">
              <w:t>See b</w:t>
            </w:r>
            <w:r w:rsidR="008E3491" w:rsidRPr="00C52C8A">
              <w:t>ox</w:t>
            </w:r>
            <w:r w:rsidR="00F4592C" w:rsidRPr="00C52C8A">
              <w:t> </w:t>
            </w:r>
            <w:r w:rsidR="00AD782C" w:rsidRPr="00C52C8A">
              <w:t>17.12</w:t>
            </w:r>
            <w:r w:rsidR="00657764" w:rsidRPr="00C52C8A">
              <w:t xml:space="preserve"> and </w:t>
            </w:r>
            <w:r w:rsidR="004D53A2" w:rsidRPr="00C52C8A">
              <w:t>table</w:t>
            </w:r>
            <w:r w:rsidR="005B0070">
              <w:t> </w:t>
            </w:r>
            <w:r w:rsidR="004D53A2" w:rsidRPr="00C52C8A">
              <w:t>1</w:t>
            </w:r>
            <w:r w:rsidR="00155BED" w:rsidRPr="00C52C8A">
              <w:t>7</w:t>
            </w:r>
            <w:r w:rsidR="005B628B" w:rsidRPr="00C52C8A">
              <w:t>A.1</w:t>
            </w:r>
            <w:r w:rsidR="00C32D9A">
              <w:t>8</w:t>
            </w:r>
            <w:r w:rsidR="004D53A2" w:rsidRPr="00C52C8A">
              <w:t xml:space="preserve"> for detailed </w:t>
            </w:r>
            <w:r w:rsidR="00014206" w:rsidRPr="00C52C8A">
              <w:t xml:space="preserve">definitions, </w:t>
            </w:r>
            <w:r w:rsidR="004D53A2" w:rsidRPr="00C52C8A">
              <w:t>footnotes</w:t>
            </w:r>
            <w:r w:rsidR="00014206" w:rsidRPr="00C52C8A">
              <w:t xml:space="preserve"> and caveats</w:t>
            </w:r>
            <w:r w:rsidR="004D53A2" w:rsidRPr="00C52C8A">
              <w:t xml:space="preserve">. </w:t>
            </w:r>
            <w:proofErr w:type="spellStart"/>
            <w:r w:rsidR="00C06D4B" w:rsidRPr="00C52C8A">
              <w:rPr>
                <w:b/>
              </w:rPr>
              <w:t>na</w:t>
            </w:r>
            <w:proofErr w:type="spellEnd"/>
            <w:r w:rsidR="004D53A2" w:rsidRPr="00C52C8A">
              <w:t xml:space="preserve"> Not available. </w:t>
            </w:r>
            <w:r w:rsidR="00C06D4B" w:rsidRPr="00C52C8A">
              <w:t>– Nil or rounded to zero.</w:t>
            </w:r>
          </w:p>
        </w:tc>
      </w:tr>
      <w:tr w:rsidR="00BF7B77" w:rsidRPr="00C52C8A" w14:paraId="45EF089E" w14:textId="77777777" w:rsidTr="006A71F6">
        <w:trPr>
          <w:cantSplit/>
        </w:trPr>
        <w:tc>
          <w:tcPr>
            <w:tcW w:w="8789" w:type="dxa"/>
            <w:tcBorders>
              <w:top w:val="nil"/>
              <w:left w:val="nil"/>
              <w:bottom w:val="nil"/>
              <w:right w:val="nil"/>
            </w:tcBorders>
            <w:shd w:val="clear" w:color="auto" w:fill="auto"/>
          </w:tcPr>
          <w:p w14:paraId="37F826A3" w14:textId="78B5576A" w:rsidR="00BF7B77" w:rsidRPr="00C52C8A" w:rsidRDefault="00BF7B77" w:rsidP="00C32D9A">
            <w:pPr>
              <w:pStyle w:val="Source"/>
              <w:keepNext/>
              <w:keepLines w:val="0"/>
              <w:widowControl w:val="0"/>
            </w:pPr>
            <w:r w:rsidRPr="00C52C8A">
              <w:rPr>
                <w:i/>
              </w:rPr>
              <w:t>Source</w:t>
            </w:r>
            <w:r w:rsidR="00CF76CB" w:rsidRPr="00C52C8A">
              <w:rPr>
                <w:i/>
              </w:rPr>
              <w:t>s</w:t>
            </w:r>
            <w:r w:rsidRPr="00C52C8A">
              <w:t xml:space="preserve">: </w:t>
            </w:r>
            <w:r w:rsidR="00C06D4B" w:rsidRPr="00C52C8A">
              <w:t xml:space="preserve">State and Territory governments (unpublished); </w:t>
            </w:r>
            <w:r w:rsidR="00155BED" w:rsidRPr="00C52C8A">
              <w:t>tables</w:t>
            </w:r>
            <w:r w:rsidR="005B0070">
              <w:t> </w:t>
            </w:r>
            <w:r w:rsidR="00155BED" w:rsidRPr="00C52C8A">
              <w:t>17</w:t>
            </w:r>
            <w:r w:rsidR="008E3491" w:rsidRPr="00C52C8A">
              <w:t>A</w:t>
            </w:r>
            <w:r w:rsidR="00237D77" w:rsidRPr="00C52C8A">
              <w:t>.</w:t>
            </w:r>
            <w:r w:rsidR="005B628B" w:rsidRPr="00C52C8A">
              <w:t>1</w:t>
            </w:r>
            <w:r w:rsidR="00C32D9A">
              <w:t>8</w:t>
            </w:r>
            <w:r w:rsidR="00C06D4B" w:rsidRPr="00C52C8A">
              <w:t>.</w:t>
            </w:r>
          </w:p>
        </w:tc>
      </w:tr>
      <w:tr w:rsidR="00BF7B77" w:rsidRPr="00C52C8A" w14:paraId="3AE0C104" w14:textId="77777777" w:rsidTr="006A71F6">
        <w:trPr>
          <w:cantSplit/>
        </w:trPr>
        <w:tc>
          <w:tcPr>
            <w:tcW w:w="8789" w:type="dxa"/>
            <w:tcBorders>
              <w:top w:val="nil"/>
              <w:left w:val="nil"/>
              <w:bottom w:val="single" w:sz="6" w:space="0" w:color="78A22F" w:themeColor="accent1"/>
              <w:right w:val="nil"/>
            </w:tcBorders>
            <w:shd w:val="clear" w:color="auto" w:fill="auto"/>
          </w:tcPr>
          <w:p w14:paraId="7E2A6139" w14:textId="77777777" w:rsidR="00BF7B77" w:rsidRPr="00C52C8A" w:rsidRDefault="00BF7B77" w:rsidP="00D67BB1">
            <w:pPr>
              <w:pStyle w:val="Box"/>
              <w:widowControl w:val="0"/>
              <w:spacing w:before="0" w:line="120" w:lineRule="exact"/>
            </w:pPr>
          </w:p>
        </w:tc>
      </w:tr>
      <w:tr w:rsidR="00BF7B77" w:rsidRPr="00C52C8A" w14:paraId="167459BF" w14:textId="77777777" w:rsidTr="006A71F6">
        <w:tc>
          <w:tcPr>
            <w:tcW w:w="8789" w:type="dxa"/>
            <w:tcBorders>
              <w:top w:val="single" w:sz="6" w:space="0" w:color="78A22F" w:themeColor="accent1"/>
              <w:left w:val="nil"/>
              <w:bottom w:val="nil"/>
              <w:right w:val="nil"/>
            </w:tcBorders>
          </w:tcPr>
          <w:p w14:paraId="5B59934A" w14:textId="4E2C975C" w:rsidR="00BF7B77" w:rsidRPr="002E39DF" w:rsidRDefault="00BF7B77" w:rsidP="00587E48">
            <w:pPr>
              <w:pStyle w:val="BoxSpaceBelow"/>
              <w:widowControl w:val="0"/>
            </w:pPr>
          </w:p>
        </w:tc>
      </w:tr>
    </w:tbl>
    <w:p w14:paraId="08A3C264" w14:textId="53F2C870" w:rsidR="00C06D4B" w:rsidRPr="002E39DF" w:rsidRDefault="00C06D4B"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C06D4B" w:rsidRPr="00C52C8A" w14:paraId="7D82EFAF" w14:textId="77777777" w:rsidTr="00DE63E6">
        <w:tc>
          <w:tcPr>
            <w:tcW w:w="8789" w:type="dxa"/>
            <w:tcBorders>
              <w:top w:val="single" w:sz="6" w:space="0" w:color="78A22F" w:themeColor="accent1"/>
              <w:left w:val="nil"/>
              <w:bottom w:val="nil"/>
              <w:right w:val="nil"/>
            </w:tcBorders>
            <w:shd w:val="clear" w:color="auto" w:fill="auto"/>
          </w:tcPr>
          <w:p w14:paraId="0D652D2E" w14:textId="718741A2" w:rsidR="00C06D4B" w:rsidRPr="00C52C8A" w:rsidRDefault="00C06D4B" w:rsidP="00CE7AB7">
            <w:pPr>
              <w:pStyle w:val="TableTitle"/>
            </w:pPr>
            <w:r w:rsidRPr="00C52C8A">
              <w:rPr>
                <w:b w:val="0"/>
              </w:rPr>
              <w:t>Table</w:t>
            </w:r>
            <w:r w:rsidR="003D4AC6" w:rsidRPr="00C52C8A">
              <w:rPr>
                <w:b w:val="0"/>
              </w:rPr>
              <w:t xml:space="preserve"> </w:t>
            </w:r>
            <w:bookmarkStart w:id="41" w:name="OLE_LINK29"/>
            <w:r w:rsidR="00C87A43">
              <w:rPr>
                <w:b w:val="0"/>
              </w:rPr>
              <w:t>17.</w:t>
            </w:r>
            <w:r w:rsidR="00AF64D0">
              <w:rPr>
                <w:b w:val="0"/>
                <w:noProof/>
              </w:rPr>
              <w:t>4</w:t>
            </w:r>
            <w:bookmarkEnd w:id="41"/>
            <w:r w:rsidRPr="00C52C8A">
              <w:tab/>
            </w:r>
            <w:r w:rsidR="004B5AB8" w:rsidRPr="00C52C8A">
              <w:t>I</w:t>
            </w:r>
            <w:r w:rsidR="000C60FC" w:rsidRPr="00C52C8A">
              <w:rPr>
                <w:bCs/>
              </w:rPr>
              <w:t>ncidents of</w:t>
            </w:r>
            <w:r w:rsidRPr="00C52C8A">
              <w:rPr>
                <w:bCs/>
              </w:rPr>
              <w:t xml:space="preserve"> self</w:t>
            </w:r>
            <w:r w:rsidR="00F4592C" w:rsidRPr="00C52C8A">
              <w:rPr>
                <w:bCs/>
              </w:rPr>
              <w:noBreakHyphen/>
            </w:r>
            <w:r w:rsidRPr="00C52C8A">
              <w:rPr>
                <w:bCs/>
              </w:rPr>
              <w:t xml:space="preserve">harm or attempted suicide in custody </w:t>
            </w:r>
            <w:r w:rsidRPr="00C52C8A">
              <w:rPr>
                <w:bCs/>
                <w:u w:val="single"/>
              </w:rPr>
              <w:t>not</w:t>
            </w:r>
            <w:r w:rsidRPr="00C52C8A">
              <w:rPr>
                <w:bCs/>
              </w:rPr>
              <w:t xml:space="preserve"> requiring hospitalisation, by </w:t>
            </w:r>
            <w:r w:rsidR="0035320E" w:rsidRPr="00C52C8A">
              <w:rPr>
                <w:bCs/>
              </w:rPr>
              <w:t>Indigenous status</w:t>
            </w:r>
            <w:r w:rsidRPr="00C52C8A">
              <w:rPr>
                <w:bCs/>
              </w:rPr>
              <w:t>, 201</w:t>
            </w:r>
            <w:r w:rsidR="009D0A7F">
              <w:rPr>
                <w:bCs/>
              </w:rPr>
              <w:t>9</w:t>
            </w:r>
            <w:r w:rsidR="00F4592C" w:rsidRPr="00C52C8A">
              <w:rPr>
                <w:bCs/>
              </w:rPr>
              <w:noBreakHyphen/>
            </w:r>
            <w:r w:rsidR="009D0A7F">
              <w:rPr>
                <w:bCs/>
              </w:rPr>
              <w:t>20</w:t>
            </w:r>
            <w:r w:rsidR="00555A5B" w:rsidRPr="00C52C8A">
              <w:rPr>
                <w:rStyle w:val="NoteLabel"/>
                <w:b/>
              </w:rPr>
              <w:t>a</w:t>
            </w:r>
            <w:r w:rsidR="00587E48" w:rsidRPr="00C52C8A">
              <w:rPr>
                <w:rStyle w:val="NoteLabel"/>
                <w:b/>
              </w:rPr>
              <w:t>, b</w:t>
            </w:r>
          </w:p>
        </w:tc>
      </w:tr>
      <w:tr w:rsidR="00DE63E6" w:rsidRPr="00C52C8A" w14:paraId="791BD0A1"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322B5C" w:rsidRPr="00C52C8A" w14:paraId="45A089B4" w14:textId="77777777" w:rsidTr="00322B5C">
              <w:tc>
                <w:tcPr>
                  <w:tcW w:w="304" w:type="dxa"/>
                  <w:tcBorders>
                    <w:top w:val="nil"/>
                    <w:left w:val="nil"/>
                    <w:bottom w:val="nil"/>
                    <w:right w:val="nil"/>
                  </w:tcBorders>
                  <w:shd w:val="clear" w:color="auto" w:fill="auto"/>
                  <w:tcMar>
                    <w:top w:w="28" w:type="dxa"/>
                    <w:bottom w:w="28" w:type="dxa"/>
                  </w:tcMar>
                </w:tcPr>
                <w:p w14:paraId="507B455F" w14:textId="77777777" w:rsidR="00322B5C" w:rsidRPr="00C52C8A" w:rsidRDefault="00322B5C" w:rsidP="00322B5C">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4213C7C" w14:textId="77777777" w:rsidR="00322B5C" w:rsidRPr="00C52C8A" w:rsidRDefault="00322B5C" w:rsidP="00322B5C">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2A1A14E6" w14:textId="67C00313" w:rsidR="00322B5C" w:rsidRPr="00C52C8A" w:rsidRDefault="00322B5C" w:rsidP="0081112C">
                  <w:pPr>
                    <w:pStyle w:val="TableBodyText"/>
                    <w:jc w:val="left"/>
                  </w:pPr>
                  <w:r w:rsidRPr="00C52C8A">
                    <w:t>Data are not comparable across jurisdictions.</w:t>
                  </w:r>
                </w:p>
              </w:tc>
            </w:tr>
            <w:tr w:rsidR="00322B5C" w:rsidRPr="00C52C8A" w14:paraId="61A6AB97" w14:textId="77777777" w:rsidTr="00322B5C">
              <w:tc>
                <w:tcPr>
                  <w:tcW w:w="304" w:type="dxa"/>
                  <w:tcBorders>
                    <w:top w:val="nil"/>
                    <w:left w:val="nil"/>
                    <w:bottom w:val="nil"/>
                    <w:right w:val="nil"/>
                  </w:tcBorders>
                  <w:shd w:val="clear" w:color="auto" w:fill="auto"/>
                  <w:tcMar>
                    <w:top w:w="28" w:type="dxa"/>
                    <w:bottom w:w="28" w:type="dxa"/>
                  </w:tcMar>
                </w:tcPr>
                <w:p w14:paraId="3ACFA98A" w14:textId="77777777" w:rsidR="00322B5C" w:rsidRPr="00C52C8A" w:rsidRDefault="00322B5C" w:rsidP="00322B5C">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4BA7E33B" w14:textId="77777777" w:rsidR="00322B5C" w:rsidRPr="00C52C8A" w:rsidRDefault="00322B5C" w:rsidP="00322B5C">
                  <w:pPr>
                    <w:keepNext/>
                    <w:keepLines/>
                    <w:spacing w:before="60" w:after="60" w:line="240" w:lineRule="atLeast"/>
                    <w:rPr>
                      <w:rFonts w:ascii="Arial" w:hAnsi="Arial" w:cs="Arial"/>
                      <w:sz w:val="18"/>
                      <w:szCs w:val="18"/>
                    </w:rPr>
                  </w:pPr>
                </w:p>
              </w:tc>
              <w:tc>
                <w:tcPr>
                  <w:tcW w:w="7938" w:type="dxa"/>
                  <w:tcBorders>
                    <w:top w:val="nil"/>
                    <w:left w:val="nil"/>
                    <w:bottom w:val="nil"/>
                    <w:right w:val="nil"/>
                  </w:tcBorders>
                  <w:shd w:val="clear" w:color="auto" w:fill="auto"/>
                </w:tcPr>
                <w:p w14:paraId="02C52EF2" w14:textId="623764F2" w:rsidR="00322B5C" w:rsidRPr="00C52C8A" w:rsidRDefault="00322B5C" w:rsidP="00747133">
                  <w:pPr>
                    <w:pStyle w:val="TableBodyText"/>
                    <w:jc w:val="left"/>
                  </w:pPr>
                  <w:r w:rsidRPr="00C52C8A">
                    <w:t xml:space="preserve">Data are incomplete for the current reporting period. </w:t>
                  </w:r>
                </w:p>
              </w:tc>
            </w:tr>
          </w:tbl>
          <w:p w14:paraId="63BA31F8" w14:textId="77777777" w:rsidR="00DE63E6" w:rsidRPr="00C52C8A" w:rsidRDefault="00DE63E6" w:rsidP="00DE63E6">
            <w:pPr>
              <w:pStyle w:val="TableTitle"/>
              <w:rPr>
                <w:b w:val="0"/>
              </w:rPr>
            </w:pPr>
          </w:p>
        </w:tc>
      </w:tr>
      <w:tr w:rsidR="00C06D4B" w:rsidRPr="00C52C8A" w14:paraId="6150B478" w14:textId="77777777" w:rsidTr="006A71F6">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808"/>
              <w:gridCol w:w="586"/>
              <w:gridCol w:w="587"/>
              <w:gridCol w:w="587"/>
              <w:gridCol w:w="587"/>
              <w:gridCol w:w="587"/>
              <w:gridCol w:w="587"/>
              <w:gridCol w:w="587"/>
              <w:gridCol w:w="589"/>
            </w:tblGrid>
            <w:tr w:rsidR="00692BE8" w:rsidRPr="00C52C8A" w14:paraId="477F9EFF" w14:textId="77777777" w:rsidTr="009F44F0">
              <w:tc>
                <w:tcPr>
                  <w:tcW w:w="2239" w:type="pct"/>
                  <w:tcBorders>
                    <w:top w:val="single" w:sz="6" w:space="0" w:color="BFBFBF"/>
                    <w:bottom w:val="single" w:sz="6" w:space="0" w:color="BFBFBF"/>
                  </w:tcBorders>
                </w:tcPr>
                <w:p w14:paraId="233212B3" w14:textId="77777777" w:rsidR="00692BE8" w:rsidRPr="00C52C8A" w:rsidRDefault="00692BE8" w:rsidP="00983812">
                  <w:pPr>
                    <w:pStyle w:val="TableUnitsRow"/>
                    <w:jc w:val="left"/>
                  </w:pPr>
                </w:p>
              </w:tc>
              <w:tc>
                <w:tcPr>
                  <w:tcW w:w="345" w:type="pct"/>
                  <w:tcBorders>
                    <w:top w:val="single" w:sz="6" w:space="0" w:color="BFBFBF"/>
                    <w:bottom w:val="single" w:sz="6" w:space="0" w:color="BFBFBF"/>
                  </w:tcBorders>
                </w:tcPr>
                <w:p w14:paraId="530415E6" w14:textId="77777777" w:rsidR="00692BE8" w:rsidRPr="00C52C8A" w:rsidRDefault="00692BE8" w:rsidP="00983812">
                  <w:pPr>
                    <w:pStyle w:val="TableColumnHeading"/>
                    <w:rPr>
                      <w:rStyle w:val="NoteLabel"/>
                    </w:rPr>
                  </w:pPr>
                  <w:r w:rsidRPr="00C52C8A">
                    <w:t>NSW</w:t>
                  </w:r>
                </w:p>
              </w:tc>
              <w:tc>
                <w:tcPr>
                  <w:tcW w:w="345" w:type="pct"/>
                  <w:tcBorders>
                    <w:top w:val="single" w:sz="6" w:space="0" w:color="BFBFBF"/>
                    <w:bottom w:val="single" w:sz="6" w:space="0" w:color="BFBFBF"/>
                  </w:tcBorders>
                </w:tcPr>
                <w:p w14:paraId="5EC8ED39" w14:textId="77777777" w:rsidR="00692BE8" w:rsidRPr="00C52C8A" w:rsidRDefault="00692BE8" w:rsidP="00983812">
                  <w:pPr>
                    <w:pStyle w:val="TableColumnHeading"/>
                    <w:rPr>
                      <w:rStyle w:val="NoteLabel"/>
                    </w:rPr>
                  </w:pPr>
                  <w:r w:rsidRPr="00C52C8A">
                    <w:t>Vic</w:t>
                  </w:r>
                </w:p>
              </w:tc>
              <w:tc>
                <w:tcPr>
                  <w:tcW w:w="345" w:type="pct"/>
                  <w:tcBorders>
                    <w:top w:val="single" w:sz="6" w:space="0" w:color="BFBFBF"/>
                    <w:bottom w:val="single" w:sz="6" w:space="0" w:color="BFBFBF"/>
                  </w:tcBorders>
                </w:tcPr>
                <w:p w14:paraId="5D418749" w14:textId="77777777" w:rsidR="00692BE8" w:rsidRPr="00C52C8A" w:rsidRDefault="00692BE8" w:rsidP="00983812">
                  <w:pPr>
                    <w:pStyle w:val="TableColumnHeading"/>
                    <w:rPr>
                      <w:rStyle w:val="NoteLabel"/>
                    </w:rPr>
                  </w:pPr>
                  <w:r w:rsidRPr="00C52C8A">
                    <w:t>Qld</w:t>
                  </w:r>
                </w:p>
              </w:tc>
              <w:tc>
                <w:tcPr>
                  <w:tcW w:w="345" w:type="pct"/>
                  <w:tcBorders>
                    <w:top w:val="single" w:sz="6" w:space="0" w:color="BFBFBF"/>
                    <w:bottom w:val="single" w:sz="6" w:space="0" w:color="BFBFBF"/>
                  </w:tcBorders>
                </w:tcPr>
                <w:p w14:paraId="35EFE4B8" w14:textId="77777777" w:rsidR="00692BE8" w:rsidRPr="00C52C8A" w:rsidRDefault="00692BE8" w:rsidP="00983812">
                  <w:pPr>
                    <w:pStyle w:val="TableColumnHeading"/>
                    <w:rPr>
                      <w:rStyle w:val="NoteLabel"/>
                    </w:rPr>
                  </w:pPr>
                  <w:r w:rsidRPr="00C52C8A">
                    <w:t>WA</w:t>
                  </w:r>
                </w:p>
              </w:tc>
              <w:tc>
                <w:tcPr>
                  <w:tcW w:w="345" w:type="pct"/>
                  <w:tcBorders>
                    <w:top w:val="single" w:sz="6" w:space="0" w:color="BFBFBF"/>
                    <w:bottom w:val="single" w:sz="6" w:space="0" w:color="BFBFBF"/>
                  </w:tcBorders>
                </w:tcPr>
                <w:p w14:paraId="4F264195" w14:textId="77777777" w:rsidR="00692BE8" w:rsidRPr="00C52C8A" w:rsidRDefault="00692BE8" w:rsidP="00983812">
                  <w:pPr>
                    <w:pStyle w:val="TableColumnHeading"/>
                    <w:rPr>
                      <w:rStyle w:val="NoteLabel"/>
                    </w:rPr>
                  </w:pPr>
                  <w:r w:rsidRPr="00C52C8A">
                    <w:t>SA</w:t>
                  </w:r>
                </w:p>
              </w:tc>
              <w:tc>
                <w:tcPr>
                  <w:tcW w:w="345" w:type="pct"/>
                  <w:tcBorders>
                    <w:top w:val="single" w:sz="6" w:space="0" w:color="BFBFBF"/>
                    <w:bottom w:val="single" w:sz="6" w:space="0" w:color="BFBFBF"/>
                  </w:tcBorders>
                </w:tcPr>
                <w:p w14:paraId="09AEC9B3" w14:textId="77777777" w:rsidR="00692BE8" w:rsidRPr="00C52C8A" w:rsidRDefault="00692BE8" w:rsidP="00983812">
                  <w:pPr>
                    <w:pStyle w:val="TableColumnHeading"/>
                    <w:rPr>
                      <w:rStyle w:val="NoteLabel"/>
                    </w:rPr>
                  </w:pPr>
                  <w:r w:rsidRPr="00C52C8A">
                    <w:t>Tas</w:t>
                  </w:r>
                </w:p>
              </w:tc>
              <w:tc>
                <w:tcPr>
                  <w:tcW w:w="345" w:type="pct"/>
                  <w:tcBorders>
                    <w:top w:val="single" w:sz="6" w:space="0" w:color="BFBFBF"/>
                    <w:bottom w:val="single" w:sz="6" w:space="0" w:color="BFBFBF"/>
                  </w:tcBorders>
                </w:tcPr>
                <w:p w14:paraId="117C7FF8" w14:textId="77777777" w:rsidR="00692BE8" w:rsidRPr="00C52C8A" w:rsidRDefault="00692BE8" w:rsidP="00983812">
                  <w:pPr>
                    <w:pStyle w:val="TableColumnHeading"/>
                    <w:rPr>
                      <w:rStyle w:val="NoteLabel"/>
                    </w:rPr>
                  </w:pPr>
                  <w:r w:rsidRPr="00C52C8A">
                    <w:t>ACT</w:t>
                  </w:r>
                </w:p>
              </w:tc>
              <w:tc>
                <w:tcPr>
                  <w:tcW w:w="346" w:type="pct"/>
                  <w:tcBorders>
                    <w:top w:val="single" w:sz="6" w:space="0" w:color="BFBFBF"/>
                    <w:bottom w:val="single" w:sz="6" w:space="0" w:color="BFBFBF"/>
                  </w:tcBorders>
                </w:tcPr>
                <w:p w14:paraId="7045F973" w14:textId="77777777" w:rsidR="00692BE8" w:rsidRPr="00C52C8A" w:rsidRDefault="00692BE8" w:rsidP="00983812">
                  <w:pPr>
                    <w:pStyle w:val="TableColumnHeading"/>
                    <w:rPr>
                      <w:rStyle w:val="NoteLabel"/>
                    </w:rPr>
                  </w:pPr>
                  <w:r w:rsidRPr="00C52C8A">
                    <w:t>NT</w:t>
                  </w:r>
                </w:p>
              </w:tc>
            </w:tr>
            <w:tr w:rsidR="00725258" w:rsidRPr="00C52C8A" w14:paraId="4F046B0F" w14:textId="77777777" w:rsidTr="00725258">
              <w:tc>
                <w:tcPr>
                  <w:tcW w:w="5000" w:type="pct"/>
                  <w:gridSpan w:val="9"/>
                  <w:tcBorders>
                    <w:top w:val="single" w:sz="6" w:space="0" w:color="BFBFBF"/>
                  </w:tcBorders>
                </w:tcPr>
                <w:p w14:paraId="06037DF9" w14:textId="6FF1674D" w:rsidR="00725258" w:rsidRPr="00C52C8A" w:rsidRDefault="00725258" w:rsidP="006A71F6">
                  <w:pPr>
                    <w:pStyle w:val="TableBodyText"/>
                    <w:spacing w:before="40"/>
                    <w:ind w:right="28"/>
                    <w:jc w:val="left"/>
                  </w:pPr>
                  <w:r w:rsidRPr="00C52C8A">
                    <w:rPr>
                      <w:b/>
                    </w:rPr>
                    <w:t xml:space="preserve">Number </w:t>
                  </w:r>
                  <w:r w:rsidR="005B628B" w:rsidRPr="00C52C8A">
                    <w:rPr>
                      <w:b/>
                    </w:rPr>
                    <w:t xml:space="preserve">of </w:t>
                  </w:r>
                  <w:r w:rsidR="000C60FC" w:rsidRPr="00C52C8A">
                    <w:rPr>
                      <w:b/>
                    </w:rPr>
                    <w:t>incidents of</w:t>
                  </w:r>
                  <w:r w:rsidR="005B628B" w:rsidRPr="00C52C8A">
                    <w:rPr>
                      <w:b/>
                    </w:rPr>
                    <w:t xml:space="preserve"> </w:t>
                  </w:r>
                  <w:r w:rsidRPr="00C52C8A">
                    <w:rPr>
                      <w:b/>
                    </w:rPr>
                    <w:t>self</w:t>
                  </w:r>
                  <w:r w:rsidRPr="00C52C8A">
                    <w:rPr>
                      <w:b/>
                    </w:rPr>
                    <w:noBreakHyphen/>
                    <w:t xml:space="preserve">harm or attempted suicide in custody </w:t>
                  </w:r>
                  <w:r w:rsidRPr="00C52C8A">
                    <w:rPr>
                      <w:b/>
                      <w:u w:val="single"/>
                    </w:rPr>
                    <w:t>not</w:t>
                  </w:r>
                  <w:r w:rsidRPr="00C52C8A">
                    <w:rPr>
                      <w:b/>
                    </w:rPr>
                    <w:t xml:space="preserve"> requiring hospitalisation</w:t>
                  </w:r>
                </w:p>
              </w:tc>
            </w:tr>
            <w:tr w:rsidR="0091209F" w:rsidRPr="00C52C8A" w14:paraId="289EA4AB" w14:textId="77777777" w:rsidTr="009F44F0">
              <w:tc>
                <w:tcPr>
                  <w:tcW w:w="2239" w:type="pct"/>
                </w:tcPr>
                <w:p w14:paraId="778C01BA" w14:textId="77777777" w:rsidR="0091209F" w:rsidRPr="00C52C8A" w:rsidRDefault="0091209F" w:rsidP="0091209F">
                  <w:pPr>
                    <w:pStyle w:val="TableBodyText"/>
                    <w:jc w:val="left"/>
                  </w:pPr>
                  <w:r w:rsidRPr="00C52C8A">
                    <w:t>Aboriginal and Torres Strait Islander</w:t>
                  </w:r>
                </w:p>
              </w:tc>
              <w:tc>
                <w:tcPr>
                  <w:tcW w:w="345" w:type="pct"/>
                  <w:vAlign w:val="center"/>
                </w:tcPr>
                <w:p w14:paraId="512B3042" w14:textId="6B419FD5" w:rsidR="0091209F" w:rsidRPr="00C52C8A" w:rsidRDefault="0091209F" w:rsidP="0091209F">
                  <w:pPr>
                    <w:pStyle w:val="TableBodyText"/>
                  </w:pPr>
                  <w:r>
                    <w:rPr>
                      <w:rFonts w:cs="Arial"/>
                      <w:szCs w:val="18"/>
                    </w:rPr>
                    <w:t xml:space="preserve">  31</w:t>
                  </w:r>
                </w:p>
              </w:tc>
              <w:tc>
                <w:tcPr>
                  <w:tcW w:w="345" w:type="pct"/>
                  <w:vAlign w:val="center"/>
                </w:tcPr>
                <w:p w14:paraId="00E73F34" w14:textId="4F9DAF8E" w:rsidR="0091209F" w:rsidRPr="00C52C8A" w:rsidRDefault="0091209F" w:rsidP="0091209F">
                  <w:pPr>
                    <w:pStyle w:val="TableBodyText"/>
                  </w:pPr>
                  <w:r>
                    <w:rPr>
                      <w:rFonts w:cs="Arial"/>
                      <w:szCs w:val="18"/>
                    </w:rPr>
                    <w:t xml:space="preserve">  16</w:t>
                  </w:r>
                </w:p>
              </w:tc>
              <w:tc>
                <w:tcPr>
                  <w:tcW w:w="345" w:type="pct"/>
                  <w:vAlign w:val="center"/>
                </w:tcPr>
                <w:p w14:paraId="42705E98" w14:textId="6F64BA1E" w:rsidR="0091209F" w:rsidRPr="00C52C8A" w:rsidRDefault="0091209F" w:rsidP="0091209F">
                  <w:pPr>
                    <w:pStyle w:val="TableBodyText"/>
                  </w:pPr>
                  <w:r>
                    <w:rPr>
                      <w:rFonts w:cs="Arial"/>
                      <w:szCs w:val="18"/>
                    </w:rPr>
                    <w:t xml:space="preserve">  6</w:t>
                  </w:r>
                </w:p>
              </w:tc>
              <w:tc>
                <w:tcPr>
                  <w:tcW w:w="345" w:type="pct"/>
                  <w:vAlign w:val="center"/>
                </w:tcPr>
                <w:p w14:paraId="6BE9C99B" w14:textId="06450172" w:rsidR="0091209F" w:rsidRPr="00C52C8A" w:rsidRDefault="0091209F" w:rsidP="0091209F">
                  <w:pPr>
                    <w:pStyle w:val="TableBodyText"/>
                  </w:pPr>
                  <w:proofErr w:type="spellStart"/>
                  <w:r>
                    <w:rPr>
                      <w:rFonts w:cs="Arial"/>
                      <w:szCs w:val="18"/>
                    </w:rPr>
                    <w:t>na</w:t>
                  </w:r>
                  <w:proofErr w:type="spellEnd"/>
                </w:p>
              </w:tc>
              <w:tc>
                <w:tcPr>
                  <w:tcW w:w="345" w:type="pct"/>
                  <w:shd w:val="clear" w:color="auto" w:fill="auto"/>
                  <w:vAlign w:val="center"/>
                </w:tcPr>
                <w:p w14:paraId="02E82331" w14:textId="20551F4C" w:rsidR="0091209F" w:rsidRPr="00C52C8A" w:rsidRDefault="0091209F" w:rsidP="0091209F">
                  <w:pPr>
                    <w:pStyle w:val="TableBodyText"/>
                  </w:pPr>
                  <w:r>
                    <w:rPr>
                      <w:rFonts w:cs="Arial"/>
                      <w:szCs w:val="18"/>
                    </w:rPr>
                    <w:t xml:space="preserve">  6</w:t>
                  </w:r>
                </w:p>
              </w:tc>
              <w:tc>
                <w:tcPr>
                  <w:tcW w:w="345" w:type="pct"/>
                  <w:shd w:val="clear" w:color="auto" w:fill="auto"/>
                  <w:vAlign w:val="center"/>
                </w:tcPr>
                <w:p w14:paraId="1E9AC739" w14:textId="7C9E78E1" w:rsidR="0091209F" w:rsidRPr="00C52C8A" w:rsidRDefault="0091209F" w:rsidP="0091209F">
                  <w:pPr>
                    <w:pStyle w:val="TableBodyText"/>
                  </w:pPr>
                  <w:r>
                    <w:rPr>
                      <w:rFonts w:cs="Arial"/>
                      <w:szCs w:val="18"/>
                    </w:rPr>
                    <w:t xml:space="preserve">  13</w:t>
                  </w:r>
                </w:p>
              </w:tc>
              <w:tc>
                <w:tcPr>
                  <w:tcW w:w="345" w:type="pct"/>
                  <w:vAlign w:val="center"/>
                </w:tcPr>
                <w:p w14:paraId="32D9A6EF" w14:textId="66903A82" w:rsidR="0091209F" w:rsidRPr="00C52C8A" w:rsidRDefault="0091209F" w:rsidP="0091209F">
                  <w:pPr>
                    <w:pStyle w:val="TableBodyText"/>
                  </w:pPr>
                  <w:r>
                    <w:rPr>
                      <w:rFonts w:cs="Arial"/>
                      <w:szCs w:val="18"/>
                    </w:rPr>
                    <w:t xml:space="preserve">  4</w:t>
                  </w:r>
                </w:p>
              </w:tc>
              <w:tc>
                <w:tcPr>
                  <w:tcW w:w="346" w:type="pct"/>
                  <w:vAlign w:val="center"/>
                </w:tcPr>
                <w:p w14:paraId="62E5E568" w14:textId="46218749" w:rsidR="0091209F" w:rsidRPr="00C52C8A" w:rsidRDefault="0091209F" w:rsidP="0091209F">
                  <w:pPr>
                    <w:pStyle w:val="TableBodyText"/>
                  </w:pPr>
                  <w:r>
                    <w:rPr>
                      <w:rFonts w:cs="Arial"/>
                      <w:szCs w:val="18"/>
                    </w:rPr>
                    <w:t xml:space="preserve">  56</w:t>
                  </w:r>
                </w:p>
              </w:tc>
            </w:tr>
            <w:tr w:rsidR="0091209F" w:rsidRPr="00C52C8A" w14:paraId="6466DF62" w14:textId="77777777" w:rsidTr="009F44F0">
              <w:tc>
                <w:tcPr>
                  <w:tcW w:w="2239" w:type="pct"/>
                </w:tcPr>
                <w:p w14:paraId="691FFE73" w14:textId="77777777" w:rsidR="0091209F" w:rsidRPr="00C52C8A" w:rsidRDefault="0091209F" w:rsidP="0091209F">
                  <w:pPr>
                    <w:pStyle w:val="TableBodyText"/>
                    <w:jc w:val="left"/>
                  </w:pPr>
                  <w:r w:rsidRPr="00C52C8A">
                    <w:t>Non</w:t>
                  </w:r>
                  <w:r w:rsidRPr="00C52C8A">
                    <w:noBreakHyphen/>
                    <w:t>Indigenous</w:t>
                  </w:r>
                </w:p>
              </w:tc>
              <w:tc>
                <w:tcPr>
                  <w:tcW w:w="345" w:type="pct"/>
                  <w:vAlign w:val="center"/>
                </w:tcPr>
                <w:p w14:paraId="0B7162D0" w14:textId="0F4FD13E" w:rsidR="0091209F" w:rsidRPr="00C52C8A" w:rsidRDefault="0091209F" w:rsidP="0091209F">
                  <w:pPr>
                    <w:pStyle w:val="TableBodyText"/>
                  </w:pPr>
                  <w:r>
                    <w:rPr>
                      <w:rFonts w:cs="Arial"/>
                      <w:szCs w:val="18"/>
                    </w:rPr>
                    <w:t xml:space="preserve">  25</w:t>
                  </w:r>
                </w:p>
              </w:tc>
              <w:tc>
                <w:tcPr>
                  <w:tcW w:w="345" w:type="pct"/>
                  <w:vAlign w:val="center"/>
                </w:tcPr>
                <w:p w14:paraId="17E881A8" w14:textId="041AE336" w:rsidR="0091209F" w:rsidRPr="00C52C8A" w:rsidRDefault="0091209F" w:rsidP="0091209F">
                  <w:pPr>
                    <w:pStyle w:val="TableBodyText"/>
                  </w:pPr>
                  <w:r>
                    <w:rPr>
                      <w:rFonts w:cs="Arial"/>
                      <w:szCs w:val="18"/>
                    </w:rPr>
                    <w:t xml:space="preserve">  22</w:t>
                  </w:r>
                </w:p>
              </w:tc>
              <w:tc>
                <w:tcPr>
                  <w:tcW w:w="345" w:type="pct"/>
                  <w:vAlign w:val="center"/>
                </w:tcPr>
                <w:p w14:paraId="4DC2D76F" w14:textId="168B3E20" w:rsidR="0091209F" w:rsidRPr="00C52C8A" w:rsidRDefault="0091209F" w:rsidP="0091209F">
                  <w:pPr>
                    <w:pStyle w:val="TableBodyText"/>
                  </w:pPr>
                  <w:r>
                    <w:rPr>
                      <w:rFonts w:cs="Arial"/>
                      <w:szCs w:val="18"/>
                    </w:rPr>
                    <w:t xml:space="preserve">  4</w:t>
                  </w:r>
                </w:p>
              </w:tc>
              <w:tc>
                <w:tcPr>
                  <w:tcW w:w="345" w:type="pct"/>
                  <w:vAlign w:val="center"/>
                </w:tcPr>
                <w:p w14:paraId="46CF8927" w14:textId="76DB0B3E" w:rsidR="0091209F" w:rsidRPr="00C52C8A" w:rsidRDefault="0091209F" w:rsidP="0091209F">
                  <w:pPr>
                    <w:pStyle w:val="TableBodyText"/>
                  </w:pPr>
                  <w:proofErr w:type="spellStart"/>
                  <w:r>
                    <w:rPr>
                      <w:rFonts w:cs="Arial"/>
                      <w:szCs w:val="18"/>
                    </w:rPr>
                    <w:t>na</w:t>
                  </w:r>
                  <w:proofErr w:type="spellEnd"/>
                </w:p>
              </w:tc>
              <w:tc>
                <w:tcPr>
                  <w:tcW w:w="345" w:type="pct"/>
                  <w:shd w:val="clear" w:color="auto" w:fill="auto"/>
                  <w:vAlign w:val="center"/>
                </w:tcPr>
                <w:p w14:paraId="22CD701E" w14:textId="4C4B3D83" w:rsidR="0091209F" w:rsidRPr="00C52C8A" w:rsidRDefault="0091209F" w:rsidP="0091209F">
                  <w:pPr>
                    <w:pStyle w:val="TableBodyText"/>
                  </w:pPr>
                  <w:r>
                    <w:rPr>
                      <w:rFonts w:cs="Arial"/>
                      <w:szCs w:val="18"/>
                    </w:rPr>
                    <w:t xml:space="preserve">  1</w:t>
                  </w:r>
                </w:p>
              </w:tc>
              <w:tc>
                <w:tcPr>
                  <w:tcW w:w="345" w:type="pct"/>
                  <w:shd w:val="clear" w:color="auto" w:fill="auto"/>
                  <w:vAlign w:val="center"/>
                </w:tcPr>
                <w:p w14:paraId="3E52E54C" w14:textId="7D83AB52" w:rsidR="0091209F" w:rsidRPr="00C52C8A" w:rsidRDefault="0091209F" w:rsidP="0091209F">
                  <w:pPr>
                    <w:pStyle w:val="TableBodyText"/>
                  </w:pPr>
                  <w:r>
                    <w:rPr>
                      <w:rFonts w:cs="Arial"/>
                      <w:szCs w:val="18"/>
                    </w:rPr>
                    <w:t xml:space="preserve">  13</w:t>
                  </w:r>
                </w:p>
              </w:tc>
              <w:tc>
                <w:tcPr>
                  <w:tcW w:w="345" w:type="pct"/>
                  <w:vAlign w:val="center"/>
                </w:tcPr>
                <w:p w14:paraId="0D336982" w14:textId="3F5055BC" w:rsidR="0091209F" w:rsidRPr="00C52C8A" w:rsidRDefault="0091209F" w:rsidP="0091209F">
                  <w:pPr>
                    <w:pStyle w:val="TableBodyText"/>
                  </w:pPr>
                  <w:r>
                    <w:rPr>
                      <w:rFonts w:cs="Arial"/>
                      <w:szCs w:val="18"/>
                    </w:rPr>
                    <w:t>–</w:t>
                  </w:r>
                </w:p>
              </w:tc>
              <w:tc>
                <w:tcPr>
                  <w:tcW w:w="346" w:type="pct"/>
                  <w:vAlign w:val="center"/>
                </w:tcPr>
                <w:p w14:paraId="08634BFD" w14:textId="07F5EB56" w:rsidR="0091209F" w:rsidRPr="00C52C8A" w:rsidRDefault="0091209F" w:rsidP="0091209F">
                  <w:pPr>
                    <w:pStyle w:val="TableBodyText"/>
                  </w:pPr>
                  <w:r>
                    <w:rPr>
                      <w:rFonts w:cs="Arial"/>
                      <w:szCs w:val="18"/>
                    </w:rPr>
                    <w:t xml:space="preserve">  6</w:t>
                  </w:r>
                </w:p>
              </w:tc>
            </w:tr>
            <w:tr w:rsidR="0091209F" w:rsidRPr="00652A2C" w14:paraId="3639D398" w14:textId="77777777" w:rsidTr="009F44F0">
              <w:tc>
                <w:tcPr>
                  <w:tcW w:w="2239" w:type="pct"/>
                </w:tcPr>
                <w:p w14:paraId="59948E76" w14:textId="77777777" w:rsidR="0091209F" w:rsidRPr="00C52C8A" w:rsidRDefault="0091209F" w:rsidP="0091209F">
                  <w:pPr>
                    <w:pStyle w:val="TableBodyText"/>
                    <w:jc w:val="left"/>
                    <w:rPr>
                      <w:b/>
                    </w:rPr>
                  </w:pPr>
                  <w:r w:rsidRPr="00C52C8A">
                    <w:rPr>
                      <w:b/>
                    </w:rPr>
                    <w:t>Total</w:t>
                  </w:r>
                </w:p>
              </w:tc>
              <w:tc>
                <w:tcPr>
                  <w:tcW w:w="345" w:type="pct"/>
                  <w:vAlign w:val="center"/>
                </w:tcPr>
                <w:p w14:paraId="332A393B" w14:textId="0051F426" w:rsidR="0091209F" w:rsidRPr="00652A2C" w:rsidRDefault="0091209F" w:rsidP="0091209F">
                  <w:pPr>
                    <w:pStyle w:val="TableBodyText"/>
                    <w:rPr>
                      <w:b/>
                      <w:bCs/>
                    </w:rPr>
                  </w:pPr>
                  <w:r w:rsidRPr="00652A2C">
                    <w:rPr>
                      <w:rFonts w:cs="Arial"/>
                      <w:b/>
                      <w:bCs/>
                      <w:szCs w:val="18"/>
                    </w:rPr>
                    <w:t xml:space="preserve">  56</w:t>
                  </w:r>
                </w:p>
              </w:tc>
              <w:tc>
                <w:tcPr>
                  <w:tcW w:w="345" w:type="pct"/>
                  <w:vAlign w:val="center"/>
                </w:tcPr>
                <w:p w14:paraId="75E269A4" w14:textId="6310083B" w:rsidR="0091209F" w:rsidRPr="00652A2C" w:rsidRDefault="0091209F" w:rsidP="0091209F">
                  <w:pPr>
                    <w:pStyle w:val="TableBodyText"/>
                    <w:rPr>
                      <w:b/>
                      <w:bCs/>
                    </w:rPr>
                  </w:pPr>
                  <w:r w:rsidRPr="00652A2C">
                    <w:rPr>
                      <w:rFonts w:cs="Arial"/>
                      <w:b/>
                      <w:bCs/>
                      <w:szCs w:val="18"/>
                    </w:rPr>
                    <w:t xml:space="preserve">  38</w:t>
                  </w:r>
                </w:p>
              </w:tc>
              <w:tc>
                <w:tcPr>
                  <w:tcW w:w="345" w:type="pct"/>
                  <w:vAlign w:val="center"/>
                </w:tcPr>
                <w:p w14:paraId="09FBB749" w14:textId="7918A2A3" w:rsidR="0091209F" w:rsidRPr="00652A2C" w:rsidRDefault="0091209F" w:rsidP="0091209F">
                  <w:pPr>
                    <w:pStyle w:val="TableBodyText"/>
                    <w:rPr>
                      <w:b/>
                      <w:bCs/>
                    </w:rPr>
                  </w:pPr>
                  <w:r w:rsidRPr="00652A2C">
                    <w:rPr>
                      <w:rFonts w:cs="Arial"/>
                      <w:b/>
                      <w:bCs/>
                      <w:szCs w:val="18"/>
                    </w:rPr>
                    <w:t xml:space="preserve">  10</w:t>
                  </w:r>
                </w:p>
              </w:tc>
              <w:tc>
                <w:tcPr>
                  <w:tcW w:w="345" w:type="pct"/>
                  <w:vAlign w:val="center"/>
                </w:tcPr>
                <w:p w14:paraId="18B324FE" w14:textId="41244253" w:rsidR="0091209F" w:rsidRPr="00652A2C" w:rsidRDefault="0091209F" w:rsidP="0091209F">
                  <w:pPr>
                    <w:pStyle w:val="TableBodyText"/>
                    <w:rPr>
                      <w:b/>
                      <w:bCs/>
                    </w:rPr>
                  </w:pPr>
                  <w:proofErr w:type="spellStart"/>
                  <w:r w:rsidRPr="00652A2C">
                    <w:rPr>
                      <w:rFonts w:cs="Arial"/>
                      <w:b/>
                      <w:bCs/>
                      <w:szCs w:val="18"/>
                    </w:rPr>
                    <w:t>na</w:t>
                  </w:r>
                  <w:proofErr w:type="spellEnd"/>
                </w:p>
              </w:tc>
              <w:tc>
                <w:tcPr>
                  <w:tcW w:w="345" w:type="pct"/>
                  <w:shd w:val="clear" w:color="auto" w:fill="auto"/>
                  <w:vAlign w:val="center"/>
                </w:tcPr>
                <w:p w14:paraId="2B9EE3F7" w14:textId="27112E6A" w:rsidR="0091209F" w:rsidRPr="00652A2C" w:rsidRDefault="0091209F" w:rsidP="0091209F">
                  <w:pPr>
                    <w:pStyle w:val="TableBodyText"/>
                    <w:rPr>
                      <w:b/>
                      <w:bCs/>
                    </w:rPr>
                  </w:pPr>
                  <w:r w:rsidRPr="00652A2C">
                    <w:rPr>
                      <w:rFonts w:cs="Arial"/>
                      <w:b/>
                      <w:bCs/>
                      <w:szCs w:val="18"/>
                    </w:rPr>
                    <w:t xml:space="preserve">  7</w:t>
                  </w:r>
                </w:p>
              </w:tc>
              <w:tc>
                <w:tcPr>
                  <w:tcW w:w="345" w:type="pct"/>
                  <w:shd w:val="clear" w:color="auto" w:fill="auto"/>
                  <w:vAlign w:val="center"/>
                </w:tcPr>
                <w:p w14:paraId="099C3D58" w14:textId="592E5E31" w:rsidR="0091209F" w:rsidRPr="00652A2C" w:rsidRDefault="0091209F" w:rsidP="0091209F">
                  <w:pPr>
                    <w:pStyle w:val="TableBodyText"/>
                    <w:rPr>
                      <w:b/>
                      <w:bCs/>
                    </w:rPr>
                  </w:pPr>
                  <w:r w:rsidRPr="00652A2C">
                    <w:rPr>
                      <w:rFonts w:cs="Arial"/>
                      <w:b/>
                      <w:bCs/>
                      <w:szCs w:val="18"/>
                    </w:rPr>
                    <w:t xml:space="preserve">  26</w:t>
                  </w:r>
                </w:p>
              </w:tc>
              <w:tc>
                <w:tcPr>
                  <w:tcW w:w="345" w:type="pct"/>
                  <w:vAlign w:val="center"/>
                </w:tcPr>
                <w:p w14:paraId="49EA1ECD" w14:textId="62E054CA" w:rsidR="0091209F" w:rsidRPr="00652A2C" w:rsidRDefault="0091209F" w:rsidP="0091209F">
                  <w:pPr>
                    <w:pStyle w:val="TableBodyText"/>
                    <w:rPr>
                      <w:b/>
                      <w:bCs/>
                    </w:rPr>
                  </w:pPr>
                  <w:r w:rsidRPr="00652A2C">
                    <w:rPr>
                      <w:rFonts w:cs="Arial"/>
                      <w:b/>
                      <w:bCs/>
                      <w:szCs w:val="18"/>
                    </w:rPr>
                    <w:t xml:space="preserve">  4</w:t>
                  </w:r>
                </w:p>
              </w:tc>
              <w:tc>
                <w:tcPr>
                  <w:tcW w:w="346" w:type="pct"/>
                  <w:vAlign w:val="center"/>
                </w:tcPr>
                <w:p w14:paraId="35AC8367" w14:textId="5321C52A" w:rsidR="0091209F" w:rsidRPr="00652A2C" w:rsidRDefault="0091209F" w:rsidP="0091209F">
                  <w:pPr>
                    <w:pStyle w:val="TableBodyText"/>
                    <w:rPr>
                      <w:b/>
                      <w:bCs/>
                    </w:rPr>
                  </w:pPr>
                  <w:r w:rsidRPr="00652A2C">
                    <w:rPr>
                      <w:rFonts w:cs="Arial"/>
                      <w:b/>
                      <w:bCs/>
                      <w:szCs w:val="18"/>
                    </w:rPr>
                    <w:t xml:space="preserve">  62</w:t>
                  </w:r>
                </w:p>
              </w:tc>
            </w:tr>
            <w:tr w:rsidR="0091209F" w:rsidRPr="00C52C8A" w14:paraId="7CEA3A39" w14:textId="77777777" w:rsidTr="009F44F0">
              <w:tc>
                <w:tcPr>
                  <w:tcW w:w="2239" w:type="pct"/>
                </w:tcPr>
                <w:p w14:paraId="63774B81" w14:textId="77777777" w:rsidR="0091209F" w:rsidRPr="00C52C8A" w:rsidRDefault="0091209F" w:rsidP="0091209F">
                  <w:pPr>
                    <w:pStyle w:val="TableBodyText"/>
                    <w:spacing w:before="40"/>
                    <w:ind w:right="28"/>
                    <w:jc w:val="left"/>
                    <w:rPr>
                      <w:b/>
                    </w:rPr>
                  </w:pPr>
                  <w:r w:rsidRPr="00C52C8A">
                    <w:rPr>
                      <w:b/>
                    </w:rPr>
                    <w:t>Rate per 10 000 custody nights</w:t>
                  </w:r>
                </w:p>
              </w:tc>
              <w:tc>
                <w:tcPr>
                  <w:tcW w:w="345" w:type="pct"/>
                  <w:vAlign w:val="center"/>
                </w:tcPr>
                <w:p w14:paraId="7298732B" w14:textId="77777777" w:rsidR="0091209F" w:rsidRPr="00C52C8A" w:rsidRDefault="0091209F" w:rsidP="0091209F">
                  <w:pPr>
                    <w:pStyle w:val="TableBodyText"/>
                  </w:pPr>
                </w:p>
              </w:tc>
              <w:tc>
                <w:tcPr>
                  <w:tcW w:w="345" w:type="pct"/>
                  <w:vAlign w:val="center"/>
                </w:tcPr>
                <w:p w14:paraId="5D873A9F" w14:textId="77777777" w:rsidR="0091209F" w:rsidRPr="00C52C8A" w:rsidRDefault="0091209F" w:rsidP="0091209F">
                  <w:pPr>
                    <w:pStyle w:val="TableBodyText"/>
                  </w:pPr>
                </w:p>
              </w:tc>
              <w:tc>
                <w:tcPr>
                  <w:tcW w:w="345" w:type="pct"/>
                  <w:vAlign w:val="center"/>
                </w:tcPr>
                <w:p w14:paraId="27E0C54C" w14:textId="77777777" w:rsidR="0091209F" w:rsidRPr="00C52C8A" w:rsidRDefault="0091209F" w:rsidP="0091209F">
                  <w:pPr>
                    <w:pStyle w:val="TableBodyText"/>
                  </w:pPr>
                </w:p>
              </w:tc>
              <w:tc>
                <w:tcPr>
                  <w:tcW w:w="345" w:type="pct"/>
                  <w:vAlign w:val="center"/>
                </w:tcPr>
                <w:p w14:paraId="74FDBEC9" w14:textId="77777777" w:rsidR="0091209F" w:rsidRPr="00C52C8A" w:rsidRDefault="0091209F" w:rsidP="0091209F">
                  <w:pPr>
                    <w:pStyle w:val="TableBodyText"/>
                  </w:pPr>
                </w:p>
              </w:tc>
              <w:tc>
                <w:tcPr>
                  <w:tcW w:w="345" w:type="pct"/>
                  <w:shd w:val="clear" w:color="auto" w:fill="auto"/>
                  <w:vAlign w:val="center"/>
                </w:tcPr>
                <w:p w14:paraId="458D1E7A" w14:textId="77777777" w:rsidR="0091209F" w:rsidRPr="00C52C8A" w:rsidRDefault="0091209F" w:rsidP="0091209F">
                  <w:pPr>
                    <w:pStyle w:val="TableBodyText"/>
                  </w:pPr>
                </w:p>
              </w:tc>
              <w:tc>
                <w:tcPr>
                  <w:tcW w:w="345" w:type="pct"/>
                  <w:shd w:val="clear" w:color="auto" w:fill="auto"/>
                  <w:vAlign w:val="center"/>
                </w:tcPr>
                <w:p w14:paraId="51D71918" w14:textId="77777777" w:rsidR="0091209F" w:rsidRPr="00C52C8A" w:rsidRDefault="0091209F" w:rsidP="0091209F">
                  <w:pPr>
                    <w:pStyle w:val="TableBodyText"/>
                  </w:pPr>
                </w:p>
              </w:tc>
              <w:tc>
                <w:tcPr>
                  <w:tcW w:w="345" w:type="pct"/>
                  <w:vAlign w:val="center"/>
                </w:tcPr>
                <w:p w14:paraId="43EA8157" w14:textId="77777777" w:rsidR="0091209F" w:rsidRPr="00C52C8A" w:rsidRDefault="0091209F" w:rsidP="0091209F">
                  <w:pPr>
                    <w:pStyle w:val="TableBodyText"/>
                  </w:pPr>
                </w:p>
              </w:tc>
              <w:tc>
                <w:tcPr>
                  <w:tcW w:w="346" w:type="pct"/>
                  <w:vAlign w:val="center"/>
                </w:tcPr>
                <w:p w14:paraId="1670B55C" w14:textId="77777777" w:rsidR="0091209F" w:rsidRPr="00C52C8A" w:rsidRDefault="0091209F" w:rsidP="0091209F">
                  <w:pPr>
                    <w:pStyle w:val="TableBodyText"/>
                  </w:pPr>
                </w:p>
              </w:tc>
            </w:tr>
            <w:tr w:rsidR="0091209F" w:rsidRPr="00C52C8A" w14:paraId="7BF71F93" w14:textId="77777777" w:rsidTr="009F44F0">
              <w:tc>
                <w:tcPr>
                  <w:tcW w:w="2239" w:type="pct"/>
                </w:tcPr>
                <w:p w14:paraId="40C89890" w14:textId="77777777" w:rsidR="0091209F" w:rsidRPr="00C52C8A" w:rsidRDefault="0091209F" w:rsidP="0091209F">
                  <w:pPr>
                    <w:pStyle w:val="TableBodyText"/>
                    <w:jc w:val="left"/>
                  </w:pPr>
                  <w:r w:rsidRPr="00C52C8A">
                    <w:t>Aboriginal and Torres Strait Islander</w:t>
                  </w:r>
                </w:p>
              </w:tc>
              <w:tc>
                <w:tcPr>
                  <w:tcW w:w="345" w:type="pct"/>
                  <w:vAlign w:val="center"/>
                </w:tcPr>
                <w:p w14:paraId="6A91AFE4" w14:textId="5195B8CB" w:rsidR="0091209F" w:rsidRPr="00C52C8A" w:rsidRDefault="0091209F" w:rsidP="0091209F">
                  <w:pPr>
                    <w:pStyle w:val="TableBodyText"/>
                    <w:rPr>
                      <w:szCs w:val="18"/>
                    </w:rPr>
                  </w:pPr>
                  <w:r>
                    <w:rPr>
                      <w:rFonts w:cs="Arial"/>
                      <w:szCs w:val="18"/>
                    </w:rPr>
                    <w:t xml:space="preserve">  7.5</w:t>
                  </w:r>
                </w:p>
              </w:tc>
              <w:tc>
                <w:tcPr>
                  <w:tcW w:w="345" w:type="pct"/>
                  <w:vAlign w:val="center"/>
                </w:tcPr>
                <w:p w14:paraId="7215A706" w14:textId="77DF2A18" w:rsidR="0091209F" w:rsidRPr="00C52C8A" w:rsidRDefault="0091209F" w:rsidP="0091209F">
                  <w:pPr>
                    <w:pStyle w:val="TableBodyText"/>
                    <w:rPr>
                      <w:szCs w:val="18"/>
                    </w:rPr>
                  </w:pPr>
                  <w:r>
                    <w:rPr>
                      <w:rFonts w:cs="Arial"/>
                      <w:szCs w:val="18"/>
                    </w:rPr>
                    <w:t xml:space="preserve">  17.1</w:t>
                  </w:r>
                </w:p>
              </w:tc>
              <w:tc>
                <w:tcPr>
                  <w:tcW w:w="345" w:type="pct"/>
                  <w:vAlign w:val="center"/>
                </w:tcPr>
                <w:p w14:paraId="43B59248" w14:textId="475EDF91" w:rsidR="0091209F" w:rsidRPr="00C52C8A" w:rsidRDefault="0091209F" w:rsidP="0091209F">
                  <w:pPr>
                    <w:pStyle w:val="TableBodyText"/>
                    <w:rPr>
                      <w:szCs w:val="18"/>
                    </w:rPr>
                  </w:pPr>
                  <w:r>
                    <w:rPr>
                      <w:rFonts w:cs="Arial"/>
                      <w:szCs w:val="18"/>
                    </w:rPr>
                    <w:t xml:space="preserve">  1.2</w:t>
                  </w:r>
                </w:p>
              </w:tc>
              <w:tc>
                <w:tcPr>
                  <w:tcW w:w="345" w:type="pct"/>
                  <w:vAlign w:val="center"/>
                </w:tcPr>
                <w:p w14:paraId="27B9ACCC" w14:textId="1DB39977" w:rsidR="0091209F" w:rsidRPr="00C52C8A" w:rsidRDefault="0091209F" w:rsidP="0091209F">
                  <w:pPr>
                    <w:pStyle w:val="TableBodyText"/>
                    <w:rPr>
                      <w:szCs w:val="18"/>
                    </w:rPr>
                  </w:pPr>
                  <w:proofErr w:type="spellStart"/>
                  <w:r>
                    <w:rPr>
                      <w:rFonts w:cs="Arial"/>
                      <w:szCs w:val="18"/>
                    </w:rPr>
                    <w:t>na</w:t>
                  </w:r>
                  <w:proofErr w:type="spellEnd"/>
                </w:p>
              </w:tc>
              <w:tc>
                <w:tcPr>
                  <w:tcW w:w="345" w:type="pct"/>
                  <w:shd w:val="clear" w:color="auto" w:fill="auto"/>
                  <w:vAlign w:val="center"/>
                </w:tcPr>
                <w:p w14:paraId="1926E361" w14:textId="0E133144" w:rsidR="0091209F" w:rsidRPr="00C52C8A" w:rsidRDefault="0091209F" w:rsidP="0091209F">
                  <w:pPr>
                    <w:pStyle w:val="TableBodyText"/>
                    <w:rPr>
                      <w:szCs w:val="18"/>
                    </w:rPr>
                  </w:pPr>
                  <w:r>
                    <w:rPr>
                      <w:rFonts w:cs="Arial"/>
                      <w:szCs w:val="18"/>
                    </w:rPr>
                    <w:t xml:space="preserve">  9.1</w:t>
                  </w:r>
                </w:p>
              </w:tc>
              <w:tc>
                <w:tcPr>
                  <w:tcW w:w="345" w:type="pct"/>
                  <w:shd w:val="clear" w:color="auto" w:fill="auto"/>
                  <w:vAlign w:val="center"/>
                </w:tcPr>
                <w:p w14:paraId="03EDCED8" w14:textId="1155B8AD" w:rsidR="0091209F" w:rsidRPr="00C52C8A" w:rsidRDefault="0091209F" w:rsidP="0091209F">
                  <w:pPr>
                    <w:pStyle w:val="TableBodyText"/>
                    <w:rPr>
                      <w:szCs w:val="18"/>
                    </w:rPr>
                  </w:pPr>
                  <w:r>
                    <w:rPr>
                      <w:rFonts w:cs="Arial"/>
                      <w:szCs w:val="18"/>
                    </w:rPr>
                    <w:t xml:space="preserve">  57.2</w:t>
                  </w:r>
                </w:p>
              </w:tc>
              <w:tc>
                <w:tcPr>
                  <w:tcW w:w="345" w:type="pct"/>
                  <w:vAlign w:val="center"/>
                </w:tcPr>
                <w:p w14:paraId="5524D656" w14:textId="209A7674" w:rsidR="0091209F" w:rsidRPr="00C52C8A" w:rsidRDefault="0091209F" w:rsidP="0091209F">
                  <w:pPr>
                    <w:pStyle w:val="TableBodyText"/>
                    <w:rPr>
                      <w:szCs w:val="18"/>
                    </w:rPr>
                  </w:pPr>
                  <w:r>
                    <w:rPr>
                      <w:rFonts w:cs="Arial"/>
                      <w:szCs w:val="18"/>
                    </w:rPr>
                    <w:t xml:space="preserve">  21.3</w:t>
                  </w:r>
                </w:p>
              </w:tc>
              <w:tc>
                <w:tcPr>
                  <w:tcW w:w="346" w:type="pct"/>
                  <w:vAlign w:val="center"/>
                </w:tcPr>
                <w:p w14:paraId="013F7EFB" w14:textId="60BEFD0E" w:rsidR="0091209F" w:rsidRPr="00C52C8A" w:rsidRDefault="0091209F" w:rsidP="0091209F">
                  <w:pPr>
                    <w:pStyle w:val="TableBodyText"/>
                    <w:rPr>
                      <w:szCs w:val="18"/>
                    </w:rPr>
                  </w:pPr>
                  <w:r>
                    <w:rPr>
                      <w:rFonts w:cs="Arial"/>
                      <w:szCs w:val="18"/>
                    </w:rPr>
                    <w:t xml:space="preserve">  65.1</w:t>
                  </w:r>
                </w:p>
              </w:tc>
            </w:tr>
            <w:tr w:rsidR="0091209F" w:rsidRPr="00C52C8A" w14:paraId="4459C674" w14:textId="77777777" w:rsidTr="009F44F0">
              <w:tc>
                <w:tcPr>
                  <w:tcW w:w="2239" w:type="pct"/>
                </w:tcPr>
                <w:p w14:paraId="528333AD" w14:textId="77777777" w:rsidR="0091209F" w:rsidRPr="00C52C8A" w:rsidRDefault="0091209F" w:rsidP="0091209F">
                  <w:pPr>
                    <w:pStyle w:val="TableBodyText"/>
                    <w:jc w:val="left"/>
                  </w:pPr>
                  <w:r w:rsidRPr="00C52C8A">
                    <w:t>Non</w:t>
                  </w:r>
                  <w:r w:rsidRPr="00C52C8A">
                    <w:noBreakHyphen/>
                    <w:t>Indigenous</w:t>
                  </w:r>
                </w:p>
              </w:tc>
              <w:tc>
                <w:tcPr>
                  <w:tcW w:w="345" w:type="pct"/>
                  <w:vAlign w:val="center"/>
                </w:tcPr>
                <w:p w14:paraId="0E62612C" w14:textId="19FEF5C7" w:rsidR="0091209F" w:rsidRPr="00C52C8A" w:rsidRDefault="0091209F" w:rsidP="0091209F">
                  <w:pPr>
                    <w:pStyle w:val="TableBodyText"/>
                    <w:rPr>
                      <w:szCs w:val="18"/>
                    </w:rPr>
                  </w:pPr>
                  <w:r>
                    <w:rPr>
                      <w:rFonts w:cs="Arial"/>
                      <w:szCs w:val="18"/>
                    </w:rPr>
                    <w:t xml:space="preserve">  5.0</w:t>
                  </w:r>
                </w:p>
              </w:tc>
              <w:tc>
                <w:tcPr>
                  <w:tcW w:w="345" w:type="pct"/>
                  <w:vAlign w:val="center"/>
                </w:tcPr>
                <w:p w14:paraId="6F3688FB" w14:textId="65279826" w:rsidR="0091209F" w:rsidRPr="00C52C8A" w:rsidRDefault="0091209F" w:rsidP="0091209F">
                  <w:pPr>
                    <w:pStyle w:val="TableBodyText"/>
                    <w:rPr>
                      <w:szCs w:val="18"/>
                    </w:rPr>
                  </w:pPr>
                  <w:r>
                    <w:rPr>
                      <w:rFonts w:cs="Arial"/>
                      <w:szCs w:val="18"/>
                    </w:rPr>
                    <w:t xml:space="preserve">  3.8</w:t>
                  </w:r>
                </w:p>
              </w:tc>
              <w:tc>
                <w:tcPr>
                  <w:tcW w:w="345" w:type="pct"/>
                  <w:vAlign w:val="center"/>
                </w:tcPr>
                <w:p w14:paraId="1A3207A3" w14:textId="3B04E73C" w:rsidR="0091209F" w:rsidRPr="00C52C8A" w:rsidRDefault="0091209F" w:rsidP="0091209F">
                  <w:pPr>
                    <w:pStyle w:val="TableBodyText"/>
                    <w:rPr>
                      <w:szCs w:val="18"/>
                    </w:rPr>
                  </w:pPr>
                  <w:r>
                    <w:rPr>
                      <w:rFonts w:cs="Arial"/>
                      <w:szCs w:val="18"/>
                    </w:rPr>
                    <w:t xml:space="preserve">  1.8</w:t>
                  </w:r>
                </w:p>
              </w:tc>
              <w:tc>
                <w:tcPr>
                  <w:tcW w:w="345" w:type="pct"/>
                  <w:vAlign w:val="center"/>
                </w:tcPr>
                <w:p w14:paraId="0C5BB4D6" w14:textId="4627C52F" w:rsidR="0091209F" w:rsidRPr="00C52C8A" w:rsidRDefault="0091209F" w:rsidP="0091209F">
                  <w:pPr>
                    <w:pStyle w:val="TableBodyText"/>
                    <w:rPr>
                      <w:szCs w:val="18"/>
                    </w:rPr>
                  </w:pPr>
                  <w:proofErr w:type="spellStart"/>
                  <w:r>
                    <w:rPr>
                      <w:rFonts w:cs="Arial"/>
                      <w:szCs w:val="18"/>
                    </w:rPr>
                    <w:t>na</w:t>
                  </w:r>
                  <w:proofErr w:type="spellEnd"/>
                </w:p>
              </w:tc>
              <w:tc>
                <w:tcPr>
                  <w:tcW w:w="345" w:type="pct"/>
                  <w:shd w:val="clear" w:color="auto" w:fill="auto"/>
                  <w:vAlign w:val="center"/>
                </w:tcPr>
                <w:p w14:paraId="35352732" w14:textId="7EC4747C" w:rsidR="0091209F" w:rsidRPr="00C52C8A" w:rsidRDefault="0091209F" w:rsidP="0091209F">
                  <w:pPr>
                    <w:pStyle w:val="TableBodyText"/>
                    <w:rPr>
                      <w:szCs w:val="18"/>
                    </w:rPr>
                  </w:pPr>
                  <w:r>
                    <w:rPr>
                      <w:rFonts w:cs="Arial"/>
                      <w:szCs w:val="18"/>
                    </w:rPr>
                    <w:t xml:space="preserve">  1.7</w:t>
                  </w:r>
                </w:p>
              </w:tc>
              <w:tc>
                <w:tcPr>
                  <w:tcW w:w="345" w:type="pct"/>
                  <w:shd w:val="clear" w:color="auto" w:fill="auto"/>
                  <w:vAlign w:val="center"/>
                </w:tcPr>
                <w:p w14:paraId="532D7E82" w14:textId="51B5C623" w:rsidR="0091209F" w:rsidRPr="00C52C8A" w:rsidRDefault="0091209F" w:rsidP="0091209F">
                  <w:pPr>
                    <w:pStyle w:val="TableBodyText"/>
                    <w:rPr>
                      <w:szCs w:val="18"/>
                    </w:rPr>
                  </w:pPr>
                  <w:r>
                    <w:rPr>
                      <w:rFonts w:cs="Arial"/>
                      <w:szCs w:val="18"/>
                    </w:rPr>
                    <w:t xml:space="preserve">  38.7</w:t>
                  </w:r>
                </w:p>
              </w:tc>
              <w:tc>
                <w:tcPr>
                  <w:tcW w:w="345" w:type="pct"/>
                  <w:vAlign w:val="center"/>
                </w:tcPr>
                <w:p w14:paraId="135B16CC" w14:textId="457F07C1" w:rsidR="0091209F" w:rsidRPr="00C52C8A" w:rsidRDefault="0091209F" w:rsidP="0091209F">
                  <w:pPr>
                    <w:pStyle w:val="TableBodyText"/>
                    <w:rPr>
                      <w:szCs w:val="18"/>
                    </w:rPr>
                  </w:pPr>
                  <w:r>
                    <w:rPr>
                      <w:rFonts w:cs="Arial"/>
                      <w:szCs w:val="18"/>
                    </w:rPr>
                    <w:t>–</w:t>
                  </w:r>
                </w:p>
              </w:tc>
              <w:tc>
                <w:tcPr>
                  <w:tcW w:w="346" w:type="pct"/>
                  <w:vAlign w:val="center"/>
                </w:tcPr>
                <w:p w14:paraId="28865439" w14:textId="37CC8E6B" w:rsidR="0091209F" w:rsidRPr="00C52C8A" w:rsidRDefault="0091209F" w:rsidP="0091209F">
                  <w:pPr>
                    <w:pStyle w:val="TableBodyText"/>
                    <w:rPr>
                      <w:szCs w:val="18"/>
                    </w:rPr>
                  </w:pPr>
                  <w:r>
                    <w:rPr>
                      <w:rFonts w:cs="Arial"/>
                      <w:szCs w:val="18"/>
                    </w:rPr>
                    <w:t>251.0</w:t>
                  </w:r>
                </w:p>
              </w:tc>
            </w:tr>
            <w:tr w:rsidR="0091209F" w:rsidRPr="00C52C8A" w14:paraId="381D5E77" w14:textId="77777777" w:rsidTr="009F44F0">
              <w:tc>
                <w:tcPr>
                  <w:tcW w:w="2239" w:type="pct"/>
                  <w:tcBorders>
                    <w:bottom w:val="single" w:sz="6" w:space="0" w:color="C8C8C8"/>
                  </w:tcBorders>
                  <w:shd w:val="clear" w:color="auto" w:fill="auto"/>
                </w:tcPr>
                <w:p w14:paraId="431F2F60" w14:textId="77777777" w:rsidR="0091209F" w:rsidRPr="00C52C8A" w:rsidRDefault="0091209F" w:rsidP="0091209F">
                  <w:pPr>
                    <w:pStyle w:val="TableBodyText"/>
                    <w:jc w:val="left"/>
                    <w:rPr>
                      <w:b/>
                    </w:rPr>
                  </w:pPr>
                  <w:r w:rsidRPr="00C52C8A">
                    <w:rPr>
                      <w:b/>
                    </w:rPr>
                    <w:t>Total</w:t>
                  </w:r>
                </w:p>
              </w:tc>
              <w:tc>
                <w:tcPr>
                  <w:tcW w:w="345" w:type="pct"/>
                  <w:tcBorders>
                    <w:bottom w:val="single" w:sz="6" w:space="0" w:color="C8C8C8"/>
                  </w:tcBorders>
                  <w:shd w:val="clear" w:color="auto" w:fill="auto"/>
                  <w:vAlign w:val="center"/>
                </w:tcPr>
                <w:p w14:paraId="1E694A8C" w14:textId="3CC0269E" w:rsidR="0091209F" w:rsidRPr="00C52C8A" w:rsidRDefault="0091209F" w:rsidP="0091209F">
                  <w:pPr>
                    <w:pStyle w:val="TableBodyText"/>
                    <w:rPr>
                      <w:b/>
                      <w:szCs w:val="18"/>
                    </w:rPr>
                  </w:pPr>
                  <w:r>
                    <w:rPr>
                      <w:rFonts w:cs="Arial"/>
                      <w:b/>
                      <w:bCs/>
                      <w:szCs w:val="18"/>
                    </w:rPr>
                    <w:t xml:space="preserve">  6.1</w:t>
                  </w:r>
                </w:p>
              </w:tc>
              <w:tc>
                <w:tcPr>
                  <w:tcW w:w="345" w:type="pct"/>
                  <w:tcBorders>
                    <w:bottom w:val="single" w:sz="6" w:space="0" w:color="C8C8C8"/>
                  </w:tcBorders>
                  <w:shd w:val="clear" w:color="auto" w:fill="auto"/>
                  <w:vAlign w:val="center"/>
                </w:tcPr>
                <w:p w14:paraId="485D9A13" w14:textId="32964F9E" w:rsidR="0091209F" w:rsidRPr="00C52C8A" w:rsidRDefault="0091209F" w:rsidP="0091209F">
                  <w:pPr>
                    <w:pStyle w:val="TableBodyText"/>
                    <w:rPr>
                      <w:b/>
                      <w:szCs w:val="18"/>
                    </w:rPr>
                  </w:pPr>
                  <w:r>
                    <w:rPr>
                      <w:rFonts w:cs="Arial"/>
                      <w:b/>
                      <w:bCs/>
                      <w:szCs w:val="18"/>
                    </w:rPr>
                    <w:t xml:space="preserve">  5.6</w:t>
                  </w:r>
                </w:p>
              </w:tc>
              <w:tc>
                <w:tcPr>
                  <w:tcW w:w="345" w:type="pct"/>
                  <w:tcBorders>
                    <w:bottom w:val="single" w:sz="6" w:space="0" w:color="C8C8C8"/>
                  </w:tcBorders>
                  <w:vAlign w:val="center"/>
                </w:tcPr>
                <w:p w14:paraId="49ECB41A" w14:textId="4B794088" w:rsidR="0091209F" w:rsidRPr="00C52C8A" w:rsidRDefault="0091209F" w:rsidP="0091209F">
                  <w:pPr>
                    <w:pStyle w:val="TableBodyText"/>
                    <w:rPr>
                      <w:b/>
                      <w:szCs w:val="18"/>
                    </w:rPr>
                  </w:pPr>
                  <w:r>
                    <w:rPr>
                      <w:rFonts w:cs="Arial"/>
                      <w:b/>
                      <w:bCs/>
                      <w:szCs w:val="18"/>
                    </w:rPr>
                    <w:t xml:space="preserve">  1.4</w:t>
                  </w:r>
                </w:p>
              </w:tc>
              <w:tc>
                <w:tcPr>
                  <w:tcW w:w="345" w:type="pct"/>
                  <w:tcBorders>
                    <w:bottom w:val="single" w:sz="6" w:space="0" w:color="C8C8C8"/>
                  </w:tcBorders>
                  <w:vAlign w:val="center"/>
                </w:tcPr>
                <w:p w14:paraId="18C62430" w14:textId="05AD7CF9" w:rsidR="0091209F" w:rsidRPr="00C52C8A" w:rsidRDefault="0091209F" w:rsidP="0091209F">
                  <w:pPr>
                    <w:pStyle w:val="TableBodyText"/>
                    <w:rPr>
                      <w:b/>
                      <w:szCs w:val="18"/>
                    </w:rPr>
                  </w:pPr>
                  <w:proofErr w:type="spellStart"/>
                  <w:r>
                    <w:rPr>
                      <w:rFonts w:cs="Arial"/>
                      <w:b/>
                      <w:bCs/>
                      <w:szCs w:val="18"/>
                    </w:rPr>
                    <w:t>na</w:t>
                  </w:r>
                  <w:proofErr w:type="spellEnd"/>
                </w:p>
              </w:tc>
              <w:tc>
                <w:tcPr>
                  <w:tcW w:w="345" w:type="pct"/>
                  <w:tcBorders>
                    <w:bottom w:val="single" w:sz="6" w:space="0" w:color="C8C8C8"/>
                  </w:tcBorders>
                  <w:shd w:val="clear" w:color="auto" w:fill="auto"/>
                  <w:vAlign w:val="center"/>
                </w:tcPr>
                <w:p w14:paraId="0466F7A5" w14:textId="6BA00E95" w:rsidR="0091209F" w:rsidRPr="00C52C8A" w:rsidRDefault="0091209F" w:rsidP="0091209F">
                  <w:pPr>
                    <w:pStyle w:val="TableBodyText"/>
                    <w:rPr>
                      <w:b/>
                      <w:szCs w:val="18"/>
                    </w:rPr>
                  </w:pPr>
                  <w:r>
                    <w:rPr>
                      <w:rFonts w:cs="Arial"/>
                      <w:b/>
                      <w:bCs/>
                      <w:szCs w:val="18"/>
                    </w:rPr>
                    <w:t xml:space="preserve">  5.5</w:t>
                  </w:r>
                </w:p>
              </w:tc>
              <w:tc>
                <w:tcPr>
                  <w:tcW w:w="345" w:type="pct"/>
                  <w:tcBorders>
                    <w:bottom w:val="single" w:sz="6" w:space="0" w:color="C8C8C8"/>
                  </w:tcBorders>
                  <w:shd w:val="clear" w:color="auto" w:fill="auto"/>
                  <w:vAlign w:val="center"/>
                </w:tcPr>
                <w:p w14:paraId="7D371CE0" w14:textId="765C57D2" w:rsidR="0091209F" w:rsidRPr="00C52C8A" w:rsidRDefault="0091209F" w:rsidP="0091209F">
                  <w:pPr>
                    <w:pStyle w:val="TableBodyText"/>
                    <w:rPr>
                      <w:b/>
                      <w:szCs w:val="18"/>
                    </w:rPr>
                  </w:pPr>
                  <w:r>
                    <w:rPr>
                      <w:rFonts w:cs="Arial"/>
                      <w:b/>
                      <w:bCs/>
                      <w:szCs w:val="18"/>
                    </w:rPr>
                    <w:t xml:space="preserve">  46.1</w:t>
                  </w:r>
                </w:p>
              </w:tc>
              <w:tc>
                <w:tcPr>
                  <w:tcW w:w="345" w:type="pct"/>
                  <w:tcBorders>
                    <w:bottom w:val="single" w:sz="6" w:space="0" w:color="C8C8C8"/>
                  </w:tcBorders>
                  <w:vAlign w:val="center"/>
                </w:tcPr>
                <w:p w14:paraId="465BB676" w14:textId="4FA2107E" w:rsidR="0091209F" w:rsidRPr="00C52C8A" w:rsidRDefault="0091209F" w:rsidP="0091209F">
                  <w:pPr>
                    <w:pStyle w:val="TableBodyText"/>
                    <w:rPr>
                      <w:b/>
                      <w:szCs w:val="18"/>
                    </w:rPr>
                  </w:pPr>
                  <w:r>
                    <w:rPr>
                      <w:rFonts w:cs="Arial"/>
                      <w:b/>
                      <w:bCs/>
                      <w:szCs w:val="18"/>
                    </w:rPr>
                    <w:t xml:space="preserve">  7.1</w:t>
                  </w:r>
                </w:p>
              </w:tc>
              <w:tc>
                <w:tcPr>
                  <w:tcW w:w="346" w:type="pct"/>
                  <w:tcBorders>
                    <w:bottom w:val="single" w:sz="6" w:space="0" w:color="C8C8C8"/>
                  </w:tcBorders>
                  <w:vAlign w:val="center"/>
                </w:tcPr>
                <w:p w14:paraId="477394B9" w14:textId="175F9FB2" w:rsidR="0091209F" w:rsidRPr="00C52C8A" w:rsidRDefault="0091209F" w:rsidP="0091209F">
                  <w:pPr>
                    <w:pStyle w:val="TableBodyText"/>
                    <w:rPr>
                      <w:b/>
                      <w:szCs w:val="18"/>
                    </w:rPr>
                  </w:pPr>
                  <w:r>
                    <w:rPr>
                      <w:rFonts w:cs="Arial"/>
                      <w:b/>
                      <w:bCs/>
                      <w:szCs w:val="18"/>
                    </w:rPr>
                    <w:t xml:space="preserve">  70.1</w:t>
                  </w:r>
                </w:p>
              </w:tc>
            </w:tr>
          </w:tbl>
          <w:p w14:paraId="59BDCC3A" w14:textId="77777777" w:rsidR="00C06D4B" w:rsidRPr="00C52C8A" w:rsidRDefault="00C06D4B" w:rsidP="00983812">
            <w:pPr>
              <w:pStyle w:val="Box"/>
            </w:pPr>
          </w:p>
        </w:tc>
      </w:tr>
      <w:tr w:rsidR="00C06D4B" w:rsidRPr="00C52C8A" w14:paraId="56017D06" w14:textId="77777777" w:rsidTr="006A71F6">
        <w:trPr>
          <w:cantSplit/>
        </w:trPr>
        <w:tc>
          <w:tcPr>
            <w:tcW w:w="8789" w:type="dxa"/>
            <w:tcBorders>
              <w:top w:val="nil"/>
              <w:left w:val="nil"/>
              <w:bottom w:val="nil"/>
              <w:right w:val="nil"/>
            </w:tcBorders>
            <w:shd w:val="clear" w:color="auto" w:fill="auto"/>
          </w:tcPr>
          <w:p w14:paraId="702852E8" w14:textId="4EA9229F" w:rsidR="00C06D4B" w:rsidRPr="00C52C8A" w:rsidRDefault="00C06D4B" w:rsidP="00C32D9A">
            <w:pPr>
              <w:pStyle w:val="Note"/>
              <w:rPr>
                <w:i/>
              </w:rPr>
            </w:pPr>
            <w:r w:rsidRPr="00C52C8A">
              <w:rPr>
                <w:rStyle w:val="NoteLabel"/>
              </w:rPr>
              <w:t>a</w:t>
            </w:r>
            <w:r w:rsidRPr="00C52C8A">
              <w:t xml:space="preserve"> </w:t>
            </w:r>
            <w:r w:rsidR="00014206" w:rsidRPr="00C52C8A">
              <w:t>See b</w:t>
            </w:r>
            <w:r w:rsidR="00155BED" w:rsidRPr="00C52C8A">
              <w:t>ox</w:t>
            </w:r>
            <w:r w:rsidR="00F4592C" w:rsidRPr="00C52C8A">
              <w:t> </w:t>
            </w:r>
            <w:r w:rsidR="00AD782C" w:rsidRPr="00C52C8A">
              <w:t>17.12</w:t>
            </w:r>
            <w:r w:rsidR="007B210C" w:rsidRPr="00C52C8A">
              <w:t xml:space="preserve"> </w:t>
            </w:r>
            <w:r w:rsidR="00FE622D" w:rsidRPr="00C52C8A">
              <w:t>and</w:t>
            </w:r>
            <w:r w:rsidR="00155BED" w:rsidRPr="00C52C8A">
              <w:t xml:space="preserve"> table</w:t>
            </w:r>
            <w:r w:rsidR="005B0070">
              <w:t> </w:t>
            </w:r>
            <w:r w:rsidR="00155BED" w:rsidRPr="00C52C8A">
              <w:t>17</w:t>
            </w:r>
            <w:r w:rsidR="00692BE8" w:rsidRPr="00C52C8A">
              <w:t>A.</w:t>
            </w:r>
            <w:r w:rsidR="005B628B" w:rsidRPr="00C52C8A">
              <w:t>1</w:t>
            </w:r>
            <w:r w:rsidR="00C32D9A">
              <w:t>8</w:t>
            </w:r>
            <w:r w:rsidR="00692BE8" w:rsidRPr="00C52C8A">
              <w:t xml:space="preserve"> for detailed </w:t>
            </w:r>
            <w:r w:rsidR="00014206" w:rsidRPr="00C52C8A">
              <w:t xml:space="preserve">definitions, </w:t>
            </w:r>
            <w:r w:rsidR="00692BE8" w:rsidRPr="00C52C8A">
              <w:t>footnotes</w:t>
            </w:r>
            <w:r w:rsidR="00014206" w:rsidRPr="00C52C8A">
              <w:t xml:space="preserve"> and caveats</w:t>
            </w:r>
            <w:r w:rsidR="00692BE8" w:rsidRPr="00C52C8A">
              <w:t>.</w:t>
            </w:r>
            <w:r w:rsidR="00587E48" w:rsidRPr="00C52C8A">
              <w:t xml:space="preserve"> </w:t>
            </w:r>
            <w:proofErr w:type="spellStart"/>
            <w:r w:rsidR="00692BE8" w:rsidRPr="00C52C8A">
              <w:rPr>
                <w:b/>
                <w:szCs w:val="18"/>
              </w:rPr>
              <w:t>na</w:t>
            </w:r>
            <w:proofErr w:type="spellEnd"/>
            <w:r w:rsidR="00692BE8" w:rsidRPr="00C52C8A">
              <w:rPr>
                <w:szCs w:val="18"/>
              </w:rPr>
              <w:t xml:space="preserve"> Not available. </w:t>
            </w:r>
            <w:r w:rsidR="006523B1" w:rsidRPr="00C52C8A">
              <w:t>– Nil or rounded to zero.</w:t>
            </w:r>
          </w:p>
        </w:tc>
      </w:tr>
      <w:tr w:rsidR="00C06D4B" w:rsidRPr="00C52C8A" w14:paraId="5FB25773" w14:textId="77777777" w:rsidTr="006A71F6">
        <w:trPr>
          <w:cantSplit/>
        </w:trPr>
        <w:tc>
          <w:tcPr>
            <w:tcW w:w="8789" w:type="dxa"/>
            <w:tcBorders>
              <w:top w:val="nil"/>
              <w:left w:val="nil"/>
              <w:bottom w:val="nil"/>
              <w:right w:val="nil"/>
            </w:tcBorders>
            <w:shd w:val="clear" w:color="auto" w:fill="auto"/>
          </w:tcPr>
          <w:p w14:paraId="12263B01" w14:textId="6697A14C" w:rsidR="00C06D4B" w:rsidRPr="00C52C8A" w:rsidRDefault="00692BE8" w:rsidP="00C32D9A">
            <w:pPr>
              <w:pStyle w:val="Source"/>
            </w:pPr>
            <w:r w:rsidRPr="00C52C8A">
              <w:rPr>
                <w:i/>
              </w:rPr>
              <w:t>Source</w:t>
            </w:r>
            <w:r w:rsidR="00CF76CB" w:rsidRPr="00C52C8A">
              <w:rPr>
                <w:i/>
              </w:rPr>
              <w:t>s</w:t>
            </w:r>
            <w:r w:rsidR="00C06D4B" w:rsidRPr="00C52C8A">
              <w:t xml:space="preserve">: </w:t>
            </w:r>
            <w:r w:rsidRPr="00C52C8A">
              <w:t xml:space="preserve">State and Territory governments (unpublished); </w:t>
            </w:r>
            <w:r w:rsidR="00237D77" w:rsidRPr="00C52C8A">
              <w:t>tables</w:t>
            </w:r>
            <w:r w:rsidR="005B0070">
              <w:t> </w:t>
            </w:r>
            <w:r w:rsidR="00237D77" w:rsidRPr="00C52C8A">
              <w:t>1</w:t>
            </w:r>
            <w:r w:rsidR="00155BED" w:rsidRPr="00C52C8A">
              <w:t>7</w:t>
            </w:r>
            <w:r w:rsidR="00237D77" w:rsidRPr="00C52C8A">
              <w:t>A.</w:t>
            </w:r>
            <w:r w:rsidR="005B628B" w:rsidRPr="00C52C8A">
              <w:t>1</w:t>
            </w:r>
            <w:r w:rsidR="00C32D9A">
              <w:t>8</w:t>
            </w:r>
            <w:r w:rsidRPr="00C52C8A">
              <w:t>.</w:t>
            </w:r>
          </w:p>
        </w:tc>
      </w:tr>
      <w:tr w:rsidR="00C06D4B" w:rsidRPr="00C52C8A" w14:paraId="23A2215D" w14:textId="77777777" w:rsidTr="006A71F6">
        <w:trPr>
          <w:cantSplit/>
        </w:trPr>
        <w:tc>
          <w:tcPr>
            <w:tcW w:w="8789" w:type="dxa"/>
            <w:tcBorders>
              <w:top w:val="nil"/>
              <w:left w:val="nil"/>
              <w:bottom w:val="single" w:sz="6" w:space="0" w:color="78A22F" w:themeColor="accent1"/>
              <w:right w:val="nil"/>
            </w:tcBorders>
            <w:shd w:val="clear" w:color="auto" w:fill="auto"/>
          </w:tcPr>
          <w:p w14:paraId="57D1B88F" w14:textId="77777777" w:rsidR="00C06D4B" w:rsidRPr="00C52C8A" w:rsidRDefault="00C06D4B" w:rsidP="00983812">
            <w:pPr>
              <w:pStyle w:val="Box"/>
              <w:spacing w:before="0" w:line="120" w:lineRule="exact"/>
            </w:pPr>
          </w:p>
        </w:tc>
      </w:tr>
      <w:tr w:rsidR="00C06D4B" w:rsidRPr="00C52C8A" w14:paraId="3714542E" w14:textId="77777777" w:rsidTr="006A71F6">
        <w:tc>
          <w:tcPr>
            <w:tcW w:w="8789" w:type="dxa"/>
            <w:tcBorders>
              <w:top w:val="single" w:sz="6" w:space="0" w:color="78A22F" w:themeColor="accent1"/>
              <w:left w:val="nil"/>
              <w:bottom w:val="nil"/>
              <w:right w:val="nil"/>
            </w:tcBorders>
          </w:tcPr>
          <w:p w14:paraId="1DE6B757" w14:textId="23E2C858" w:rsidR="00C06D4B" w:rsidRPr="002E39DF" w:rsidRDefault="00C06D4B" w:rsidP="00983812">
            <w:pPr>
              <w:pStyle w:val="BoxSpaceBelow"/>
            </w:pPr>
          </w:p>
        </w:tc>
      </w:tr>
    </w:tbl>
    <w:p w14:paraId="5260531E" w14:textId="77777777" w:rsidR="00413C3F" w:rsidRPr="00C52C8A" w:rsidRDefault="00413C3F" w:rsidP="00983812">
      <w:pPr>
        <w:pStyle w:val="Heading3"/>
      </w:pPr>
      <w:r w:rsidRPr="00C52C8A">
        <w:t>Efficiency</w:t>
      </w:r>
    </w:p>
    <w:p w14:paraId="54617EC3" w14:textId="0AAE761B" w:rsidR="00435A01" w:rsidRPr="00C52C8A" w:rsidRDefault="00435A01" w:rsidP="00C17277">
      <w:pPr>
        <w:pStyle w:val="BodyText"/>
      </w:pPr>
      <w:r w:rsidRPr="00C52C8A">
        <w:t xml:space="preserve">The unit costs presented for these efficiency indicators </w:t>
      </w:r>
      <w:r w:rsidR="00D8446C" w:rsidRPr="00C52C8A">
        <w:t>may differ</w:t>
      </w:r>
      <w:r w:rsidR="0074386C" w:rsidRPr="00C52C8A">
        <w:t xml:space="preserve"> to </w:t>
      </w:r>
      <w:r w:rsidRPr="00C52C8A">
        <w:t>unit costs reported in jurisdiction</w:t>
      </w:r>
      <w:r w:rsidR="00F4592C" w:rsidRPr="00C52C8A">
        <w:noBreakHyphen/>
      </w:r>
      <w:r w:rsidRPr="00C52C8A">
        <w:t>specific annual reports due to different methods of calculation.</w:t>
      </w:r>
    </w:p>
    <w:p w14:paraId="3B48E904" w14:textId="77777777" w:rsidR="00435A01" w:rsidRPr="00C52C8A" w:rsidRDefault="00435A01" w:rsidP="00C17277">
      <w:pPr>
        <w:pStyle w:val="BodyText"/>
      </w:pPr>
      <w:r w:rsidRPr="00C52C8A">
        <w:lastRenderedPageBreak/>
        <w:t>Efficiency indicators cannot be interpreted in isolation and should be considered in conjunction with other indicators. A low cost per young person subject to community</w:t>
      </w:r>
      <w:r w:rsidRPr="00C52C8A">
        <w:noBreakHyphen/>
        <w:t>based supervision could reflect less investment in rehabilitation programs to address a young person’s offending needs, or less intensive case management of young people on community</w:t>
      </w:r>
      <w:r w:rsidR="00F4592C" w:rsidRPr="00C52C8A">
        <w:noBreakHyphen/>
      </w:r>
      <w:r w:rsidRPr="00C52C8A">
        <w:t>based supervision orders. Unit costs are also affected by differences in the profile of young offenders, geographic dispersion and other factors that limit opportunities to reduce overheads through economies of scale.</w:t>
      </w:r>
    </w:p>
    <w:p w14:paraId="2F4746D5" w14:textId="0B1DEAD3" w:rsidR="000941F7" w:rsidRPr="00724701" w:rsidRDefault="00435A01" w:rsidP="00D67BB1">
      <w:pPr>
        <w:pStyle w:val="BodyText"/>
        <w:rPr>
          <w:u w:val="dotted"/>
        </w:rPr>
      </w:pPr>
      <w:r w:rsidRPr="00C52C8A">
        <w:t xml:space="preserve">In addition, the average </w:t>
      </w:r>
      <w:r w:rsidR="00546D2F" w:rsidRPr="00C52C8A">
        <w:t xml:space="preserve">daily </w:t>
      </w:r>
      <w:r w:rsidRPr="00C52C8A">
        <w:t>costs of supervising young offenders are significantly higher than unit costs for adult offenders. This is likely to be explained by more extensive supervision requirements when working with minors and the more limited opportunity for economies of scale in smaller youth justice systems.</w:t>
      </w:r>
    </w:p>
    <w:p w14:paraId="21C74FA8" w14:textId="3A49762C" w:rsidR="00413C3F" w:rsidRPr="00C52C8A" w:rsidRDefault="00413C3F" w:rsidP="00983812">
      <w:pPr>
        <w:pStyle w:val="Heading4"/>
        <w:keepNext w:val="0"/>
        <w:widowControl w:val="0"/>
      </w:pPr>
      <w:r w:rsidRPr="00C52C8A">
        <w:t xml:space="preserve">Cost per </w:t>
      </w:r>
      <w:r w:rsidR="00A2660D" w:rsidRPr="00C52C8A">
        <w:t>young person subject to community</w:t>
      </w:r>
      <w:r w:rsidR="00F4592C" w:rsidRPr="00C52C8A">
        <w:noBreakHyphen/>
      </w:r>
      <w:r w:rsidR="00A2660D" w:rsidRPr="00C52C8A">
        <w:t>based supervision</w:t>
      </w:r>
    </w:p>
    <w:p w14:paraId="7647B346" w14:textId="527D9F9F" w:rsidR="006C0F21" w:rsidRPr="00C52C8A" w:rsidRDefault="00413C3F" w:rsidP="00983812">
      <w:pPr>
        <w:pStyle w:val="BodyText"/>
        <w:widowControl w:val="0"/>
      </w:pPr>
      <w:r w:rsidRPr="00C52C8A">
        <w:t xml:space="preserve">‘Cost per </w:t>
      </w:r>
      <w:r w:rsidR="00A2660D" w:rsidRPr="00C52C8A">
        <w:t>young person subject to community</w:t>
      </w:r>
      <w:r w:rsidR="00F4592C" w:rsidRPr="00C52C8A">
        <w:noBreakHyphen/>
      </w:r>
      <w:r w:rsidR="00A2660D" w:rsidRPr="00C52C8A">
        <w:t>based supervision</w:t>
      </w:r>
      <w:r w:rsidRPr="00C52C8A">
        <w:t>’ is an indicator of governments’ objective to provide youth justice services in an efficient manner (</w:t>
      </w:r>
      <w:r w:rsidR="003A7A03" w:rsidRPr="00C52C8A">
        <w:t>box </w:t>
      </w:r>
      <w:r w:rsidR="00B27E61" w:rsidRPr="00C52C8A">
        <w:t>17.13</w:t>
      </w:r>
      <w:r w:rsidR="00F35B11" w:rsidRPr="00C52C8A">
        <w:t>).</w:t>
      </w:r>
    </w:p>
    <w:p w14:paraId="37B57D11" w14:textId="1209FAAF" w:rsidR="006C0F21" w:rsidRPr="002E39DF" w:rsidRDefault="006C0F21" w:rsidP="006C0F2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B38C6" w:rsidRPr="00C52C8A" w14:paraId="336142DB" w14:textId="77777777" w:rsidTr="006A71F6">
        <w:trPr>
          <w:cantSplit/>
        </w:trPr>
        <w:tc>
          <w:tcPr>
            <w:tcW w:w="8789" w:type="dxa"/>
            <w:tcBorders>
              <w:top w:val="single" w:sz="6" w:space="0" w:color="78A22F"/>
              <w:left w:val="nil"/>
              <w:bottom w:val="nil"/>
              <w:right w:val="nil"/>
            </w:tcBorders>
            <w:shd w:val="clear" w:color="auto" w:fill="F2F2F2" w:themeFill="background1" w:themeFillShade="F2"/>
          </w:tcPr>
          <w:p w14:paraId="488BB9BC" w14:textId="172F0D20" w:rsidR="001B38C6" w:rsidRPr="00C52C8A" w:rsidRDefault="003D4AC6" w:rsidP="006C0F21">
            <w:pPr>
              <w:pStyle w:val="BoxTitle"/>
            </w:pPr>
            <w:r w:rsidRPr="00C52C8A">
              <w:rPr>
                <w:b w:val="0"/>
              </w:rPr>
              <w:t>Box</w:t>
            </w:r>
            <w:r w:rsidR="006C0F21" w:rsidRPr="00C52C8A">
              <w:rPr>
                <w:b w:val="0"/>
              </w:rPr>
              <w:t xml:space="preserve"> </w:t>
            </w:r>
            <w:bookmarkStart w:id="42" w:name="OLE_LINK30"/>
            <w:r w:rsidR="00C87A43">
              <w:rPr>
                <w:b w:val="0"/>
              </w:rPr>
              <w:t>17.</w:t>
            </w:r>
            <w:r w:rsidR="00AF64D0">
              <w:rPr>
                <w:b w:val="0"/>
                <w:noProof/>
              </w:rPr>
              <w:t>13</w:t>
            </w:r>
            <w:bookmarkEnd w:id="42"/>
            <w:r w:rsidR="001B38C6" w:rsidRPr="00C52C8A">
              <w:tab/>
              <w:t>Cost per young person subject to community</w:t>
            </w:r>
            <w:r w:rsidR="00F4592C" w:rsidRPr="00C52C8A">
              <w:noBreakHyphen/>
            </w:r>
            <w:r w:rsidR="001B38C6" w:rsidRPr="00C52C8A">
              <w:t>based supervision</w:t>
            </w:r>
          </w:p>
        </w:tc>
      </w:tr>
      <w:tr w:rsidR="001B38C6" w:rsidRPr="00C52C8A" w14:paraId="2012EF0C" w14:textId="77777777" w:rsidTr="006A71F6">
        <w:trPr>
          <w:cantSplit/>
        </w:trPr>
        <w:tc>
          <w:tcPr>
            <w:tcW w:w="8789" w:type="dxa"/>
            <w:tcBorders>
              <w:top w:val="nil"/>
              <w:left w:val="nil"/>
              <w:bottom w:val="nil"/>
              <w:right w:val="nil"/>
            </w:tcBorders>
            <w:shd w:val="clear" w:color="auto" w:fill="F2F2F2" w:themeFill="background1" w:themeFillShade="F2"/>
          </w:tcPr>
          <w:p w14:paraId="354E9211" w14:textId="57943D93" w:rsidR="001B38C6" w:rsidRPr="00C52C8A" w:rsidRDefault="001B38C6" w:rsidP="006C0F21">
            <w:pPr>
              <w:pStyle w:val="Box"/>
              <w:keepLines/>
            </w:pPr>
            <w:r w:rsidRPr="00C52C8A">
              <w:t>‘Cost per young person subject to community</w:t>
            </w:r>
            <w:r w:rsidR="00F4592C" w:rsidRPr="00C52C8A">
              <w:noBreakHyphen/>
            </w:r>
            <w:r w:rsidRPr="00C52C8A">
              <w:t xml:space="preserve">based supervision’ is defined as </w:t>
            </w:r>
            <w:r w:rsidR="00432678" w:rsidRPr="00C52C8A">
              <w:t xml:space="preserve">recurrent </w:t>
            </w:r>
            <w:r w:rsidRPr="00C52C8A">
              <w:t>expenditure on community</w:t>
            </w:r>
            <w:r w:rsidR="00F4592C" w:rsidRPr="00C52C8A">
              <w:noBreakHyphen/>
            </w:r>
            <w:r w:rsidRPr="00C52C8A">
              <w:t xml:space="preserve">based supervision per day, divided by the </w:t>
            </w:r>
            <w:r w:rsidR="00686719" w:rsidRPr="00C52C8A">
              <w:t xml:space="preserve">average </w:t>
            </w:r>
            <w:r w:rsidR="00546D2F" w:rsidRPr="00C52C8A">
              <w:t xml:space="preserve">daily </w:t>
            </w:r>
            <w:r w:rsidR="00686719" w:rsidRPr="00C52C8A">
              <w:t>number</w:t>
            </w:r>
            <w:r w:rsidRPr="00C52C8A">
              <w:t xml:space="preserve"> of young people subject to community</w:t>
            </w:r>
            <w:r w:rsidR="00F4592C" w:rsidRPr="00C52C8A">
              <w:noBreakHyphen/>
            </w:r>
            <w:r w:rsidRPr="00C52C8A">
              <w:t>based supervision.</w:t>
            </w:r>
          </w:p>
          <w:p w14:paraId="22466D18" w14:textId="4FF16D6C" w:rsidR="008D5E50" w:rsidRPr="00C52C8A" w:rsidRDefault="008D5E50" w:rsidP="006C0F21">
            <w:pPr>
              <w:pStyle w:val="BoxListBullet"/>
              <w:keepLines/>
            </w:pPr>
            <w:r w:rsidRPr="00C52C8A">
              <w:t xml:space="preserve">Recurrent expenditure per day is calculated as </w:t>
            </w:r>
            <w:r w:rsidR="00AD782C" w:rsidRPr="00C52C8A">
              <w:t xml:space="preserve">annual </w:t>
            </w:r>
            <w:r w:rsidRPr="00C52C8A">
              <w:t xml:space="preserve">recurrent expenditure divided by 365.25. </w:t>
            </w:r>
          </w:p>
          <w:p w14:paraId="02D4002C" w14:textId="20DA8BB2" w:rsidR="008D5E50" w:rsidRPr="00C52C8A" w:rsidRDefault="008D5E50" w:rsidP="006C0F21">
            <w:pPr>
              <w:pStyle w:val="BoxListBullet"/>
              <w:keepLines/>
            </w:pPr>
            <w:r w:rsidRPr="00C52C8A">
              <w:t xml:space="preserve">The </w:t>
            </w:r>
            <w:r w:rsidR="00686719" w:rsidRPr="00C52C8A">
              <w:t xml:space="preserve">average </w:t>
            </w:r>
            <w:r w:rsidR="00546D2F" w:rsidRPr="00C52C8A">
              <w:t xml:space="preserve">daily </w:t>
            </w:r>
            <w:r w:rsidR="00686719" w:rsidRPr="00C52C8A">
              <w:t>number</w:t>
            </w:r>
            <w:r w:rsidRPr="00C52C8A">
              <w:t xml:space="preserve"> of young people is calculated by summing the number of days each young person spends under supervision during the year (irrespective of age) and dividing this total </w:t>
            </w:r>
            <w:r w:rsidR="00524656" w:rsidRPr="00C52C8A">
              <w:t>by the number of days in th</w:t>
            </w:r>
            <w:r w:rsidR="004B5AB8" w:rsidRPr="00C52C8A">
              <w:t>e same</w:t>
            </w:r>
            <w:r w:rsidR="00524656" w:rsidRPr="00C52C8A">
              <w:t xml:space="preserve"> year</w:t>
            </w:r>
            <w:r w:rsidRPr="00C52C8A">
              <w:t xml:space="preserve">. </w:t>
            </w:r>
          </w:p>
          <w:p w14:paraId="1A175248" w14:textId="6DB3A064" w:rsidR="001B38C6" w:rsidRPr="00C52C8A" w:rsidRDefault="001B38C6" w:rsidP="006C0F21">
            <w:pPr>
              <w:pStyle w:val="Box"/>
              <w:keepLines/>
            </w:pPr>
            <w:r w:rsidRPr="00C52C8A">
              <w:t xml:space="preserve">A low or decreasing </w:t>
            </w:r>
            <w:r w:rsidR="00EE0883" w:rsidRPr="00C52C8A">
              <w:t xml:space="preserve">average cost per day per young person </w:t>
            </w:r>
            <w:r w:rsidRPr="00C52C8A">
              <w:t>is desirable as it suggests more efficient resource management.</w:t>
            </w:r>
          </w:p>
          <w:p w14:paraId="0BBC53C7" w14:textId="77777777" w:rsidR="003D746F" w:rsidRPr="00C52C8A" w:rsidRDefault="003D746F" w:rsidP="006C0F21">
            <w:pPr>
              <w:pStyle w:val="Box"/>
              <w:keepLines/>
            </w:pPr>
            <w:r w:rsidRPr="00C52C8A">
              <w:t>Data reported for this indicator are:</w:t>
            </w:r>
          </w:p>
          <w:p w14:paraId="52E6A593" w14:textId="1EC46394" w:rsidR="003D746F" w:rsidRPr="00C52C8A" w:rsidRDefault="00322B5C" w:rsidP="009106FE">
            <w:pPr>
              <w:pStyle w:val="Box"/>
              <w:ind w:left="284"/>
            </w:pPr>
            <w:r w:rsidRPr="00C52C8A">
              <w:rPr>
                <w:shd w:val="clear" w:color="auto" w:fill="FCDED3"/>
              </w:rPr>
              <w:t xml:space="preserve">    </w:t>
            </w:r>
            <w:r w:rsidRPr="00C52C8A">
              <w:t xml:space="preserve"> </w:t>
            </w:r>
            <w:r w:rsidR="0044726F" w:rsidRPr="00C52C8A">
              <w:t xml:space="preserve">not comparable across jurisdictions but are </w:t>
            </w:r>
            <w:r w:rsidR="003D746F" w:rsidRPr="00C52C8A">
              <w:t>comparable (subject to caveats)</w:t>
            </w:r>
            <w:r w:rsidR="0044726F" w:rsidRPr="00C52C8A">
              <w:t xml:space="preserve"> within jurisdictions over time</w:t>
            </w:r>
          </w:p>
          <w:p w14:paraId="756ADFA7" w14:textId="37467ED2" w:rsidR="001B38C6" w:rsidRPr="00C52C8A" w:rsidRDefault="006A4F08" w:rsidP="00CE7AB7">
            <w:pPr>
              <w:pStyle w:val="Box"/>
              <w:ind w:left="284"/>
              <w:rPr>
                <w:sz w:val="16"/>
                <w:szCs w:val="16"/>
              </w:rPr>
            </w:pPr>
            <w:r w:rsidRPr="00C52C8A">
              <w:rPr>
                <w:shd w:val="clear" w:color="auto" w:fill="F15A25"/>
              </w:rPr>
              <w:t xml:space="preserve">    </w:t>
            </w:r>
            <w:r w:rsidRPr="00C52C8A">
              <w:t xml:space="preserve"> </w:t>
            </w:r>
            <w:r w:rsidR="003D746F" w:rsidRPr="00C52C8A">
              <w:t xml:space="preserve">complete </w:t>
            </w:r>
            <w:r w:rsidR="009A4756" w:rsidRPr="00C52C8A">
              <w:t xml:space="preserve">(subject to caveats) </w:t>
            </w:r>
            <w:r w:rsidR="003D746F" w:rsidRPr="00C52C8A">
              <w:t xml:space="preserve">for the current reporting period. </w:t>
            </w:r>
            <w:r w:rsidR="00456D0D" w:rsidRPr="00C52C8A">
              <w:t>All required 201</w:t>
            </w:r>
            <w:r w:rsidR="00321538">
              <w:t>9</w:t>
            </w:r>
            <w:r w:rsidR="00600E00" w:rsidRPr="00C52C8A">
              <w:noBreakHyphen/>
            </w:r>
            <w:r w:rsidR="00321538">
              <w:t>20</w:t>
            </w:r>
            <w:r w:rsidR="00456D0D" w:rsidRPr="00C52C8A">
              <w:t xml:space="preserve"> data </w:t>
            </w:r>
            <w:r w:rsidR="00403802" w:rsidRPr="00C52C8A">
              <w:t>are</w:t>
            </w:r>
            <w:r w:rsidR="00456D0D" w:rsidRPr="00C52C8A">
              <w:t xml:space="preserve"> available</w:t>
            </w:r>
            <w:r w:rsidR="00403802" w:rsidRPr="00C52C8A">
              <w:t xml:space="preserve"> for all jurisdictions</w:t>
            </w:r>
            <w:r w:rsidR="00456D0D" w:rsidRPr="00C52C8A">
              <w:t>.</w:t>
            </w:r>
          </w:p>
        </w:tc>
      </w:tr>
      <w:tr w:rsidR="001B38C6" w:rsidRPr="00C52C8A" w14:paraId="14FCBAFB"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1169700F" w14:textId="77777777" w:rsidR="001B38C6" w:rsidRPr="00C52C8A" w:rsidRDefault="001B38C6" w:rsidP="006C0F21">
            <w:pPr>
              <w:pStyle w:val="Box"/>
              <w:keepLines/>
              <w:spacing w:before="0" w:line="120" w:lineRule="exact"/>
            </w:pPr>
          </w:p>
        </w:tc>
      </w:tr>
      <w:tr w:rsidR="001B38C6" w:rsidRPr="00C52C8A" w14:paraId="4A9738DC" w14:textId="77777777" w:rsidTr="006A71F6">
        <w:trPr>
          <w:cantSplit/>
        </w:trPr>
        <w:tc>
          <w:tcPr>
            <w:tcW w:w="8789" w:type="dxa"/>
            <w:tcBorders>
              <w:top w:val="single" w:sz="6" w:space="0" w:color="78A22F"/>
              <w:left w:val="nil"/>
              <w:bottom w:val="nil"/>
              <w:right w:val="nil"/>
            </w:tcBorders>
          </w:tcPr>
          <w:p w14:paraId="3E9DE642" w14:textId="13E5FA3A" w:rsidR="001B38C6" w:rsidRPr="002E39DF" w:rsidRDefault="001B38C6" w:rsidP="006C0F21">
            <w:pPr>
              <w:pStyle w:val="BoxSpaceBelow"/>
              <w:keepNext/>
              <w:keepLines/>
            </w:pPr>
          </w:p>
        </w:tc>
      </w:tr>
    </w:tbl>
    <w:p w14:paraId="266D2352" w14:textId="6957D138" w:rsidR="00B745FF" w:rsidRPr="00C52C8A" w:rsidRDefault="00A9570C" w:rsidP="00D06833">
      <w:pPr>
        <w:pStyle w:val="BodyText"/>
      </w:pPr>
      <w:r w:rsidRPr="00C52C8A">
        <w:t xml:space="preserve">Nationally in </w:t>
      </w:r>
      <w:r w:rsidR="009D0A7F" w:rsidRPr="00C52C8A">
        <w:t>201</w:t>
      </w:r>
      <w:r w:rsidR="009D0A7F">
        <w:t>9</w:t>
      </w:r>
      <w:r w:rsidR="009D0A7F" w:rsidRPr="00C52C8A">
        <w:noBreakHyphen/>
      </w:r>
      <w:r w:rsidR="009D0A7F">
        <w:t>20</w:t>
      </w:r>
      <w:r w:rsidRPr="00C52C8A">
        <w:t xml:space="preserve">, the </w:t>
      </w:r>
      <w:r w:rsidR="00432678" w:rsidRPr="00C52C8A">
        <w:t xml:space="preserve">average </w:t>
      </w:r>
      <w:r w:rsidRPr="00C52C8A">
        <w:t>cost per day per young person subject to community</w:t>
      </w:r>
      <w:r w:rsidRPr="00C52C8A">
        <w:noBreakHyphen/>
        <w:t xml:space="preserve">based supervision </w:t>
      </w:r>
      <w:r w:rsidR="004C6587" w:rsidRPr="00C52C8A">
        <w:t>was $</w:t>
      </w:r>
      <w:r w:rsidR="00385AEC">
        <w:t>223</w:t>
      </w:r>
      <w:r w:rsidR="00385AEC" w:rsidRPr="00C52C8A">
        <w:t xml:space="preserve"> </w:t>
      </w:r>
      <w:r w:rsidR="003D4AC6" w:rsidRPr="00C52C8A">
        <w:t>(figure</w:t>
      </w:r>
      <w:r w:rsidR="00F4592C" w:rsidRPr="00C52C8A">
        <w:t> </w:t>
      </w:r>
      <w:r w:rsidR="00AD782C" w:rsidRPr="00C52C8A">
        <w:t>17.9</w:t>
      </w:r>
      <w:r w:rsidR="00D06833" w:rsidRPr="00C52C8A">
        <w:t>)</w:t>
      </w:r>
      <w:r w:rsidRPr="00C52C8A">
        <w:t>.</w:t>
      </w:r>
      <w:r w:rsidR="00D06833" w:rsidRPr="00C52C8A">
        <w:t xml:space="preserve"> These data </w:t>
      </w:r>
      <w:r w:rsidR="00403802" w:rsidRPr="00C52C8A">
        <w:t>fluctuate across jurisdictions</w:t>
      </w:r>
      <w:r w:rsidR="00322B5C" w:rsidRPr="00C52C8A">
        <w:t xml:space="preserve"> (table 17A.</w:t>
      </w:r>
      <w:r w:rsidR="00C32D9A">
        <w:t>19</w:t>
      </w:r>
      <w:r w:rsidR="00322B5C" w:rsidRPr="00C52C8A">
        <w:t>)</w:t>
      </w:r>
      <w:r w:rsidR="00D06833" w:rsidRPr="00C52C8A">
        <w:t>.</w:t>
      </w:r>
    </w:p>
    <w:p w14:paraId="43F0BAA2" w14:textId="7D327601" w:rsidR="006E60C8" w:rsidRPr="002E39DF" w:rsidRDefault="006E60C8"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E60C8" w:rsidRPr="00C52C8A" w14:paraId="530572F8" w14:textId="77777777" w:rsidTr="00DE63E6">
        <w:tc>
          <w:tcPr>
            <w:tcW w:w="8789" w:type="dxa"/>
            <w:tcBorders>
              <w:top w:val="single" w:sz="6" w:space="0" w:color="78A22F"/>
              <w:left w:val="nil"/>
              <w:bottom w:val="nil"/>
              <w:right w:val="nil"/>
            </w:tcBorders>
            <w:shd w:val="clear" w:color="auto" w:fill="auto"/>
          </w:tcPr>
          <w:p w14:paraId="0534BB63" w14:textId="182E476B" w:rsidR="006E60C8" w:rsidRPr="00C52C8A" w:rsidRDefault="006E60C8" w:rsidP="00CE7AB7">
            <w:pPr>
              <w:pStyle w:val="FigureTitle"/>
              <w:rPr>
                <w:rStyle w:val="DraftingNote"/>
              </w:rPr>
            </w:pPr>
            <w:r w:rsidRPr="00C52C8A">
              <w:rPr>
                <w:b w:val="0"/>
              </w:rPr>
              <w:t>Figure</w:t>
            </w:r>
            <w:r w:rsidR="00D06833" w:rsidRPr="00C52C8A">
              <w:rPr>
                <w:b w:val="0"/>
              </w:rPr>
              <w:t xml:space="preserve"> </w:t>
            </w:r>
            <w:r w:rsidR="00030EC3" w:rsidRPr="00C52C8A">
              <w:rPr>
                <w:b w:val="0"/>
              </w:rPr>
              <w:t>17.9</w:t>
            </w:r>
            <w:r w:rsidRPr="00C52C8A">
              <w:tab/>
            </w:r>
            <w:r w:rsidR="00432678" w:rsidRPr="00C52C8A">
              <w:t xml:space="preserve">Average cost </w:t>
            </w:r>
            <w:r w:rsidRPr="00C52C8A">
              <w:t xml:space="preserve">per day, per young person subject to </w:t>
            </w:r>
            <w:r w:rsidR="00004F26" w:rsidRPr="00C52C8A">
              <w:t>community</w:t>
            </w:r>
            <w:r w:rsidR="00F4592C" w:rsidRPr="00C52C8A">
              <w:noBreakHyphen/>
            </w:r>
            <w:r w:rsidR="00004F26" w:rsidRPr="00C52C8A">
              <w:t>based supervision</w:t>
            </w:r>
            <w:r w:rsidR="00AD782C" w:rsidRPr="00C52C8A">
              <w:t xml:space="preserve"> (201</w:t>
            </w:r>
            <w:r w:rsidR="009D0A7F">
              <w:t>9</w:t>
            </w:r>
            <w:r w:rsidR="00CF76CB" w:rsidRPr="00C52C8A">
              <w:noBreakHyphen/>
            </w:r>
            <w:r w:rsidR="009D0A7F">
              <w:t>20</w:t>
            </w:r>
            <w:r w:rsidR="00AD782C" w:rsidRPr="00C52C8A">
              <w:t xml:space="preserve"> </w:t>
            </w:r>
            <w:proofErr w:type="gramStart"/>
            <w:r w:rsidR="00AD782C" w:rsidRPr="00C52C8A">
              <w:t>dollars)</w:t>
            </w:r>
            <w:r w:rsidR="002B0925" w:rsidRPr="00C52C8A">
              <w:rPr>
                <w:rStyle w:val="NoteLabel"/>
                <w:b/>
              </w:rPr>
              <w:t>a</w:t>
            </w:r>
            <w:proofErr w:type="gramEnd"/>
          </w:p>
        </w:tc>
      </w:tr>
      <w:tr w:rsidR="00DE63E6" w:rsidRPr="00C52C8A" w14:paraId="439BB1FC"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C52C8A" w14:paraId="706640E0" w14:textId="77777777" w:rsidTr="00CC3E5F">
              <w:tc>
                <w:tcPr>
                  <w:tcW w:w="304" w:type="dxa"/>
                  <w:tcBorders>
                    <w:top w:val="nil"/>
                    <w:left w:val="nil"/>
                    <w:bottom w:val="nil"/>
                    <w:right w:val="nil"/>
                  </w:tcBorders>
                  <w:shd w:val="clear" w:color="auto" w:fill="auto"/>
                  <w:tcMar>
                    <w:top w:w="28" w:type="dxa"/>
                    <w:bottom w:w="28" w:type="dxa"/>
                  </w:tcMar>
                </w:tcPr>
                <w:p w14:paraId="755EFFB7"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58851334"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43E9852" w14:textId="212FFC6B" w:rsidR="00DE63E6" w:rsidRPr="00C52C8A" w:rsidRDefault="00DE63E6" w:rsidP="0044726F">
                  <w:pPr>
                    <w:pStyle w:val="TableBodyText"/>
                    <w:jc w:val="left"/>
                  </w:pPr>
                  <w:r w:rsidRPr="00C52C8A">
                    <w:t xml:space="preserve">Data are </w:t>
                  </w:r>
                  <w:r w:rsidR="0044726F" w:rsidRPr="00C52C8A">
                    <w:t xml:space="preserve">not comparable across jurisdictions but are </w:t>
                  </w:r>
                  <w:r w:rsidRPr="00C52C8A">
                    <w:t>comparable (subject to caveats) within jurisdictions over time.</w:t>
                  </w:r>
                </w:p>
              </w:tc>
            </w:tr>
            <w:tr w:rsidR="00DE63E6" w:rsidRPr="00C52C8A" w14:paraId="1F5CF74D" w14:textId="77777777" w:rsidTr="00CC3E5F">
              <w:tc>
                <w:tcPr>
                  <w:tcW w:w="304" w:type="dxa"/>
                  <w:tcBorders>
                    <w:top w:val="nil"/>
                    <w:left w:val="nil"/>
                    <w:bottom w:val="nil"/>
                    <w:right w:val="nil"/>
                  </w:tcBorders>
                  <w:shd w:val="clear" w:color="auto" w:fill="auto"/>
                  <w:tcMar>
                    <w:top w:w="28" w:type="dxa"/>
                    <w:bottom w:w="28" w:type="dxa"/>
                  </w:tcMar>
                </w:tcPr>
                <w:p w14:paraId="1DD3CF55"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1C5B064" w14:textId="77777777" w:rsidR="00DE63E6" w:rsidRPr="00C52C8A"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780CD53A" w14:textId="6450FD55" w:rsidR="00DE63E6" w:rsidRPr="00C52C8A" w:rsidRDefault="00DE63E6" w:rsidP="00EF49AD">
                  <w:pPr>
                    <w:pStyle w:val="TableBodyText"/>
                    <w:jc w:val="left"/>
                  </w:pPr>
                  <w:r w:rsidRPr="00C52C8A">
                    <w:t xml:space="preserve">Data are complete (subject to caveats) for the current reporting period. </w:t>
                  </w:r>
                </w:p>
              </w:tc>
            </w:tr>
          </w:tbl>
          <w:p w14:paraId="0AB7AE05" w14:textId="77777777" w:rsidR="00DE63E6" w:rsidRPr="00C52C8A" w:rsidRDefault="00DE63E6" w:rsidP="00DE63E6">
            <w:pPr>
              <w:pStyle w:val="FigureTitle"/>
              <w:rPr>
                <w:b w:val="0"/>
              </w:rPr>
            </w:pPr>
          </w:p>
        </w:tc>
      </w:tr>
      <w:tr w:rsidR="006E60C8" w:rsidRPr="00C52C8A" w14:paraId="1603B005" w14:textId="77777777" w:rsidTr="006A71F6">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6E60C8" w:rsidRPr="00C52C8A" w14:paraId="2E465894" w14:textId="77777777" w:rsidTr="003D1081">
              <w:trPr>
                <w:trHeight w:val="4252"/>
              </w:trPr>
              <w:tc>
                <w:tcPr>
                  <w:tcW w:w="8504" w:type="dxa"/>
                  <w:shd w:val="clear" w:color="auto" w:fill="auto"/>
                </w:tcPr>
                <w:p w14:paraId="1318822B" w14:textId="1CD7D3EB" w:rsidR="006E60C8" w:rsidRPr="00C52C8A" w:rsidRDefault="003D1081" w:rsidP="00983812">
                  <w:pPr>
                    <w:pStyle w:val="Figure"/>
                    <w:spacing w:before="60" w:after="60"/>
                  </w:pPr>
                  <w:r>
                    <w:rPr>
                      <w:noProof/>
                    </w:rPr>
                    <w:drawing>
                      <wp:inline distT="0" distB="0" distL="0" distR="0" wp14:anchorId="1EE99106" wp14:editId="4C72415A">
                        <wp:extent cx="5251605" cy="2614275"/>
                        <wp:effectExtent l="0" t="0" r="6350" b="0"/>
                        <wp:docPr id="10" name="Chart 10" descr="Figure 17.9  Average cost per day, per young person subject to community based supervision (2019-20 dollars).&#10;More details can be found within the text surrounding this image.">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5BC0FF01" w14:textId="77777777" w:rsidR="006E60C8" w:rsidRPr="00C52C8A" w:rsidRDefault="006E60C8" w:rsidP="00983812">
            <w:pPr>
              <w:pStyle w:val="Figure"/>
            </w:pPr>
          </w:p>
        </w:tc>
      </w:tr>
      <w:tr w:rsidR="006E60C8" w:rsidRPr="00C52C8A" w14:paraId="3F01D001" w14:textId="77777777" w:rsidTr="006A71F6">
        <w:tc>
          <w:tcPr>
            <w:tcW w:w="8789" w:type="dxa"/>
            <w:tcBorders>
              <w:top w:val="nil"/>
              <w:left w:val="nil"/>
              <w:bottom w:val="nil"/>
              <w:right w:val="nil"/>
            </w:tcBorders>
            <w:shd w:val="clear" w:color="auto" w:fill="auto"/>
          </w:tcPr>
          <w:p w14:paraId="26845D73" w14:textId="35DFBD49" w:rsidR="006E60C8" w:rsidRPr="00C52C8A" w:rsidRDefault="006E60C8" w:rsidP="00C32D9A">
            <w:pPr>
              <w:pStyle w:val="Note"/>
            </w:pPr>
            <w:r w:rsidRPr="00C52C8A">
              <w:rPr>
                <w:rStyle w:val="NoteLabel"/>
              </w:rPr>
              <w:t>a</w:t>
            </w:r>
            <w:r w:rsidRPr="00C52C8A">
              <w:t xml:space="preserve"> </w:t>
            </w:r>
            <w:r w:rsidR="00014206" w:rsidRPr="00C52C8A">
              <w:t>See</w:t>
            </w:r>
            <w:r w:rsidR="00AC520A" w:rsidRPr="00C52C8A">
              <w:t xml:space="preserve"> </w:t>
            </w:r>
            <w:r w:rsidR="002524F3" w:rsidRPr="00C52C8A">
              <w:t>box</w:t>
            </w:r>
            <w:r w:rsidR="00F4592C" w:rsidRPr="00C52C8A">
              <w:t> </w:t>
            </w:r>
            <w:r w:rsidR="00B27E61" w:rsidRPr="00C52C8A">
              <w:t>17.13</w:t>
            </w:r>
            <w:r w:rsidR="00420522" w:rsidRPr="00C52C8A">
              <w:t xml:space="preserve"> </w:t>
            </w:r>
            <w:r w:rsidR="002524F3" w:rsidRPr="00C52C8A">
              <w:t xml:space="preserve">and </w:t>
            </w:r>
            <w:r w:rsidR="00AC520A" w:rsidRPr="00C52C8A">
              <w:t>table</w:t>
            </w:r>
            <w:r w:rsidR="005B0070">
              <w:t> </w:t>
            </w:r>
            <w:r w:rsidR="00AC520A" w:rsidRPr="00C52C8A">
              <w:t>1</w:t>
            </w:r>
            <w:r w:rsidR="00FE26F8" w:rsidRPr="00C52C8A">
              <w:t>7</w:t>
            </w:r>
            <w:r w:rsidR="0074386C" w:rsidRPr="00C52C8A">
              <w:t>A.</w:t>
            </w:r>
            <w:r w:rsidR="00C32D9A">
              <w:t>19</w:t>
            </w:r>
            <w:r w:rsidR="00AC520A" w:rsidRPr="00C52C8A">
              <w:t xml:space="preserve"> for detailed </w:t>
            </w:r>
            <w:r w:rsidR="00014206" w:rsidRPr="00C52C8A">
              <w:t xml:space="preserve">definitions, </w:t>
            </w:r>
            <w:r w:rsidR="00AC520A" w:rsidRPr="00C52C8A">
              <w:t>footnotes</w:t>
            </w:r>
            <w:r w:rsidR="00014206" w:rsidRPr="00C52C8A">
              <w:t xml:space="preserve"> and caveats</w:t>
            </w:r>
            <w:r w:rsidR="00AC520A" w:rsidRPr="00C52C8A">
              <w:t>.</w:t>
            </w:r>
          </w:p>
        </w:tc>
      </w:tr>
      <w:tr w:rsidR="006E60C8" w:rsidRPr="00C52C8A" w14:paraId="5DE6543F" w14:textId="77777777" w:rsidTr="006A71F6">
        <w:tc>
          <w:tcPr>
            <w:tcW w:w="8789" w:type="dxa"/>
            <w:tcBorders>
              <w:top w:val="nil"/>
              <w:left w:val="nil"/>
              <w:bottom w:val="nil"/>
              <w:right w:val="nil"/>
            </w:tcBorders>
            <w:shd w:val="clear" w:color="auto" w:fill="auto"/>
          </w:tcPr>
          <w:p w14:paraId="43959E4A" w14:textId="08AD2FF6" w:rsidR="006E60C8" w:rsidRPr="00C52C8A" w:rsidRDefault="00AC520A" w:rsidP="00C32D9A">
            <w:pPr>
              <w:pStyle w:val="Source"/>
            </w:pPr>
            <w:r w:rsidRPr="00C52C8A">
              <w:rPr>
                <w:i/>
              </w:rPr>
              <w:t>S</w:t>
            </w:r>
            <w:r w:rsidR="006E60C8" w:rsidRPr="00C52C8A">
              <w:rPr>
                <w:i/>
              </w:rPr>
              <w:t>ource</w:t>
            </w:r>
            <w:r w:rsidR="00CF76CB" w:rsidRPr="00C52C8A">
              <w:rPr>
                <w:i/>
              </w:rPr>
              <w:t>s</w:t>
            </w:r>
            <w:r w:rsidR="006E60C8" w:rsidRPr="00C52C8A">
              <w:t xml:space="preserve">: </w:t>
            </w:r>
            <w:r w:rsidRPr="00C52C8A">
              <w:t>State and Territory governments (unpublished); table</w:t>
            </w:r>
            <w:r w:rsidR="005B0070">
              <w:t> </w:t>
            </w:r>
            <w:r w:rsidRPr="00C52C8A">
              <w:t>1</w:t>
            </w:r>
            <w:r w:rsidR="00FE26F8" w:rsidRPr="00C52C8A">
              <w:t>7</w:t>
            </w:r>
            <w:r w:rsidRPr="00C52C8A">
              <w:t>A.</w:t>
            </w:r>
            <w:r w:rsidR="00C32D9A">
              <w:t>19</w:t>
            </w:r>
            <w:r w:rsidRPr="00C52C8A">
              <w:t>.</w:t>
            </w:r>
          </w:p>
        </w:tc>
      </w:tr>
      <w:tr w:rsidR="006E60C8" w:rsidRPr="00C52C8A" w14:paraId="37A892BD" w14:textId="77777777" w:rsidTr="006A71F6">
        <w:tc>
          <w:tcPr>
            <w:tcW w:w="8789" w:type="dxa"/>
            <w:tcBorders>
              <w:top w:val="nil"/>
              <w:left w:val="nil"/>
              <w:bottom w:val="single" w:sz="6" w:space="0" w:color="78A22F"/>
              <w:right w:val="nil"/>
            </w:tcBorders>
            <w:shd w:val="clear" w:color="auto" w:fill="auto"/>
          </w:tcPr>
          <w:p w14:paraId="683AED25" w14:textId="77777777" w:rsidR="006E60C8" w:rsidRPr="00C52C8A" w:rsidRDefault="006E60C8" w:rsidP="00983812">
            <w:pPr>
              <w:pStyle w:val="Figurespace"/>
            </w:pPr>
          </w:p>
        </w:tc>
      </w:tr>
      <w:tr w:rsidR="006E60C8" w:rsidRPr="00C52C8A" w14:paraId="2729C78F" w14:textId="77777777" w:rsidTr="006A71F6">
        <w:tc>
          <w:tcPr>
            <w:tcW w:w="8789" w:type="dxa"/>
            <w:tcBorders>
              <w:top w:val="single" w:sz="6" w:space="0" w:color="78A22F"/>
              <w:left w:val="nil"/>
              <w:bottom w:val="nil"/>
              <w:right w:val="nil"/>
            </w:tcBorders>
          </w:tcPr>
          <w:p w14:paraId="59121E85" w14:textId="4FFB6075" w:rsidR="006E60C8" w:rsidRPr="002E39DF" w:rsidRDefault="006E60C8" w:rsidP="00983812">
            <w:pPr>
              <w:pStyle w:val="BoxSpaceBelow"/>
            </w:pPr>
          </w:p>
        </w:tc>
      </w:tr>
    </w:tbl>
    <w:p w14:paraId="08D97A5E" w14:textId="77777777" w:rsidR="00A2660D" w:rsidRPr="00C52C8A" w:rsidRDefault="00A2660D" w:rsidP="00983812">
      <w:pPr>
        <w:pStyle w:val="Heading4"/>
      </w:pPr>
      <w:r w:rsidRPr="00C52C8A">
        <w:t>Cost per young person subject to detention</w:t>
      </w:r>
      <w:r w:rsidR="00F4592C" w:rsidRPr="00C52C8A">
        <w:noBreakHyphen/>
      </w:r>
      <w:r w:rsidRPr="00C52C8A">
        <w:t>based supervision</w:t>
      </w:r>
    </w:p>
    <w:p w14:paraId="1A380B38" w14:textId="73D36E86" w:rsidR="006C0F21" w:rsidRPr="00C52C8A" w:rsidRDefault="00A2660D" w:rsidP="00983812">
      <w:pPr>
        <w:pStyle w:val="BodyText"/>
      </w:pPr>
      <w:r w:rsidRPr="00C52C8A">
        <w:t>‘Cost per young person subject to detention</w:t>
      </w:r>
      <w:r w:rsidR="00F4592C" w:rsidRPr="00C52C8A">
        <w:noBreakHyphen/>
      </w:r>
      <w:r w:rsidRPr="00C52C8A">
        <w:t>based supervision’ is an indicator of governments’ objective to provide youth justice servi</w:t>
      </w:r>
      <w:r w:rsidR="00AB6D4F" w:rsidRPr="00C52C8A">
        <w:t>ces in an efficient manner (</w:t>
      </w:r>
      <w:r w:rsidR="009962D3" w:rsidRPr="00C52C8A">
        <w:t>box </w:t>
      </w:r>
      <w:r w:rsidR="00B27E61" w:rsidRPr="00C52C8A">
        <w:t>17.14</w:t>
      </w:r>
      <w:r w:rsidR="003D4AC6" w:rsidRPr="00C52C8A">
        <w:t>).</w:t>
      </w:r>
    </w:p>
    <w:p w14:paraId="7313171E" w14:textId="0EE3B09E" w:rsidR="005C1BC5" w:rsidRPr="002E39DF" w:rsidRDefault="005C1BC5"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C1BC5" w:rsidRPr="00C52C8A" w14:paraId="21722979" w14:textId="77777777" w:rsidTr="006A71F6">
        <w:tc>
          <w:tcPr>
            <w:tcW w:w="8789" w:type="dxa"/>
            <w:tcBorders>
              <w:top w:val="single" w:sz="6" w:space="0" w:color="78A22F"/>
              <w:left w:val="nil"/>
              <w:bottom w:val="nil"/>
              <w:right w:val="nil"/>
            </w:tcBorders>
            <w:shd w:val="clear" w:color="auto" w:fill="F2F2F2" w:themeFill="background1" w:themeFillShade="F2"/>
          </w:tcPr>
          <w:p w14:paraId="3E6AC772" w14:textId="0DA08CA4" w:rsidR="005C1BC5" w:rsidRPr="00C52C8A" w:rsidRDefault="005C1BC5" w:rsidP="00401E9A">
            <w:pPr>
              <w:pStyle w:val="BoxTitle"/>
            </w:pPr>
            <w:r w:rsidRPr="00C52C8A">
              <w:rPr>
                <w:b w:val="0"/>
              </w:rPr>
              <w:t>Box</w:t>
            </w:r>
            <w:r w:rsidR="006C0F21" w:rsidRPr="00C52C8A">
              <w:rPr>
                <w:b w:val="0"/>
              </w:rPr>
              <w:t xml:space="preserve"> </w:t>
            </w:r>
            <w:bookmarkStart w:id="43" w:name="OLE_LINK32"/>
            <w:r w:rsidR="00C87A43">
              <w:rPr>
                <w:b w:val="0"/>
              </w:rPr>
              <w:t>17.</w:t>
            </w:r>
            <w:r w:rsidR="00AF64D0">
              <w:rPr>
                <w:b w:val="0"/>
                <w:noProof/>
              </w:rPr>
              <w:t>14</w:t>
            </w:r>
            <w:bookmarkEnd w:id="43"/>
            <w:r w:rsidRPr="00C52C8A">
              <w:tab/>
              <w:t>Cost per you</w:t>
            </w:r>
            <w:r w:rsidR="006A6854" w:rsidRPr="00C52C8A">
              <w:t>ng person subject to detention</w:t>
            </w:r>
            <w:r w:rsidR="00F4592C" w:rsidRPr="00C52C8A">
              <w:noBreakHyphen/>
            </w:r>
            <w:r w:rsidRPr="00C52C8A">
              <w:t>based supervision</w:t>
            </w:r>
          </w:p>
        </w:tc>
      </w:tr>
      <w:tr w:rsidR="005C1BC5" w:rsidRPr="00C52C8A" w14:paraId="265B0C76" w14:textId="77777777" w:rsidTr="006A71F6">
        <w:trPr>
          <w:cantSplit/>
        </w:trPr>
        <w:tc>
          <w:tcPr>
            <w:tcW w:w="8789" w:type="dxa"/>
            <w:tcBorders>
              <w:top w:val="nil"/>
              <w:left w:val="nil"/>
              <w:bottom w:val="nil"/>
              <w:right w:val="nil"/>
            </w:tcBorders>
            <w:shd w:val="clear" w:color="auto" w:fill="F2F2F2" w:themeFill="background1" w:themeFillShade="F2"/>
          </w:tcPr>
          <w:p w14:paraId="33ADBE41" w14:textId="0D23B761" w:rsidR="005C1BC5" w:rsidRPr="00C52C8A" w:rsidRDefault="005C1BC5" w:rsidP="00983812">
            <w:pPr>
              <w:pStyle w:val="Box"/>
            </w:pPr>
            <w:r w:rsidRPr="00C52C8A">
              <w:t>‘Cost per young person subject to detention</w:t>
            </w:r>
            <w:r w:rsidR="00F4592C" w:rsidRPr="00C52C8A">
              <w:noBreakHyphen/>
            </w:r>
            <w:r w:rsidRPr="00C52C8A">
              <w:t xml:space="preserve">based supervision’ is defined as </w:t>
            </w:r>
            <w:r w:rsidR="009962D3" w:rsidRPr="00C52C8A">
              <w:t xml:space="preserve">recurrent </w:t>
            </w:r>
            <w:r w:rsidRPr="00C52C8A">
              <w:t>expenditure on detention</w:t>
            </w:r>
            <w:r w:rsidR="00F4592C" w:rsidRPr="00C52C8A">
              <w:noBreakHyphen/>
            </w:r>
            <w:r w:rsidRPr="00C52C8A">
              <w:t xml:space="preserve">based supervision per day, divided by the </w:t>
            </w:r>
            <w:r w:rsidR="00686719" w:rsidRPr="00C52C8A">
              <w:t xml:space="preserve">average </w:t>
            </w:r>
            <w:r w:rsidR="00546D2F" w:rsidRPr="00C52C8A">
              <w:t xml:space="preserve">daily </w:t>
            </w:r>
            <w:r w:rsidR="00686719" w:rsidRPr="00C52C8A">
              <w:t>number</w:t>
            </w:r>
            <w:r w:rsidRPr="00C52C8A">
              <w:t xml:space="preserve"> of young people subject to detention</w:t>
            </w:r>
            <w:r w:rsidR="00F4592C" w:rsidRPr="00C52C8A">
              <w:noBreakHyphen/>
            </w:r>
            <w:r w:rsidRPr="00C52C8A">
              <w:t>based supervision.</w:t>
            </w:r>
          </w:p>
          <w:p w14:paraId="2B689F67" w14:textId="7F447CD5" w:rsidR="008D5E50" w:rsidRPr="00C52C8A" w:rsidRDefault="008D5E50" w:rsidP="00DD1FD0">
            <w:pPr>
              <w:pStyle w:val="BoxListBullet"/>
            </w:pPr>
            <w:r w:rsidRPr="00C52C8A">
              <w:t xml:space="preserve">Recurrent expenditure per day is calculated as </w:t>
            </w:r>
            <w:r w:rsidR="00AD782C" w:rsidRPr="00C52C8A">
              <w:t xml:space="preserve">annual </w:t>
            </w:r>
            <w:r w:rsidRPr="00C52C8A">
              <w:t xml:space="preserve">recurrent expenditure divided by 365.25. </w:t>
            </w:r>
          </w:p>
          <w:p w14:paraId="67B7F973" w14:textId="5CC276BC" w:rsidR="008D5E50" w:rsidRPr="00C52C8A" w:rsidRDefault="008D5E50" w:rsidP="00DD1FD0">
            <w:pPr>
              <w:pStyle w:val="BoxListBullet"/>
            </w:pPr>
            <w:r w:rsidRPr="00C52C8A">
              <w:t xml:space="preserve">The </w:t>
            </w:r>
            <w:r w:rsidR="00686719" w:rsidRPr="00C52C8A">
              <w:t xml:space="preserve">average </w:t>
            </w:r>
            <w:r w:rsidR="00546D2F" w:rsidRPr="00C52C8A">
              <w:t xml:space="preserve">daily </w:t>
            </w:r>
            <w:r w:rsidR="00686719" w:rsidRPr="00C52C8A">
              <w:t>number</w:t>
            </w:r>
            <w:r w:rsidRPr="00C52C8A">
              <w:t xml:space="preserve"> of young people is calculated by summing the number of days each young person spends under supervision during the year (irrespective of age) and dividing this total by </w:t>
            </w:r>
            <w:r w:rsidR="00524656" w:rsidRPr="00C52C8A">
              <w:t xml:space="preserve">the number of days in the </w:t>
            </w:r>
            <w:r w:rsidR="00BF028B" w:rsidRPr="00C52C8A">
              <w:t xml:space="preserve">same </w:t>
            </w:r>
            <w:r w:rsidR="00524656" w:rsidRPr="00C52C8A">
              <w:t>year</w:t>
            </w:r>
            <w:r w:rsidRPr="00C52C8A">
              <w:t xml:space="preserve">. </w:t>
            </w:r>
          </w:p>
          <w:p w14:paraId="17E9921D" w14:textId="56AE67BE" w:rsidR="005C1BC5" w:rsidRPr="00C52C8A" w:rsidRDefault="005C1BC5" w:rsidP="00983812">
            <w:pPr>
              <w:pStyle w:val="Box"/>
            </w:pPr>
            <w:r w:rsidRPr="00C52C8A">
              <w:t xml:space="preserve">A low or decreasing </w:t>
            </w:r>
            <w:r w:rsidR="00EE0883" w:rsidRPr="00C52C8A">
              <w:t xml:space="preserve">average cost per day per young person </w:t>
            </w:r>
            <w:r w:rsidRPr="00C52C8A">
              <w:t>is desirable as it suggests more efficient resource management.</w:t>
            </w:r>
          </w:p>
          <w:p w14:paraId="76971422" w14:textId="77777777" w:rsidR="005C1BC5" w:rsidRPr="00C52C8A" w:rsidRDefault="005C1BC5" w:rsidP="00983812">
            <w:pPr>
              <w:pStyle w:val="Box"/>
            </w:pPr>
            <w:r w:rsidRPr="00C52C8A">
              <w:t xml:space="preserve">Data reported for this indicator are: </w:t>
            </w:r>
          </w:p>
          <w:p w14:paraId="1CEC65FF" w14:textId="4DE727DC" w:rsidR="005C1BC5" w:rsidRPr="00C52C8A" w:rsidRDefault="006A4F08" w:rsidP="009106FE">
            <w:pPr>
              <w:pStyle w:val="Box"/>
              <w:ind w:left="284"/>
            </w:pPr>
            <w:r w:rsidRPr="00C52C8A">
              <w:rPr>
                <w:shd w:val="clear" w:color="auto" w:fill="FCDED3"/>
              </w:rPr>
              <w:t xml:space="preserve">    </w:t>
            </w:r>
            <w:r w:rsidRPr="00C52C8A">
              <w:t xml:space="preserve"> </w:t>
            </w:r>
            <w:r w:rsidR="0044726F" w:rsidRPr="00C52C8A">
              <w:t xml:space="preserve">not comparable across jurisdictions but are </w:t>
            </w:r>
            <w:r w:rsidR="005C1BC5" w:rsidRPr="00C52C8A">
              <w:t xml:space="preserve">comparable (subject to caveats) within jurisdictions over time </w:t>
            </w:r>
          </w:p>
          <w:p w14:paraId="3411B50A" w14:textId="36D02B2D" w:rsidR="005C1BC5" w:rsidRPr="00C52C8A" w:rsidRDefault="006A4F08" w:rsidP="00CE7AB7">
            <w:pPr>
              <w:pStyle w:val="Box"/>
              <w:ind w:left="284"/>
            </w:pPr>
            <w:r w:rsidRPr="00C52C8A">
              <w:rPr>
                <w:shd w:val="clear" w:color="auto" w:fill="F15A25"/>
              </w:rPr>
              <w:t xml:space="preserve">    </w:t>
            </w:r>
            <w:r w:rsidRPr="00C52C8A">
              <w:t xml:space="preserve"> </w:t>
            </w:r>
            <w:r w:rsidR="005C1BC5" w:rsidRPr="00C52C8A">
              <w:t xml:space="preserve">complete </w:t>
            </w:r>
            <w:r w:rsidR="009A4756" w:rsidRPr="00C52C8A">
              <w:t xml:space="preserve">(subject to caveats) </w:t>
            </w:r>
            <w:r w:rsidR="005C1BC5" w:rsidRPr="00C52C8A">
              <w:t>fo</w:t>
            </w:r>
            <w:r w:rsidR="00DD0FEB" w:rsidRPr="00C52C8A">
              <w:t>r the current reporting period.</w:t>
            </w:r>
            <w:r w:rsidR="00456D0D" w:rsidRPr="00C52C8A">
              <w:t xml:space="preserve"> All required 201</w:t>
            </w:r>
            <w:r w:rsidR="00321538">
              <w:t>9</w:t>
            </w:r>
            <w:r w:rsidR="00600E00" w:rsidRPr="00C52C8A">
              <w:noBreakHyphen/>
            </w:r>
            <w:r w:rsidR="00321538">
              <w:t>20</w:t>
            </w:r>
            <w:r w:rsidR="00456D0D" w:rsidRPr="00C52C8A">
              <w:t xml:space="preserve"> data </w:t>
            </w:r>
            <w:r w:rsidR="003C3F09" w:rsidRPr="00C52C8A">
              <w:t>are</w:t>
            </w:r>
            <w:r w:rsidR="00456D0D" w:rsidRPr="00C52C8A">
              <w:t xml:space="preserve"> available</w:t>
            </w:r>
            <w:r w:rsidR="003C3F09" w:rsidRPr="00C52C8A">
              <w:t xml:space="preserve"> for all jurisdictions</w:t>
            </w:r>
            <w:r w:rsidR="00456D0D" w:rsidRPr="00C52C8A">
              <w:t>.</w:t>
            </w:r>
          </w:p>
        </w:tc>
      </w:tr>
      <w:tr w:rsidR="005C1BC5" w:rsidRPr="00C52C8A" w14:paraId="45BF5153"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0DF9DDD1" w14:textId="77777777" w:rsidR="005C1BC5" w:rsidRPr="00C52C8A" w:rsidRDefault="005C1BC5" w:rsidP="00983812">
            <w:pPr>
              <w:pStyle w:val="Box"/>
              <w:spacing w:before="0" w:line="120" w:lineRule="exact"/>
            </w:pPr>
          </w:p>
        </w:tc>
      </w:tr>
      <w:tr w:rsidR="005C1BC5" w:rsidRPr="00C52C8A" w14:paraId="247E487C" w14:textId="77777777" w:rsidTr="006A71F6">
        <w:tc>
          <w:tcPr>
            <w:tcW w:w="8789" w:type="dxa"/>
            <w:tcBorders>
              <w:top w:val="single" w:sz="6" w:space="0" w:color="78A22F"/>
              <w:left w:val="nil"/>
              <w:bottom w:val="nil"/>
              <w:right w:val="nil"/>
            </w:tcBorders>
          </w:tcPr>
          <w:p w14:paraId="579FB20C" w14:textId="2871D39C" w:rsidR="005C1BC5" w:rsidRPr="002E39DF" w:rsidRDefault="005C1BC5" w:rsidP="00983812">
            <w:pPr>
              <w:pStyle w:val="BoxSpaceBelow"/>
            </w:pPr>
          </w:p>
        </w:tc>
      </w:tr>
    </w:tbl>
    <w:p w14:paraId="1BAF7386" w14:textId="317AC7F8" w:rsidR="00D06833" w:rsidRPr="00C52C8A" w:rsidRDefault="00B42E4F" w:rsidP="00D06833">
      <w:pPr>
        <w:pStyle w:val="BodyText"/>
      </w:pPr>
      <w:r w:rsidRPr="00C52C8A">
        <w:t xml:space="preserve">Nationally in </w:t>
      </w:r>
      <w:r w:rsidR="009D0A7F" w:rsidRPr="00C52C8A">
        <w:t>201</w:t>
      </w:r>
      <w:r w:rsidR="009D0A7F">
        <w:t>9</w:t>
      </w:r>
      <w:r w:rsidR="009D0A7F" w:rsidRPr="00C52C8A">
        <w:noBreakHyphen/>
      </w:r>
      <w:r w:rsidR="009D0A7F">
        <w:t>20</w:t>
      </w:r>
      <w:r w:rsidRPr="00C52C8A">
        <w:t xml:space="preserve">, the </w:t>
      </w:r>
      <w:r w:rsidR="008D5E50" w:rsidRPr="00C52C8A">
        <w:t xml:space="preserve">average </w:t>
      </w:r>
      <w:r w:rsidRPr="00C52C8A">
        <w:t>cost per day per young person subject to detention</w:t>
      </w:r>
      <w:r w:rsidRPr="00C52C8A">
        <w:noBreakHyphen/>
        <w:t xml:space="preserve">based </w:t>
      </w:r>
      <w:r w:rsidR="004C6587" w:rsidRPr="00C52C8A">
        <w:t xml:space="preserve">supervision was </w:t>
      </w:r>
      <w:r w:rsidR="004C6587" w:rsidRPr="00C84076">
        <w:t>$</w:t>
      </w:r>
      <w:r w:rsidR="0091209F" w:rsidRPr="00C84076">
        <w:t>190</w:t>
      </w:r>
      <w:r w:rsidR="00F066FD" w:rsidRPr="00C84076">
        <w:t>1</w:t>
      </w:r>
      <w:r w:rsidR="00435A01" w:rsidRPr="00C52C8A">
        <w:t xml:space="preserve"> </w:t>
      </w:r>
      <w:r w:rsidRPr="00C52C8A">
        <w:t>(</w:t>
      </w:r>
      <w:r w:rsidR="007B210C" w:rsidRPr="00C52C8A">
        <w:t>figure </w:t>
      </w:r>
      <w:r w:rsidR="007F425B" w:rsidRPr="00C52C8A">
        <w:t>17.10</w:t>
      </w:r>
      <w:r w:rsidRPr="00C52C8A">
        <w:t>)</w:t>
      </w:r>
      <w:r w:rsidR="009414EE" w:rsidRPr="00C52C8A">
        <w:t>. These data fluctuate across jurisdictions (table 17A.2</w:t>
      </w:r>
      <w:r w:rsidR="00C32D9A">
        <w:t>0</w:t>
      </w:r>
      <w:r w:rsidR="009414EE" w:rsidRPr="00C52C8A">
        <w:t>).</w:t>
      </w:r>
      <w:r w:rsidR="00066067">
        <w:t xml:space="preserve"> </w:t>
      </w:r>
    </w:p>
    <w:p w14:paraId="34EF912E" w14:textId="6AE70187" w:rsidR="005C1BC5" w:rsidRPr="002E39DF" w:rsidRDefault="005C1BC5"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C1BC5" w:rsidRPr="00C52C8A" w14:paraId="7AE1A653" w14:textId="77777777" w:rsidTr="00DE63E6">
        <w:tc>
          <w:tcPr>
            <w:tcW w:w="8789" w:type="dxa"/>
            <w:tcBorders>
              <w:top w:val="single" w:sz="6" w:space="0" w:color="78A22F"/>
              <w:left w:val="nil"/>
              <w:bottom w:val="nil"/>
              <w:right w:val="nil"/>
            </w:tcBorders>
            <w:shd w:val="clear" w:color="auto" w:fill="auto"/>
          </w:tcPr>
          <w:p w14:paraId="65A15FB6" w14:textId="47AB7096" w:rsidR="005C1BC5" w:rsidRPr="00C52C8A" w:rsidRDefault="005C1BC5" w:rsidP="00CE7AB7">
            <w:pPr>
              <w:pStyle w:val="FigureTitle"/>
            </w:pPr>
            <w:r w:rsidRPr="00C52C8A">
              <w:rPr>
                <w:b w:val="0"/>
              </w:rPr>
              <w:t>Figure</w:t>
            </w:r>
            <w:r w:rsidR="00D06833" w:rsidRPr="00C52C8A">
              <w:rPr>
                <w:b w:val="0"/>
              </w:rPr>
              <w:t xml:space="preserve"> </w:t>
            </w:r>
            <w:r w:rsidR="007F425B" w:rsidRPr="00C52C8A">
              <w:rPr>
                <w:b w:val="0"/>
              </w:rPr>
              <w:t>17.10</w:t>
            </w:r>
            <w:r w:rsidRPr="00C52C8A">
              <w:tab/>
            </w:r>
            <w:r w:rsidR="00761D2A" w:rsidRPr="00C52C8A">
              <w:t xml:space="preserve">Average cost </w:t>
            </w:r>
            <w:r w:rsidRPr="00C52C8A">
              <w:t xml:space="preserve">per day, per young person subject to </w:t>
            </w:r>
            <w:r w:rsidR="00510A53" w:rsidRPr="00C52C8A">
              <w:t>detention</w:t>
            </w:r>
            <w:r w:rsidR="00F4592C" w:rsidRPr="00C52C8A">
              <w:noBreakHyphen/>
            </w:r>
            <w:r w:rsidR="00510A53" w:rsidRPr="00C52C8A">
              <w:t xml:space="preserve">based </w:t>
            </w:r>
            <w:r w:rsidR="00DC23D2" w:rsidRPr="00C52C8A">
              <w:t>supervision</w:t>
            </w:r>
            <w:r w:rsidR="00BF028B" w:rsidRPr="00C52C8A">
              <w:t xml:space="preserve"> (201</w:t>
            </w:r>
            <w:r w:rsidR="009D0A7F">
              <w:t>9</w:t>
            </w:r>
            <w:r w:rsidR="00CF76CB" w:rsidRPr="00C52C8A">
              <w:noBreakHyphen/>
            </w:r>
            <w:r w:rsidR="009D0A7F">
              <w:t>20</w:t>
            </w:r>
            <w:r w:rsidR="00BF028B" w:rsidRPr="00C52C8A">
              <w:t xml:space="preserve"> </w:t>
            </w:r>
            <w:proofErr w:type="gramStart"/>
            <w:r w:rsidR="00BF028B" w:rsidRPr="00C52C8A">
              <w:t>dollars)</w:t>
            </w:r>
            <w:r w:rsidR="00BF028B" w:rsidRPr="00C52C8A">
              <w:rPr>
                <w:rStyle w:val="NoteLabel"/>
                <w:b/>
              </w:rPr>
              <w:t>a</w:t>
            </w:r>
            <w:proofErr w:type="gramEnd"/>
          </w:p>
        </w:tc>
      </w:tr>
      <w:tr w:rsidR="00DE63E6" w:rsidRPr="00C52C8A" w14:paraId="4BECE7DD"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C52C8A" w14:paraId="07937140" w14:textId="77777777" w:rsidTr="00CC3E5F">
              <w:tc>
                <w:tcPr>
                  <w:tcW w:w="304" w:type="dxa"/>
                  <w:tcBorders>
                    <w:top w:val="nil"/>
                    <w:left w:val="nil"/>
                    <w:bottom w:val="nil"/>
                    <w:right w:val="nil"/>
                  </w:tcBorders>
                  <w:shd w:val="clear" w:color="auto" w:fill="auto"/>
                  <w:tcMar>
                    <w:top w:w="28" w:type="dxa"/>
                    <w:bottom w:w="28" w:type="dxa"/>
                  </w:tcMar>
                </w:tcPr>
                <w:p w14:paraId="0E5CE033"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1C11AB45"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CE42605" w14:textId="7805A03B" w:rsidR="00DE63E6" w:rsidRPr="00C52C8A" w:rsidRDefault="00DE63E6" w:rsidP="0044726F">
                  <w:pPr>
                    <w:pStyle w:val="TableBodyText"/>
                    <w:jc w:val="left"/>
                  </w:pPr>
                  <w:r w:rsidRPr="00C52C8A">
                    <w:t xml:space="preserve">Data are </w:t>
                  </w:r>
                  <w:r w:rsidR="0044726F" w:rsidRPr="00C52C8A">
                    <w:t xml:space="preserve">not comparable across jurisdictions but are </w:t>
                  </w:r>
                  <w:r w:rsidRPr="00C52C8A">
                    <w:t>comparable (subject to caveats) within jurisdictions over time.</w:t>
                  </w:r>
                </w:p>
              </w:tc>
            </w:tr>
            <w:tr w:rsidR="00DE63E6" w:rsidRPr="00C52C8A" w14:paraId="7B188649" w14:textId="77777777" w:rsidTr="00CC3E5F">
              <w:tc>
                <w:tcPr>
                  <w:tcW w:w="304" w:type="dxa"/>
                  <w:tcBorders>
                    <w:top w:val="nil"/>
                    <w:left w:val="nil"/>
                    <w:bottom w:val="nil"/>
                    <w:right w:val="nil"/>
                  </w:tcBorders>
                  <w:shd w:val="clear" w:color="auto" w:fill="auto"/>
                  <w:tcMar>
                    <w:top w:w="28" w:type="dxa"/>
                    <w:bottom w:w="28" w:type="dxa"/>
                  </w:tcMar>
                </w:tcPr>
                <w:p w14:paraId="3E6C593A"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DA7C9A7" w14:textId="77777777" w:rsidR="00DE63E6" w:rsidRPr="00C52C8A"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08F005BB" w14:textId="121399B9" w:rsidR="00DE63E6" w:rsidRPr="00C52C8A" w:rsidRDefault="00DE63E6" w:rsidP="00EF49AD">
                  <w:pPr>
                    <w:pStyle w:val="TableBodyText"/>
                    <w:jc w:val="left"/>
                  </w:pPr>
                  <w:r w:rsidRPr="00C52C8A">
                    <w:t xml:space="preserve">Data are complete (subject to caveats) for the current reporting period. </w:t>
                  </w:r>
                </w:p>
              </w:tc>
            </w:tr>
          </w:tbl>
          <w:p w14:paraId="199D8B12" w14:textId="77777777" w:rsidR="00DE63E6" w:rsidRPr="00C52C8A" w:rsidRDefault="00DE63E6" w:rsidP="00DE63E6">
            <w:pPr>
              <w:pStyle w:val="FigureTitle"/>
              <w:rPr>
                <w:b w:val="0"/>
              </w:rPr>
            </w:pPr>
          </w:p>
        </w:tc>
      </w:tr>
      <w:tr w:rsidR="005C1BC5" w:rsidRPr="00C52C8A" w14:paraId="24C73137" w14:textId="77777777" w:rsidTr="006A71F6">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5C1BC5" w:rsidRPr="00C52C8A" w14:paraId="2677FD65" w14:textId="77777777" w:rsidTr="00C84076">
              <w:trPr>
                <w:trHeight w:val="4252"/>
              </w:trPr>
              <w:tc>
                <w:tcPr>
                  <w:tcW w:w="8504" w:type="dxa"/>
                  <w:shd w:val="clear" w:color="auto" w:fill="auto"/>
                </w:tcPr>
                <w:p w14:paraId="3DB6BCDB" w14:textId="5B8844E0" w:rsidR="005C1BC5" w:rsidRPr="00C52C8A" w:rsidRDefault="0091209F" w:rsidP="00983812">
                  <w:pPr>
                    <w:pStyle w:val="Figure"/>
                    <w:spacing w:before="60" w:after="60"/>
                  </w:pPr>
                  <w:r>
                    <w:rPr>
                      <w:noProof/>
                    </w:rPr>
                    <w:drawing>
                      <wp:inline distT="0" distB="0" distL="0" distR="0" wp14:anchorId="15C721D7" wp14:editId="39EF4E8A">
                        <wp:extent cx="5262880" cy="2694305"/>
                        <wp:effectExtent l="0" t="0" r="0" b="0"/>
                        <wp:docPr id="20" name="Chart 20" descr="Figure 17.10  Average cost per day, per young person subject to detention based supervision (2019-20 dollars).&#10;More details can be found within the text surrounding this image.">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6440CB61" w14:textId="77777777" w:rsidR="005C1BC5" w:rsidRPr="00C52C8A" w:rsidRDefault="005C1BC5" w:rsidP="00983812">
            <w:pPr>
              <w:pStyle w:val="Figure"/>
            </w:pPr>
          </w:p>
        </w:tc>
      </w:tr>
      <w:tr w:rsidR="005C1BC5" w:rsidRPr="00C52C8A" w14:paraId="0ED2A07F" w14:textId="77777777" w:rsidTr="006A71F6">
        <w:tc>
          <w:tcPr>
            <w:tcW w:w="8789" w:type="dxa"/>
            <w:tcBorders>
              <w:top w:val="nil"/>
              <w:left w:val="nil"/>
              <w:bottom w:val="nil"/>
              <w:right w:val="nil"/>
            </w:tcBorders>
            <w:shd w:val="clear" w:color="auto" w:fill="auto"/>
          </w:tcPr>
          <w:p w14:paraId="08B7D0D1" w14:textId="7271B9A6" w:rsidR="005C1BC5" w:rsidRPr="00C52C8A" w:rsidRDefault="005C1BC5" w:rsidP="00C32D9A">
            <w:pPr>
              <w:pStyle w:val="Note"/>
              <w:keepNext/>
              <w:keepLines w:val="0"/>
              <w:widowControl w:val="0"/>
            </w:pPr>
            <w:r w:rsidRPr="00C52C8A">
              <w:rPr>
                <w:rStyle w:val="NoteLabel"/>
              </w:rPr>
              <w:t>a</w:t>
            </w:r>
            <w:r w:rsidRPr="00C52C8A">
              <w:t xml:space="preserve"> </w:t>
            </w:r>
            <w:r w:rsidR="00014206" w:rsidRPr="00C52C8A">
              <w:t xml:space="preserve">See </w:t>
            </w:r>
            <w:r w:rsidR="002524F3" w:rsidRPr="00C52C8A">
              <w:t>box</w:t>
            </w:r>
            <w:r w:rsidR="00F4592C" w:rsidRPr="00C52C8A">
              <w:t> </w:t>
            </w:r>
            <w:r w:rsidR="00B27E61" w:rsidRPr="00C52C8A">
              <w:t>17.14</w:t>
            </w:r>
            <w:r w:rsidR="00791BC7" w:rsidRPr="00C52C8A">
              <w:t xml:space="preserve"> </w:t>
            </w:r>
            <w:r w:rsidR="002524F3" w:rsidRPr="00C52C8A">
              <w:t xml:space="preserve">and </w:t>
            </w:r>
            <w:r w:rsidRPr="00C52C8A">
              <w:t>table</w:t>
            </w:r>
            <w:r w:rsidR="005B0070">
              <w:t> </w:t>
            </w:r>
            <w:r w:rsidRPr="00C52C8A">
              <w:t>1</w:t>
            </w:r>
            <w:r w:rsidR="00FE26F8" w:rsidRPr="00C52C8A">
              <w:t>7</w:t>
            </w:r>
            <w:r w:rsidR="0074386C" w:rsidRPr="00C52C8A">
              <w:t>A.2</w:t>
            </w:r>
            <w:r w:rsidR="00C32D9A">
              <w:t>0</w:t>
            </w:r>
            <w:r w:rsidRPr="00C52C8A">
              <w:t xml:space="preserve"> for detailed </w:t>
            </w:r>
            <w:r w:rsidR="00EB6428" w:rsidRPr="00C52C8A">
              <w:t>definitions</w:t>
            </w:r>
            <w:r w:rsidR="00014206" w:rsidRPr="00C52C8A">
              <w:t xml:space="preserve">, </w:t>
            </w:r>
            <w:r w:rsidRPr="00C52C8A">
              <w:t>footnotes</w:t>
            </w:r>
            <w:r w:rsidR="00014206" w:rsidRPr="00C52C8A">
              <w:t xml:space="preserve"> and caveats</w:t>
            </w:r>
            <w:r w:rsidRPr="00C52C8A">
              <w:t>.</w:t>
            </w:r>
          </w:p>
        </w:tc>
      </w:tr>
      <w:tr w:rsidR="005C1BC5" w:rsidRPr="00C52C8A" w14:paraId="2D071D91" w14:textId="77777777" w:rsidTr="006A71F6">
        <w:tc>
          <w:tcPr>
            <w:tcW w:w="8789" w:type="dxa"/>
            <w:tcBorders>
              <w:top w:val="nil"/>
              <w:left w:val="nil"/>
              <w:bottom w:val="nil"/>
              <w:right w:val="nil"/>
            </w:tcBorders>
            <w:shd w:val="clear" w:color="auto" w:fill="auto"/>
          </w:tcPr>
          <w:p w14:paraId="4163CEF3" w14:textId="6F3B6B62" w:rsidR="005C1BC5" w:rsidRPr="00C52C8A" w:rsidRDefault="005C1BC5" w:rsidP="00C32D9A">
            <w:pPr>
              <w:pStyle w:val="Source"/>
              <w:keepNext/>
              <w:keepLines w:val="0"/>
              <w:widowControl w:val="0"/>
            </w:pPr>
            <w:r w:rsidRPr="00C52C8A">
              <w:rPr>
                <w:i/>
              </w:rPr>
              <w:t>Source</w:t>
            </w:r>
            <w:r w:rsidR="00CF76CB" w:rsidRPr="00C52C8A">
              <w:rPr>
                <w:i/>
              </w:rPr>
              <w:t>s</w:t>
            </w:r>
            <w:r w:rsidRPr="00C52C8A">
              <w:t>: State and Territory governments (unpublished); table</w:t>
            </w:r>
            <w:r w:rsidR="005B0070">
              <w:t> </w:t>
            </w:r>
            <w:r w:rsidRPr="00C52C8A">
              <w:t>1</w:t>
            </w:r>
            <w:r w:rsidR="00FE26F8" w:rsidRPr="00C52C8A">
              <w:t>7</w:t>
            </w:r>
            <w:r w:rsidRPr="00C52C8A">
              <w:t>A.2</w:t>
            </w:r>
            <w:r w:rsidR="00C32D9A">
              <w:t>0</w:t>
            </w:r>
            <w:r w:rsidRPr="00C52C8A">
              <w:t>.</w:t>
            </w:r>
          </w:p>
        </w:tc>
      </w:tr>
      <w:tr w:rsidR="005C1BC5" w:rsidRPr="00C52C8A" w14:paraId="51B93B66" w14:textId="77777777" w:rsidTr="006A71F6">
        <w:tc>
          <w:tcPr>
            <w:tcW w:w="8789" w:type="dxa"/>
            <w:tcBorders>
              <w:top w:val="nil"/>
              <w:left w:val="nil"/>
              <w:bottom w:val="single" w:sz="6" w:space="0" w:color="78A22F"/>
              <w:right w:val="nil"/>
            </w:tcBorders>
            <w:shd w:val="clear" w:color="auto" w:fill="auto"/>
          </w:tcPr>
          <w:p w14:paraId="0505FCA0" w14:textId="77777777" w:rsidR="005C1BC5" w:rsidRPr="00C52C8A" w:rsidRDefault="005C1BC5" w:rsidP="00DC23D2">
            <w:pPr>
              <w:pStyle w:val="Figurespace"/>
              <w:widowControl w:val="0"/>
            </w:pPr>
          </w:p>
        </w:tc>
      </w:tr>
      <w:tr w:rsidR="005C1BC5" w:rsidRPr="00C52C8A" w14:paraId="1249662B" w14:textId="77777777" w:rsidTr="006A71F6">
        <w:tc>
          <w:tcPr>
            <w:tcW w:w="8789" w:type="dxa"/>
            <w:tcBorders>
              <w:top w:val="single" w:sz="6" w:space="0" w:color="78A22F"/>
              <w:left w:val="nil"/>
              <w:bottom w:val="nil"/>
              <w:right w:val="nil"/>
            </w:tcBorders>
          </w:tcPr>
          <w:p w14:paraId="4A289783" w14:textId="620C42E3" w:rsidR="005C1BC5" w:rsidRPr="002E39DF" w:rsidRDefault="005C1BC5" w:rsidP="00DC23D2">
            <w:pPr>
              <w:pStyle w:val="BoxSpaceBelow"/>
              <w:keepNext/>
              <w:widowControl w:val="0"/>
            </w:pPr>
          </w:p>
        </w:tc>
      </w:tr>
    </w:tbl>
    <w:p w14:paraId="24E1307A" w14:textId="77777777" w:rsidR="00882669" w:rsidRPr="00C52C8A" w:rsidRDefault="00882669" w:rsidP="00667765">
      <w:pPr>
        <w:pStyle w:val="Heading4"/>
      </w:pPr>
      <w:r w:rsidRPr="00C52C8A">
        <w:t>Cost per group conference</w:t>
      </w:r>
    </w:p>
    <w:p w14:paraId="6E0D7C47" w14:textId="35E124F2" w:rsidR="00882669" w:rsidRPr="00C52C8A" w:rsidRDefault="008A26B8" w:rsidP="00882669">
      <w:pPr>
        <w:pStyle w:val="BodyText"/>
      </w:pPr>
      <w:r w:rsidRPr="00C52C8A">
        <w:t xml:space="preserve">‘Cost per group conference’ is an indicator of </w:t>
      </w:r>
      <w:r w:rsidR="004B6256" w:rsidRPr="00C52C8A">
        <w:t>governments’</w:t>
      </w:r>
      <w:r w:rsidRPr="00C52C8A">
        <w:t xml:space="preserve"> objective to provide youth justice services in an </w:t>
      </w:r>
      <w:r w:rsidR="006A11AF" w:rsidRPr="00C52C8A">
        <w:t xml:space="preserve">efficient </w:t>
      </w:r>
      <w:r w:rsidRPr="00C52C8A">
        <w:t>manner</w:t>
      </w:r>
      <w:r w:rsidR="00401E9A" w:rsidRPr="00C52C8A">
        <w:t xml:space="preserve"> (box</w:t>
      </w:r>
      <w:r w:rsidR="005B0070">
        <w:t> </w:t>
      </w:r>
      <w:r w:rsidR="00B27E61" w:rsidRPr="00C52C8A">
        <w:t>17.15</w:t>
      </w:r>
      <w:r w:rsidR="00F31EC6" w:rsidRPr="00C52C8A">
        <w:t>).</w:t>
      </w:r>
    </w:p>
    <w:p w14:paraId="1665A655" w14:textId="356796AD" w:rsidR="008A26B8" w:rsidRPr="002E39DF" w:rsidRDefault="008A26B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A26B8" w:rsidRPr="00C52C8A" w14:paraId="376662EF" w14:textId="77777777" w:rsidTr="006A71F6">
        <w:tc>
          <w:tcPr>
            <w:tcW w:w="8789" w:type="dxa"/>
            <w:tcBorders>
              <w:top w:val="single" w:sz="6" w:space="0" w:color="78A22F"/>
              <w:left w:val="nil"/>
              <w:bottom w:val="nil"/>
              <w:right w:val="nil"/>
            </w:tcBorders>
            <w:shd w:val="clear" w:color="auto" w:fill="F2F2F2"/>
          </w:tcPr>
          <w:p w14:paraId="54AACC24" w14:textId="3E7AA38B" w:rsidR="008A26B8" w:rsidRPr="00C52C8A" w:rsidRDefault="008A26B8" w:rsidP="00401E9A">
            <w:pPr>
              <w:pStyle w:val="BoxTitle"/>
            </w:pPr>
            <w:r w:rsidRPr="00C52C8A">
              <w:rPr>
                <w:b w:val="0"/>
              </w:rPr>
              <w:t>Box</w:t>
            </w:r>
            <w:r w:rsidR="00F31EC6" w:rsidRPr="00C52C8A">
              <w:rPr>
                <w:b w:val="0"/>
              </w:rPr>
              <w:t xml:space="preserve"> </w:t>
            </w:r>
            <w:bookmarkStart w:id="44" w:name="OLE_LINK34"/>
            <w:r w:rsidR="00C87A43">
              <w:rPr>
                <w:b w:val="0"/>
              </w:rPr>
              <w:t>17.</w:t>
            </w:r>
            <w:r w:rsidR="00AF64D0">
              <w:rPr>
                <w:b w:val="0"/>
                <w:noProof/>
              </w:rPr>
              <w:t>15</w:t>
            </w:r>
            <w:bookmarkEnd w:id="44"/>
            <w:r w:rsidRPr="00C52C8A">
              <w:tab/>
              <w:t>Cost per group conference</w:t>
            </w:r>
          </w:p>
        </w:tc>
      </w:tr>
      <w:tr w:rsidR="008A26B8" w:rsidRPr="00C52C8A" w14:paraId="307429B9" w14:textId="77777777" w:rsidTr="006A71F6">
        <w:tc>
          <w:tcPr>
            <w:tcW w:w="8789" w:type="dxa"/>
            <w:tcBorders>
              <w:top w:val="nil"/>
              <w:left w:val="nil"/>
              <w:bottom w:val="nil"/>
              <w:right w:val="nil"/>
            </w:tcBorders>
            <w:shd w:val="clear" w:color="auto" w:fill="F2F2F2"/>
          </w:tcPr>
          <w:p w14:paraId="6DEE4D34" w14:textId="4608CAC2" w:rsidR="008A26B8" w:rsidRPr="00C52C8A" w:rsidRDefault="008A26B8" w:rsidP="00877F2B">
            <w:pPr>
              <w:pStyle w:val="Box"/>
            </w:pPr>
            <w:r w:rsidRPr="00C52C8A">
              <w:t xml:space="preserve">‘Cost per group is </w:t>
            </w:r>
            <w:r w:rsidR="0027040E" w:rsidRPr="00C52C8A">
              <w:t xml:space="preserve">conference’ </w:t>
            </w:r>
            <w:r w:rsidRPr="00C52C8A">
              <w:t>defined as the total recurrent expenditure on group conferencing divided by the number of concluded group conferences.</w:t>
            </w:r>
            <w:r w:rsidR="00E96DB8" w:rsidRPr="00C52C8A">
              <w:t xml:space="preserve"> </w:t>
            </w:r>
          </w:p>
          <w:p w14:paraId="6A14B0AF" w14:textId="77777777" w:rsidR="00E96DB8" w:rsidRPr="00C52C8A" w:rsidRDefault="00E96DB8" w:rsidP="00877F2B">
            <w:pPr>
              <w:pStyle w:val="Box"/>
            </w:pPr>
            <w:r w:rsidRPr="00C52C8A">
              <w:t>A low or decreasing unit cost is desirable as it suggests more efficient resource management.</w:t>
            </w:r>
          </w:p>
          <w:p w14:paraId="10BE4E68" w14:textId="77777777" w:rsidR="00EE0883" w:rsidRPr="00C52C8A" w:rsidRDefault="00EE0883" w:rsidP="00877F2B">
            <w:pPr>
              <w:pStyle w:val="Box"/>
            </w:pPr>
            <w:r w:rsidRPr="00C52C8A">
              <w:t>Data for this indicator should be interpreted with caution as the provision of group conferencing differs across jurisdictions.</w:t>
            </w:r>
          </w:p>
          <w:p w14:paraId="36CB1FE3" w14:textId="6FD2B00A" w:rsidR="00E96DB8" w:rsidRPr="00C52C8A" w:rsidRDefault="00E96DB8" w:rsidP="00877F2B">
            <w:pPr>
              <w:pStyle w:val="Box"/>
            </w:pPr>
            <w:r w:rsidRPr="00C52C8A">
              <w:t>Data reported for this indicator are:</w:t>
            </w:r>
          </w:p>
          <w:p w14:paraId="29931A0A" w14:textId="2BE37BA4" w:rsidR="00E96DB8" w:rsidRPr="00C52C8A" w:rsidRDefault="006A4F08" w:rsidP="009106FE">
            <w:pPr>
              <w:pStyle w:val="Box"/>
              <w:ind w:left="284"/>
            </w:pPr>
            <w:r w:rsidRPr="00C52C8A">
              <w:rPr>
                <w:shd w:val="clear" w:color="auto" w:fill="FCDED3"/>
              </w:rPr>
              <w:t xml:space="preserve">    </w:t>
            </w:r>
            <w:r w:rsidRPr="00C52C8A">
              <w:t xml:space="preserve"> </w:t>
            </w:r>
            <w:r w:rsidR="0044726F" w:rsidRPr="00C52C8A">
              <w:t xml:space="preserve">not comparable across jurisdictions but are </w:t>
            </w:r>
            <w:r w:rsidR="00E96DB8" w:rsidRPr="00C52C8A">
              <w:t xml:space="preserve">comparable (subject to caveats) within jurisdictions over time </w:t>
            </w:r>
          </w:p>
          <w:p w14:paraId="0B5AAB8E" w14:textId="1A36BF22" w:rsidR="00E96DB8" w:rsidRPr="00C52C8A" w:rsidRDefault="006A4F08" w:rsidP="00CE7AB7">
            <w:pPr>
              <w:pStyle w:val="Box"/>
              <w:ind w:left="284"/>
            </w:pPr>
            <w:r w:rsidRPr="00C52C8A">
              <w:rPr>
                <w:shd w:val="clear" w:color="auto" w:fill="F15A25"/>
              </w:rPr>
              <w:t xml:space="preserve">    </w:t>
            </w:r>
            <w:r w:rsidRPr="00C52C8A">
              <w:t xml:space="preserve"> </w:t>
            </w:r>
            <w:r w:rsidR="00E96DB8" w:rsidRPr="00C52C8A">
              <w:t xml:space="preserve">complete </w:t>
            </w:r>
            <w:r w:rsidR="009A4756" w:rsidRPr="00C52C8A">
              <w:t xml:space="preserve">(subject to caveats) </w:t>
            </w:r>
            <w:r w:rsidR="00E96DB8" w:rsidRPr="00C52C8A">
              <w:t>for the current reporting period.</w:t>
            </w:r>
            <w:r w:rsidR="00456D0D" w:rsidRPr="00C52C8A">
              <w:t xml:space="preserve"> </w:t>
            </w:r>
            <w:r w:rsidR="00517A72" w:rsidRPr="00C52C8A">
              <w:t xml:space="preserve">All required </w:t>
            </w:r>
            <w:r w:rsidR="009D0A7F" w:rsidRPr="00C52C8A">
              <w:t>201</w:t>
            </w:r>
            <w:r w:rsidR="009D0A7F">
              <w:t>9</w:t>
            </w:r>
            <w:r w:rsidR="009D0A7F" w:rsidRPr="00C52C8A">
              <w:noBreakHyphen/>
            </w:r>
            <w:r w:rsidR="009D0A7F">
              <w:t>20</w:t>
            </w:r>
            <w:r w:rsidR="009D0A7F" w:rsidRPr="00C52C8A">
              <w:t xml:space="preserve"> </w:t>
            </w:r>
            <w:r w:rsidR="00517A72" w:rsidRPr="00C52C8A">
              <w:t>data are available for all jurisdictions.</w:t>
            </w:r>
          </w:p>
        </w:tc>
      </w:tr>
      <w:tr w:rsidR="008A26B8" w:rsidRPr="00C52C8A" w14:paraId="61A74695" w14:textId="77777777" w:rsidTr="006A71F6">
        <w:tc>
          <w:tcPr>
            <w:tcW w:w="8789" w:type="dxa"/>
            <w:tcBorders>
              <w:top w:val="nil"/>
              <w:left w:val="nil"/>
              <w:bottom w:val="single" w:sz="6" w:space="0" w:color="78A22F"/>
              <w:right w:val="nil"/>
            </w:tcBorders>
            <w:shd w:val="clear" w:color="auto" w:fill="F2F2F2"/>
          </w:tcPr>
          <w:p w14:paraId="73716E74" w14:textId="77777777" w:rsidR="008A26B8" w:rsidRPr="00C52C8A" w:rsidRDefault="008A26B8">
            <w:pPr>
              <w:pStyle w:val="Box"/>
              <w:spacing w:before="0" w:line="120" w:lineRule="exact"/>
            </w:pPr>
          </w:p>
        </w:tc>
      </w:tr>
      <w:tr w:rsidR="008A26B8" w:rsidRPr="00C52C8A" w14:paraId="18EF99A0" w14:textId="77777777" w:rsidTr="006A71F6">
        <w:tc>
          <w:tcPr>
            <w:tcW w:w="8789" w:type="dxa"/>
            <w:tcBorders>
              <w:top w:val="single" w:sz="6" w:space="0" w:color="78A22F"/>
              <w:left w:val="nil"/>
              <w:bottom w:val="nil"/>
              <w:right w:val="nil"/>
            </w:tcBorders>
          </w:tcPr>
          <w:p w14:paraId="694BB870" w14:textId="31366BE2" w:rsidR="008A26B8" w:rsidRPr="002E39DF" w:rsidRDefault="008A26B8" w:rsidP="00877F2B">
            <w:pPr>
              <w:pStyle w:val="BoxSpaceBelow"/>
            </w:pPr>
          </w:p>
        </w:tc>
      </w:tr>
    </w:tbl>
    <w:p w14:paraId="3AE5490C" w14:textId="608C3394" w:rsidR="00D06833" w:rsidRPr="00C52C8A" w:rsidRDefault="00D06833" w:rsidP="00D06833">
      <w:pPr>
        <w:pStyle w:val="BodyText"/>
      </w:pPr>
      <w:r w:rsidRPr="00C52C8A">
        <w:lastRenderedPageBreak/>
        <w:t xml:space="preserve">Nationally, in </w:t>
      </w:r>
      <w:r w:rsidR="009D0A7F" w:rsidRPr="00C52C8A">
        <w:t>201</w:t>
      </w:r>
      <w:r w:rsidR="009D0A7F">
        <w:t>9</w:t>
      </w:r>
      <w:r w:rsidR="009D0A7F" w:rsidRPr="00C52C8A">
        <w:noBreakHyphen/>
      </w:r>
      <w:r w:rsidR="009D0A7F">
        <w:t>20</w:t>
      </w:r>
      <w:r w:rsidRPr="00C52C8A">
        <w:t>, the average cost per concluded group conference was $</w:t>
      </w:r>
      <w:r w:rsidR="00A4038F">
        <w:t>6049</w:t>
      </w:r>
      <w:r w:rsidRPr="00C52C8A">
        <w:t xml:space="preserve"> (figure </w:t>
      </w:r>
      <w:r w:rsidR="007F425B" w:rsidRPr="00C52C8A">
        <w:t>17.11</w:t>
      </w:r>
      <w:r w:rsidRPr="00C52C8A">
        <w:t>).</w:t>
      </w:r>
      <w:r w:rsidR="00440935" w:rsidRPr="00C52C8A">
        <w:t xml:space="preserve"> These data fluctuate across jurisdictions (table</w:t>
      </w:r>
      <w:r w:rsidR="005B0070">
        <w:t> </w:t>
      </w:r>
      <w:r w:rsidR="00440935" w:rsidRPr="00C52C8A">
        <w:t>17A.2</w:t>
      </w:r>
      <w:r w:rsidR="00C32D9A">
        <w:t>1</w:t>
      </w:r>
      <w:r w:rsidR="00440935" w:rsidRPr="00C52C8A">
        <w:t>)</w:t>
      </w:r>
      <w:r w:rsidR="006A11AF" w:rsidRPr="00C52C8A">
        <w:t>.</w:t>
      </w:r>
      <w:r w:rsidR="001A5D25">
        <w:t xml:space="preserve"> </w:t>
      </w:r>
    </w:p>
    <w:p w14:paraId="09301480" w14:textId="10D407A8" w:rsidR="00467073" w:rsidRPr="002E39DF" w:rsidRDefault="00467073" w:rsidP="007032A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467073" w:rsidRPr="00C52C8A" w14:paraId="5140CA0C" w14:textId="77777777" w:rsidTr="00DE63E6">
        <w:trPr>
          <w:tblHeader/>
        </w:trPr>
        <w:tc>
          <w:tcPr>
            <w:tcW w:w="8789" w:type="dxa"/>
            <w:tcBorders>
              <w:top w:val="single" w:sz="6" w:space="0" w:color="78A22F"/>
              <w:left w:val="nil"/>
              <w:bottom w:val="nil"/>
              <w:right w:val="nil"/>
            </w:tcBorders>
            <w:shd w:val="clear" w:color="auto" w:fill="auto"/>
          </w:tcPr>
          <w:p w14:paraId="148F1C63" w14:textId="1F257B60" w:rsidR="00467073" w:rsidRPr="00C52C8A" w:rsidRDefault="00467073" w:rsidP="00CE7AB7">
            <w:pPr>
              <w:pStyle w:val="FigureTitle"/>
            </w:pPr>
            <w:r w:rsidRPr="00C52C8A">
              <w:rPr>
                <w:b w:val="0"/>
              </w:rPr>
              <w:t xml:space="preserve">Figure </w:t>
            </w:r>
            <w:r w:rsidR="007F425B" w:rsidRPr="00C52C8A">
              <w:rPr>
                <w:b w:val="0"/>
              </w:rPr>
              <w:t>17.11</w:t>
            </w:r>
            <w:r w:rsidRPr="00C52C8A">
              <w:tab/>
              <w:t>Cost per concluded group conference</w:t>
            </w:r>
            <w:r w:rsidR="007F425B" w:rsidRPr="00C52C8A">
              <w:t xml:space="preserve"> (201</w:t>
            </w:r>
            <w:r w:rsidR="009D0A7F">
              <w:t>9</w:t>
            </w:r>
            <w:r w:rsidR="00CF76CB" w:rsidRPr="00C52C8A">
              <w:noBreakHyphen/>
            </w:r>
            <w:r w:rsidR="009D0A7F">
              <w:t>20</w:t>
            </w:r>
            <w:r w:rsidR="007F425B" w:rsidRPr="00C52C8A">
              <w:t xml:space="preserve"> </w:t>
            </w:r>
            <w:proofErr w:type="gramStart"/>
            <w:r w:rsidR="007F425B" w:rsidRPr="00C52C8A">
              <w:t>dollars)</w:t>
            </w:r>
            <w:r w:rsidRPr="00C52C8A">
              <w:rPr>
                <w:rStyle w:val="NoteLabel"/>
                <w:b/>
              </w:rPr>
              <w:t>a</w:t>
            </w:r>
            <w:proofErr w:type="gramEnd"/>
          </w:p>
        </w:tc>
      </w:tr>
      <w:tr w:rsidR="00DE63E6" w:rsidRPr="00C52C8A" w14:paraId="34F29C72" w14:textId="77777777" w:rsidTr="00DE63E6">
        <w:trPr>
          <w:tblHeader/>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C52C8A" w14:paraId="5B876C7D" w14:textId="77777777" w:rsidTr="00CC3E5F">
              <w:tc>
                <w:tcPr>
                  <w:tcW w:w="304" w:type="dxa"/>
                  <w:tcBorders>
                    <w:top w:val="nil"/>
                    <w:left w:val="nil"/>
                    <w:bottom w:val="nil"/>
                    <w:right w:val="nil"/>
                  </w:tcBorders>
                  <w:shd w:val="clear" w:color="auto" w:fill="auto"/>
                  <w:tcMar>
                    <w:top w:w="28" w:type="dxa"/>
                    <w:bottom w:w="28" w:type="dxa"/>
                  </w:tcMar>
                </w:tcPr>
                <w:p w14:paraId="48BF5048"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6E77AEF9" w14:textId="77777777" w:rsidR="00DE63E6" w:rsidRPr="00C52C8A" w:rsidRDefault="00DE63E6" w:rsidP="00DE63E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08077FA" w14:textId="01AA83C4" w:rsidR="00DE63E6" w:rsidRPr="00C52C8A" w:rsidRDefault="00DE63E6" w:rsidP="0044726F">
                  <w:pPr>
                    <w:pStyle w:val="TableBodyText"/>
                    <w:jc w:val="left"/>
                  </w:pPr>
                  <w:r w:rsidRPr="00C52C8A">
                    <w:t xml:space="preserve">Data are </w:t>
                  </w:r>
                  <w:r w:rsidR="0044726F" w:rsidRPr="00C52C8A">
                    <w:t xml:space="preserve">not comparable across jurisdictions but are </w:t>
                  </w:r>
                  <w:r w:rsidRPr="00C52C8A">
                    <w:t>comparable (subject to caveats)</w:t>
                  </w:r>
                  <w:r w:rsidR="0044726F" w:rsidRPr="00C52C8A">
                    <w:t xml:space="preserve"> within jurisdictions over time</w:t>
                  </w:r>
                  <w:r w:rsidRPr="00C52C8A">
                    <w:t>.</w:t>
                  </w:r>
                </w:p>
              </w:tc>
            </w:tr>
            <w:tr w:rsidR="00DE63E6" w:rsidRPr="00C52C8A" w14:paraId="278B622F" w14:textId="77777777" w:rsidTr="00CC3E5F">
              <w:tc>
                <w:tcPr>
                  <w:tcW w:w="304" w:type="dxa"/>
                  <w:tcBorders>
                    <w:top w:val="nil"/>
                    <w:left w:val="nil"/>
                    <w:bottom w:val="nil"/>
                    <w:right w:val="nil"/>
                  </w:tcBorders>
                  <w:shd w:val="clear" w:color="auto" w:fill="auto"/>
                  <w:tcMar>
                    <w:top w:w="28" w:type="dxa"/>
                    <w:bottom w:w="28" w:type="dxa"/>
                  </w:tcMar>
                </w:tcPr>
                <w:p w14:paraId="7559D9DD"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307F284" w14:textId="77777777" w:rsidR="00DE63E6" w:rsidRPr="00C52C8A"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2EF75EA" w14:textId="14FCFAA4" w:rsidR="00DE63E6" w:rsidRPr="00C52C8A" w:rsidRDefault="00DE63E6" w:rsidP="00EF49AD">
                  <w:pPr>
                    <w:pStyle w:val="TableBodyText"/>
                    <w:jc w:val="left"/>
                  </w:pPr>
                  <w:r w:rsidRPr="00C52C8A">
                    <w:t xml:space="preserve">Data are complete (subject to caveats) for the current reporting period. </w:t>
                  </w:r>
                </w:p>
              </w:tc>
            </w:tr>
          </w:tbl>
          <w:p w14:paraId="3A7EFE68" w14:textId="77777777" w:rsidR="00DE63E6" w:rsidRPr="00C52C8A" w:rsidRDefault="00DE63E6" w:rsidP="00DE63E6">
            <w:pPr>
              <w:pStyle w:val="FigureTitle"/>
              <w:rPr>
                <w:b w:val="0"/>
              </w:rPr>
            </w:pPr>
          </w:p>
        </w:tc>
      </w:tr>
      <w:tr w:rsidR="00467073" w:rsidRPr="00C52C8A" w14:paraId="1C904181" w14:textId="77777777" w:rsidTr="006A71F6">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467073" w:rsidRPr="00C52C8A" w14:paraId="718A2F87" w14:textId="77777777" w:rsidTr="006027DB">
              <w:trPr>
                <w:tblHeader/>
                <w:jc w:val="center"/>
              </w:trPr>
              <w:tc>
                <w:tcPr>
                  <w:tcW w:w="8504" w:type="dxa"/>
                  <w:tcBorders>
                    <w:top w:val="nil"/>
                    <w:bottom w:val="nil"/>
                  </w:tcBorders>
                </w:tcPr>
                <w:p w14:paraId="3D93FE29" w14:textId="30C22609" w:rsidR="00467073" w:rsidRPr="00C52C8A" w:rsidRDefault="006027DB" w:rsidP="007032A7">
                  <w:pPr>
                    <w:pStyle w:val="Figure"/>
                    <w:spacing w:before="60" w:after="60"/>
                    <w:rPr>
                      <w:rFonts w:ascii="Arial" w:hAnsi="Arial" w:cs="Arial"/>
                      <w:sz w:val="18"/>
                      <w:szCs w:val="18"/>
                    </w:rPr>
                  </w:pPr>
                  <w:r>
                    <w:rPr>
                      <w:noProof/>
                    </w:rPr>
                    <w:drawing>
                      <wp:inline distT="0" distB="0" distL="0" distR="0" wp14:anchorId="233A02FC" wp14:editId="4A26DF2D">
                        <wp:extent cx="5228745" cy="2608560"/>
                        <wp:effectExtent l="0" t="0" r="0" b="1905"/>
                        <wp:docPr id="7" name="Chart 7" descr="Figure 17.11  Cost per concluded group conference (2019-20 dollars).&#10;More details can be found within the text surrounding this image.">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5D4E3691" w14:textId="77777777" w:rsidR="00467073" w:rsidRPr="00C52C8A" w:rsidRDefault="00467073" w:rsidP="007032A7">
            <w:pPr>
              <w:pStyle w:val="Figure"/>
            </w:pPr>
          </w:p>
        </w:tc>
      </w:tr>
      <w:tr w:rsidR="00467073" w:rsidRPr="00C52C8A" w14:paraId="23D664A6" w14:textId="77777777" w:rsidTr="006A71F6">
        <w:tc>
          <w:tcPr>
            <w:tcW w:w="8789" w:type="dxa"/>
            <w:tcBorders>
              <w:top w:val="nil"/>
              <w:left w:val="nil"/>
              <w:bottom w:val="nil"/>
              <w:right w:val="nil"/>
            </w:tcBorders>
            <w:shd w:val="clear" w:color="auto" w:fill="auto"/>
          </w:tcPr>
          <w:p w14:paraId="652DA9C2" w14:textId="4707C805" w:rsidR="00467073" w:rsidRPr="00C52C8A" w:rsidRDefault="00467073" w:rsidP="00C32D9A">
            <w:pPr>
              <w:pStyle w:val="Note"/>
            </w:pPr>
            <w:r w:rsidRPr="00C52C8A">
              <w:rPr>
                <w:rStyle w:val="NoteLabel"/>
              </w:rPr>
              <w:t>a</w:t>
            </w:r>
            <w:r w:rsidRPr="00C52C8A">
              <w:t xml:space="preserve"> See box</w:t>
            </w:r>
            <w:r w:rsidR="00F31EC6" w:rsidRPr="00C52C8A">
              <w:t> </w:t>
            </w:r>
            <w:r w:rsidR="00B27E61" w:rsidRPr="00C52C8A">
              <w:t>17.15</w:t>
            </w:r>
            <w:r w:rsidRPr="00C52C8A">
              <w:t xml:space="preserve"> and table</w:t>
            </w:r>
            <w:r w:rsidR="005B0070">
              <w:t> </w:t>
            </w:r>
            <w:r w:rsidRPr="00C52C8A">
              <w:t>17A.</w:t>
            </w:r>
            <w:r w:rsidR="005374A3" w:rsidRPr="00C52C8A">
              <w:t>2</w:t>
            </w:r>
            <w:r w:rsidR="00C32D9A">
              <w:t>1</w:t>
            </w:r>
            <w:r w:rsidRPr="00C52C8A">
              <w:t xml:space="preserve"> for detailed definitions, footnotes and caveats.</w:t>
            </w:r>
          </w:p>
        </w:tc>
      </w:tr>
      <w:tr w:rsidR="00467073" w:rsidRPr="00C52C8A" w14:paraId="1688EA44" w14:textId="77777777" w:rsidTr="006A71F6">
        <w:tc>
          <w:tcPr>
            <w:tcW w:w="8789" w:type="dxa"/>
            <w:tcBorders>
              <w:top w:val="nil"/>
              <w:left w:val="nil"/>
              <w:bottom w:val="nil"/>
              <w:right w:val="nil"/>
            </w:tcBorders>
            <w:shd w:val="clear" w:color="auto" w:fill="auto"/>
          </w:tcPr>
          <w:p w14:paraId="72E000BB" w14:textId="7D23FB1F" w:rsidR="00467073" w:rsidRPr="00C52C8A" w:rsidRDefault="00467073" w:rsidP="00C32D9A">
            <w:pPr>
              <w:pStyle w:val="Source"/>
            </w:pPr>
            <w:r w:rsidRPr="00C52C8A">
              <w:rPr>
                <w:i/>
              </w:rPr>
              <w:t>Source</w:t>
            </w:r>
            <w:r w:rsidR="00CF76CB" w:rsidRPr="00C52C8A">
              <w:rPr>
                <w:i/>
              </w:rPr>
              <w:t>s</w:t>
            </w:r>
            <w:r w:rsidRPr="00C52C8A">
              <w:t>: State and Territory governments (unpublished); table</w:t>
            </w:r>
            <w:r w:rsidR="005B0070">
              <w:t> </w:t>
            </w:r>
            <w:r w:rsidRPr="00C52C8A">
              <w:t>17A.</w:t>
            </w:r>
            <w:r w:rsidR="00F31EC6" w:rsidRPr="00C52C8A">
              <w:t>2</w:t>
            </w:r>
            <w:r w:rsidR="00C32D9A">
              <w:t>1</w:t>
            </w:r>
            <w:r w:rsidRPr="00C52C8A">
              <w:t>.</w:t>
            </w:r>
          </w:p>
        </w:tc>
      </w:tr>
      <w:tr w:rsidR="00467073" w:rsidRPr="00C52C8A" w14:paraId="35C035E6" w14:textId="77777777" w:rsidTr="006A71F6">
        <w:tc>
          <w:tcPr>
            <w:tcW w:w="8789" w:type="dxa"/>
            <w:tcBorders>
              <w:top w:val="nil"/>
              <w:left w:val="nil"/>
              <w:bottom w:val="single" w:sz="6" w:space="0" w:color="78A22F"/>
              <w:right w:val="nil"/>
            </w:tcBorders>
            <w:shd w:val="clear" w:color="auto" w:fill="auto"/>
          </w:tcPr>
          <w:p w14:paraId="1D8FEE93" w14:textId="77777777" w:rsidR="00467073" w:rsidRPr="00C52C8A" w:rsidRDefault="00467073" w:rsidP="007032A7">
            <w:pPr>
              <w:pStyle w:val="Figurespace"/>
            </w:pPr>
          </w:p>
        </w:tc>
      </w:tr>
      <w:tr w:rsidR="00467073" w:rsidRPr="00C52C8A" w14:paraId="271DC136" w14:textId="77777777" w:rsidTr="006A71F6">
        <w:tc>
          <w:tcPr>
            <w:tcW w:w="8789" w:type="dxa"/>
            <w:tcBorders>
              <w:top w:val="single" w:sz="6" w:space="0" w:color="78A22F"/>
              <w:left w:val="nil"/>
              <w:bottom w:val="nil"/>
              <w:right w:val="nil"/>
            </w:tcBorders>
          </w:tcPr>
          <w:p w14:paraId="29E090BF" w14:textId="1833D5D6" w:rsidR="00467073" w:rsidRPr="002E39DF" w:rsidRDefault="00467073" w:rsidP="007032A7">
            <w:pPr>
              <w:pStyle w:val="BoxSpaceBelow"/>
            </w:pPr>
          </w:p>
        </w:tc>
      </w:tr>
    </w:tbl>
    <w:p w14:paraId="3B89F595" w14:textId="77777777" w:rsidR="00413C3F" w:rsidRPr="00C52C8A" w:rsidRDefault="00413C3F" w:rsidP="00983812">
      <w:pPr>
        <w:pStyle w:val="Heading3"/>
      </w:pPr>
      <w:r w:rsidRPr="00C52C8A">
        <w:t>Outcomes</w:t>
      </w:r>
    </w:p>
    <w:p w14:paraId="369F1B1D" w14:textId="04660685" w:rsidR="00413C3F" w:rsidRPr="00C52C8A" w:rsidRDefault="00413C3F" w:rsidP="00983812">
      <w:pPr>
        <w:pStyle w:val="BodyText"/>
      </w:pPr>
      <w:r w:rsidRPr="00C52C8A">
        <w:t>Outcomes are the impact of services on the status of an individual or g</w:t>
      </w:r>
      <w:r w:rsidR="00F55557" w:rsidRPr="00C52C8A">
        <w:t xml:space="preserve">roup (see </w:t>
      </w:r>
      <w:r w:rsidR="00361640" w:rsidRPr="00C52C8A">
        <w:t>section </w:t>
      </w:r>
      <w:r w:rsidR="00F55557" w:rsidRPr="00C52C8A">
        <w:t>1</w:t>
      </w:r>
      <w:r w:rsidRPr="00C52C8A">
        <w:t>).</w:t>
      </w:r>
    </w:p>
    <w:p w14:paraId="10DFF40A" w14:textId="77777777" w:rsidR="00787194" w:rsidRPr="00C52C8A" w:rsidRDefault="00787194" w:rsidP="00787194">
      <w:pPr>
        <w:pStyle w:val="Heading4"/>
        <w:keepNext w:val="0"/>
        <w:widowControl w:val="0"/>
      </w:pPr>
      <w:bookmarkStart w:id="45" w:name="_Toc345416487"/>
      <w:r w:rsidRPr="00C52C8A">
        <w:t>Escapes</w:t>
      </w:r>
    </w:p>
    <w:p w14:paraId="7AA1E890" w14:textId="153F2A08" w:rsidR="00FB7AF9" w:rsidRPr="00C52C8A" w:rsidRDefault="00787194" w:rsidP="00787194">
      <w:pPr>
        <w:pStyle w:val="BodyText"/>
        <w:widowControl w:val="0"/>
      </w:pPr>
      <w:r w:rsidRPr="00C52C8A">
        <w:t xml:space="preserve">‘Escapes’ is an indicator of governments’ objective to </w:t>
      </w:r>
      <w:r w:rsidR="003D746F" w:rsidRPr="00C52C8A">
        <w:t>promote community safety</w:t>
      </w:r>
      <w:r w:rsidR="00EE0883" w:rsidRPr="00C52C8A">
        <w:t xml:space="preserve"> </w:t>
      </w:r>
      <w:r w:rsidR="009B6AF4" w:rsidRPr="00C52C8A">
        <w:t>(box</w:t>
      </w:r>
      <w:r w:rsidR="00F4592C" w:rsidRPr="00C52C8A">
        <w:t> </w:t>
      </w:r>
      <w:r w:rsidR="00B27E61" w:rsidRPr="00C52C8A">
        <w:t>17.16</w:t>
      </w:r>
      <w:r w:rsidRPr="00C52C8A">
        <w:t>).</w:t>
      </w:r>
    </w:p>
    <w:p w14:paraId="18F54880" w14:textId="6C44FE6D" w:rsidR="000A060F" w:rsidRPr="002E39DF" w:rsidRDefault="000A06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A060F" w:rsidRPr="00C52C8A" w14:paraId="16D3BA0A" w14:textId="77777777" w:rsidTr="00301F3E">
        <w:trPr>
          <w:tblHeader/>
        </w:trPr>
        <w:tc>
          <w:tcPr>
            <w:tcW w:w="5000" w:type="pct"/>
            <w:tcBorders>
              <w:top w:val="single" w:sz="6" w:space="0" w:color="78A22F"/>
              <w:left w:val="nil"/>
              <w:bottom w:val="nil"/>
              <w:right w:val="nil"/>
            </w:tcBorders>
            <w:shd w:val="clear" w:color="auto" w:fill="F2F2F2"/>
          </w:tcPr>
          <w:p w14:paraId="14EB02B6" w14:textId="68C2BD26" w:rsidR="000A060F" w:rsidRPr="00C52C8A" w:rsidRDefault="000A060F">
            <w:pPr>
              <w:pStyle w:val="BoxTitle"/>
            </w:pPr>
            <w:r w:rsidRPr="00C52C8A">
              <w:rPr>
                <w:b w:val="0"/>
              </w:rPr>
              <w:t xml:space="preserve">Box </w:t>
            </w:r>
            <w:bookmarkStart w:id="46" w:name="OLE_LINK11"/>
            <w:r w:rsidR="00C87A43">
              <w:rPr>
                <w:b w:val="0"/>
              </w:rPr>
              <w:t>17.</w:t>
            </w:r>
            <w:r w:rsidR="00AF64D0">
              <w:rPr>
                <w:b w:val="0"/>
                <w:noProof/>
              </w:rPr>
              <w:t>16</w:t>
            </w:r>
            <w:bookmarkEnd w:id="46"/>
            <w:r w:rsidRPr="00C52C8A">
              <w:tab/>
              <w:t>Escapes</w:t>
            </w:r>
          </w:p>
        </w:tc>
      </w:tr>
      <w:tr w:rsidR="000A060F" w:rsidRPr="00C52C8A" w14:paraId="0FB359D1" w14:textId="77777777" w:rsidTr="00301F3E">
        <w:tc>
          <w:tcPr>
            <w:tcW w:w="5000" w:type="pct"/>
            <w:tcBorders>
              <w:top w:val="nil"/>
              <w:left w:val="nil"/>
              <w:bottom w:val="nil"/>
              <w:right w:val="nil"/>
            </w:tcBorders>
            <w:shd w:val="clear" w:color="auto" w:fill="F2F2F2"/>
          </w:tcPr>
          <w:p w14:paraId="34261728" w14:textId="77777777" w:rsidR="000A060F" w:rsidRPr="00C52C8A" w:rsidRDefault="000A060F" w:rsidP="000A060F">
            <w:pPr>
              <w:pStyle w:val="Box"/>
              <w:keepLines/>
              <w:widowControl w:val="0"/>
            </w:pPr>
            <w:r w:rsidRPr="00C52C8A">
              <w:t>‘Escapes’ is defined by two measures:</w:t>
            </w:r>
          </w:p>
          <w:p w14:paraId="34532E20" w14:textId="77777777" w:rsidR="000A060F" w:rsidRPr="00C52C8A" w:rsidRDefault="000A060F" w:rsidP="000A060F">
            <w:pPr>
              <w:pStyle w:val="BoxListBullet"/>
              <w:keepLines/>
              <w:widowControl w:val="0"/>
            </w:pPr>
            <w:r w:rsidRPr="00C52C8A">
              <w:t>the number of escapes from a youth justice detention centre, as a proportion of all young people in custody</w:t>
            </w:r>
          </w:p>
          <w:p w14:paraId="6B50DF93" w14:textId="77777777" w:rsidR="000A060F" w:rsidRPr="00C52C8A" w:rsidRDefault="000A060F" w:rsidP="000A060F">
            <w:pPr>
              <w:pStyle w:val="BoxListBullet"/>
            </w:pPr>
            <w:r w:rsidRPr="00C52C8A">
              <w:t>the number of escapes during periods of escorted movement, as a proportion of all periods of escorted movement.</w:t>
            </w:r>
          </w:p>
          <w:p w14:paraId="495CDC7F" w14:textId="77777777" w:rsidR="00C82D29" w:rsidRPr="00C52C8A" w:rsidRDefault="000A060F" w:rsidP="00C82D29">
            <w:pPr>
              <w:pStyle w:val="Box"/>
              <w:keepLines/>
            </w:pPr>
            <w:r w:rsidRPr="00C52C8A">
              <w:t>An escape from a youth justice detention centre is defined as a breach of a secure perimeter or defined boundary of a detention centre</w:t>
            </w:r>
            <w:r w:rsidR="0040398C" w:rsidRPr="00C52C8A">
              <w:t>,</w:t>
            </w:r>
            <w:r w:rsidRPr="00C52C8A">
              <w:t xml:space="preserve"> by a young person under the supervision of the centre.</w:t>
            </w:r>
            <w:r w:rsidR="00C82D29" w:rsidRPr="00C52C8A">
              <w:t xml:space="preserve"> </w:t>
            </w:r>
          </w:p>
          <w:p w14:paraId="5437435E" w14:textId="0A83D758" w:rsidR="00C82D29" w:rsidRPr="00C52C8A" w:rsidRDefault="00C82D29" w:rsidP="00C82D29">
            <w:pPr>
              <w:pStyle w:val="Box"/>
              <w:keepLines/>
            </w:pPr>
            <w:r w:rsidRPr="00C52C8A">
              <w:t xml:space="preserve">A period of escorted movement is defined as a period of time during which a young person is in the custody of the youth justice agency while outside a detention centre, and ends when the young person is returned to the detention centre, or is no longer in the legal or physical custody of the youth justice agency. An escape from an escorted movement is defined as the failure of a young person to remain in the custody of a supervising youth justice worker or approved service provider during a period of escorted movement. </w:t>
            </w:r>
          </w:p>
          <w:p w14:paraId="67205167" w14:textId="77777777" w:rsidR="00C82D29" w:rsidRPr="00C52C8A" w:rsidRDefault="00C82D29" w:rsidP="00C82D29">
            <w:pPr>
              <w:pStyle w:val="Box"/>
              <w:keepLines/>
            </w:pPr>
            <w:r w:rsidRPr="00C52C8A">
              <w:t xml:space="preserve">An escape is counted each time a young person </w:t>
            </w:r>
            <w:proofErr w:type="gramStart"/>
            <w:r w:rsidRPr="00C52C8A">
              <w:t>escapes</w:t>
            </w:r>
            <w:proofErr w:type="gramEnd"/>
            <w:r w:rsidRPr="00C52C8A">
              <w:t>. For example, if a young person escapes three times during the year, three escapes are recorded. If three young people escape at the same time, three escapes are recorded.</w:t>
            </w:r>
          </w:p>
          <w:p w14:paraId="5DDFB79B" w14:textId="77777777" w:rsidR="00C82D29" w:rsidRPr="00C52C8A" w:rsidRDefault="00C82D29" w:rsidP="00C82D29">
            <w:pPr>
              <w:pStyle w:val="Box"/>
              <w:keepLines/>
            </w:pPr>
            <w:r w:rsidRPr="00C52C8A">
              <w:t>A zero or decreasing rate of escapes is desirable.</w:t>
            </w:r>
          </w:p>
          <w:p w14:paraId="6A939151" w14:textId="77777777" w:rsidR="00C82D29" w:rsidRPr="00C52C8A" w:rsidRDefault="00C82D29" w:rsidP="00C82D29">
            <w:pPr>
              <w:pStyle w:val="Box"/>
              <w:keepLines/>
            </w:pPr>
            <w:r w:rsidRPr="00C52C8A">
              <w:t>Data reported for these measures are:</w:t>
            </w:r>
          </w:p>
          <w:p w14:paraId="3A3AD2BA" w14:textId="77777777" w:rsidR="00C82D29" w:rsidRPr="00C52C8A" w:rsidRDefault="00C82D29" w:rsidP="00C82D29">
            <w:pPr>
              <w:pStyle w:val="Box"/>
              <w:ind w:left="284"/>
            </w:pPr>
            <w:r w:rsidRPr="00C52C8A">
              <w:rPr>
                <w:shd w:val="clear" w:color="auto" w:fill="F15A25"/>
              </w:rPr>
              <w:t xml:space="preserve">    </w:t>
            </w:r>
            <w:r w:rsidRPr="00C52C8A">
              <w:t xml:space="preserve"> comparable (subject to caveats) across jurisdictions and over time</w:t>
            </w:r>
          </w:p>
          <w:p w14:paraId="7F6955D0" w14:textId="6A04ABCB" w:rsidR="00E712E3" w:rsidRDefault="00C82D29" w:rsidP="00CE7AB7">
            <w:pPr>
              <w:pStyle w:val="Box"/>
              <w:ind w:left="284"/>
            </w:pPr>
            <w:r w:rsidRPr="00C52C8A">
              <w:rPr>
                <w:shd w:val="clear" w:color="auto" w:fill="F15A25"/>
              </w:rPr>
              <w:t xml:space="preserve">    </w:t>
            </w:r>
            <w:r w:rsidRPr="00C52C8A">
              <w:t xml:space="preserve"> complete </w:t>
            </w:r>
            <w:r w:rsidR="009A4756" w:rsidRPr="00C52C8A">
              <w:t xml:space="preserve">(subject to caveats) </w:t>
            </w:r>
            <w:r w:rsidRPr="00C52C8A">
              <w:t xml:space="preserve">for the current reporting </w:t>
            </w:r>
            <w:r w:rsidRPr="00156983">
              <w:t>period</w:t>
            </w:r>
            <w:r w:rsidR="00E712E3" w:rsidRPr="00156983">
              <w:t xml:space="preserve"> for escapes from a youth justice detention</w:t>
            </w:r>
            <w:r w:rsidR="000A2D8A" w:rsidRPr="00156983">
              <w:t xml:space="preserve"> centre</w:t>
            </w:r>
            <w:r w:rsidRPr="00156983">
              <w:t xml:space="preserve">. All required </w:t>
            </w:r>
            <w:r w:rsidR="009D0A7F" w:rsidRPr="00156983">
              <w:t>2019</w:t>
            </w:r>
            <w:r w:rsidR="009D0A7F" w:rsidRPr="00156983">
              <w:noBreakHyphen/>
              <w:t xml:space="preserve">20 </w:t>
            </w:r>
            <w:r w:rsidRPr="00156983">
              <w:t>data are available</w:t>
            </w:r>
            <w:r w:rsidRPr="00C52C8A">
              <w:t xml:space="preserve"> for all jurisdictions</w:t>
            </w:r>
          </w:p>
          <w:p w14:paraId="5394D4C5" w14:textId="1DDD300E" w:rsidR="000A060F" w:rsidRPr="00C52C8A" w:rsidRDefault="00E712E3" w:rsidP="002A37D7">
            <w:pPr>
              <w:pStyle w:val="Box"/>
              <w:ind w:left="284"/>
            </w:pPr>
            <w:r w:rsidRPr="00C52C8A">
              <w:rPr>
                <w:shd w:val="clear" w:color="auto" w:fill="FCDED3"/>
              </w:rPr>
              <w:t xml:space="preserve">    </w:t>
            </w:r>
            <w:r w:rsidRPr="00C52C8A">
              <w:t xml:space="preserve"> </w:t>
            </w:r>
            <w:r w:rsidRPr="00156983">
              <w:t>incomplete for the current reporting period for escapes from escorted movements. Data for 2019</w:t>
            </w:r>
            <w:r w:rsidRPr="00156983">
              <w:noBreakHyphen/>
              <w:t xml:space="preserve">20 </w:t>
            </w:r>
            <w:r w:rsidR="002A37D7" w:rsidRPr="00156983">
              <w:t>are</w:t>
            </w:r>
            <w:r w:rsidRPr="00156983">
              <w:t xml:space="preserve"> not </w:t>
            </w:r>
            <w:r w:rsidR="002A37D7" w:rsidRPr="00156983">
              <w:t>published</w:t>
            </w:r>
            <w:r w:rsidRPr="00156983">
              <w:t xml:space="preserve"> for Tasmania.</w:t>
            </w:r>
            <w:r>
              <w:t xml:space="preserve"> </w:t>
            </w:r>
          </w:p>
        </w:tc>
      </w:tr>
      <w:tr w:rsidR="000A060F" w:rsidRPr="00C52C8A" w14:paraId="2F5E7F3F" w14:textId="77777777" w:rsidTr="00301F3E">
        <w:tc>
          <w:tcPr>
            <w:tcW w:w="5000" w:type="pct"/>
            <w:tcBorders>
              <w:top w:val="nil"/>
              <w:left w:val="nil"/>
              <w:bottom w:val="single" w:sz="6" w:space="0" w:color="78A22F"/>
              <w:right w:val="nil"/>
            </w:tcBorders>
            <w:shd w:val="clear" w:color="auto" w:fill="F2F2F2"/>
          </w:tcPr>
          <w:p w14:paraId="72E752C0" w14:textId="77777777" w:rsidR="000A060F" w:rsidRPr="00C52C8A" w:rsidRDefault="000A060F">
            <w:pPr>
              <w:pStyle w:val="Box"/>
              <w:spacing w:before="0" w:line="120" w:lineRule="exact"/>
            </w:pPr>
          </w:p>
        </w:tc>
      </w:tr>
      <w:tr w:rsidR="000A060F" w:rsidRPr="00C52C8A" w14:paraId="731079D5" w14:textId="77777777" w:rsidTr="00301F3E">
        <w:tc>
          <w:tcPr>
            <w:tcW w:w="5000" w:type="pct"/>
            <w:tcBorders>
              <w:top w:val="single" w:sz="6" w:space="0" w:color="78A22F"/>
              <w:left w:val="nil"/>
              <w:bottom w:val="nil"/>
              <w:right w:val="nil"/>
            </w:tcBorders>
          </w:tcPr>
          <w:p w14:paraId="57445227" w14:textId="16CEA817" w:rsidR="000A060F" w:rsidRPr="002E39DF" w:rsidRDefault="000A060F" w:rsidP="00301F3E">
            <w:pPr>
              <w:pStyle w:val="BoxSpaceBelow"/>
            </w:pPr>
          </w:p>
        </w:tc>
      </w:tr>
    </w:tbl>
    <w:p w14:paraId="010A5786" w14:textId="5F13D60F" w:rsidR="00F45D78" w:rsidRDefault="00F476C6" w:rsidP="00787194">
      <w:pPr>
        <w:pStyle w:val="BodyText"/>
        <w:widowControl w:val="0"/>
      </w:pPr>
      <w:r w:rsidRPr="00C52C8A">
        <w:t>Nationally</w:t>
      </w:r>
      <w:r w:rsidR="00065EC2" w:rsidRPr="00C52C8A">
        <w:t xml:space="preserve"> in </w:t>
      </w:r>
      <w:r w:rsidR="009D0A7F" w:rsidRPr="00C52C8A">
        <w:t>201</w:t>
      </w:r>
      <w:r w:rsidR="009D0A7F">
        <w:t>9</w:t>
      </w:r>
      <w:r w:rsidR="009D0A7F" w:rsidRPr="00C52C8A">
        <w:noBreakHyphen/>
      </w:r>
      <w:r w:rsidR="009D0A7F">
        <w:t>20</w:t>
      </w:r>
      <w:r w:rsidRPr="00C52C8A">
        <w:t xml:space="preserve">, </w:t>
      </w:r>
      <w:r w:rsidRPr="00156983">
        <w:t xml:space="preserve">there </w:t>
      </w:r>
      <w:r w:rsidR="0027040E" w:rsidRPr="00156983">
        <w:t xml:space="preserve">was </w:t>
      </w:r>
      <w:r w:rsidR="00312326" w:rsidRPr="00156983">
        <w:t>1</w:t>
      </w:r>
      <w:r w:rsidRPr="00156983">
        <w:t xml:space="preserve"> </w:t>
      </w:r>
      <w:r w:rsidR="00787194" w:rsidRPr="00156983">
        <w:t xml:space="preserve">escape from youth detention </w:t>
      </w:r>
      <w:bookmarkStart w:id="47" w:name="OLE_LINK94"/>
      <w:r w:rsidR="00787194" w:rsidRPr="00156983">
        <w:t>(table</w:t>
      </w:r>
      <w:bookmarkEnd w:id="47"/>
      <w:r w:rsidR="005B0070" w:rsidRPr="00156983">
        <w:t> </w:t>
      </w:r>
      <w:r w:rsidR="00B27E61" w:rsidRPr="00156983">
        <w:t>17.5</w:t>
      </w:r>
      <w:r w:rsidR="00787194" w:rsidRPr="00156983">
        <w:t>)</w:t>
      </w:r>
      <w:r w:rsidR="0049255A" w:rsidRPr="00156983">
        <w:t>. Nationally (excluding Tasmania), there were</w:t>
      </w:r>
      <w:r w:rsidR="004D6A1E" w:rsidRPr="00156983">
        <w:t xml:space="preserve"> </w:t>
      </w:r>
      <w:r w:rsidR="00312326" w:rsidRPr="00156983">
        <w:t>6</w:t>
      </w:r>
      <w:r w:rsidR="00C82D29" w:rsidRPr="00156983">
        <w:t> </w:t>
      </w:r>
      <w:r w:rsidR="00065EC2" w:rsidRPr="00156983">
        <w:t>escapes</w:t>
      </w:r>
      <w:r w:rsidR="00065EC2" w:rsidRPr="00C52C8A">
        <w:t xml:space="preserve"> from escort</w:t>
      </w:r>
      <w:r w:rsidR="00722ED6" w:rsidRPr="00C52C8A">
        <w:t>ed movements</w:t>
      </w:r>
      <w:r w:rsidR="00307274" w:rsidRPr="00C52C8A">
        <w:t xml:space="preserve"> </w:t>
      </w:r>
      <w:r w:rsidR="00787194" w:rsidRPr="00C52C8A">
        <w:t>(table</w:t>
      </w:r>
      <w:r w:rsidR="005B0070">
        <w:t> </w:t>
      </w:r>
      <w:r w:rsidR="00787194" w:rsidRPr="00C52C8A">
        <w:t>17</w:t>
      </w:r>
      <w:r w:rsidR="0074386C" w:rsidRPr="00C52C8A">
        <w:t>A.</w:t>
      </w:r>
      <w:r w:rsidR="005374A3" w:rsidRPr="00C52C8A">
        <w:t>2</w:t>
      </w:r>
      <w:r w:rsidR="00C32D9A">
        <w:t>2</w:t>
      </w:r>
      <w:r w:rsidR="00787194" w:rsidRPr="00C52C8A">
        <w:t>).</w:t>
      </w:r>
    </w:p>
    <w:p w14:paraId="1C078915" w14:textId="77777777" w:rsidR="00F45D78" w:rsidRDefault="00F45D78">
      <w:pPr>
        <w:rPr>
          <w:szCs w:val="20"/>
        </w:rPr>
      </w:pPr>
      <w:r>
        <w:br w:type="page"/>
      </w:r>
    </w:p>
    <w:p w14:paraId="04CC5EF7" w14:textId="29F0D2AB" w:rsidR="00787194" w:rsidRPr="002E39DF" w:rsidRDefault="00787194" w:rsidP="00787194">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87194" w:rsidRPr="00C52C8A" w14:paraId="22F3D0E7" w14:textId="77777777" w:rsidTr="00DE63E6">
        <w:tc>
          <w:tcPr>
            <w:tcW w:w="8789" w:type="dxa"/>
            <w:tcBorders>
              <w:top w:val="single" w:sz="6" w:space="0" w:color="78A22F" w:themeColor="accent1"/>
              <w:left w:val="nil"/>
              <w:bottom w:val="nil"/>
              <w:right w:val="nil"/>
            </w:tcBorders>
            <w:shd w:val="clear" w:color="auto" w:fill="auto"/>
          </w:tcPr>
          <w:p w14:paraId="2F63CE73" w14:textId="22BE8666" w:rsidR="00787194" w:rsidRPr="00C52C8A" w:rsidRDefault="00787194" w:rsidP="00CE7AB7">
            <w:pPr>
              <w:pStyle w:val="TableTitle"/>
            </w:pPr>
            <w:r w:rsidRPr="00C52C8A">
              <w:rPr>
                <w:b w:val="0"/>
              </w:rPr>
              <w:t>Table</w:t>
            </w:r>
            <w:r w:rsidR="00FB7AF9" w:rsidRPr="00C52C8A">
              <w:rPr>
                <w:b w:val="0"/>
              </w:rPr>
              <w:t xml:space="preserve"> </w:t>
            </w:r>
            <w:bookmarkStart w:id="48" w:name="OLE_LINK40"/>
            <w:r w:rsidR="00C87A43">
              <w:rPr>
                <w:b w:val="0"/>
              </w:rPr>
              <w:t>17.</w:t>
            </w:r>
            <w:r w:rsidR="00AF64D0">
              <w:rPr>
                <w:b w:val="0"/>
                <w:noProof/>
              </w:rPr>
              <w:t>5</w:t>
            </w:r>
            <w:bookmarkEnd w:id="48"/>
            <w:r w:rsidRPr="00C52C8A">
              <w:tab/>
              <w:t>N</w:t>
            </w:r>
            <w:r w:rsidRPr="00C52C8A">
              <w:rPr>
                <w:bCs/>
              </w:rPr>
              <w:t>umber and rate of escapes from youth justice detention centres, by Indigenous status, 201</w:t>
            </w:r>
            <w:r w:rsidR="00736D8E">
              <w:rPr>
                <w:bCs/>
              </w:rPr>
              <w:t>9</w:t>
            </w:r>
            <w:r w:rsidR="00F4592C" w:rsidRPr="00C52C8A">
              <w:rPr>
                <w:bCs/>
              </w:rPr>
              <w:noBreakHyphen/>
            </w:r>
            <w:r w:rsidR="00736D8E">
              <w:rPr>
                <w:bCs/>
              </w:rPr>
              <w:t>20</w:t>
            </w:r>
            <w:r w:rsidRPr="00C52C8A">
              <w:rPr>
                <w:rStyle w:val="NoteLabel"/>
                <w:b/>
              </w:rPr>
              <w:t>a</w:t>
            </w:r>
          </w:p>
        </w:tc>
      </w:tr>
      <w:tr w:rsidR="00DE63E6" w:rsidRPr="00C52C8A" w14:paraId="24E07A07" w14:textId="77777777" w:rsidTr="00DE63E6">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63E6" w:rsidRPr="00C52C8A" w14:paraId="301F9F12" w14:textId="77777777" w:rsidTr="0023650C">
              <w:tc>
                <w:tcPr>
                  <w:tcW w:w="304" w:type="dxa"/>
                  <w:tcBorders>
                    <w:top w:val="nil"/>
                    <w:left w:val="nil"/>
                    <w:bottom w:val="nil"/>
                    <w:right w:val="nil"/>
                  </w:tcBorders>
                  <w:shd w:val="clear" w:color="auto" w:fill="auto"/>
                  <w:tcMar>
                    <w:top w:w="28" w:type="dxa"/>
                    <w:bottom w:w="28" w:type="dxa"/>
                  </w:tcMar>
                </w:tcPr>
                <w:p w14:paraId="24CED0BC"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D2A72B2" w14:textId="77777777" w:rsidR="00DE63E6" w:rsidRPr="00C52C8A" w:rsidRDefault="00DE63E6" w:rsidP="0023650C">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07EEB8F" w14:textId="4C42D0A2" w:rsidR="00DE63E6" w:rsidRPr="00C52C8A" w:rsidRDefault="00DE63E6" w:rsidP="0081112C">
                  <w:pPr>
                    <w:pStyle w:val="TableBodyText"/>
                    <w:jc w:val="left"/>
                  </w:pPr>
                  <w:r w:rsidRPr="00C52C8A">
                    <w:t xml:space="preserve">Data are </w:t>
                  </w:r>
                  <w:r w:rsidR="0023650C" w:rsidRPr="00C52C8A">
                    <w:t>comparable (subject to caveats) across jurisdictions</w:t>
                  </w:r>
                  <w:r w:rsidRPr="00C52C8A">
                    <w:t>.</w:t>
                  </w:r>
                </w:p>
              </w:tc>
            </w:tr>
            <w:tr w:rsidR="00DE63E6" w:rsidRPr="00C52C8A" w14:paraId="29D0189C" w14:textId="77777777" w:rsidTr="00CC3E5F">
              <w:tc>
                <w:tcPr>
                  <w:tcW w:w="304" w:type="dxa"/>
                  <w:tcBorders>
                    <w:top w:val="nil"/>
                    <w:left w:val="nil"/>
                    <w:bottom w:val="nil"/>
                    <w:right w:val="nil"/>
                  </w:tcBorders>
                  <w:shd w:val="clear" w:color="auto" w:fill="auto"/>
                  <w:tcMar>
                    <w:top w:w="28" w:type="dxa"/>
                    <w:bottom w:w="28" w:type="dxa"/>
                  </w:tcMar>
                </w:tcPr>
                <w:p w14:paraId="48265260"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13308BE" w14:textId="77777777" w:rsidR="00DE63E6" w:rsidRPr="00C52C8A"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DE308AA" w14:textId="48283467" w:rsidR="00DE63E6" w:rsidRPr="00C52C8A" w:rsidRDefault="00DE63E6" w:rsidP="00EF49AD">
                  <w:pPr>
                    <w:pStyle w:val="TableBodyText"/>
                    <w:jc w:val="left"/>
                  </w:pPr>
                  <w:r w:rsidRPr="00C52C8A">
                    <w:t xml:space="preserve">Data are complete (subject to caveats) for the current reporting period. </w:t>
                  </w:r>
                </w:p>
              </w:tc>
            </w:tr>
          </w:tbl>
          <w:p w14:paraId="545D9315" w14:textId="77777777" w:rsidR="00DE63E6" w:rsidRPr="00C52C8A" w:rsidRDefault="00DE63E6" w:rsidP="00DE63E6">
            <w:pPr>
              <w:pStyle w:val="TableTitle"/>
              <w:rPr>
                <w:b w:val="0"/>
              </w:rPr>
            </w:pPr>
          </w:p>
        </w:tc>
      </w:tr>
      <w:tr w:rsidR="00787194" w:rsidRPr="00C52C8A" w14:paraId="58DF9ABA" w14:textId="77777777" w:rsidTr="000A060F">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10"/>
              <w:gridCol w:w="601"/>
              <w:gridCol w:w="601"/>
              <w:gridCol w:w="600"/>
              <w:gridCol w:w="599"/>
              <w:gridCol w:w="600"/>
              <w:gridCol w:w="600"/>
              <w:gridCol w:w="599"/>
              <w:gridCol w:w="600"/>
              <w:gridCol w:w="595"/>
            </w:tblGrid>
            <w:tr w:rsidR="00787194" w:rsidRPr="00C52C8A" w14:paraId="3D31BC82" w14:textId="77777777" w:rsidTr="00110A6E">
              <w:tc>
                <w:tcPr>
                  <w:tcW w:w="1828" w:type="pct"/>
                  <w:tcBorders>
                    <w:top w:val="single" w:sz="6" w:space="0" w:color="BFBFBF"/>
                    <w:bottom w:val="single" w:sz="6" w:space="0" w:color="BFBFBF"/>
                  </w:tcBorders>
                </w:tcPr>
                <w:p w14:paraId="7EA1EE2A" w14:textId="77777777" w:rsidR="00787194" w:rsidRPr="00C52C8A" w:rsidRDefault="00787194" w:rsidP="00EA0897">
                  <w:pPr>
                    <w:pStyle w:val="TableUnitsRow"/>
                    <w:jc w:val="left"/>
                  </w:pPr>
                </w:p>
              </w:tc>
              <w:tc>
                <w:tcPr>
                  <w:tcW w:w="353" w:type="pct"/>
                  <w:tcBorders>
                    <w:top w:val="single" w:sz="6" w:space="0" w:color="BFBFBF"/>
                    <w:bottom w:val="single" w:sz="6" w:space="0" w:color="BFBFBF"/>
                  </w:tcBorders>
                </w:tcPr>
                <w:p w14:paraId="253ACB51" w14:textId="77777777" w:rsidR="00787194" w:rsidRPr="00C52C8A" w:rsidRDefault="00787194" w:rsidP="00EA0897">
                  <w:pPr>
                    <w:pStyle w:val="TableColumnHeading"/>
                  </w:pPr>
                  <w:r w:rsidRPr="00C52C8A">
                    <w:t>NSW</w:t>
                  </w:r>
                </w:p>
              </w:tc>
              <w:tc>
                <w:tcPr>
                  <w:tcW w:w="353" w:type="pct"/>
                  <w:tcBorders>
                    <w:top w:val="single" w:sz="6" w:space="0" w:color="BFBFBF"/>
                    <w:bottom w:val="single" w:sz="6" w:space="0" w:color="BFBFBF"/>
                  </w:tcBorders>
                </w:tcPr>
                <w:p w14:paraId="5B969CA5" w14:textId="77777777" w:rsidR="00787194" w:rsidRPr="00C52C8A" w:rsidRDefault="00787194" w:rsidP="00EA0897">
                  <w:pPr>
                    <w:pStyle w:val="TableColumnHeading"/>
                  </w:pPr>
                  <w:r w:rsidRPr="00C52C8A">
                    <w:t>Vic</w:t>
                  </w:r>
                </w:p>
              </w:tc>
              <w:tc>
                <w:tcPr>
                  <w:tcW w:w="353" w:type="pct"/>
                  <w:tcBorders>
                    <w:top w:val="single" w:sz="6" w:space="0" w:color="BFBFBF"/>
                    <w:bottom w:val="single" w:sz="6" w:space="0" w:color="BFBFBF"/>
                  </w:tcBorders>
                </w:tcPr>
                <w:p w14:paraId="3C0444F3" w14:textId="77777777" w:rsidR="00787194" w:rsidRPr="00C52C8A" w:rsidRDefault="00787194" w:rsidP="00EA0897">
                  <w:pPr>
                    <w:pStyle w:val="TableColumnHeading"/>
                  </w:pPr>
                  <w:r w:rsidRPr="00C52C8A">
                    <w:t>Qld</w:t>
                  </w:r>
                </w:p>
              </w:tc>
              <w:tc>
                <w:tcPr>
                  <w:tcW w:w="352" w:type="pct"/>
                  <w:tcBorders>
                    <w:top w:val="single" w:sz="6" w:space="0" w:color="BFBFBF"/>
                    <w:bottom w:val="single" w:sz="6" w:space="0" w:color="BFBFBF"/>
                  </w:tcBorders>
                </w:tcPr>
                <w:p w14:paraId="0AD60468" w14:textId="77777777" w:rsidR="00787194" w:rsidRPr="00C52C8A" w:rsidRDefault="00787194" w:rsidP="00EA0897">
                  <w:pPr>
                    <w:pStyle w:val="TableColumnHeading"/>
                  </w:pPr>
                  <w:r w:rsidRPr="00C52C8A">
                    <w:t>WA</w:t>
                  </w:r>
                </w:p>
              </w:tc>
              <w:tc>
                <w:tcPr>
                  <w:tcW w:w="353" w:type="pct"/>
                  <w:tcBorders>
                    <w:top w:val="single" w:sz="6" w:space="0" w:color="BFBFBF"/>
                    <w:bottom w:val="single" w:sz="6" w:space="0" w:color="BFBFBF"/>
                  </w:tcBorders>
                </w:tcPr>
                <w:p w14:paraId="4F73D35C" w14:textId="77777777" w:rsidR="00787194" w:rsidRPr="00C52C8A" w:rsidRDefault="00787194" w:rsidP="00EA0897">
                  <w:pPr>
                    <w:pStyle w:val="TableColumnHeading"/>
                  </w:pPr>
                  <w:r w:rsidRPr="00C52C8A">
                    <w:t>SA</w:t>
                  </w:r>
                </w:p>
              </w:tc>
              <w:tc>
                <w:tcPr>
                  <w:tcW w:w="353" w:type="pct"/>
                  <w:tcBorders>
                    <w:top w:val="single" w:sz="6" w:space="0" w:color="BFBFBF"/>
                    <w:bottom w:val="single" w:sz="6" w:space="0" w:color="BFBFBF"/>
                  </w:tcBorders>
                </w:tcPr>
                <w:p w14:paraId="29805880" w14:textId="77777777" w:rsidR="00787194" w:rsidRPr="00C52C8A" w:rsidRDefault="00787194" w:rsidP="00EA0897">
                  <w:pPr>
                    <w:pStyle w:val="TableColumnHeading"/>
                  </w:pPr>
                  <w:r w:rsidRPr="00C52C8A">
                    <w:t>Tas</w:t>
                  </w:r>
                </w:p>
              </w:tc>
              <w:tc>
                <w:tcPr>
                  <w:tcW w:w="352" w:type="pct"/>
                  <w:tcBorders>
                    <w:top w:val="single" w:sz="6" w:space="0" w:color="BFBFBF"/>
                    <w:bottom w:val="single" w:sz="6" w:space="0" w:color="BFBFBF"/>
                  </w:tcBorders>
                </w:tcPr>
                <w:p w14:paraId="3BCFE571" w14:textId="77777777" w:rsidR="00787194" w:rsidRPr="00C52C8A" w:rsidRDefault="00787194" w:rsidP="00EA0897">
                  <w:pPr>
                    <w:pStyle w:val="TableColumnHeading"/>
                  </w:pPr>
                  <w:r w:rsidRPr="00C52C8A">
                    <w:t>ACT</w:t>
                  </w:r>
                </w:p>
              </w:tc>
              <w:tc>
                <w:tcPr>
                  <w:tcW w:w="353" w:type="pct"/>
                  <w:tcBorders>
                    <w:top w:val="single" w:sz="6" w:space="0" w:color="BFBFBF"/>
                    <w:bottom w:val="single" w:sz="6" w:space="0" w:color="BFBFBF"/>
                  </w:tcBorders>
                </w:tcPr>
                <w:p w14:paraId="31A1E9B5" w14:textId="77777777" w:rsidR="00787194" w:rsidRPr="00C52C8A" w:rsidRDefault="00787194" w:rsidP="00EA0897">
                  <w:pPr>
                    <w:pStyle w:val="TableColumnHeading"/>
                  </w:pPr>
                  <w:r w:rsidRPr="00C52C8A">
                    <w:t>NT</w:t>
                  </w:r>
                </w:p>
              </w:tc>
              <w:tc>
                <w:tcPr>
                  <w:tcW w:w="350" w:type="pct"/>
                  <w:tcBorders>
                    <w:top w:val="single" w:sz="6" w:space="0" w:color="BFBFBF"/>
                    <w:bottom w:val="single" w:sz="6" w:space="0" w:color="BFBFBF"/>
                  </w:tcBorders>
                </w:tcPr>
                <w:p w14:paraId="2B8F8D70" w14:textId="77777777" w:rsidR="00787194" w:rsidRPr="00C52C8A" w:rsidRDefault="00787194" w:rsidP="00EA0897">
                  <w:pPr>
                    <w:pStyle w:val="TableColumnHeading"/>
                  </w:pPr>
                  <w:r w:rsidRPr="00C52C8A">
                    <w:t>Aust</w:t>
                  </w:r>
                </w:p>
              </w:tc>
            </w:tr>
            <w:tr w:rsidR="00110A6E" w:rsidRPr="00C52C8A" w14:paraId="2CCF2184" w14:textId="77777777" w:rsidTr="00110A6E">
              <w:tc>
                <w:tcPr>
                  <w:tcW w:w="5000" w:type="pct"/>
                  <w:gridSpan w:val="10"/>
                  <w:tcBorders>
                    <w:top w:val="single" w:sz="6" w:space="0" w:color="BFBFBF"/>
                  </w:tcBorders>
                </w:tcPr>
                <w:p w14:paraId="3D9589AA" w14:textId="4DEE0BB5" w:rsidR="00110A6E" w:rsidRPr="00C52C8A" w:rsidRDefault="00110A6E" w:rsidP="00110A6E">
                  <w:pPr>
                    <w:pStyle w:val="TableBodyText"/>
                    <w:ind w:right="28"/>
                    <w:jc w:val="left"/>
                  </w:pPr>
                  <w:r w:rsidRPr="00C52C8A">
                    <w:rPr>
                      <w:b/>
                    </w:rPr>
                    <w:t>Number of escapes</w:t>
                  </w:r>
                </w:p>
              </w:tc>
            </w:tr>
            <w:tr w:rsidR="00312326" w:rsidRPr="00C52C8A" w14:paraId="183D3988" w14:textId="77777777" w:rsidTr="00110A6E">
              <w:tc>
                <w:tcPr>
                  <w:tcW w:w="1828" w:type="pct"/>
                  <w:shd w:val="clear" w:color="auto" w:fill="auto"/>
                </w:tcPr>
                <w:p w14:paraId="214587DE" w14:textId="77777777" w:rsidR="00312326" w:rsidRPr="00C52C8A" w:rsidRDefault="00312326" w:rsidP="00312326">
                  <w:pPr>
                    <w:pStyle w:val="TableBodyText"/>
                    <w:jc w:val="left"/>
                  </w:pPr>
                  <w:r w:rsidRPr="00C52C8A">
                    <w:t>Aboriginal and Torres Strait Islander</w:t>
                  </w:r>
                </w:p>
              </w:tc>
              <w:tc>
                <w:tcPr>
                  <w:tcW w:w="353" w:type="pct"/>
                  <w:shd w:val="clear" w:color="auto" w:fill="auto"/>
                  <w:vAlign w:val="center"/>
                </w:tcPr>
                <w:p w14:paraId="037A0AFF" w14:textId="510D1CF2" w:rsidR="00312326" w:rsidRPr="00C52C8A" w:rsidRDefault="00312326" w:rsidP="00312326">
                  <w:pPr>
                    <w:pStyle w:val="TableBodyText"/>
                  </w:pPr>
                  <w:r>
                    <w:rPr>
                      <w:rFonts w:cs="Arial"/>
                      <w:sz w:val="20"/>
                    </w:rPr>
                    <w:t>–</w:t>
                  </w:r>
                </w:p>
              </w:tc>
              <w:tc>
                <w:tcPr>
                  <w:tcW w:w="353" w:type="pct"/>
                  <w:vAlign w:val="center"/>
                </w:tcPr>
                <w:p w14:paraId="7C0486B7" w14:textId="7F1C4CF9" w:rsidR="00312326" w:rsidRPr="00C52C8A" w:rsidRDefault="00312326" w:rsidP="00312326">
                  <w:pPr>
                    <w:pStyle w:val="TableBodyText"/>
                  </w:pPr>
                  <w:r>
                    <w:rPr>
                      <w:rFonts w:cs="Arial"/>
                      <w:sz w:val="20"/>
                    </w:rPr>
                    <w:t>–</w:t>
                  </w:r>
                </w:p>
              </w:tc>
              <w:tc>
                <w:tcPr>
                  <w:tcW w:w="353" w:type="pct"/>
                  <w:vAlign w:val="center"/>
                </w:tcPr>
                <w:p w14:paraId="54B10F84" w14:textId="7BC1DD39" w:rsidR="00312326" w:rsidRPr="00C52C8A" w:rsidRDefault="00312326" w:rsidP="00312326">
                  <w:pPr>
                    <w:pStyle w:val="TableBodyText"/>
                  </w:pPr>
                  <w:r>
                    <w:rPr>
                      <w:rFonts w:cs="Arial"/>
                      <w:sz w:val="20"/>
                    </w:rPr>
                    <w:t>–</w:t>
                  </w:r>
                </w:p>
              </w:tc>
              <w:tc>
                <w:tcPr>
                  <w:tcW w:w="352" w:type="pct"/>
                  <w:vAlign w:val="center"/>
                </w:tcPr>
                <w:p w14:paraId="27AD30AB" w14:textId="5750BBC8" w:rsidR="00312326" w:rsidRPr="00C52C8A" w:rsidRDefault="00312326" w:rsidP="00312326">
                  <w:pPr>
                    <w:pStyle w:val="TableBodyText"/>
                  </w:pPr>
                  <w:r>
                    <w:rPr>
                      <w:rFonts w:cs="Arial"/>
                      <w:sz w:val="20"/>
                    </w:rPr>
                    <w:t>–</w:t>
                  </w:r>
                </w:p>
              </w:tc>
              <w:tc>
                <w:tcPr>
                  <w:tcW w:w="353" w:type="pct"/>
                  <w:vAlign w:val="center"/>
                </w:tcPr>
                <w:p w14:paraId="3A30D14F" w14:textId="4F40CD09" w:rsidR="00312326" w:rsidRPr="00C52C8A" w:rsidRDefault="00312326" w:rsidP="00312326">
                  <w:pPr>
                    <w:pStyle w:val="TableBodyText"/>
                  </w:pPr>
                  <w:r>
                    <w:rPr>
                      <w:rFonts w:cs="Arial"/>
                      <w:sz w:val="20"/>
                    </w:rPr>
                    <w:t>–</w:t>
                  </w:r>
                </w:p>
              </w:tc>
              <w:tc>
                <w:tcPr>
                  <w:tcW w:w="353" w:type="pct"/>
                  <w:vAlign w:val="center"/>
                </w:tcPr>
                <w:p w14:paraId="7DDA9E95" w14:textId="0406A2E5" w:rsidR="00312326" w:rsidRPr="00C52C8A" w:rsidRDefault="00312326" w:rsidP="00312326">
                  <w:pPr>
                    <w:pStyle w:val="TableBodyText"/>
                  </w:pPr>
                  <w:r>
                    <w:rPr>
                      <w:rFonts w:cs="Arial"/>
                      <w:sz w:val="20"/>
                    </w:rPr>
                    <w:t>–</w:t>
                  </w:r>
                </w:p>
              </w:tc>
              <w:tc>
                <w:tcPr>
                  <w:tcW w:w="352" w:type="pct"/>
                  <w:vAlign w:val="center"/>
                </w:tcPr>
                <w:p w14:paraId="4702C6FE" w14:textId="0DA3EFC1" w:rsidR="00312326" w:rsidRPr="00C52C8A" w:rsidRDefault="00312326" w:rsidP="00312326">
                  <w:pPr>
                    <w:pStyle w:val="TableBodyText"/>
                  </w:pPr>
                  <w:r>
                    <w:rPr>
                      <w:rFonts w:cs="Arial"/>
                      <w:sz w:val="20"/>
                    </w:rPr>
                    <w:t>–</w:t>
                  </w:r>
                </w:p>
              </w:tc>
              <w:tc>
                <w:tcPr>
                  <w:tcW w:w="353" w:type="pct"/>
                  <w:vAlign w:val="center"/>
                </w:tcPr>
                <w:p w14:paraId="5098EAB2" w14:textId="65317A4E" w:rsidR="00312326" w:rsidRPr="00C52C8A" w:rsidRDefault="00312326" w:rsidP="00312326">
                  <w:pPr>
                    <w:pStyle w:val="TableBodyText"/>
                  </w:pPr>
                  <w:r>
                    <w:rPr>
                      <w:rFonts w:cs="Arial"/>
                      <w:sz w:val="20"/>
                    </w:rPr>
                    <w:t xml:space="preserve">  1</w:t>
                  </w:r>
                </w:p>
              </w:tc>
              <w:tc>
                <w:tcPr>
                  <w:tcW w:w="350" w:type="pct"/>
                  <w:shd w:val="clear" w:color="auto" w:fill="auto"/>
                  <w:vAlign w:val="center"/>
                </w:tcPr>
                <w:p w14:paraId="15708223" w14:textId="362DEF35" w:rsidR="00312326" w:rsidRPr="00C52C8A" w:rsidRDefault="00312326" w:rsidP="00312326">
                  <w:pPr>
                    <w:pStyle w:val="TableBodyText"/>
                  </w:pPr>
                  <w:r>
                    <w:rPr>
                      <w:rFonts w:cs="Arial"/>
                      <w:sz w:val="20"/>
                    </w:rPr>
                    <w:t xml:space="preserve">  1</w:t>
                  </w:r>
                </w:p>
              </w:tc>
            </w:tr>
            <w:tr w:rsidR="00312326" w:rsidRPr="00C52C8A" w14:paraId="2254B9B5" w14:textId="77777777" w:rsidTr="00110A6E">
              <w:tc>
                <w:tcPr>
                  <w:tcW w:w="1828" w:type="pct"/>
                  <w:shd w:val="clear" w:color="auto" w:fill="auto"/>
                </w:tcPr>
                <w:p w14:paraId="7FD4CE73" w14:textId="77777777" w:rsidR="00312326" w:rsidRPr="00C52C8A" w:rsidRDefault="00312326" w:rsidP="00312326">
                  <w:pPr>
                    <w:pStyle w:val="TableBodyText"/>
                    <w:jc w:val="left"/>
                  </w:pPr>
                  <w:r w:rsidRPr="00C52C8A">
                    <w:t>Non</w:t>
                  </w:r>
                  <w:r w:rsidRPr="00C52C8A">
                    <w:noBreakHyphen/>
                    <w:t>Indigenous</w:t>
                  </w:r>
                </w:p>
              </w:tc>
              <w:tc>
                <w:tcPr>
                  <w:tcW w:w="353" w:type="pct"/>
                  <w:shd w:val="clear" w:color="auto" w:fill="auto"/>
                  <w:vAlign w:val="center"/>
                </w:tcPr>
                <w:p w14:paraId="22010CE3" w14:textId="1B3E9B2C" w:rsidR="00312326" w:rsidRPr="00C52C8A" w:rsidRDefault="00312326" w:rsidP="00312326">
                  <w:pPr>
                    <w:pStyle w:val="TableBodyText"/>
                  </w:pPr>
                  <w:r>
                    <w:rPr>
                      <w:rFonts w:cs="Arial"/>
                      <w:sz w:val="20"/>
                    </w:rPr>
                    <w:t>–</w:t>
                  </w:r>
                </w:p>
              </w:tc>
              <w:tc>
                <w:tcPr>
                  <w:tcW w:w="353" w:type="pct"/>
                  <w:vAlign w:val="center"/>
                </w:tcPr>
                <w:p w14:paraId="1D5824BA" w14:textId="4BD3B56F" w:rsidR="00312326" w:rsidRPr="00C52C8A" w:rsidRDefault="00312326" w:rsidP="00312326">
                  <w:pPr>
                    <w:pStyle w:val="TableBodyText"/>
                  </w:pPr>
                  <w:r>
                    <w:rPr>
                      <w:rFonts w:cs="Arial"/>
                      <w:sz w:val="20"/>
                    </w:rPr>
                    <w:t>–</w:t>
                  </w:r>
                </w:p>
              </w:tc>
              <w:tc>
                <w:tcPr>
                  <w:tcW w:w="353" w:type="pct"/>
                  <w:vAlign w:val="center"/>
                </w:tcPr>
                <w:p w14:paraId="5985B941" w14:textId="13E443FC" w:rsidR="00312326" w:rsidRPr="00C52C8A" w:rsidRDefault="00312326" w:rsidP="00312326">
                  <w:pPr>
                    <w:pStyle w:val="TableBodyText"/>
                  </w:pPr>
                  <w:r>
                    <w:rPr>
                      <w:rFonts w:cs="Arial"/>
                      <w:sz w:val="20"/>
                    </w:rPr>
                    <w:t>–</w:t>
                  </w:r>
                </w:p>
              </w:tc>
              <w:tc>
                <w:tcPr>
                  <w:tcW w:w="352" w:type="pct"/>
                  <w:vAlign w:val="center"/>
                </w:tcPr>
                <w:p w14:paraId="7A20C99A" w14:textId="3710DA29" w:rsidR="00312326" w:rsidRPr="00C52C8A" w:rsidRDefault="00312326" w:rsidP="00312326">
                  <w:pPr>
                    <w:pStyle w:val="TableBodyText"/>
                  </w:pPr>
                  <w:r>
                    <w:rPr>
                      <w:rFonts w:cs="Arial"/>
                      <w:sz w:val="20"/>
                    </w:rPr>
                    <w:t>–</w:t>
                  </w:r>
                </w:p>
              </w:tc>
              <w:tc>
                <w:tcPr>
                  <w:tcW w:w="353" w:type="pct"/>
                  <w:vAlign w:val="center"/>
                </w:tcPr>
                <w:p w14:paraId="56E314BA" w14:textId="1C8E38E7" w:rsidR="00312326" w:rsidRPr="00C52C8A" w:rsidRDefault="00312326" w:rsidP="00312326">
                  <w:pPr>
                    <w:pStyle w:val="TableBodyText"/>
                  </w:pPr>
                  <w:r>
                    <w:rPr>
                      <w:rFonts w:cs="Arial"/>
                      <w:sz w:val="20"/>
                    </w:rPr>
                    <w:t>–</w:t>
                  </w:r>
                </w:p>
              </w:tc>
              <w:tc>
                <w:tcPr>
                  <w:tcW w:w="353" w:type="pct"/>
                  <w:vAlign w:val="center"/>
                </w:tcPr>
                <w:p w14:paraId="609F001B" w14:textId="1729BFE0" w:rsidR="00312326" w:rsidRPr="00C52C8A" w:rsidRDefault="00312326" w:rsidP="00312326">
                  <w:pPr>
                    <w:pStyle w:val="TableBodyText"/>
                  </w:pPr>
                  <w:r>
                    <w:rPr>
                      <w:rFonts w:cs="Arial"/>
                      <w:sz w:val="20"/>
                    </w:rPr>
                    <w:t>–</w:t>
                  </w:r>
                </w:p>
              </w:tc>
              <w:tc>
                <w:tcPr>
                  <w:tcW w:w="352" w:type="pct"/>
                  <w:vAlign w:val="center"/>
                </w:tcPr>
                <w:p w14:paraId="4ED3F229" w14:textId="37B2B291" w:rsidR="00312326" w:rsidRPr="00C52C8A" w:rsidRDefault="00312326" w:rsidP="00312326">
                  <w:pPr>
                    <w:pStyle w:val="TableBodyText"/>
                  </w:pPr>
                  <w:r>
                    <w:rPr>
                      <w:rFonts w:cs="Arial"/>
                      <w:sz w:val="20"/>
                    </w:rPr>
                    <w:t>–</w:t>
                  </w:r>
                </w:p>
              </w:tc>
              <w:tc>
                <w:tcPr>
                  <w:tcW w:w="353" w:type="pct"/>
                  <w:vAlign w:val="center"/>
                </w:tcPr>
                <w:p w14:paraId="33FDED61" w14:textId="5D79355F" w:rsidR="00312326" w:rsidRPr="00C52C8A" w:rsidRDefault="00312326" w:rsidP="00312326">
                  <w:pPr>
                    <w:pStyle w:val="TableBodyText"/>
                  </w:pPr>
                  <w:r>
                    <w:rPr>
                      <w:rFonts w:cs="Arial"/>
                      <w:sz w:val="20"/>
                    </w:rPr>
                    <w:t>–</w:t>
                  </w:r>
                </w:p>
              </w:tc>
              <w:tc>
                <w:tcPr>
                  <w:tcW w:w="350" w:type="pct"/>
                  <w:shd w:val="clear" w:color="auto" w:fill="auto"/>
                  <w:vAlign w:val="center"/>
                </w:tcPr>
                <w:p w14:paraId="2F887DF4" w14:textId="0E016F68" w:rsidR="00312326" w:rsidRPr="00C52C8A" w:rsidRDefault="00312326" w:rsidP="00312326">
                  <w:pPr>
                    <w:pStyle w:val="TableBodyText"/>
                  </w:pPr>
                  <w:r>
                    <w:rPr>
                      <w:rFonts w:cs="Arial"/>
                      <w:sz w:val="20"/>
                    </w:rPr>
                    <w:t>–</w:t>
                  </w:r>
                </w:p>
              </w:tc>
            </w:tr>
            <w:tr w:rsidR="00312326" w:rsidRPr="00C52C8A" w14:paraId="3663A059" w14:textId="77777777" w:rsidTr="00110A6E">
              <w:tc>
                <w:tcPr>
                  <w:tcW w:w="1828" w:type="pct"/>
                  <w:shd w:val="clear" w:color="auto" w:fill="auto"/>
                </w:tcPr>
                <w:p w14:paraId="276513D8" w14:textId="77777777" w:rsidR="00312326" w:rsidRPr="00C52C8A" w:rsidRDefault="00312326" w:rsidP="00312326">
                  <w:pPr>
                    <w:pStyle w:val="TableBodyText"/>
                    <w:jc w:val="left"/>
                    <w:rPr>
                      <w:b/>
                    </w:rPr>
                  </w:pPr>
                  <w:r w:rsidRPr="00C52C8A">
                    <w:rPr>
                      <w:b/>
                    </w:rPr>
                    <w:t>Total</w:t>
                  </w:r>
                </w:p>
              </w:tc>
              <w:tc>
                <w:tcPr>
                  <w:tcW w:w="353" w:type="pct"/>
                  <w:shd w:val="clear" w:color="auto" w:fill="auto"/>
                  <w:vAlign w:val="center"/>
                </w:tcPr>
                <w:p w14:paraId="6BB71D0F" w14:textId="681B9FDA" w:rsidR="00312326" w:rsidRPr="00C52C8A" w:rsidRDefault="00312326" w:rsidP="00312326">
                  <w:pPr>
                    <w:pStyle w:val="TableBodyText"/>
                    <w:rPr>
                      <w:b/>
                    </w:rPr>
                  </w:pPr>
                  <w:r>
                    <w:rPr>
                      <w:rFonts w:cs="Arial"/>
                      <w:b/>
                      <w:bCs/>
                      <w:sz w:val="20"/>
                    </w:rPr>
                    <w:t>–</w:t>
                  </w:r>
                </w:p>
              </w:tc>
              <w:tc>
                <w:tcPr>
                  <w:tcW w:w="353" w:type="pct"/>
                  <w:vAlign w:val="center"/>
                </w:tcPr>
                <w:p w14:paraId="6AE2AF40" w14:textId="06D05B72" w:rsidR="00312326" w:rsidRPr="00C52C8A" w:rsidRDefault="00312326" w:rsidP="00312326">
                  <w:pPr>
                    <w:pStyle w:val="TableBodyText"/>
                    <w:rPr>
                      <w:b/>
                    </w:rPr>
                  </w:pPr>
                  <w:r>
                    <w:rPr>
                      <w:rFonts w:cs="Arial"/>
                      <w:b/>
                      <w:bCs/>
                      <w:sz w:val="20"/>
                    </w:rPr>
                    <w:t>–</w:t>
                  </w:r>
                </w:p>
              </w:tc>
              <w:tc>
                <w:tcPr>
                  <w:tcW w:w="353" w:type="pct"/>
                  <w:vAlign w:val="center"/>
                </w:tcPr>
                <w:p w14:paraId="156A0C2F" w14:textId="0250D173" w:rsidR="00312326" w:rsidRPr="00C52C8A" w:rsidRDefault="00312326" w:rsidP="00312326">
                  <w:pPr>
                    <w:pStyle w:val="TableBodyText"/>
                    <w:rPr>
                      <w:b/>
                    </w:rPr>
                  </w:pPr>
                  <w:r>
                    <w:rPr>
                      <w:rFonts w:cs="Arial"/>
                      <w:b/>
                      <w:bCs/>
                      <w:sz w:val="20"/>
                    </w:rPr>
                    <w:t>–</w:t>
                  </w:r>
                </w:p>
              </w:tc>
              <w:tc>
                <w:tcPr>
                  <w:tcW w:w="352" w:type="pct"/>
                  <w:vAlign w:val="center"/>
                </w:tcPr>
                <w:p w14:paraId="20622A23" w14:textId="717FE29F" w:rsidR="00312326" w:rsidRPr="00C52C8A" w:rsidRDefault="00312326" w:rsidP="00312326">
                  <w:pPr>
                    <w:pStyle w:val="TableBodyText"/>
                    <w:rPr>
                      <w:b/>
                    </w:rPr>
                  </w:pPr>
                  <w:r>
                    <w:rPr>
                      <w:rFonts w:cs="Arial"/>
                      <w:b/>
                      <w:bCs/>
                      <w:sz w:val="20"/>
                    </w:rPr>
                    <w:t>–</w:t>
                  </w:r>
                </w:p>
              </w:tc>
              <w:tc>
                <w:tcPr>
                  <w:tcW w:w="353" w:type="pct"/>
                  <w:vAlign w:val="center"/>
                </w:tcPr>
                <w:p w14:paraId="70F749FE" w14:textId="5225D04B" w:rsidR="00312326" w:rsidRPr="00C52C8A" w:rsidRDefault="00312326" w:rsidP="00312326">
                  <w:pPr>
                    <w:pStyle w:val="TableBodyText"/>
                    <w:rPr>
                      <w:b/>
                    </w:rPr>
                  </w:pPr>
                  <w:r>
                    <w:rPr>
                      <w:rFonts w:cs="Arial"/>
                      <w:b/>
                      <w:bCs/>
                      <w:sz w:val="20"/>
                    </w:rPr>
                    <w:t>–</w:t>
                  </w:r>
                </w:p>
              </w:tc>
              <w:tc>
                <w:tcPr>
                  <w:tcW w:w="353" w:type="pct"/>
                  <w:vAlign w:val="center"/>
                </w:tcPr>
                <w:p w14:paraId="59DE87D6" w14:textId="0FB4B89F" w:rsidR="00312326" w:rsidRPr="00C52C8A" w:rsidRDefault="00312326" w:rsidP="00312326">
                  <w:pPr>
                    <w:pStyle w:val="TableBodyText"/>
                    <w:rPr>
                      <w:b/>
                    </w:rPr>
                  </w:pPr>
                  <w:r>
                    <w:rPr>
                      <w:rFonts w:cs="Arial"/>
                      <w:b/>
                      <w:bCs/>
                      <w:sz w:val="20"/>
                    </w:rPr>
                    <w:t>–</w:t>
                  </w:r>
                </w:p>
              </w:tc>
              <w:tc>
                <w:tcPr>
                  <w:tcW w:w="352" w:type="pct"/>
                  <w:vAlign w:val="center"/>
                </w:tcPr>
                <w:p w14:paraId="490E129B" w14:textId="231B6A67" w:rsidR="00312326" w:rsidRPr="00C52C8A" w:rsidRDefault="00312326" w:rsidP="00312326">
                  <w:pPr>
                    <w:pStyle w:val="TableBodyText"/>
                    <w:rPr>
                      <w:b/>
                    </w:rPr>
                  </w:pPr>
                  <w:r>
                    <w:rPr>
                      <w:rFonts w:cs="Arial"/>
                      <w:b/>
                      <w:bCs/>
                      <w:sz w:val="20"/>
                    </w:rPr>
                    <w:t>–</w:t>
                  </w:r>
                </w:p>
              </w:tc>
              <w:tc>
                <w:tcPr>
                  <w:tcW w:w="353" w:type="pct"/>
                  <w:vAlign w:val="center"/>
                </w:tcPr>
                <w:p w14:paraId="3BEC936F" w14:textId="6DCDC58F" w:rsidR="00312326" w:rsidRPr="00C52C8A" w:rsidRDefault="00312326" w:rsidP="00312326">
                  <w:pPr>
                    <w:pStyle w:val="TableBodyText"/>
                    <w:rPr>
                      <w:b/>
                    </w:rPr>
                  </w:pPr>
                  <w:r>
                    <w:rPr>
                      <w:rFonts w:cs="Arial"/>
                      <w:b/>
                      <w:bCs/>
                      <w:sz w:val="20"/>
                    </w:rPr>
                    <w:t xml:space="preserve">  1</w:t>
                  </w:r>
                </w:p>
              </w:tc>
              <w:tc>
                <w:tcPr>
                  <w:tcW w:w="350" w:type="pct"/>
                  <w:shd w:val="clear" w:color="auto" w:fill="auto"/>
                  <w:vAlign w:val="center"/>
                </w:tcPr>
                <w:p w14:paraId="7DE0DBF7" w14:textId="0A20FE7B" w:rsidR="00312326" w:rsidRPr="00C52C8A" w:rsidRDefault="00312326" w:rsidP="00312326">
                  <w:pPr>
                    <w:pStyle w:val="TableBodyText"/>
                    <w:rPr>
                      <w:b/>
                    </w:rPr>
                  </w:pPr>
                  <w:r>
                    <w:rPr>
                      <w:rFonts w:cs="Arial"/>
                      <w:b/>
                      <w:bCs/>
                      <w:sz w:val="20"/>
                    </w:rPr>
                    <w:t xml:space="preserve">  1</w:t>
                  </w:r>
                </w:p>
              </w:tc>
            </w:tr>
            <w:tr w:rsidR="00312326" w:rsidRPr="00C52C8A" w14:paraId="7328D79E" w14:textId="77777777" w:rsidTr="00110A6E">
              <w:tc>
                <w:tcPr>
                  <w:tcW w:w="1828" w:type="pct"/>
                  <w:shd w:val="clear" w:color="auto" w:fill="auto"/>
                </w:tcPr>
                <w:p w14:paraId="270B3580" w14:textId="77777777" w:rsidR="00312326" w:rsidRPr="00C52C8A" w:rsidRDefault="00312326" w:rsidP="00312326">
                  <w:pPr>
                    <w:pStyle w:val="TableBodyText"/>
                    <w:spacing w:before="40"/>
                    <w:jc w:val="left"/>
                    <w:rPr>
                      <w:b/>
                    </w:rPr>
                  </w:pPr>
                  <w:r w:rsidRPr="00C52C8A">
                    <w:rPr>
                      <w:b/>
                    </w:rPr>
                    <w:t>Rate per 10 000 custody nights</w:t>
                  </w:r>
                </w:p>
              </w:tc>
              <w:tc>
                <w:tcPr>
                  <w:tcW w:w="353" w:type="pct"/>
                  <w:shd w:val="clear" w:color="auto" w:fill="auto"/>
                  <w:vAlign w:val="center"/>
                </w:tcPr>
                <w:p w14:paraId="741027B2" w14:textId="77777777" w:rsidR="00312326" w:rsidRPr="00C52C8A" w:rsidRDefault="00312326" w:rsidP="00312326">
                  <w:pPr>
                    <w:pStyle w:val="TableBodyText"/>
                  </w:pPr>
                </w:p>
              </w:tc>
              <w:tc>
                <w:tcPr>
                  <w:tcW w:w="353" w:type="pct"/>
                  <w:vAlign w:val="center"/>
                </w:tcPr>
                <w:p w14:paraId="2ACFBA59" w14:textId="77777777" w:rsidR="00312326" w:rsidRPr="00C52C8A" w:rsidRDefault="00312326" w:rsidP="00312326">
                  <w:pPr>
                    <w:pStyle w:val="TableBodyText"/>
                    <w:ind w:right="28"/>
                  </w:pPr>
                </w:p>
              </w:tc>
              <w:tc>
                <w:tcPr>
                  <w:tcW w:w="353" w:type="pct"/>
                  <w:vAlign w:val="center"/>
                </w:tcPr>
                <w:p w14:paraId="7E2CA459" w14:textId="77777777" w:rsidR="00312326" w:rsidRPr="00C52C8A" w:rsidRDefault="00312326" w:rsidP="00312326">
                  <w:pPr>
                    <w:pStyle w:val="TableBodyText"/>
                    <w:ind w:right="28"/>
                  </w:pPr>
                </w:p>
              </w:tc>
              <w:tc>
                <w:tcPr>
                  <w:tcW w:w="352" w:type="pct"/>
                  <w:vAlign w:val="center"/>
                </w:tcPr>
                <w:p w14:paraId="11A9D722" w14:textId="77777777" w:rsidR="00312326" w:rsidRPr="00C52C8A" w:rsidRDefault="00312326" w:rsidP="00312326">
                  <w:pPr>
                    <w:pStyle w:val="TableBodyText"/>
                    <w:ind w:right="28"/>
                  </w:pPr>
                </w:p>
              </w:tc>
              <w:tc>
                <w:tcPr>
                  <w:tcW w:w="353" w:type="pct"/>
                  <w:vAlign w:val="center"/>
                </w:tcPr>
                <w:p w14:paraId="3BAEDCF0" w14:textId="77777777" w:rsidR="00312326" w:rsidRPr="00C52C8A" w:rsidRDefault="00312326" w:rsidP="00312326">
                  <w:pPr>
                    <w:pStyle w:val="TableBodyText"/>
                    <w:ind w:right="28"/>
                  </w:pPr>
                </w:p>
              </w:tc>
              <w:tc>
                <w:tcPr>
                  <w:tcW w:w="353" w:type="pct"/>
                  <w:vAlign w:val="center"/>
                </w:tcPr>
                <w:p w14:paraId="3E5EB5C2" w14:textId="77777777" w:rsidR="00312326" w:rsidRPr="00C52C8A" w:rsidRDefault="00312326" w:rsidP="00312326">
                  <w:pPr>
                    <w:pStyle w:val="TableBodyText"/>
                    <w:ind w:right="28"/>
                  </w:pPr>
                </w:p>
              </w:tc>
              <w:tc>
                <w:tcPr>
                  <w:tcW w:w="352" w:type="pct"/>
                  <w:vAlign w:val="center"/>
                </w:tcPr>
                <w:p w14:paraId="526FB3C2" w14:textId="77777777" w:rsidR="00312326" w:rsidRPr="00C52C8A" w:rsidRDefault="00312326" w:rsidP="00312326">
                  <w:pPr>
                    <w:pStyle w:val="TableBodyText"/>
                    <w:ind w:right="28"/>
                  </w:pPr>
                </w:p>
              </w:tc>
              <w:tc>
                <w:tcPr>
                  <w:tcW w:w="353" w:type="pct"/>
                  <w:vAlign w:val="center"/>
                </w:tcPr>
                <w:p w14:paraId="225002FA" w14:textId="77777777" w:rsidR="00312326" w:rsidRPr="00C52C8A" w:rsidRDefault="00312326" w:rsidP="00312326">
                  <w:pPr>
                    <w:pStyle w:val="TableBodyText"/>
                    <w:ind w:right="28"/>
                  </w:pPr>
                </w:p>
              </w:tc>
              <w:tc>
                <w:tcPr>
                  <w:tcW w:w="350" w:type="pct"/>
                  <w:shd w:val="clear" w:color="auto" w:fill="auto"/>
                  <w:vAlign w:val="center"/>
                </w:tcPr>
                <w:p w14:paraId="728F0111" w14:textId="77777777" w:rsidR="00312326" w:rsidRPr="00C52C8A" w:rsidRDefault="00312326" w:rsidP="00312326">
                  <w:pPr>
                    <w:pStyle w:val="TableBodyText"/>
                    <w:ind w:right="28"/>
                  </w:pPr>
                </w:p>
              </w:tc>
            </w:tr>
            <w:tr w:rsidR="00312326" w:rsidRPr="00C52C8A" w14:paraId="601400E6" w14:textId="77777777" w:rsidTr="00110A6E">
              <w:tc>
                <w:tcPr>
                  <w:tcW w:w="1828" w:type="pct"/>
                  <w:shd w:val="clear" w:color="auto" w:fill="auto"/>
                </w:tcPr>
                <w:p w14:paraId="00E4BEB7" w14:textId="77777777" w:rsidR="00312326" w:rsidRPr="00C52C8A" w:rsidRDefault="00312326" w:rsidP="00312326">
                  <w:pPr>
                    <w:pStyle w:val="TableBodyText"/>
                    <w:jc w:val="left"/>
                  </w:pPr>
                  <w:r w:rsidRPr="00C52C8A">
                    <w:t>Aboriginal and Torres Strait Islander</w:t>
                  </w:r>
                </w:p>
              </w:tc>
              <w:tc>
                <w:tcPr>
                  <w:tcW w:w="353" w:type="pct"/>
                  <w:shd w:val="clear" w:color="auto" w:fill="auto"/>
                  <w:vAlign w:val="center"/>
                </w:tcPr>
                <w:p w14:paraId="62751EC3" w14:textId="2ECF6E28" w:rsidR="00312326" w:rsidRPr="00C52C8A" w:rsidRDefault="00312326" w:rsidP="00312326">
                  <w:pPr>
                    <w:pStyle w:val="TableBodyText"/>
                  </w:pPr>
                  <w:r>
                    <w:rPr>
                      <w:rFonts w:cs="Arial"/>
                      <w:sz w:val="20"/>
                    </w:rPr>
                    <w:t>–</w:t>
                  </w:r>
                </w:p>
              </w:tc>
              <w:tc>
                <w:tcPr>
                  <w:tcW w:w="353" w:type="pct"/>
                  <w:vAlign w:val="center"/>
                </w:tcPr>
                <w:p w14:paraId="422A0618" w14:textId="66C1B438" w:rsidR="00312326" w:rsidRPr="00C52C8A" w:rsidRDefault="00312326" w:rsidP="00312326">
                  <w:pPr>
                    <w:pStyle w:val="TableBodyText"/>
                  </w:pPr>
                  <w:r>
                    <w:rPr>
                      <w:rFonts w:cs="Arial"/>
                      <w:sz w:val="20"/>
                    </w:rPr>
                    <w:t>–</w:t>
                  </w:r>
                </w:p>
              </w:tc>
              <w:tc>
                <w:tcPr>
                  <w:tcW w:w="353" w:type="pct"/>
                  <w:vAlign w:val="center"/>
                </w:tcPr>
                <w:p w14:paraId="61389132" w14:textId="302BB152" w:rsidR="00312326" w:rsidRPr="00C52C8A" w:rsidRDefault="00312326" w:rsidP="00312326">
                  <w:pPr>
                    <w:pStyle w:val="TableBodyText"/>
                  </w:pPr>
                  <w:r>
                    <w:rPr>
                      <w:rFonts w:cs="Arial"/>
                      <w:sz w:val="20"/>
                    </w:rPr>
                    <w:t>–</w:t>
                  </w:r>
                </w:p>
              </w:tc>
              <w:tc>
                <w:tcPr>
                  <w:tcW w:w="352" w:type="pct"/>
                  <w:vAlign w:val="center"/>
                </w:tcPr>
                <w:p w14:paraId="52271A22" w14:textId="173E5CA0" w:rsidR="00312326" w:rsidRPr="00C52C8A" w:rsidRDefault="00312326" w:rsidP="00312326">
                  <w:pPr>
                    <w:pStyle w:val="TableBodyText"/>
                  </w:pPr>
                  <w:r>
                    <w:rPr>
                      <w:rFonts w:cs="Arial"/>
                      <w:sz w:val="20"/>
                    </w:rPr>
                    <w:t>–</w:t>
                  </w:r>
                </w:p>
              </w:tc>
              <w:tc>
                <w:tcPr>
                  <w:tcW w:w="353" w:type="pct"/>
                  <w:vAlign w:val="center"/>
                </w:tcPr>
                <w:p w14:paraId="41226491" w14:textId="4E7424B1" w:rsidR="00312326" w:rsidRPr="00C52C8A" w:rsidRDefault="00312326" w:rsidP="00312326">
                  <w:pPr>
                    <w:pStyle w:val="TableBodyText"/>
                  </w:pPr>
                  <w:r>
                    <w:rPr>
                      <w:rFonts w:cs="Arial"/>
                      <w:sz w:val="20"/>
                    </w:rPr>
                    <w:t>–</w:t>
                  </w:r>
                </w:p>
              </w:tc>
              <w:tc>
                <w:tcPr>
                  <w:tcW w:w="353" w:type="pct"/>
                  <w:vAlign w:val="center"/>
                </w:tcPr>
                <w:p w14:paraId="5F78DCD3" w14:textId="58B0677A" w:rsidR="00312326" w:rsidRPr="00C52C8A" w:rsidRDefault="00312326" w:rsidP="00312326">
                  <w:pPr>
                    <w:pStyle w:val="TableBodyText"/>
                  </w:pPr>
                  <w:r>
                    <w:rPr>
                      <w:rFonts w:cs="Arial"/>
                      <w:sz w:val="20"/>
                    </w:rPr>
                    <w:t>–</w:t>
                  </w:r>
                </w:p>
              </w:tc>
              <w:tc>
                <w:tcPr>
                  <w:tcW w:w="352" w:type="pct"/>
                  <w:vAlign w:val="center"/>
                </w:tcPr>
                <w:p w14:paraId="3ABC75CD" w14:textId="027E909C" w:rsidR="00312326" w:rsidRPr="00C52C8A" w:rsidRDefault="00312326" w:rsidP="00312326">
                  <w:pPr>
                    <w:pStyle w:val="TableBodyText"/>
                  </w:pPr>
                  <w:r>
                    <w:rPr>
                      <w:rFonts w:cs="Arial"/>
                      <w:sz w:val="20"/>
                    </w:rPr>
                    <w:t>–</w:t>
                  </w:r>
                </w:p>
              </w:tc>
              <w:tc>
                <w:tcPr>
                  <w:tcW w:w="353" w:type="pct"/>
                  <w:vAlign w:val="center"/>
                </w:tcPr>
                <w:p w14:paraId="6B000992" w14:textId="4C7E699E" w:rsidR="00312326" w:rsidRPr="00C52C8A" w:rsidRDefault="00312326" w:rsidP="00312326">
                  <w:pPr>
                    <w:pStyle w:val="TableBodyText"/>
                  </w:pPr>
                  <w:r>
                    <w:rPr>
                      <w:rFonts w:cs="Arial"/>
                      <w:sz w:val="20"/>
                    </w:rPr>
                    <w:t xml:space="preserve">  1.2</w:t>
                  </w:r>
                </w:p>
              </w:tc>
              <w:tc>
                <w:tcPr>
                  <w:tcW w:w="350" w:type="pct"/>
                  <w:shd w:val="clear" w:color="auto" w:fill="auto"/>
                  <w:vAlign w:val="center"/>
                </w:tcPr>
                <w:p w14:paraId="7B7C068B" w14:textId="28A6AE0A" w:rsidR="00312326" w:rsidRPr="00C52C8A" w:rsidRDefault="00312326" w:rsidP="00312326">
                  <w:pPr>
                    <w:pStyle w:val="TableBodyText"/>
                  </w:pPr>
                  <w:r>
                    <w:rPr>
                      <w:rFonts w:cs="Arial"/>
                      <w:sz w:val="20"/>
                    </w:rPr>
                    <w:t xml:space="preserve">  0.1</w:t>
                  </w:r>
                </w:p>
              </w:tc>
            </w:tr>
            <w:tr w:rsidR="00312326" w:rsidRPr="00C52C8A" w14:paraId="2AB18202" w14:textId="77777777" w:rsidTr="00110A6E">
              <w:tc>
                <w:tcPr>
                  <w:tcW w:w="1828" w:type="pct"/>
                  <w:shd w:val="clear" w:color="auto" w:fill="auto"/>
                </w:tcPr>
                <w:p w14:paraId="7A7361E0" w14:textId="77777777" w:rsidR="00312326" w:rsidRPr="00C52C8A" w:rsidRDefault="00312326" w:rsidP="00312326">
                  <w:pPr>
                    <w:pStyle w:val="TableBodyText"/>
                    <w:jc w:val="left"/>
                  </w:pPr>
                  <w:r w:rsidRPr="00C52C8A">
                    <w:t>Non</w:t>
                  </w:r>
                  <w:r w:rsidRPr="00C52C8A">
                    <w:noBreakHyphen/>
                    <w:t>Indigenous</w:t>
                  </w:r>
                </w:p>
              </w:tc>
              <w:tc>
                <w:tcPr>
                  <w:tcW w:w="353" w:type="pct"/>
                  <w:shd w:val="clear" w:color="auto" w:fill="auto"/>
                  <w:vAlign w:val="center"/>
                </w:tcPr>
                <w:p w14:paraId="377EC4EA" w14:textId="1D6F85BC" w:rsidR="00312326" w:rsidRPr="00C52C8A" w:rsidRDefault="00312326" w:rsidP="00312326">
                  <w:pPr>
                    <w:pStyle w:val="TableBodyText"/>
                  </w:pPr>
                  <w:r>
                    <w:rPr>
                      <w:rFonts w:cs="Arial"/>
                      <w:sz w:val="20"/>
                    </w:rPr>
                    <w:t>–</w:t>
                  </w:r>
                </w:p>
              </w:tc>
              <w:tc>
                <w:tcPr>
                  <w:tcW w:w="353" w:type="pct"/>
                  <w:vAlign w:val="center"/>
                </w:tcPr>
                <w:p w14:paraId="15550646" w14:textId="5A6A3771" w:rsidR="00312326" w:rsidRPr="00C52C8A" w:rsidRDefault="00312326" w:rsidP="00312326">
                  <w:pPr>
                    <w:pStyle w:val="TableBodyText"/>
                  </w:pPr>
                  <w:r>
                    <w:rPr>
                      <w:rFonts w:cs="Arial"/>
                      <w:sz w:val="20"/>
                    </w:rPr>
                    <w:t>–</w:t>
                  </w:r>
                </w:p>
              </w:tc>
              <w:tc>
                <w:tcPr>
                  <w:tcW w:w="353" w:type="pct"/>
                  <w:vAlign w:val="center"/>
                </w:tcPr>
                <w:p w14:paraId="79DE66EB" w14:textId="37DDC218" w:rsidR="00312326" w:rsidRPr="00C52C8A" w:rsidRDefault="00312326" w:rsidP="00312326">
                  <w:pPr>
                    <w:pStyle w:val="TableBodyText"/>
                  </w:pPr>
                  <w:r>
                    <w:rPr>
                      <w:rFonts w:cs="Arial"/>
                      <w:sz w:val="20"/>
                    </w:rPr>
                    <w:t>–</w:t>
                  </w:r>
                </w:p>
              </w:tc>
              <w:tc>
                <w:tcPr>
                  <w:tcW w:w="352" w:type="pct"/>
                  <w:vAlign w:val="center"/>
                </w:tcPr>
                <w:p w14:paraId="641F4E1D" w14:textId="516BD69A" w:rsidR="00312326" w:rsidRPr="00C52C8A" w:rsidRDefault="00312326" w:rsidP="00312326">
                  <w:pPr>
                    <w:pStyle w:val="TableBodyText"/>
                  </w:pPr>
                  <w:r>
                    <w:rPr>
                      <w:rFonts w:cs="Arial"/>
                      <w:sz w:val="20"/>
                    </w:rPr>
                    <w:t>–</w:t>
                  </w:r>
                </w:p>
              </w:tc>
              <w:tc>
                <w:tcPr>
                  <w:tcW w:w="353" w:type="pct"/>
                  <w:vAlign w:val="center"/>
                </w:tcPr>
                <w:p w14:paraId="20049B69" w14:textId="3114C184" w:rsidR="00312326" w:rsidRPr="00C52C8A" w:rsidRDefault="00312326" w:rsidP="00312326">
                  <w:pPr>
                    <w:pStyle w:val="TableBodyText"/>
                  </w:pPr>
                  <w:r>
                    <w:rPr>
                      <w:rFonts w:cs="Arial"/>
                      <w:sz w:val="20"/>
                    </w:rPr>
                    <w:t>–</w:t>
                  </w:r>
                </w:p>
              </w:tc>
              <w:tc>
                <w:tcPr>
                  <w:tcW w:w="353" w:type="pct"/>
                  <w:vAlign w:val="center"/>
                </w:tcPr>
                <w:p w14:paraId="6BCABBB2" w14:textId="0450AA31" w:rsidR="00312326" w:rsidRPr="00C52C8A" w:rsidRDefault="00312326" w:rsidP="00312326">
                  <w:pPr>
                    <w:pStyle w:val="TableBodyText"/>
                  </w:pPr>
                  <w:r>
                    <w:rPr>
                      <w:rFonts w:cs="Arial"/>
                      <w:sz w:val="20"/>
                    </w:rPr>
                    <w:t>–</w:t>
                  </w:r>
                </w:p>
              </w:tc>
              <w:tc>
                <w:tcPr>
                  <w:tcW w:w="352" w:type="pct"/>
                  <w:vAlign w:val="center"/>
                </w:tcPr>
                <w:p w14:paraId="5B8F907A" w14:textId="259DC6FC" w:rsidR="00312326" w:rsidRPr="00C52C8A" w:rsidRDefault="00312326" w:rsidP="00312326">
                  <w:pPr>
                    <w:pStyle w:val="TableBodyText"/>
                  </w:pPr>
                  <w:r>
                    <w:rPr>
                      <w:rFonts w:cs="Arial"/>
                      <w:sz w:val="20"/>
                    </w:rPr>
                    <w:t>–</w:t>
                  </w:r>
                </w:p>
              </w:tc>
              <w:tc>
                <w:tcPr>
                  <w:tcW w:w="353" w:type="pct"/>
                  <w:vAlign w:val="center"/>
                </w:tcPr>
                <w:p w14:paraId="2DA6790E" w14:textId="30E77954" w:rsidR="00312326" w:rsidRPr="00C52C8A" w:rsidRDefault="00312326" w:rsidP="00312326">
                  <w:pPr>
                    <w:pStyle w:val="TableBodyText"/>
                  </w:pPr>
                  <w:r>
                    <w:rPr>
                      <w:rFonts w:cs="Arial"/>
                      <w:sz w:val="20"/>
                    </w:rPr>
                    <w:t>–</w:t>
                  </w:r>
                </w:p>
              </w:tc>
              <w:tc>
                <w:tcPr>
                  <w:tcW w:w="350" w:type="pct"/>
                  <w:shd w:val="clear" w:color="auto" w:fill="auto"/>
                  <w:vAlign w:val="center"/>
                </w:tcPr>
                <w:p w14:paraId="667ED4AB" w14:textId="3B2665CE" w:rsidR="00312326" w:rsidRPr="00C52C8A" w:rsidRDefault="00312326" w:rsidP="00312326">
                  <w:pPr>
                    <w:pStyle w:val="TableBodyText"/>
                  </w:pPr>
                  <w:r>
                    <w:rPr>
                      <w:rFonts w:cs="Arial"/>
                      <w:sz w:val="20"/>
                    </w:rPr>
                    <w:t>–</w:t>
                  </w:r>
                </w:p>
              </w:tc>
            </w:tr>
            <w:tr w:rsidR="00312326" w:rsidRPr="00C52C8A" w14:paraId="4AA1A236" w14:textId="77777777" w:rsidTr="00110A6E">
              <w:tc>
                <w:tcPr>
                  <w:tcW w:w="1828" w:type="pct"/>
                  <w:tcBorders>
                    <w:bottom w:val="single" w:sz="6" w:space="0" w:color="BFBFBF"/>
                  </w:tcBorders>
                  <w:shd w:val="clear" w:color="auto" w:fill="auto"/>
                </w:tcPr>
                <w:p w14:paraId="76D5510D" w14:textId="77777777" w:rsidR="00312326" w:rsidRPr="00C52C8A" w:rsidRDefault="00312326" w:rsidP="00312326">
                  <w:pPr>
                    <w:pStyle w:val="TableBodyText"/>
                    <w:jc w:val="left"/>
                    <w:rPr>
                      <w:b/>
                    </w:rPr>
                  </w:pPr>
                  <w:r w:rsidRPr="00C52C8A">
                    <w:rPr>
                      <w:b/>
                    </w:rPr>
                    <w:t>Total</w:t>
                  </w:r>
                </w:p>
              </w:tc>
              <w:tc>
                <w:tcPr>
                  <w:tcW w:w="353" w:type="pct"/>
                  <w:tcBorders>
                    <w:bottom w:val="single" w:sz="6" w:space="0" w:color="BFBFBF"/>
                  </w:tcBorders>
                  <w:shd w:val="clear" w:color="auto" w:fill="auto"/>
                  <w:vAlign w:val="center"/>
                </w:tcPr>
                <w:p w14:paraId="7093671E" w14:textId="4B1C64F4" w:rsidR="00312326" w:rsidRPr="00C52C8A" w:rsidRDefault="00312326" w:rsidP="00312326">
                  <w:pPr>
                    <w:pStyle w:val="TableBodyText"/>
                    <w:rPr>
                      <w:b/>
                    </w:rPr>
                  </w:pPr>
                  <w:r>
                    <w:rPr>
                      <w:rFonts w:cs="Arial"/>
                      <w:b/>
                      <w:bCs/>
                      <w:sz w:val="20"/>
                    </w:rPr>
                    <w:t>–</w:t>
                  </w:r>
                </w:p>
              </w:tc>
              <w:tc>
                <w:tcPr>
                  <w:tcW w:w="353" w:type="pct"/>
                  <w:tcBorders>
                    <w:bottom w:val="single" w:sz="6" w:space="0" w:color="BFBFBF"/>
                  </w:tcBorders>
                  <w:vAlign w:val="center"/>
                </w:tcPr>
                <w:p w14:paraId="61E7CC6D" w14:textId="1B59CBAB" w:rsidR="00312326" w:rsidRPr="00C52C8A" w:rsidRDefault="00312326" w:rsidP="00312326">
                  <w:pPr>
                    <w:pStyle w:val="TableBodyText"/>
                    <w:rPr>
                      <w:b/>
                    </w:rPr>
                  </w:pPr>
                  <w:r>
                    <w:rPr>
                      <w:rFonts w:cs="Arial"/>
                      <w:b/>
                      <w:bCs/>
                      <w:sz w:val="20"/>
                    </w:rPr>
                    <w:t>–</w:t>
                  </w:r>
                </w:p>
              </w:tc>
              <w:tc>
                <w:tcPr>
                  <w:tcW w:w="353" w:type="pct"/>
                  <w:tcBorders>
                    <w:bottom w:val="single" w:sz="6" w:space="0" w:color="BFBFBF"/>
                  </w:tcBorders>
                  <w:vAlign w:val="center"/>
                </w:tcPr>
                <w:p w14:paraId="149A6C68" w14:textId="5EE72F98" w:rsidR="00312326" w:rsidRPr="00C52C8A" w:rsidRDefault="00312326" w:rsidP="00312326">
                  <w:pPr>
                    <w:pStyle w:val="TableBodyText"/>
                    <w:rPr>
                      <w:b/>
                    </w:rPr>
                  </w:pPr>
                  <w:r>
                    <w:rPr>
                      <w:rFonts w:cs="Arial"/>
                      <w:b/>
                      <w:bCs/>
                      <w:sz w:val="20"/>
                    </w:rPr>
                    <w:t>–</w:t>
                  </w:r>
                </w:p>
              </w:tc>
              <w:tc>
                <w:tcPr>
                  <w:tcW w:w="352" w:type="pct"/>
                  <w:tcBorders>
                    <w:bottom w:val="single" w:sz="6" w:space="0" w:color="BFBFBF"/>
                  </w:tcBorders>
                  <w:vAlign w:val="center"/>
                </w:tcPr>
                <w:p w14:paraId="033DA076" w14:textId="6619B734" w:rsidR="00312326" w:rsidRPr="00C52C8A" w:rsidRDefault="00312326" w:rsidP="00312326">
                  <w:pPr>
                    <w:pStyle w:val="TableBodyText"/>
                    <w:rPr>
                      <w:b/>
                    </w:rPr>
                  </w:pPr>
                  <w:r>
                    <w:rPr>
                      <w:rFonts w:cs="Arial"/>
                      <w:b/>
                      <w:bCs/>
                      <w:sz w:val="20"/>
                    </w:rPr>
                    <w:t>–</w:t>
                  </w:r>
                </w:p>
              </w:tc>
              <w:tc>
                <w:tcPr>
                  <w:tcW w:w="353" w:type="pct"/>
                  <w:tcBorders>
                    <w:bottom w:val="single" w:sz="6" w:space="0" w:color="BFBFBF"/>
                  </w:tcBorders>
                  <w:vAlign w:val="center"/>
                </w:tcPr>
                <w:p w14:paraId="6E4177B3" w14:textId="03962FB2" w:rsidR="00312326" w:rsidRPr="00C52C8A" w:rsidRDefault="00312326" w:rsidP="00312326">
                  <w:pPr>
                    <w:pStyle w:val="TableBodyText"/>
                    <w:rPr>
                      <w:b/>
                    </w:rPr>
                  </w:pPr>
                  <w:r>
                    <w:rPr>
                      <w:rFonts w:cs="Arial"/>
                      <w:b/>
                      <w:bCs/>
                      <w:sz w:val="20"/>
                    </w:rPr>
                    <w:t>–</w:t>
                  </w:r>
                </w:p>
              </w:tc>
              <w:tc>
                <w:tcPr>
                  <w:tcW w:w="353" w:type="pct"/>
                  <w:tcBorders>
                    <w:bottom w:val="single" w:sz="6" w:space="0" w:color="BFBFBF"/>
                  </w:tcBorders>
                  <w:vAlign w:val="center"/>
                </w:tcPr>
                <w:p w14:paraId="609A0E01" w14:textId="33B05F0F" w:rsidR="00312326" w:rsidRPr="00C52C8A" w:rsidRDefault="00312326" w:rsidP="00312326">
                  <w:pPr>
                    <w:pStyle w:val="TableBodyText"/>
                    <w:rPr>
                      <w:b/>
                    </w:rPr>
                  </w:pPr>
                  <w:r>
                    <w:rPr>
                      <w:rFonts w:cs="Arial"/>
                      <w:b/>
                      <w:bCs/>
                      <w:sz w:val="20"/>
                    </w:rPr>
                    <w:t>–</w:t>
                  </w:r>
                </w:p>
              </w:tc>
              <w:tc>
                <w:tcPr>
                  <w:tcW w:w="352" w:type="pct"/>
                  <w:tcBorders>
                    <w:bottom w:val="single" w:sz="6" w:space="0" w:color="BFBFBF"/>
                  </w:tcBorders>
                  <w:vAlign w:val="center"/>
                </w:tcPr>
                <w:p w14:paraId="11183693" w14:textId="103BA06A" w:rsidR="00312326" w:rsidRPr="00C52C8A" w:rsidRDefault="00312326" w:rsidP="00312326">
                  <w:pPr>
                    <w:pStyle w:val="TableBodyText"/>
                    <w:rPr>
                      <w:b/>
                    </w:rPr>
                  </w:pPr>
                  <w:r>
                    <w:rPr>
                      <w:rFonts w:cs="Arial"/>
                      <w:b/>
                      <w:bCs/>
                      <w:sz w:val="20"/>
                    </w:rPr>
                    <w:t>–</w:t>
                  </w:r>
                </w:p>
              </w:tc>
              <w:tc>
                <w:tcPr>
                  <w:tcW w:w="353" w:type="pct"/>
                  <w:tcBorders>
                    <w:bottom w:val="single" w:sz="6" w:space="0" w:color="BFBFBF"/>
                  </w:tcBorders>
                  <w:vAlign w:val="center"/>
                </w:tcPr>
                <w:p w14:paraId="68F262B1" w14:textId="5A85AD71" w:rsidR="00312326" w:rsidRPr="00C52C8A" w:rsidRDefault="00312326" w:rsidP="00312326">
                  <w:pPr>
                    <w:pStyle w:val="TableBodyText"/>
                    <w:rPr>
                      <w:b/>
                    </w:rPr>
                  </w:pPr>
                  <w:r>
                    <w:rPr>
                      <w:rFonts w:cs="Arial"/>
                      <w:b/>
                      <w:bCs/>
                      <w:sz w:val="20"/>
                    </w:rPr>
                    <w:t xml:space="preserve">  1.1</w:t>
                  </w:r>
                </w:p>
              </w:tc>
              <w:tc>
                <w:tcPr>
                  <w:tcW w:w="350" w:type="pct"/>
                  <w:tcBorders>
                    <w:bottom w:val="single" w:sz="6" w:space="0" w:color="BFBFBF"/>
                  </w:tcBorders>
                  <w:shd w:val="clear" w:color="auto" w:fill="auto"/>
                  <w:vAlign w:val="center"/>
                </w:tcPr>
                <w:p w14:paraId="35C11078" w14:textId="52D0E4A6" w:rsidR="00312326" w:rsidRPr="00180FAC" w:rsidRDefault="00312326" w:rsidP="00312326">
                  <w:pPr>
                    <w:pStyle w:val="TableBodyText"/>
                    <w:rPr>
                      <w:b/>
                      <w:bCs/>
                    </w:rPr>
                  </w:pPr>
                  <w:r w:rsidRPr="00180FAC">
                    <w:rPr>
                      <w:rFonts w:cs="Arial"/>
                      <w:b/>
                      <w:bCs/>
                      <w:sz w:val="20"/>
                    </w:rPr>
                    <w:t xml:space="preserve">  </w:t>
                  </w:r>
                  <w:r w:rsidR="00180FAC" w:rsidRPr="00180FAC">
                    <w:rPr>
                      <w:rFonts w:cs="Arial"/>
                      <w:b/>
                      <w:bCs/>
                      <w:sz w:val="20"/>
                    </w:rPr>
                    <w:t>–</w:t>
                  </w:r>
                </w:p>
              </w:tc>
            </w:tr>
          </w:tbl>
          <w:p w14:paraId="35D8CA8F" w14:textId="77777777" w:rsidR="00787194" w:rsidRPr="00C52C8A" w:rsidRDefault="00787194" w:rsidP="00EA0897">
            <w:pPr>
              <w:pStyle w:val="Box"/>
            </w:pPr>
          </w:p>
        </w:tc>
      </w:tr>
      <w:tr w:rsidR="00787194" w:rsidRPr="00C52C8A" w14:paraId="4837DA74" w14:textId="77777777" w:rsidTr="000A060F">
        <w:trPr>
          <w:cantSplit/>
        </w:trPr>
        <w:tc>
          <w:tcPr>
            <w:tcW w:w="8789" w:type="dxa"/>
            <w:tcBorders>
              <w:top w:val="nil"/>
              <w:left w:val="nil"/>
              <w:bottom w:val="nil"/>
              <w:right w:val="nil"/>
            </w:tcBorders>
            <w:shd w:val="clear" w:color="auto" w:fill="auto"/>
          </w:tcPr>
          <w:p w14:paraId="153FB60D" w14:textId="6545F6C3" w:rsidR="00787194" w:rsidRPr="00C52C8A" w:rsidRDefault="00787194" w:rsidP="00C32D9A">
            <w:pPr>
              <w:pStyle w:val="Note"/>
              <w:rPr>
                <w:i/>
              </w:rPr>
            </w:pPr>
            <w:r w:rsidRPr="00C52C8A">
              <w:rPr>
                <w:rStyle w:val="NoteLabel"/>
              </w:rPr>
              <w:t>a</w:t>
            </w:r>
            <w:r w:rsidRPr="00C52C8A">
              <w:t xml:space="preserve"> See box</w:t>
            </w:r>
            <w:r w:rsidR="00F4592C" w:rsidRPr="00C52C8A">
              <w:t> </w:t>
            </w:r>
            <w:r w:rsidR="00B27E61" w:rsidRPr="00C52C8A">
              <w:t>17.16</w:t>
            </w:r>
            <w:r w:rsidR="001C4067" w:rsidRPr="00C52C8A">
              <w:t xml:space="preserve"> </w:t>
            </w:r>
            <w:r w:rsidRPr="00C52C8A">
              <w:t>and table</w:t>
            </w:r>
            <w:r w:rsidR="005B0070">
              <w:t> </w:t>
            </w:r>
            <w:r w:rsidRPr="00C52C8A">
              <w:t>17</w:t>
            </w:r>
            <w:r w:rsidR="0074386C" w:rsidRPr="00C52C8A">
              <w:t>A.</w:t>
            </w:r>
            <w:r w:rsidR="005374A3" w:rsidRPr="00C52C8A">
              <w:t>2</w:t>
            </w:r>
            <w:r w:rsidR="00C32D9A">
              <w:t>2</w:t>
            </w:r>
            <w:r w:rsidRPr="00C52C8A">
              <w:t xml:space="preserve"> for detailed definitions, footnotes and caveats. – Nil or rounded to zero.</w:t>
            </w:r>
          </w:p>
        </w:tc>
      </w:tr>
      <w:tr w:rsidR="00787194" w:rsidRPr="00C52C8A" w14:paraId="06351973" w14:textId="77777777" w:rsidTr="000A060F">
        <w:trPr>
          <w:cantSplit/>
        </w:trPr>
        <w:tc>
          <w:tcPr>
            <w:tcW w:w="8789" w:type="dxa"/>
            <w:tcBorders>
              <w:top w:val="nil"/>
              <w:left w:val="nil"/>
              <w:bottom w:val="nil"/>
              <w:right w:val="nil"/>
            </w:tcBorders>
            <w:shd w:val="clear" w:color="auto" w:fill="auto"/>
          </w:tcPr>
          <w:p w14:paraId="21C463CB" w14:textId="6F39D744" w:rsidR="00787194" w:rsidRPr="00C52C8A" w:rsidRDefault="00787194" w:rsidP="00C32D9A">
            <w:pPr>
              <w:pStyle w:val="Source"/>
            </w:pPr>
            <w:r w:rsidRPr="00C52C8A">
              <w:rPr>
                <w:i/>
              </w:rPr>
              <w:t>Source</w:t>
            </w:r>
            <w:r w:rsidR="00CF76CB" w:rsidRPr="00C52C8A">
              <w:rPr>
                <w:i/>
              </w:rPr>
              <w:t>s</w:t>
            </w:r>
            <w:r w:rsidRPr="00C52C8A">
              <w:t>: State and Territory governments (unpublished); table</w:t>
            </w:r>
            <w:r w:rsidR="005B0070">
              <w:t> </w:t>
            </w:r>
            <w:r w:rsidRPr="00C52C8A">
              <w:t>17A.</w:t>
            </w:r>
            <w:r w:rsidR="005374A3" w:rsidRPr="00C52C8A">
              <w:t>2</w:t>
            </w:r>
            <w:r w:rsidR="00C32D9A">
              <w:t>2</w:t>
            </w:r>
            <w:r w:rsidRPr="00C52C8A">
              <w:t>.</w:t>
            </w:r>
          </w:p>
        </w:tc>
      </w:tr>
      <w:tr w:rsidR="00787194" w:rsidRPr="00C52C8A" w14:paraId="1E45DDEE" w14:textId="77777777" w:rsidTr="000A060F">
        <w:trPr>
          <w:cantSplit/>
        </w:trPr>
        <w:tc>
          <w:tcPr>
            <w:tcW w:w="8789" w:type="dxa"/>
            <w:tcBorders>
              <w:top w:val="nil"/>
              <w:left w:val="nil"/>
              <w:bottom w:val="single" w:sz="6" w:space="0" w:color="78A22F" w:themeColor="accent1"/>
              <w:right w:val="nil"/>
            </w:tcBorders>
            <w:shd w:val="clear" w:color="auto" w:fill="auto"/>
          </w:tcPr>
          <w:p w14:paraId="3E1DF4D1" w14:textId="77777777" w:rsidR="00787194" w:rsidRPr="00C52C8A" w:rsidRDefault="00787194" w:rsidP="00EA0897">
            <w:pPr>
              <w:pStyle w:val="Box"/>
              <w:spacing w:before="0" w:line="120" w:lineRule="exact"/>
            </w:pPr>
          </w:p>
        </w:tc>
      </w:tr>
      <w:tr w:rsidR="00787194" w:rsidRPr="00C52C8A" w14:paraId="66408F19" w14:textId="77777777" w:rsidTr="000A060F">
        <w:tc>
          <w:tcPr>
            <w:tcW w:w="8789" w:type="dxa"/>
            <w:tcBorders>
              <w:top w:val="single" w:sz="6" w:space="0" w:color="78A22F" w:themeColor="accent1"/>
              <w:left w:val="nil"/>
              <w:bottom w:val="nil"/>
              <w:right w:val="nil"/>
            </w:tcBorders>
          </w:tcPr>
          <w:p w14:paraId="795FAB6E" w14:textId="0D4B0B3F" w:rsidR="00787194" w:rsidRPr="002E39DF" w:rsidRDefault="00787194" w:rsidP="00EA0897">
            <w:pPr>
              <w:pStyle w:val="BoxSpaceBelow"/>
            </w:pPr>
          </w:p>
        </w:tc>
      </w:tr>
    </w:tbl>
    <w:p w14:paraId="46F24BBE" w14:textId="77777777" w:rsidR="00A80B20" w:rsidRPr="00C52C8A" w:rsidRDefault="00A80B20" w:rsidP="00A80B20">
      <w:pPr>
        <w:pStyle w:val="Heading4"/>
      </w:pPr>
      <w:r w:rsidRPr="00C52C8A">
        <w:t>Absconds from unescorted leave</w:t>
      </w:r>
    </w:p>
    <w:p w14:paraId="58509C0D" w14:textId="7E324907" w:rsidR="004F21CA" w:rsidRPr="00C52C8A" w:rsidRDefault="00A80B20" w:rsidP="00A80B20">
      <w:pPr>
        <w:pStyle w:val="BodyText"/>
      </w:pPr>
      <w:r w:rsidRPr="00C52C8A">
        <w:t>‘Absconds from unescorted leave’ is an indicator of governments’ objective to promote community safety (box</w:t>
      </w:r>
      <w:r w:rsidR="00F4592C" w:rsidRPr="00C52C8A">
        <w:t> </w:t>
      </w:r>
      <w:r w:rsidR="00B27E61" w:rsidRPr="00C52C8A">
        <w:t>17.17</w:t>
      </w:r>
      <w:r w:rsidRPr="00C52C8A">
        <w:t>).</w:t>
      </w:r>
    </w:p>
    <w:p w14:paraId="277F8B5F" w14:textId="5A5B0890" w:rsidR="00A80B20" w:rsidRPr="002E39DF" w:rsidRDefault="00A80B20" w:rsidP="00A80B2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0B20" w:rsidRPr="00C52C8A" w14:paraId="5766587E" w14:textId="77777777" w:rsidTr="000A060F">
        <w:tc>
          <w:tcPr>
            <w:tcW w:w="8789" w:type="dxa"/>
            <w:tcBorders>
              <w:top w:val="single" w:sz="6" w:space="0" w:color="78A22F"/>
              <w:left w:val="nil"/>
              <w:bottom w:val="nil"/>
              <w:right w:val="nil"/>
            </w:tcBorders>
            <w:shd w:val="clear" w:color="auto" w:fill="F2F2F2" w:themeFill="background1" w:themeFillShade="F2"/>
          </w:tcPr>
          <w:p w14:paraId="63127D86" w14:textId="01BAB8EE" w:rsidR="00A80B20" w:rsidRPr="00C52C8A" w:rsidRDefault="00A80B20" w:rsidP="00401E9A">
            <w:pPr>
              <w:pStyle w:val="BoxTitle"/>
            </w:pPr>
            <w:r w:rsidRPr="00C52C8A">
              <w:rPr>
                <w:b w:val="0"/>
              </w:rPr>
              <w:t>Box</w:t>
            </w:r>
            <w:r w:rsidR="00F31EC6" w:rsidRPr="00C52C8A">
              <w:rPr>
                <w:b w:val="0"/>
              </w:rPr>
              <w:t xml:space="preserve"> </w:t>
            </w:r>
            <w:bookmarkStart w:id="49" w:name="OLE_LINK36"/>
            <w:r w:rsidR="00C87A43">
              <w:rPr>
                <w:b w:val="0"/>
              </w:rPr>
              <w:t>17.</w:t>
            </w:r>
            <w:r w:rsidR="00AF64D0">
              <w:rPr>
                <w:b w:val="0"/>
                <w:noProof/>
              </w:rPr>
              <w:t>17</w:t>
            </w:r>
            <w:bookmarkEnd w:id="49"/>
            <w:r w:rsidRPr="00C52C8A">
              <w:tab/>
              <w:t>Absconds from unescorted leave</w:t>
            </w:r>
          </w:p>
        </w:tc>
      </w:tr>
      <w:tr w:rsidR="00A80B20" w:rsidRPr="00C52C8A" w14:paraId="2A4BB976" w14:textId="77777777" w:rsidTr="000A060F">
        <w:trPr>
          <w:cantSplit/>
        </w:trPr>
        <w:tc>
          <w:tcPr>
            <w:tcW w:w="8789" w:type="dxa"/>
            <w:tcBorders>
              <w:top w:val="nil"/>
              <w:left w:val="nil"/>
              <w:bottom w:val="nil"/>
              <w:right w:val="nil"/>
            </w:tcBorders>
            <w:shd w:val="clear" w:color="auto" w:fill="F2F2F2" w:themeFill="background1" w:themeFillShade="F2"/>
          </w:tcPr>
          <w:p w14:paraId="0C5DB94F" w14:textId="77777777" w:rsidR="00A80B20" w:rsidRPr="00C52C8A" w:rsidRDefault="00A80B20" w:rsidP="00DD1FD0">
            <w:pPr>
              <w:pStyle w:val="Box"/>
            </w:pPr>
            <w:r w:rsidRPr="00C52C8A">
              <w:t>‘Absconds from unescorted leave’ is defined as the number of young people who have unescorted temporary leave and fail to return to custody, as a proportion of all young people who have unescorted temporary leave.</w:t>
            </w:r>
          </w:p>
          <w:p w14:paraId="029AD5E2" w14:textId="77777777" w:rsidR="00A80B20" w:rsidRPr="00C52C8A" w:rsidRDefault="00A80B20" w:rsidP="00DD1FD0">
            <w:pPr>
              <w:pStyle w:val="Box"/>
            </w:pPr>
            <w:r w:rsidRPr="00C52C8A">
              <w:t xml:space="preserve">Unescorted leave is leave for a young person held in custody that is authorised in writing and does not require the young person to be escorted by a youth justice worker. An abscond is a failure to return from </w:t>
            </w:r>
            <w:proofErr w:type="gramStart"/>
            <w:r w:rsidRPr="00C52C8A">
              <w:t>leave, and</w:t>
            </w:r>
            <w:proofErr w:type="gramEnd"/>
            <w:r w:rsidRPr="00C52C8A">
              <w:t xml:space="preserve"> occurs when the youth justice agency advises police of the young person’s failure to return to custody. </w:t>
            </w:r>
          </w:p>
          <w:p w14:paraId="090BEBD6" w14:textId="77777777" w:rsidR="00A80B20" w:rsidRPr="00C52C8A" w:rsidRDefault="00A80B20" w:rsidP="00DD1FD0">
            <w:pPr>
              <w:pStyle w:val="Box"/>
            </w:pPr>
            <w:r w:rsidRPr="00C52C8A">
              <w:t xml:space="preserve">A zero or </w:t>
            </w:r>
            <w:proofErr w:type="gramStart"/>
            <w:r w:rsidRPr="00C52C8A">
              <w:t>low, or</w:t>
            </w:r>
            <w:proofErr w:type="gramEnd"/>
            <w:r w:rsidRPr="00C52C8A">
              <w:t xml:space="preserve"> decreasing rate of absconds from unescorted leave is desirable.</w:t>
            </w:r>
          </w:p>
          <w:p w14:paraId="29633515" w14:textId="77777777" w:rsidR="00A80B20" w:rsidRPr="00C52C8A" w:rsidRDefault="00A80B20" w:rsidP="00DD1FD0">
            <w:pPr>
              <w:pStyle w:val="Box"/>
            </w:pPr>
            <w:r w:rsidRPr="00C52C8A">
              <w:t>Data reported for this indicator are:</w:t>
            </w:r>
          </w:p>
          <w:p w14:paraId="5DF823E9" w14:textId="19C852B2" w:rsidR="00A80B20" w:rsidRPr="00C52C8A" w:rsidRDefault="006A4F08" w:rsidP="009106FE">
            <w:pPr>
              <w:pStyle w:val="Box"/>
              <w:ind w:left="284"/>
            </w:pPr>
            <w:r w:rsidRPr="00C52C8A">
              <w:rPr>
                <w:shd w:val="clear" w:color="auto" w:fill="F15A25"/>
              </w:rPr>
              <w:t xml:space="preserve">    </w:t>
            </w:r>
            <w:r w:rsidRPr="00C52C8A">
              <w:t xml:space="preserve"> </w:t>
            </w:r>
            <w:r w:rsidR="00A80B20" w:rsidRPr="00C52C8A">
              <w:t>comparable (subject to caveats) across jurisdictions and over time. However, not all jurisdictions permit unescorted leave to be undertaken</w:t>
            </w:r>
            <w:r w:rsidR="00065EC2" w:rsidRPr="00C52C8A">
              <w:t xml:space="preserve"> (</w:t>
            </w:r>
            <w:r w:rsidR="00A80B20" w:rsidRPr="00C52C8A">
              <w:t>for these jurisdictions this indicator is not applicable</w:t>
            </w:r>
            <w:r w:rsidR="00065EC2" w:rsidRPr="00C52C8A">
              <w:t>)</w:t>
            </w:r>
            <w:r w:rsidR="00A80B20" w:rsidRPr="00C52C8A">
              <w:t xml:space="preserve"> </w:t>
            </w:r>
          </w:p>
          <w:p w14:paraId="13868291" w14:textId="23E5E25F" w:rsidR="00A80B20" w:rsidRPr="00C52C8A" w:rsidRDefault="006A4F08" w:rsidP="00CE7AB7">
            <w:pPr>
              <w:pStyle w:val="Box"/>
              <w:ind w:left="284"/>
            </w:pPr>
            <w:r w:rsidRPr="00C52C8A">
              <w:rPr>
                <w:shd w:val="clear" w:color="auto" w:fill="F15A25"/>
              </w:rPr>
              <w:t xml:space="preserve">    </w:t>
            </w:r>
            <w:r w:rsidRPr="00C52C8A">
              <w:t xml:space="preserve"> </w:t>
            </w:r>
            <w:r w:rsidR="00A80B20" w:rsidRPr="00C52C8A">
              <w:t xml:space="preserve">complete </w:t>
            </w:r>
            <w:r w:rsidR="009A4756" w:rsidRPr="00C52C8A">
              <w:t xml:space="preserve">(subject to caveats) </w:t>
            </w:r>
            <w:r w:rsidR="00A80B20" w:rsidRPr="00C52C8A">
              <w:t xml:space="preserve">for the current reporting period. </w:t>
            </w:r>
            <w:r w:rsidR="00456D0D" w:rsidRPr="00C52C8A">
              <w:t>All required 201</w:t>
            </w:r>
            <w:r w:rsidR="00736D8E">
              <w:t>9</w:t>
            </w:r>
            <w:r w:rsidR="00600E00" w:rsidRPr="00C52C8A">
              <w:noBreakHyphen/>
            </w:r>
            <w:r w:rsidR="00736D8E">
              <w:t>20</w:t>
            </w:r>
            <w:r w:rsidR="00456D0D" w:rsidRPr="00C52C8A">
              <w:t xml:space="preserve"> data </w:t>
            </w:r>
            <w:r w:rsidR="005A0750" w:rsidRPr="00C52C8A">
              <w:t>are</w:t>
            </w:r>
            <w:r w:rsidR="00456D0D" w:rsidRPr="00C52C8A">
              <w:t xml:space="preserve"> available</w:t>
            </w:r>
            <w:r w:rsidR="005A0750" w:rsidRPr="00C52C8A">
              <w:t xml:space="preserve"> for all jurisdictions</w:t>
            </w:r>
            <w:r w:rsidR="00456D0D" w:rsidRPr="00C52C8A">
              <w:t>.</w:t>
            </w:r>
          </w:p>
        </w:tc>
      </w:tr>
      <w:tr w:rsidR="00A80B20" w:rsidRPr="00C52C8A" w14:paraId="2002EB3E" w14:textId="77777777" w:rsidTr="000A060F">
        <w:trPr>
          <w:cantSplit/>
        </w:trPr>
        <w:tc>
          <w:tcPr>
            <w:tcW w:w="8789" w:type="dxa"/>
            <w:tcBorders>
              <w:top w:val="nil"/>
              <w:left w:val="nil"/>
              <w:bottom w:val="single" w:sz="6" w:space="0" w:color="78A22F"/>
              <w:right w:val="nil"/>
            </w:tcBorders>
            <w:shd w:val="clear" w:color="auto" w:fill="F2F2F2" w:themeFill="background1" w:themeFillShade="F2"/>
          </w:tcPr>
          <w:p w14:paraId="3616B3F7" w14:textId="77777777" w:rsidR="00A80B20" w:rsidRPr="00C52C8A" w:rsidRDefault="00A80B20" w:rsidP="00DD1FD0">
            <w:pPr>
              <w:pStyle w:val="Box"/>
              <w:spacing w:before="0" w:line="120" w:lineRule="exact"/>
            </w:pPr>
          </w:p>
        </w:tc>
      </w:tr>
      <w:tr w:rsidR="00A80B20" w:rsidRPr="00C52C8A" w14:paraId="54429DC6" w14:textId="77777777" w:rsidTr="000A060F">
        <w:tc>
          <w:tcPr>
            <w:tcW w:w="8789" w:type="dxa"/>
            <w:tcBorders>
              <w:top w:val="single" w:sz="6" w:space="0" w:color="78A22F"/>
              <w:left w:val="nil"/>
              <w:bottom w:val="nil"/>
              <w:right w:val="nil"/>
            </w:tcBorders>
          </w:tcPr>
          <w:p w14:paraId="2B075B34" w14:textId="6D1D04B8" w:rsidR="00A80B20" w:rsidRPr="002E39DF" w:rsidRDefault="00A80B20" w:rsidP="00DD1FD0">
            <w:pPr>
              <w:pStyle w:val="BoxSpaceBelow"/>
            </w:pPr>
          </w:p>
        </w:tc>
      </w:tr>
    </w:tbl>
    <w:p w14:paraId="45D287BC" w14:textId="515D1D95" w:rsidR="001C4067" w:rsidRPr="00C52C8A" w:rsidRDefault="00065EC2" w:rsidP="001C4067">
      <w:pPr>
        <w:pStyle w:val="BodyText"/>
      </w:pPr>
      <w:r w:rsidRPr="00C52C8A">
        <w:lastRenderedPageBreak/>
        <w:t xml:space="preserve">Management of young people while they are in the legal custody of a youth detention centre includes the provision of appropriate assessment, planning and supervision to enable young people to undertake unescorted temporary leave from detention centres. Unescorted leave </w:t>
      </w:r>
      <w:r w:rsidR="0054415A" w:rsidRPr="00C52C8A">
        <w:t xml:space="preserve">is </w:t>
      </w:r>
      <w:r w:rsidRPr="00C52C8A">
        <w:t>undertaken for activities such as education, training and employment.</w:t>
      </w:r>
      <w:r w:rsidR="00C82D29" w:rsidRPr="00C52C8A">
        <w:t xml:space="preserve"> </w:t>
      </w:r>
      <w:r w:rsidR="001D3E82" w:rsidRPr="00312326">
        <w:t>No</w:t>
      </w:r>
      <w:r w:rsidR="00A80B20" w:rsidRPr="00C52C8A">
        <w:t xml:space="preserve"> young </w:t>
      </w:r>
      <w:r w:rsidR="001D3E82" w:rsidRPr="00C52C8A">
        <w:t>people</w:t>
      </w:r>
      <w:r w:rsidR="00A80B20" w:rsidRPr="00C52C8A">
        <w:t xml:space="preserve"> absconded from unescorted leave in </w:t>
      </w:r>
      <w:r w:rsidR="009D0A7F" w:rsidRPr="00C52C8A">
        <w:t>201</w:t>
      </w:r>
      <w:r w:rsidR="009D0A7F">
        <w:t>9</w:t>
      </w:r>
      <w:r w:rsidR="009D0A7F" w:rsidRPr="00C52C8A">
        <w:noBreakHyphen/>
      </w:r>
      <w:r w:rsidR="009D0A7F">
        <w:t>20</w:t>
      </w:r>
      <w:r w:rsidR="00A80B20" w:rsidRPr="00C52C8A">
        <w:t xml:space="preserve">. </w:t>
      </w:r>
      <w:r w:rsidR="00205A0F" w:rsidRPr="00C52C8A">
        <w:t>D</w:t>
      </w:r>
      <w:r w:rsidR="00A80B20" w:rsidRPr="00C52C8A">
        <w:t xml:space="preserve">ata </w:t>
      </w:r>
      <w:r w:rsidR="00205A0F" w:rsidRPr="00C52C8A">
        <w:t xml:space="preserve">from </w:t>
      </w:r>
      <w:r w:rsidR="00A80B20" w:rsidRPr="00C52C8A">
        <w:t>201</w:t>
      </w:r>
      <w:r w:rsidR="00CE7AB7" w:rsidRPr="00C52C8A">
        <w:t>4</w:t>
      </w:r>
      <w:r w:rsidR="00F4592C" w:rsidRPr="00C52C8A">
        <w:noBreakHyphen/>
      </w:r>
      <w:r w:rsidR="00A80B20" w:rsidRPr="00C52C8A">
        <w:t>1</w:t>
      </w:r>
      <w:r w:rsidR="00CE7AB7" w:rsidRPr="00C52C8A">
        <w:t>5</w:t>
      </w:r>
      <w:r w:rsidR="00A80B20" w:rsidRPr="00C52C8A">
        <w:t xml:space="preserve"> </w:t>
      </w:r>
      <w:r w:rsidR="00F04155" w:rsidRPr="00C52C8A">
        <w:t xml:space="preserve">are available </w:t>
      </w:r>
      <w:r w:rsidR="00C82D29" w:rsidRPr="00C52C8A">
        <w:t>in table </w:t>
      </w:r>
      <w:r w:rsidR="00A80B20" w:rsidRPr="00C52C8A">
        <w:t>17A.</w:t>
      </w:r>
      <w:r w:rsidR="005374A3" w:rsidRPr="00C52C8A">
        <w:t>2</w:t>
      </w:r>
      <w:r w:rsidR="00C32D9A">
        <w:t>3</w:t>
      </w:r>
      <w:r w:rsidR="00A80B20" w:rsidRPr="00C52C8A">
        <w:t xml:space="preserve"> and show</w:t>
      </w:r>
      <w:r w:rsidR="0074386C" w:rsidRPr="00C52C8A">
        <w:t xml:space="preserve"> </w:t>
      </w:r>
      <w:r w:rsidR="00205A0F" w:rsidRPr="00C52C8A">
        <w:t>one</w:t>
      </w:r>
      <w:r w:rsidR="00A80B20" w:rsidRPr="00C52C8A">
        <w:t xml:space="preserve"> abscond</w:t>
      </w:r>
      <w:r w:rsidR="0074386C" w:rsidRPr="00C52C8A">
        <w:t xml:space="preserve"> over this period</w:t>
      </w:r>
      <w:r w:rsidR="00A80B20" w:rsidRPr="00C52C8A">
        <w:t>.</w:t>
      </w:r>
    </w:p>
    <w:p w14:paraId="38AE0AD8" w14:textId="77777777" w:rsidR="00787194" w:rsidRPr="00C52C8A" w:rsidRDefault="00787194" w:rsidP="001C3F5D">
      <w:pPr>
        <w:pStyle w:val="Heading4"/>
      </w:pPr>
      <w:r w:rsidRPr="00C52C8A">
        <w:t>Completion of community</w:t>
      </w:r>
      <w:r w:rsidR="00F4592C" w:rsidRPr="00C52C8A">
        <w:noBreakHyphen/>
      </w:r>
      <w:r w:rsidRPr="00C52C8A">
        <w:t>based orders</w:t>
      </w:r>
    </w:p>
    <w:p w14:paraId="07E2C841" w14:textId="6FB60367" w:rsidR="00373273" w:rsidRPr="00C52C8A" w:rsidRDefault="00787194" w:rsidP="00787194">
      <w:pPr>
        <w:pStyle w:val="BodyText"/>
      </w:pPr>
      <w:r w:rsidRPr="00C52C8A">
        <w:t>‘Completion of community</w:t>
      </w:r>
      <w:r w:rsidR="00F4592C" w:rsidRPr="00C52C8A">
        <w:noBreakHyphen/>
      </w:r>
      <w:r w:rsidRPr="00C52C8A">
        <w:t xml:space="preserve">based orders’ is an indicator of governments’ objective to </w:t>
      </w:r>
      <w:r w:rsidR="00E70BF8" w:rsidRPr="00C52C8A">
        <w:t>rehabilitate and rein</w:t>
      </w:r>
      <w:r w:rsidR="005451B9" w:rsidRPr="00C52C8A">
        <w:t xml:space="preserve">tegrate young people who offend </w:t>
      </w:r>
      <w:r w:rsidR="004A5D31" w:rsidRPr="00C52C8A">
        <w:t>(box</w:t>
      </w:r>
      <w:r w:rsidR="00373273" w:rsidRPr="00C52C8A">
        <w:t> </w:t>
      </w:r>
      <w:r w:rsidR="00B27E61" w:rsidRPr="00C52C8A">
        <w:t>17.18</w:t>
      </w:r>
      <w:r w:rsidRPr="00C52C8A">
        <w:t>).</w:t>
      </w:r>
    </w:p>
    <w:p w14:paraId="6B7B1166" w14:textId="1EA57B83" w:rsidR="000A060F" w:rsidRPr="002E39DF" w:rsidRDefault="000A06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A060F" w:rsidRPr="00C52C8A" w14:paraId="1557F40A" w14:textId="77777777" w:rsidTr="00301F3E">
        <w:trPr>
          <w:tblHeader/>
        </w:trPr>
        <w:tc>
          <w:tcPr>
            <w:tcW w:w="5000" w:type="pct"/>
            <w:tcBorders>
              <w:top w:val="single" w:sz="6" w:space="0" w:color="78A22F"/>
              <w:left w:val="nil"/>
              <w:bottom w:val="nil"/>
              <w:right w:val="nil"/>
            </w:tcBorders>
            <w:shd w:val="clear" w:color="auto" w:fill="F2F2F2"/>
          </w:tcPr>
          <w:p w14:paraId="6B577608" w14:textId="26D680AA" w:rsidR="000A060F" w:rsidRPr="00C52C8A" w:rsidRDefault="000A060F">
            <w:pPr>
              <w:pStyle w:val="BoxTitle"/>
            </w:pPr>
            <w:r w:rsidRPr="00C52C8A">
              <w:rPr>
                <w:b w:val="0"/>
              </w:rPr>
              <w:t xml:space="preserve">Box </w:t>
            </w:r>
            <w:bookmarkStart w:id="50" w:name="OLE_LINK12"/>
            <w:r w:rsidR="00C87A43">
              <w:rPr>
                <w:b w:val="0"/>
              </w:rPr>
              <w:t>17.</w:t>
            </w:r>
            <w:r w:rsidR="00AF64D0">
              <w:rPr>
                <w:b w:val="0"/>
                <w:noProof/>
              </w:rPr>
              <w:t>18</w:t>
            </w:r>
            <w:bookmarkEnd w:id="50"/>
            <w:r w:rsidRPr="00C52C8A">
              <w:tab/>
              <w:t>Completion of community</w:t>
            </w:r>
            <w:r w:rsidRPr="00C52C8A">
              <w:noBreakHyphen/>
              <w:t>based orders</w:t>
            </w:r>
          </w:p>
        </w:tc>
      </w:tr>
      <w:tr w:rsidR="000A060F" w:rsidRPr="00C52C8A" w14:paraId="49CA0A27" w14:textId="77777777" w:rsidTr="00301F3E">
        <w:tc>
          <w:tcPr>
            <w:tcW w:w="5000" w:type="pct"/>
            <w:tcBorders>
              <w:top w:val="nil"/>
              <w:left w:val="nil"/>
              <w:bottom w:val="nil"/>
              <w:right w:val="nil"/>
            </w:tcBorders>
            <w:shd w:val="clear" w:color="auto" w:fill="F2F2F2"/>
          </w:tcPr>
          <w:p w14:paraId="506ED6C0" w14:textId="1F02A111" w:rsidR="000A060F" w:rsidRPr="00C52C8A" w:rsidRDefault="000A060F" w:rsidP="000A060F">
            <w:pPr>
              <w:pStyle w:val="Box"/>
            </w:pPr>
            <w:r w:rsidRPr="00C52C8A">
              <w:t>‘Completion of community</w:t>
            </w:r>
            <w:r w:rsidRPr="00C52C8A">
              <w:noBreakHyphen/>
              <w:t>based orders’ is defined as the proportion of sentenced community</w:t>
            </w:r>
            <w:r w:rsidRPr="00C52C8A">
              <w:noBreakHyphen/>
              <w:t xml:space="preserve">based </w:t>
            </w:r>
            <w:r w:rsidR="00ED2BAD" w:rsidRPr="00C52C8A">
              <w:t xml:space="preserve">youth </w:t>
            </w:r>
            <w:r w:rsidRPr="00C52C8A">
              <w:t xml:space="preserve">supervision orders successfully completed. </w:t>
            </w:r>
          </w:p>
          <w:p w14:paraId="280418EA" w14:textId="77777777" w:rsidR="00C82D29" w:rsidRPr="00C52C8A" w:rsidRDefault="000A060F" w:rsidP="00C82D29">
            <w:pPr>
              <w:pStyle w:val="Box"/>
            </w:pPr>
            <w:r w:rsidRPr="00C52C8A">
              <w:t>Successful completion occurs when the earliest of the order expiry date or the order termination date is reached, and a breach is neither pending nor finalised. An order is not successfully completed where a court decides that an order was breached, irrespective of the court</w:t>
            </w:r>
            <w:r w:rsidRPr="00C52C8A">
              <w:noBreakHyphen/>
              <w:t>ordered outcome. Excludes orders that have not yet been completed and/or the breach action has not been finalised.</w:t>
            </w:r>
            <w:r w:rsidR="00C82D29" w:rsidRPr="00C52C8A">
              <w:t xml:space="preserve"> </w:t>
            </w:r>
          </w:p>
          <w:p w14:paraId="61022477" w14:textId="403C80D4" w:rsidR="00C82D29" w:rsidRPr="00C52C8A" w:rsidRDefault="00C82D29" w:rsidP="00C82D29">
            <w:pPr>
              <w:pStyle w:val="Box"/>
            </w:pPr>
            <w:r w:rsidRPr="00C52C8A">
              <w:t>A high or increasing proportion of orders successfully completed is desirable. However, where offenders are non</w:t>
            </w:r>
            <w:r w:rsidRPr="00C52C8A">
              <w:noBreakHyphen/>
              <w:t xml:space="preserve">compliant and pose a risk, breach action (an unsuccessful completion) may be warranted. As a result, a completion rate less than 100 per cent may not necessarily indicate poor </w:t>
            </w:r>
            <w:proofErr w:type="gramStart"/>
            <w:r w:rsidRPr="00C52C8A">
              <w:t>performance, and</w:t>
            </w:r>
            <w:proofErr w:type="gramEnd"/>
            <w:r w:rsidRPr="00C52C8A">
              <w:t xml:space="preserve"> may reflect appropriate supervision of young people on community</w:t>
            </w:r>
            <w:r w:rsidRPr="00C52C8A">
              <w:noBreakHyphen/>
              <w:t>based supervision orders.</w:t>
            </w:r>
          </w:p>
          <w:p w14:paraId="2A3DDD5F" w14:textId="77777777" w:rsidR="00C82D29" w:rsidRPr="00C52C8A" w:rsidRDefault="00C82D29" w:rsidP="00C82D29">
            <w:pPr>
              <w:pStyle w:val="Box"/>
            </w:pPr>
            <w:r w:rsidRPr="00C52C8A">
              <w:t>Data reported for this indicator are:</w:t>
            </w:r>
          </w:p>
          <w:p w14:paraId="22624DD2" w14:textId="77777777" w:rsidR="00C82D29" w:rsidRPr="00C52C8A" w:rsidRDefault="00C82D29" w:rsidP="00C82D29">
            <w:pPr>
              <w:pStyle w:val="Box"/>
              <w:ind w:left="284"/>
            </w:pPr>
            <w:r w:rsidRPr="00C52C8A">
              <w:rPr>
                <w:shd w:val="clear" w:color="auto" w:fill="F15A25"/>
              </w:rPr>
              <w:t xml:space="preserve">    </w:t>
            </w:r>
            <w:r w:rsidRPr="00C52C8A">
              <w:t xml:space="preserve"> comparable (subject to caveats) across jurisdictions and over time</w:t>
            </w:r>
          </w:p>
          <w:p w14:paraId="6A39E318" w14:textId="5F76F30D" w:rsidR="000A060F" w:rsidRPr="00C52C8A" w:rsidRDefault="00C82D29" w:rsidP="00CE7AB7">
            <w:pPr>
              <w:pStyle w:val="Box"/>
              <w:ind w:left="284"/>
            </w:pPr>
            <w:r w:rsidRPr="00C52C8A">
              <w:rPr>
                <w:shd w:val="clear" w:color="auto" w:fill="F15A25"/>
              </w:rPr>
              <w:t xml:space="preserve">    </w:t>
            </w:r>
            <w:r w:rsidRPr="00C52C8A">
              <w:t xml:space="preserve"> complete </w:t>
            </w:r>
            <w:r w:rsidR="009A4756" w:rsidRPr="00C52C8A">
              <w:t xml:space="preserve">(subject to caveats) </w:t>
            </w:r>
            <w:r w:rsidRPr="00C52C8A">
              <w:t xml:space="preserve">for the current reporting period. All required </w:t>
            </w:r>
            <w:r w:rsidR="009D0A7F" w:rsidRPr="00C52C8A">
              <w:t>201</w:t>
            </w:r>
            <w:r w:rsidR="009D0A7F">
              <w:t>9</w:t>
            </w:r>
            <w:r w:rsidR="009D0A7F" w:rsidRPr="00C52C8A">
              <w:noBreakHyphen/>
            </w:r>
            <w:r w:rsidR="009D0A7F">
              <w:t>20</w:t>
            </w:r>
            <w:r w:rsidR="009D0A7F" w:rsidRPr="00C52C8A">
              <w:t xml:space="preserve"> </w:t>
            </w:r>
            <w:r w:rsidRPr="00C52C8A">
              <w:t>data are available for all jurisdictions.</w:t>
            </w:r>
          </w:p>
        </w:tc>
      </w:tr>
      <w:tr w:rsidR="000A060F" w:rsidRPr="00C52C8A" w14:paraId="3FD27AF5" w14:textId="77777777" w:rsidTr="00301F3E">
        <w:tc>
          <w:tcPr>
            <w:tcW w:w="5000" w:type="pct"/>
            <w:tcBorders>
              <w:top w:val="nil"/>
              <w:left w:val="nil"/>
              <w:bottom w:val="single" w:sz="6" w:space="0" w:color="78A22F"/>
              <w:right w:val="nil"/>
            </w:tcBorders>
            <w:shd w:val="clear" w:color="auto" w:fill="F2F2F2"/>
          </w:tcPr>
          <w:p w14:paraId="551FCB98" w14:textId="77777777" w:rsidR="000A060F" w:rsidRPr="00C52C8A" w:rsidRDefault="000A060F">
            <w:pPr>
              <w:pStyle w:val="Box"/>
              <w:spacing w:before="0" w:line="120" w:lineRule="exact"/>
            </w:pPr>
          </w:p>
        </w:tc>
      </w:tr>
      <w:tr w:rsidR="000A060F" w:rsidRPr="00C52C8A" w14:paraId="5DDC8A66" w14:textId="77777777" w:rsidTr="00301F3E">
        <w:tc>
          <w:tcPr>
            <w:tcW w:w="5000" w:type="pct"/>
            <w:tcBorders>
              <w:top w:val="single" w:sz="6" w:space="0" w:color="78A22F"/>
              <w:left w:val="nil"/>
              <w:bottom w:val="nil"/>
              <w:right w:val="nil"/>
            </w:tcBorders>
          </w:tcPr>
          <w:p w14:paraId="08C3E2B2" w14:textId="4D8025A2" w:rsidR="000A060F" w:rsidRPr="002E39DF" w:rsidRDefault="000A060F" w:rsidP="00301F3E">
            <w:pPr>
              <w:pStyle w:val="BoxSpaceBelow"/>
            </w:pPr>
          </w:p>
        </w:tc>
      </w:tr>
    </w:tbl>
    <w:p w14:paraId="7CF97978" w14:textId="0BD865FA" w:rsidR="00787194" w:rsidRPr="00C52C8A" w:rsidRDefault="004C6587" w:rsidP="00787194">
      <w:pPr>
        <w:pStyle w:val="BodyText"/>
      </w:pPr>
      <w:r w:rsidRPr="00C52C8A">
        <w:t xml:space="preserve">Nationally, </w:t>
      </w:r>
      <w:r w:rsidR="00312326">
        <w:t>82.8</w:t>
      </w:r>
      <w:r w:rsidRPr="00C52C8A">
        <w:t xml:space="preserve"> p</w:t>
      </w:r>
      <w:r w:rsidR="00787194" w:rsidRPr="00C52C8A">
        <w:t>er cent of community</w:t>
      </w:r>
      <w:r w:rsidR="00F4592C" w:rsidRPr="00C52C8A">
        <w:noBreakHyphen/>
      </w:r>
      <w:r w:rsidR="00787194" w:rsidRPr="00C52C8A">
        <w:t xml:space="preserve">based orders were successfully completed in </w:t>
      </w:r>
      <w:r w:rsidR="009D0A7F" w:rsidRPr="00C52C8A">
        <w:t>201</w:t>
      </w:r>
      <w:r w:rsidR="009D0A7F">
        <w:t>9</w:t>
      </w:r>
      <w:r w:rsidR="009D0A7F" w:rsidRPr="00C52C8A">
        <w:noBreakHyphen/>
      </w:r>
      <w:r w:rsidR="009D0A7F">
        <w:t>20</w:t>
      </w:r>
      <w:r w:rsidR="009D0A7F" w:rsidRPr="00C52C8A">
        <w:t xml:space="preserve"> </w:t>
      </w:r>
      <w:r w:rsidR="004A5D31" w:rsidRPr="00C52C8A">
        <w:t>(figure</w:t>
      </w:r>
      <w:r w:rsidR="00F4592C" w:rsidRPr="00C52C8A">
        <w:t> </w:t>
      </w:r>
      <w:r w:rsidR="00D67BB1" w:rsidRPr="009C231F">
        <w:t>17.12</w:t>
      </w:r>
      <w:r w:rsidR="00787194" w:rsidRPr="00C84076">
        <w:t>)</w:t>
      </w:r>
      <w:r w:rsidR="00307274" w:rsidRPr="00C84076">
        <w:t xml:space="preserve">; </w:t>
      </w:r>
      <w:r w:rsidR="00AF20B0" w:rsidRPr="00C84076">
        <w:t xml:space="preserve">continuing the annual increases </w:t>
      </w:r>
      <w:r w:rsidR="00307274" w:rsidRPr="00C84076">
        <w:t>from</w:t>
      </w:r>
      <w:r w:rsidR="00307274" w:rsidRPr="009C231F">
        <w:t xml:space="preserve"> 78.6 per cent in 2014</w:t>
      </w:r>
      <w:r w:rsidR="005B0070">
        <w:noBreakHyphen/>
      </w:r>
      <w:r w:rsidR="00307274" w:rsidRPr="009C231F">
        <w:t>15</w:t>
      </w:r>
      <w:r w:rsidR="00F06962" w:rsidRPr="00C52C8A">
        <w:t xml:space="preserve"> (</w:t>
      </w:r>
      <w:r w:rsidR="00EC220E" w:rsidRPr="00C52C8A">
        <w:t>table </w:t>
      </w:r>
      <w:r w:rsidR="00F06962" w:rsidRPr="00C52C8A">
        <w:t>17A.</w:t>
      </w:r>
      <w:r w:rsidR="005374A3" w:rsidRPr="00C52C8A">
        <w:t>2</w:t>
      </w:r>
      <w:r w:rsidR="00C32D9A">
        <w:t>4</w:t>
      </w:r>
      <w:r w:rsidR="00065EC2" w:rsidRPr="00C52C8A">
        <w:t>)</w:t>
      </w:r>
      <w:r w:rsidR="00787194" w:rsidRPr="00C52C8A">
        <w:t>.</w:t>
      </w:r>
    </w:p>
    <w:p w14:paraId="09B5ECFA" w14:textId="6F1D1243" w:rsidR="00787194" w:rsidRPr="002E39DF" w:rsidRDefault="00787194" w:rsidP="00787194">
      <w:pPr>
        <w:pStyle w:val="BoxSpaceAbove"/>
      </w:pPr>
    </w:p>
    <w:tbl>
      <w:tblPr>
        <w:tblW w:w="8789" w:type="dxa"/>
        <w:tblBorders>
          <w:top w:val="single" w:sz="4" w:space="0" w:color="78A22F"/>
        </w:tblBorders>
        <w:tblLayout w:type="fixed"/>
        <w:tblCellMar>
          <w:left w:w="142" w:type="dxa"/>
          <w:right w:w="142" w:type="dxa"/>
        </w:tblCellMar>
        <w:tblLook w:val="0000" w:firstRow="0" w:lastRow="0" w:firstColumn="0" w:lastColumn="0" w:noHBand="0" w:noVBand="0"/>
      </w:tblPr>
      <w:tblGrid>
        <w:gridCol w:w="8789"/>
      </w:tblGrid>
      <w:tr w:rsidR="00787194" w:rsidRPr="00C52C8A" w14:paraId="74A2209E" w14:textId="77777777" w:rsidTr="00DE63E6">
        <w:tc>
          <w:tcPr>
            <w:tcW w:w="8789" w:type="dxa"/>
            <w:tcBorders>
              <w:bottom w:val="nil"/>
            </w:tcBorders>
            <w:shd w:val="clear" w:color="auto" w:fill="auto"/>
          </w:tcPr>
          <w:p w14:paraId="2350FA61" w14:textId="4D339488" w:rsidR="00787194" w:rsidRPr="00C52C8A" w:rsidRDefault="00787194" w:rsidP="00CE7AB7">
            <w:pPr>
              <w:pStyle w:val="FigureTitle"/>
            </w:pPr>
            <w:r w:rsidRPr="00C52C8A">
              <w:rPr>
                <w:b w:val="0"/>
              </w:rPr>
              <w:t>Figure</w:t>
            </w:r>
            <w:r w:rsidR="004A5D31" w:rsidRPr="00C52C8A">
              <w:rPr>
                <w:b w:val="0"/>
              </w:rPr>
              <w:t xml:space="preserve"> </w:t>
            </w:r>
            <w:r w:rsidR="00D67BB1" w:rsidRPr="00C52C8A">
              <w:rPr>
                <w:b w:val="0"/>
              </w:rPr>
              <w:t>17.12</w:t>
            </w:r>
            <w:r w:rsidRPr="00C52C8A">
              <w:tab/>
              <w:t>Proportion of community</w:t>
            </w:r>
            <w:r w:rsidR="00F4592C" w:rsidRPr="00C52C8A">
              <w:noBreakHyphen/>
            </w:r>
            <w:r w:rsidRPr="00C52C8A">
              <w:t>based orders successfully completed, by Indigenous status, 201</w:t>
            </w:r>
            <w:r w:rsidR="009D0A7F">
              <w:t>9</w:t>
            </w:r>
            <w:r w:rsidR="00F4592C" w:rsidRPr="00C52C8A">
              <w:noBreakHyphen/>
            </w:r>
            <w:r w:rsidR="009D0A7F">
              <w:t>20</w:t>
            </w:r>
            <w:r w:rsidRPr="00C52C8A">
              <w:rPr>
                <w:rStyle w:val="NoteLabel"/>
                <w:b/>
              </w:rPr>
              <w:t>a</w:t>
            </w:r>
          </w:p>
        </w:tc>
      </w:tr>
      <w:tr w:rsidR="00DE63E6" w:rsidRPr="00C52C8A" w14:paraId="3BEB1D1D" w14:textId="77777777" w:rsidTr="00DE63E6">
        <w:tc>
          <w:tcPr>
            <w:tcW w:w="8789" w:type="dxa"/>
            <w:tcBorders>
              <w:top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DE63E6" w:rsidRPr="00C52C8A" w14:paraId="5F3236E0" w14:textId="77777777" w:rsidTr="00512B2B">
              <w:tc>
                <w:tcPr>
                  <w:tcW w:w="304" w:type="dxa"/>
                  <w:tcBorders>
                    <w:top w:val="nil"/>
                    <w:left w:val="nil"/>
                    <w:bottom w:val="nil"/>
                    <w:right w:val="nil"/>
                  </w:tcBorders>
                  <w:shd w:val="clear" w:color="auto" w:fill="auto"/>
                  <w:tcMar>
                    <w:top w:w="28" w:type="dxa"/>
                    <w:bottom w:w="28" w:type="dxa"/>
                  </w:tcMar>
                </w:tcPr>
                <w:p w14:paraId="6A4D7A71"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95F23CF" w14:textId="77777777" w:rsidR="00DE63E6" w:rsidRPr="00C52C8A" w:rsidRDefault="00DE63E6" w:rsidP="00512B2B">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11ED7F1D" w14:textId="3A4AC3CC" w:rsidR="00DE63E6" w:rsidRPr="00C52C8A" w:rsidRDefault="00DE63E6" w:rsidP="0081112C">
                  <w:pPr>
                    <w:pStyle w:val="TableBodyText"/>
                    <w:jc w:val="left"/>
                  </w:pPr>
                  <w:r w:rsidRPr="00C52C8A">
                    <w:t xml:space="preserve">Data are </w:t>
                  </w:r>
                  <w:r w:rsidR="00512B2B" w:rsidRPr="00C52C8A">
                    <w:t>comparable (subject to caveats) across jurisdictions</w:t>
                  </w:r>
                  <w:r w:rsidRPr="00C52C8A">
                    <w:t>.</w:t>
                  </w:r>
                </w:p>
              </w:tc>
            </w:tr>
            <w:tr w:rsidR="00DE63E6" w:rsidRPr="00C52C8A" w14:paraId="6B0F3AF7" w14:textId="77777777" w:rsidTr="00CC3E5F">
              <w:tc>
                <w:tcPr>
                  <w:tcW w:w="304" w:type="dxa"/>
                  <w:tcBorders>
                    <w:top w:val="nil"/>
                    <w:left w:val="nil"/>
                    <w:bottom w:val="nil"/>
                    <w:right w:val="nil"/>
                  </w:tcBorders>
                  <w:shd w:val="clear" w:color="auto" w:fill="auto"/>
                  <w:tcMar>
                    <w:top w:w="28" w:type="dxa"/>
                    <w:bottom w:w="28" w:type="dxa"/>
                  </w:tcMar>
                </w:tcPr>
                <w:p w14:paraId="24702A2F" w14:textId="77777777" w:rsidR="00DE63E6" w:rsidRPr="00C52C8A" w:rsidRDefault="00DE63E6" w:rsidP="00DE63E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E0F1BBF" w14:textId="77777777" w:rsidR="00DE63E6" w:rsidRPr="00C52C8A" w:rsidRDefault="00DE63E6" w:rsidP="00DE63E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24A863F4" w14:textId="496F308E" w:rsidR="00DE63E6" w:rsidRPr="00C52C8A" w:rsidRDefault="00DE63E6" w:rsidP="00EF49AD">
                  <w:pPr>
                    <w:pStyle w:val="TableBodyText"/>
                    <w:jc w:val="left"/>
                  </w:pPr>
                  <w:r w:rsidRPr="00C52C8A">
                    <w:t xml:space="preserve">Data are complete (subject to caveats) for the current reporting period. </w:t>
                  </w:r>
                </w:p>
              </w:tc>
            </w:tr>
          </w:tbl>
          <w:p w14:paraId="31C05E36" w14:textId="77777777" w:rsidR="00DE63E6" w:rsidRPr="00C52C8A" w:rsidRDefault="00DE63E6" w:rsidP="00DE63E6">
            <w:pPr>
              <w:pStyle w:val="FigureTitle"/>
              <w:rPr>
                <w:b w:val="0"/>
              </w:rPr>
            </w:pPr>
          </w:p>
        </w:tc>
      </w:tr>
      <w:tr w:rsidR="00787194" w:rsidRPr="00C52C8A" w14:paraId="055D6E2F" w14:textId="77777777" w:rsidTr="000A060F">
        <w:tc>
          <w:tcPr>
            <w:tcW w:w="8789" w:type="dxa"/>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787194" w:rsidRPr="00C52C8A" w14:paraId="0F351181" w14:textId="77777777" w:rsidTr="00855EDC">
              <w:tc>
                <w:tcPr>
                  <w:tcW w:w="8505" w:type="dxa"/>
                  <w:tcBorders>
                    <w:top w:val="nil"/>
                    <w:bottom w:val="nil"/>
                  </w:tcBorders>
                </w:tcPr>
                <w:p w14:paraId="0ACA553F" w14:textId="696D2664" w:rsidR="00787194" w:rsidRPr="00C52C8A" w:rsidRDefault="00855EDC" w:rsidP="00EA0897">
                  <w:pPr>
                    <w:pStyle w:val="Figure"/>
                    <w:spacing w:before="60" w:after="60"/>
                  </w:pPr>
                  <w:r>
                    <w:rPr>
                      <w:noProof/>
                    </w:rPr>
                    <w:drawing>
                      <wp:inline distT="0" distB="0" distL="0" distR="0" wp14:anchorId="1B66AD63" wp14:editId="504C8D53">
                        <wp:extent cx="5263515" cy="2679700"/>
                        <wp:effectExtent l="0" t="0" r="0" b="6350"/>
                        <wp:docPr id="8" name="Chart 8" descr="Figure 17.12  Proportion of community based orders successfully completed, by Indigenous status, 2019-20.&#10;More details can be found within the text surrounding this image.">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01ED3D83" w14:textId="77777777" w:rsidR="00787194" w:rsidRPr="00C52C8A" w:rsidRDefault="00787194" w:rsidP="00EA0897">
            <w:pPr>
              <w:pStyle w:val="Figure"/>
            </w:pPr>
          </w:p>
        </w:tc>
      </w:tr>
      <w:tr w:rsidR="00787194" w:rsidRPr="00C52C8A" w14:paraId="23AE7B66" w14:textId="77777777" w:rsidTr="000A060F">
        <w:tc>
          <w:tcPr>
            <w:tcW w:w="8789" w:type="dxa"/>
            <w:shd w:val="clear" w:color="auto" w:fill="auto"/>
          </w:tcPr>
          <w:p w14:paraId="6C58BF44" w14:textId="36015BC1" w:rsidR="00787194" w:rsidRPr="00C52C8A" w:rsidRDefault="00787194" w:rsidP="00C32D9A">
            <w:pPr>
              <w:pStyle w:val="Note"/>
              <w:keepNext/>
              <w:widowControl w:val="0"/>
            </w:pPr>
            <w:r w:rsidRPr="00C52C8A">
              <w:rPr>
                <w:rStyle w:val="NoteLabel"/>
              </w:rPr>
              <w:t>a</w:t>
            </w:r>
            <w:r w:rsidRPr="00C52C8A">
              <w:t xml:space="preserve"> See box</w:t>
            </w:r>
            <w:r w:rsidR="00F4592C" w:rsidRPr="00C52C8A">
              <w:t> </w:t>
            </w:r>
            <w:r w:rsidR="00B27E61" w:rsidRPr="00C52C8A">
              <w:t>17.18</w:t>
            </w:r>
            <w:r w:rsidR="00643AF9" w:rsidRPr="00C52C8A">
              <w:t xml:space="preserve"> </w:t>
            </w:r>
            <w:r w:rsidRPr="00C52C8A">
              <w:t>and table</w:t>
            </w:r>
            <w:r w:rsidR="005B0070">
              <w:t> </w:t>
            </w:r>
            <w:r w:rsidRPr="00C52C8A">
              <w:t>17</w:t>
            </w:r>
            <w:r w:rsidR="00F06962" w:rsidRPr="00C52C8A">
              <w:t>A.</w:t>
            </w:r>
            <w:r w:rsidR="005374A3" w:rsidRPr="00C52C8A">
              <w:t>2</w:t>
            </w:r>
            <w:r w:rsidR="00C32D9A">
              <w:t>4</w:t>
            </w:r>
            <w:r w:rsidRPr="00C52C8A">
              <w:t xml:space="preserve"> for detailed definitions, footnotes and caveats.</w:t>
            </w:r>
          </w:p>
        </w:tc>
      </w:tr>
      <w:tr w:rsidR="00787194" w:rsidRPr="00C52C8A" w14:paraId="357B9256" w14:textId="77777777" w:rsidTr="000A060F">
        <w:tc>
          <w:tcPr>
            <w:tcW w:w="8789" w:type="dxa"/>
            <w:shd w:val="clear" w:color="auto" w:fill="auto"/>
          </w:tcPr>
          <w:p w14:paraId="77C0AB61" w14:textId="7848CCE8" w:rsidR="00787194" w:rsidRPr="00C52C8A" w:rsidRDefault="00787194" w:rsidP="00C32D9A">
            <w:pPr>
              <w:pStyle w:val="Source"/>
            </w:pPr>
            <w:r w:rsidRPr="00C52C8A">
              <w:rPr>
                <w:i/>
              </w:rPr>
              <w:t>Source</w:t>
            </w:r>
            <w:r w:rsidR="00CF76CB" w:rsidRPr="00C52C8A">
              <w:rPr>
                <w:i/>
              </w:rPr>
              <w:t>s</w:t>
            </w:r>
            <w:r w:rsidRPr="00C52C8A">
              <w:t>: State and Territory governments (unpublished); table</w:t>
            </w:r>
            <w:r w:rsidR="005B0070">
              <w:t> </w:t>
            </w:r>
            <w:r w:rsidRPr="00C52C8A">
              <w:t>17</w:t>
            </w:r>
            <w:r w:rsidR="00F06962" w:rsidRPr="00C52C8A">
              <w:t>A.</w:t>
            </w:r>
            <w:r w:rsidR="005374A3" w:rsidRPr="00C52C8A">
              <w:t>2</w:t>
            </w:r>
            <w:r w:rsidR="00C32D9A">
              <w:t>4</w:t>
            </w:r>
            <w:r w:rsidRPr="00C52C8A">
              <w:t>.</w:t>
            </w:r>
          </w:p>
        </w:tc>
      </w:tr>
      <w:tr w:rsidR="000E5DC6" w:rsidRPr="00C52C8A" w14:paraId="6D7234D9" w14:textId="77777777" w:rsidTr="000A060F">
        <w:tblPrEx>
          <w:tblBorders>
            <w:top w:val="single" w:sz="6" w:space="0" w:color="78A22F"/>
            <w:left w:val="single" w:sz="6" w:space="0" w:color="78A22F"/>
            <w:bottom w:val="single" w:sz="6" w:space="0" w:color="78A22F"/>
            <w:right w:val="single" w:sz="6" w:space="0" w:color="78A22F"/>
          </w:tblBorders>
        </w:tblPrEx>
        <w:trPr>
          <w:cantSplit/>
        </w:trPr>
        <w:tc>
          <w:tcPr>
            <w:tcW w:w="8789" w:type="dxa"/>
            <w:tcBorders>
              <w:top w:val="nil"/>
              <w:left w:val="nil"/>
              <w:bottom w:val="single" w:sz="6" w:space="0" w:color="78A22F"/>
              <w:right w:val="nil"/>
            </w:tcBorders>
            <w:shd w:val="clear" w:color="auto" w:fill="auto"/>
          </w:tcPr>
          <w:p w14:paraId="60A9CEDF" w14:textId="77777777" w:rsidR="000E5DC6" w:rsidRPr="00C52C8A" w:rsidRDefault="000E5DC6" w:rsidP="002E025B">
            <w:pPr>
              <w:pStyle w:val="Box"/>
              <w:spacing w:before="0" w:line="120" w:lineRule="exact"/>
            </w:pPr>
          </w:p>
        </w:tc>
      </w:tr>
      <w:tr w:rsidR="000E5DC6" w:rsidRPr="00C52C8A" w14:paraId="46561C2C" w14:textId="77777777" w:rsidTr="000A060F">
        <w:tblPrEx>
          <w:tblBorders>
            <w:top w:val="single" w:sz="6" w:space="0" w:color="78A22F"/>
            <w:left w:val="single" w:sz="6" w:space="0" w:color="78A22F"/>
            <w:bottom w:val="single" w:sz="6" w:space="0" w:color="78A22F"/>
            <w:right w:val="single" w:sz="6" w:space="0" w:color="78A22F"/>
          </w:tblBorders>
        </w:tblPrEx>
        <w:tc>
          <w:tcPr>
            <w:tcW w:w="8789" w:type="dxa"/>
            <w:tcBorders>
              <w:top w:val="single" w:sz="6" w:space="0" w:color="78A22F"/>
              <w:left w:val="nil"/>
              <w:bottom w:val="nil"/>
              <w:right w:val="nil"/>
            </w:tcBorders>
          </w:tcPr>
          <w:p w14:paraId="516261FE" w14:textId="13615396" w:rsidR="000E5DC6" w:rsidRPr="002F0149" w:rsidRDefault="000E5DC6" w:rsidP="002F0149">
            <w:pPr>
              <w:pStyle w:val="BoxSpaceBelow"/>
            </w:pPr>
          </w:p>
        </w:tc>
      </w:tr>
    </w:tbl>
    <w:p w14:paraId="65C91DBB" w14:textId="77777777" w:rsidR="00156983" w:rsidRDefault="00156983">
      <w:pPr>
        <w:rPr>
          <w:rFonts w:ascii="Arial" w:hAnsi="Arial"/>
          <w:szCs w:val="20"/>
        </w:rPr>
      </w:pPr>
      <w:r>
        <w:br w:type="page"/>
      </w:r>
    </w:p>
    <w:p w14:paraId="7083A816" w14:textId="7004088E" w:rsidR="00D6238C" w:rsidRPr="00C52C8A" w:rsidRDefault="005451B9" w:rsidP="00983812">
      <w:pPr>
        <w:pStyle w:val="Heading4"/>
      </w:pPr>
      <w:r w:rsidRPr="00C52C8A">
        <w:lastRenderedPageBreak/>
        <w:t>Returns to sentenced youth justice supervision</w:t>
      </w:r>
    </w:p>
    <w:p w14:paraId="05D4479C" w14:textId="563DF08C" w:rsidR="00156983" w:rsidRDefault="00D6238C" w:rsidP="00C17277">
      <w:pPr>
        <w:pStyle w:val="BodyText"/>
        <w:widowControl w:val="0"/>
      </w:pPr>
      <w:r w:rsidRPr="00C52C8A">
        <w:t>‘</w:t>
      </w:r>
      <w:r w:rsidR="005451B9" w:rsidRPr="00C52C8A">
        <w:t>Returns to sentenced youth justice supervision</w:t>
      </w:r>
      <w:r w:rsidRPr="00C52C8A">
        <w:t xml:space="preserve">’ is an indicator of governments’ objective to </w:t>
      </w:r>
      <w:r w:rsidR="00E70BF8" w:rsidRPr="00C52C8A">
        <w:t>contribute to a reduction in youth re</w:t>
      </w:r>
      <w:r w:rsidR="00E70BF8" w:rsidRPr="00C52C8A">
        <w:noBreakHyphen/>
        <w:t xml:space="preserve">offending </w:t>
      </w:r>
      <w:r w:rsidR="004A5D31" w:rsidRPr="00C52C8A">
        <w:t>(box</w:t>
      </w:r>
      <w:r w:rsidR="00F4592C" w:rsidRPr="00C52C8A">
        <w:t> </w:t>
      </w:r>
      <w:r w:rsidR="00B27E61" w:rsidRPr="00C52C8A">
        <w:t>17.19</w:t>
      </w:r>
      <w:r w:rsidRPr="00C52C8A">
        <w:t>).</w:t>
      </w:r>
    </w:p>
    <w:p w14:paraId="180287D4" w14:textId="23935CE4" w:rsidR="00B94CA4" w:rsidRPr="00156983" w:rsidRDefault="00B94CA4" w:rsidP="0015698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94CA4" w:rsidRPr="00C52C8A" w14:paraId="07FA2534" w14:textId="77777777" w:rsidTr="0078661B">
        <w:trPr>
          <w:tblHeader/>
        </w:trPr>
        <w:tc>
          <w:tcPr>
            <w:tcW w:w="5000" w:type="pct"/>
            <w:tcBorders>
              <w:top w:val="single" w:sz="6" w:space="0" w:color="78A22F"/>
              <w:left w:val="nil"/>
              <w:bottom w:val="nil"/>
              <w:right w:val="nil"/>
            </w:tcBorders>
            <w:shd w:val="clear" w:color="auto" w:fill="F2F2F2"/>
          </w:tcPr>
          <w:p w14:paraId="34219912" w14:textId="3727D343" w:rsidR="00B94CA4" w:rsidRPr="00C52C8A" w:rsidRDefault="00B94CA4">
            <w:pPr>
              <w:pStyle w:val="BoxTitle"/>
            </w:pPr>
            <w:r w:rsidRPr="00C52C8A">
              <w:rPr>
                <w:b w:val="0"/>
              </w:rPr>
              <w:t xml:space="preserve">Box </w:t>
            </w:r>
            <w:r w:rsidR="00C87A43">
              <w:rPr>
                <w:b w:val="0"/>
              </w:rPr>
              <w:t>17.</w:t>
            </w:r>
            <w:r w:rsidR="00AF64D0">
              <w:rPr>
                <w:b w:val="0"/>
                <w:noProof/>
              </w:rPr>
              <w:t>19</w:t>
            </w:r>
            <w:r w:rsidRPr="00C52C8A">
              <w:tab/>
              <w:t>Returns to sentenced youth justice supervision</w:t>
            </w:r>
          </w:p>
        </w:tc>
      </w:tr>
      <w:tr w:rsidR="00B94CA4" w:rsidRPr="00C52C8A" w14:paraId="08437776" w14:textId="77777777" w:rsidTr="0078661B">
        <w:tc>
          <w:tcPr>
            <w:tcW w:w="5000" w:type="pct"/>
            <w:tcBorders>
              <w:top w:val="nil"/>
              <w:left w:val="nil"/>
              <w:bottom w:val="nil"/>
              <w:right w:val="nil"/>
            </w:tcBorders>
            <w:shd w:val="clear" w:color="auto" w:fill="F2F2F2"/>
          </w:tcPr>
          <w:p w14:paraId="54FEBE6D" w14:textId="77777777" w:rsidR="00B94CA4" w:rsidRPr="00C52C8A" w:rsidRDefault="00B94CA4" w:rsidP="00B94CA4">
            <w:pPr>
              <w:pStyle w:val="Box"/>
              <w:rPr>
                <w:rFonts w:eastAsiaTheme="minorHAnsi"/>
                <w:lang w:eastAsia="en-US"/>
              </w:rPr>
            </w:pPr>
            <w:r w:rsidRPr="00C52C8A">
              <w:t>‘</w:t>
            </w:r>
            <w:r w:rsidRPr="00C52C8A">
              <w:rPr>
                <w:rFonts w:eastAsiaTheme="minorHAnsi"/>
                <w:lang w:eastAsia="en-US"/>
              </w:rPr>
              <w:t>Returns to sentenced youth justice supervision’ is defined as the proportion of young people released from sentenced supervision who are aged 10–16 years at time of release who returned to sentenced supervision within 12 months. Data are reported by the State or Territory of the original sentenced supervision, even if the return to supervision is not in that State or Territory.</w:t>
            </w:r>
          </w:p>
          <w:p w14:paraId="074569BB" w14:textId="77777777" w:rsidR="00B94CA4" w:rsidRPr="00C52C8A" w:rsidRDefault="00B94CA4" w:rsidP="00B94CA4">
            <w:pPr>
              <w:pStyle w:val="Box"/>
              <w:rPr>
                <w:rFonts w:eastAsiaTheme="minorHAnsi"/>
                <w:lang w:eastAsia="en-US"/>
              </w:rPr>
            </w:pPr>
            <w:r w:rsidRPr="00C52C8A">
              <w:rPr>
                <w:rFonts w:eastAsiaTheme="minorHAnsi"/>
                <w:lang w:eastAsia="en-US"/>
              </w:rPr>
              <w:t xml:space="preserve">The measure has </w:t>
            </w:r>
            <w:proofErr w:type="gramStart"/>
            <w:r w:rsidRPr="00C52C8A">
              <w:rPr>
                <w:rFonts w:eastAsiaTheme="minorHAnsi"/>
                <w:lang w:eastAsia="en-US"/>
              </w:rPr>
              <w:t>a number of</w:t>
            </w:r>
            <w:proofErr w:type="gramEnd"/>
            <w:r w:rsidRPr="00C52C8A">
              <w:rPr>
                <w:rFonts w:eastAsiaTheme="minorHAnsi"/>
                <w:lang w:eastAsia="en-US"/>
              </w:rPr>
              <w:t xml:space="preserve"> restrictions that need to be considered when interpreting the results:</w:t>
            </w:r>
          </w:p>
          <w:p w14:paraId="04807204" w14:textId="77777777" w:rsidR="00B94CA4" w:rsidRPr="00C52C8A" w:rsidRDefault="00B94CA4" w:rsidP="00B94CA4">
            <w:pPr>
              <w:pStyle w:val="BoxListBullet"/>
              <w:rPr>
                <w:rFonts w:eastAsiaTheme="minorHAnsi"/>
                <w:lang w:eastAsia="en-US"/>
              </w:rPr>
            </w:pPr>
            <w:r w:rsidRPr="00C52C8A">
              <w:rPr>
                <w:rFonts w:eastAsiaTheme="minorHAnsi"/>
                <w:lang w:eastAsia="en-US"/>
              </w:rPr>
              <w:t>the measure is restricted to young people who have received a supervised sentence and does not include those young people for whom the offence resulted in an unsupervised sentence</w:t>
            </w:r>
          </w:p>
          <w:p w14:paraId="6AF92FF7" w14:textId="77777777" w:rsidR="00496131" w:rsidRPr="00C52C8A" w:rsidRDefault="00496131" w:rsidP="00496131">
            <w:pPr>
              <w:pStyle w:val="BoxListBullet"/>
              <w:rPr>
                <w:rFonts w:eastAsiaTheme="minorHAnsi"/>
                <w:lang w:eastAsia="en-US"/>
              </w:rPr>
            </w:pPr>
            <w:r w:rsidRPr="00C52C8A">
              <w:rPr>
                <w:rFonts w:eastAsiaTheme="minorHAnsi"/>
                <w:lang w:eastAsia="en-US"/>
              </w:rPr>
              <w:t>the measure does not include information on people supervised by adult justice departments</w:t>
            </w:r>
          </w:p>
          <w:p w14:paraId="00D7295F" w14:textId="77777777" w:rsidR="00B94CA4" w:rsidRDefault="00496131" w:rsidP="00496131">
            <w:pPr>
              <w:pStyle w:val="BoxListBullet"/>
            </w:pPr>
            <w:r w:rsidRPr="00C52C8A">
              <w:t>some returns to sentenced supervision may be due to a breach of a previous order rather than a new offence.</w:t>
            </w:r>
          </w:p>
          <w:p w14:paraId="07BBD1A5" w14:textId="77777777" w:rsidR="00156983" w:rsidRPr="00C52C8A" w:rsidRDefault="00156983" w:rsidP="00156983">
            <w:pPr>
              <w:pStyle w:val="Box"/>
              <w:rPr>
                <w:rFonts w:eastAsiaTheme="minorHAnsi"/>
                <w:lang w:eastAsia="en-US"/>
              </w:rPr>
            </w:pPr>
            <w:r w:rsidRPr="00C52C8A">
              <w:rPr>
                <w:rFonts w:eastAsiaTheme="minorHAnsi"/>
                <w:lang w:eastAsia="en-US"/>
              </w:rPr>
              <w:t>This measure should not be interpreted as a measure of recidivism. Accurately measuring recidivism would require information on all criminal acts committed by a young person which would include those not coming to the attention of authorities, and for those that did not result in a return to youth justice sentenced supervision.</w:t>
            </w:r>
          </w:p>
          <w:p w14:paraId="4B66504D" w14:textId="77777777" w:rsidR="00156983" w:rsidRPr="00C52C8A" w:rsidRDefault="00156983" w:rsidP="00156983">
            <w:pPr>
              <w:pStyle w:val="Box"/>
            </w:pPr>
            <w:r w:rsidRPr="00C52C8A">
              <w:t xml:space="preserve">This measure should be considered in the context of other youth justice outcome indicators, as many factors are likely to influence youth offending patterns, including a young person’s family environment and social circumstances. In addition, as factors that give rise to offending vary from region to region, direct comparisons of rates should not be made in isolation from the broader social context of each region. </w:t>
            </w:r>
          </w:p>
          <w:p w14:paraId="2F237E01" w14:textId="77777777" w:rsidR="00156983" w:rsidRPr="00C52C8A" w:rsidRDefault="00156983" w:rsidP="00156983">
            <w:pPr>
              <w:pStyle w:val="Box"/>
            </w:pPr>
            <w:r w:rsidRPr="00C52C8A">
              <w:t>A low rate of returns to sentenced youth justice supervision is desirable.</w:t>
            </w:r>
          </w:p>
          <w:p w14:paraId="7FA5B2A4" w14:textId="77777777" w:rsidR="00156983" w:rsidRPr="00C52C8A" w:rsidRDefault="00156983" w:rsidP="00156983">
            <w:pPr>
              <w:pStyle w:val="Box"/>
            </w:pPr>
            <w:r w:rsidRPr="00C52C8A">
              <w:t>Data reported for this indicator are:</w:t>
            </w:r>
          </w:p>
          <w:p w14:paraId="12C34C52" w14:textId="77777777" w:rsidR="00156983" w:rsidRPr="00C52C8A" w:rsidRDefault="00156983" w:rsidP="00156983">
            <w:pPr>
              <w:pStyle w:val="Box"/>
              <w:ind w:left="284"/>
            </w:pPr>
            <w:r w:rsidRPr="00C52C8A">
              <w:rPr>
                <w:shd w:val="clear" w:color="auto" w:fill="FCDED3"/>
              </w:rPr>
              <w:t xml:space="preserve">    </w:t>
            </w:r>
            <w:r w:rsidRPr="00C52C8A">
              <w:t xml:space="preserve"> not comparable across jurisdictions but are comparable (subject to caveats) within jurisdictions over time</w:t>
            </w:r>
          </w:p>
          <w:p w14:paraId="2271F151" w14:textId="69539A50" w:rsidR="00156983" w:rsidRPr="00C52C8A" w:rsidRDefault="00156983" w:rsidP="001A61D9">
            <w:pPr>
              <w:pStyle w:val="Box"/>
              <w:ind w:left="284"/>
            </w:pPr>
            <w:r w:rsidRPr="00C52C8A">
              <w:rPr>
                <w:shd w:val="clear" w:color="auto" w:fill="F15A25"/>
              </w:rPr>
              <w:t xml:space="preserve">    </w:t>
            </w:r>
            <w:r w:rsidRPr="00C52C8A">
              <w:t xml:space="preserve"> complete (subject to caveats) for the current reporting period.</w:t>
            </w:r>
          </w:p>
        </w:tc>
      </w:tr>
      <w:tr w:rsidR="00B94CA4" w:rsidRPr="00C52C8A" w14:paraId="56E66298" w14:textId="77777777" w:rsidTr="0078661B">
        <w:tc>
          <w:tcPr>
            <w:tcW w:w="5000" w:type="pct"/>
            <w:tcBorders>
              <w:top w:val="nil"/>
              <w:left w:val="nil"/>
              <w:bottom w:val="single" w:sz="6" w:space="0" w:color="78A22F"/>
              <w:right w:val="nil"/>
            </w:tcBorders>
            <w:shd w:val="clear" w:color="auto" w:fill="F2F2F2"/>
          </w:tcPr>
          <w:p w14:paraId="2DBD6C09" w14:textId="77777777" w:rsidR="00B94CA4" w:rsidRPr="00C52C8A" w:rsidRDefault="00B94CA4">
            <w:pPr>
              <w:pStyle w:val="Box"/>
              <w:spacing w:before="0" w:line="120" w:lineRule="exact"/>
            </w:pPr>
          </w:p>
        </w:tc>
      </w:tr>
      <w:tr w:rsidR="00B94CA4" w:rsidRPr="00C52C8A" w14:paraId="32BE621E" w14:textId="77777777" w:rsidTr="0078661B">
        <w:tc>
          <w:tcPr>
            <w:tcW w:w="5000" w:type="pct"/>
            <w:tcBorders>
              <w:top w:val="single" w:sz="6" w:space="0" w:color="78A22F"/>
              <w:left w:val="nil"/>
              <w:bottom w:val="nil"/>
              <w:right w:val="nil"/>
            </w:tcBorders>
          </w:tcPr>
          <w:p w14:paraId="5F614C71" w14:textId="17D06D79" w:rsidR="00B94CA4" w:rsidRPr="002F0149" w:rsidRDefault="00B94CA4" w:rsidP="002F0149">
            <w:pPr>
              <w:pStyle w:val="BoxSpaceBelow"/>
            </w:pPr>
          </w:p>
        </w:tc>
      </w:tr>
    </w:tbl>
    <w:p w14:paraId="5E8B1114" w14:textId="77777777" w:rsidR="00156983" w:rsidRDefault="00156983">
      <w:pPr>
        <w:rPr>
          <w:szCs w:val="20"/>
        </w:rPr>
      </w:pPr>
      <w:bookmarkStart w:id="51" w:name="_Toc345416489"/>
      <w:bookmarkStart w:id="52" w:name="_Toc366137741"/>
      <w:bookmarkEnd w:id="45"/>
      <w:r>
        <w:br w:type="page"/>
      </w:r>
    </w:p>
    <w:p w14:paraId="22FC8E8B" w14:textId="434238D5" w:rsidR="00AF20B0" w:rsidRDefault="00AF20B0" w:rsidP="00AF20B0">
      <w:pPr>
        <w:pStyle w:val="BodyText"/>
        <w:spacing w:before="200"/>
      </w:pPr>
      <w:r w:rsidRPr="00C52C8A">
        <w:lastRenderedPageBreak/>
        <w:t>Nationally</w:t>
      </w:r>
      <w:r w:rsidRPr="00C84076">
        <w:t>, 58.7 per cent of young people aged 10–16 years at time of release from sentenced supervision in 2017</w:t>
      </w:r>
      <w:r w:rsidRPr="00C84076">
        <w:noBreakHyphen/>
        <w:t xml:space="preserve">18 returned within 12 months; </w:t>
      </w:r>
      <w:r w:rsidR="000D27C9" w:rsidRPr="00C84076">
        <w:t>an increase of</w:t>
      </w:r>
      <w:r w:rsidRPr="00C84076">
        <w:t xml:space="preserve"> two percentage points on the previous three years (</w:t>
      </w:r>
      <w:r w:rsidRPr="00C52C8A">
        <w:t>figure</w:t>
      </w:r>
      <w:r>
        <w:t> </w:t>
      </w:r>
      <w:r w:rsidRPr="00C52C8A">
        <w:t xml:space="preserve">17.13). </w:t>
      </w:r>
    </w:p>
    <w:p w14:paraId="5A1FA990" w14:textId="77777777" w:rsidR="001A61D9" w:rsidRDefault="001A61D9" w:rsidP="001A61D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499"/>
        <w:gridCol w:w="290"/>
      </w:tblGrid>
      <w:tr w:rsidR="00105AE7" w:rsidRPr="00C52C8A" w14:paraId="2C2EB2AC" w14:textId="0D1B632F" w:rsidTr="00C84076">
        <w:trPr>
          <w:tblHeader/>
        </w:trPr>
        <w:tc>
          <w:tcPr>
            <w:tcW w:w="4835" w:type="pct"/>
            <w:tcBorders>
              <w:top w:val="single" w:sz="6" w:space="0" w:color="78A22F"/>
              <w:left w:val="nil"/>
              <w:bottom w:val="nil"/>
              <w:right w:val="nil"/>
            </w:tcBorders>
            <w:shd w:val="clear" w:color="auto" w:fill="auto"/>
          </w:tcPr>
          <w:p w14:paraId="5803FDDB" w14:textId="1BE9C81A" w:rsidR="00105AE7" w:rsidRPr="00C52C8A" w:rsidRDefault="00856C09" w:rsidP="00C0213B">
            <w:pPr>
              <w:pStyle w:val="FigureTitle"/>
            </w:pPr>
            <w:r>
              <w:br w:type="page"/>
            </w:r>
            <w:r w:rsidR="00105AE7" w:rsidRPr="00C52C8A">
              <w:rPr>
                <w:b w:val="0"/>
              </w:rPr>
              <w:t>Figure 17.13</w:t>
            </w:r>
            <w:r w:rsidR="00105AE7" w:rsidRPr="00C52C8A">
              <w:tab/>
              <w:t>Proportion of young people who returned to sentenced youth justice supervision within 12 </w:t>
            </w:r>
            <w:proofErr w:type="gramStart"/>
            <w:r w:rsidR="00105AE7" w:rsidRPr="00C52C8A">
              <w:t>months</w:t>
            </w:r>
            <w:proofErr w:type="spellStart"/>
            <w:r w:rsidR="00105AE7" w:rsidRPr="00C52C8A">
              <w:rPr>
                <w:rStyle w:val="NoteLabel"/>
                <w:b/>
              </w:rPr>
              <w:t>a,b</w:t>
            </w:r>
            <w:proofErr w:type="spellEnd"/>
            <w:proofErr w:type="gramEnd"/>
          </w:p>
        </w:tc>
        <w:tc>
          <w:tcPr>
            <w:tcW w:w="165" w:type="pct"/>
            <w:tcBorders>
              <w:top w:val="single" w:sz="6" w:space="0" w:color="78A22F"/>
              <w:left w:val="nil"/>
              <w:bottom w:val="nil"/>
              <w:right w:val="nil"/>
            </w:tcBorders>
          </w:tcPr>
          <w:p w14:paraId="4E30101A" w14:textId="77777777" w:rsidR="00105AE7" w:rsidRPr="00C52C8A" w:rsidRDefault="00105AE7" w:rsidP="00C0213B">
            <w:pPr>
              <w:pStyle w:val="FigureTitle"/>
              <w:rPr>
                <w:b w:val="0"/>
              </w:rPr>
            </w:pPr>
          </w:p>
        </w:tc>
      </w:tr>
      <w:tr w:rsidR="00105AE7" w:rsidRPr="00C52C8A" w14:paraId="6ECA32C7" w14:textId="3E283EC2" w:rsidTr="00C84076">
        <w:trPr>
          <w:tblHeader/>
        </w:trPr>
        <w:tc>
          <w:tcPr>
            <w:tcW w:w="4835" w:type="pct"/>
            <w:tcBorders>
              <w:top w:val="nil"/>
              <w:left w:val="nil"/>
              <w:bottom w:val="nil"/>
              <w:right w:val="nil"/>
            </w:tcBorders>
            <w:shd w:val="clear" w:color="auto" w:fill="auto"/>
          </w:tcPr>
          <w:tbl>
            <w:tblPr>
              <w:tblW w:w="8427"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291"/>
              <w:gridCol w:w="524"/>
              <w:gridCol w:w="7612"/>
            </w:tblGrid>
            <w:tr w:rsidR="00105AE7" w:rsidRPr="00C52C8A" w14:paraId="090EA25C" w14:textId="77777777" w:rsidTr="00591157">
              <w:trPr>
                <w:trHeight w:val="455"/>
              </w:trPr>
              <w:tc>
                <w:tcPr>
                  <w:tcW w:w="291" w:type="dxa"/>
                  <w:tcBorders>
                    <w:top w:val="nil"/>
                    <w:left w:val="nil"/>
                    <w:bottom w:val="nil"/>
                    <w:right w:val="nil"/>
                  </w:tcBorders>
                  <w:shd w:val="clear" w:color="auto" w:fill="auto"/>
                  <w:tcMar>
                    <w:top w:w="28" w:type="dxa"/>
                    <w:bottom w:w="28" w:type="dxa"/>
                  </w:tcMar>
                </w:tcPr>
                <w:p w14:paraId="594C74FA" w14:textId="77777777" w:rsidR="00105AE7" w:rsidRPr="00C52C8A" w:rsidRDefault="00105AE7" w:rsidP="00DE63E6">
                  <w:pPr>
                    <w:keepNext/>
                    <w:keepLines/>
                    <w:spacing w:before="60" w:after="60" w:line="240" w:lineRule="atLeast"/>
                    <w:jc w:val="center"/>
                    <w:rPr>
                      <w:szCs w:val="20"/>
                    </w:rPr>
                  </w:pPr>
                </w:p>
              </w:tc>
              <w:tc>
                <w:tcPr>
                  <w:tcW w:w="524" w:type="dxa"/>
                  <w:tcBorders>
                    <w:top w:val="nil"/>
                    <w:left w:val="nil"/>
                    <w:bottom w:val="nil"/>
                    <w:right w:val="nil"/>
                  </w:tcBorders>
                  <w:shd w:val="clear" w:color="auto" w:fill="FCDED3"/>
                </w:tcPr>
                <w:p w14:paraId="653087FD" w14:textId="77777777" w:rsidR="00105AE7" w:rsidRPr="00C52C8A" w:rsidRDefault="00105AE7" w:rsidP="00DE63E6">
                  <w:pPr>
                    <w:keepNext/>
                    <w:keepLines/>
                    <w:spacing w:before="60" w:after="60" w:line="240" w:lineRule="atLeast"/>
                    <w:jc w:val="center"/>
                    <w:rPr>
                      <w:szCs w:val="20"/>
                    </w:rPr>
                  </w:pPr>
                </w:p>
              </w:tc>
              <w:tc>
                <w:tcPr>
                  <w:tcW w:w="7612" w:type="dxa"/>
                  <w:tcBorders>
                    <w:top w:val="nil"/>
                    <w:left w:val="nil"/>
                    <w:bottom w:val="nil"/>
                    <w:right w:val="nil"/>
                  </w:tcBorders>
                  <w:shd w:val="clear" w:color="auto" w:fill="auto"/>
                </w:tcPr>
                <w:p w14:paraId="11DDE7B4" w14:textId="20E8C2B9" w:rsidR="00105AE7" w:rsidRPr="00C52C8A" w:rsidRDefault="00105AE7" w:rsidP="0044726F">
                  <w:pPr>
                    <w:pStyle w:val="TableBodyText"/>
                    <w:jc w:val="left"/>
                  </w:pPr>
                  <w:r w:rsidRPr="00C52C8A">
                    <w:t>Data are not comparable across jurisdictions but are comparable (subject to caveats) within jurisdictions over time.</w:t>
                  </w:r>
                </w:p>
              </w:tc>
            </w:tr>
            <w:tr w:rsidR="00105AE7" w:rsidRPr="00C52C8A" w14:paraId="3F0E649A" w14:textId="77777777" w:rsidTr="00591157">
              <w:trPr>
                <w:trHeight w:val="236"/>
              </w:trPr>
              <w:tc>
                <w:tcPr>
                  <w:tcW w:w="291" w:type="dxa"/>
                  <w:tcBorders>
                    <w:top w:val="nil"/>
                    <w:left w:val="nil"/>
                    <w:bottom w:val="nil"/>
                    <w:right w:val="nil"/>
                  </w:tcBorders>
                  <w:shd w:val="clear" w:color="auto" w:fill="auto"/>
                  <w:tcMar>
                    <w:top w:w="28" w:type="dxa"/>
                    <w:bottom w:w="28" w:type="dxa"/>
                  </w:tcMar>
                </w:tcPr>
                <w:p w14:paraId="11775F38" w14:textId="77777777" w:rsidR="00105AE7" w:rsidRPr="00C52C8A" w:rsidRDefault="00105AE7" w:rsidP="00DE63E6">
                  <w:pPr>
                    <w:keepNext/>
                    <w:keepLines/>
                    <w:spacing w:before="60" w:after="60" w:line="240" w:lineRule="atLeast"/>
                    <w:jc w:val="center"/>
                    <w:rPr>
                      <w:szCs w:val="20"/>
                    </w:rPr>
                  </w:pPr>
                </w:p>
              </w:tc>
              <w:tc>
                <w:tcPr>
                  <w:tcW w:w="524" w:type="dxa"/>
                  <w:tcBorders>
                    <w:top w:val="nil"/>
                    <w:left w:val="nil"/>
                    <w:bottom w:val="nil"/>
                    <w:right w:val="nil"/>
                  </w:tcBorders>
                  <w:shd w:val="clear" w:color="auto" w:fill="F15A25"/>
                </w:tcPr>
                <w:p w14:paraId="2B8C98DF" w14:textId="77777777" w:rsidR="00105AE7" w:rsidRPr="00C52C8A" w:rsidRDefault="00105AE7" w:rsidP="00EF524F">
                  <w:pPr>
                    <w:keepNext/>
                    <w:keepLines/>
                    <w:spacing w:before="60" w:after="60" w:line="240" w:lineRule="atLeast"/>
                    <w:jc w:val="center"/>
                    <w:rPr>
                      <w:rFonts w:ascii="Arial" w:hAnsi="Arial" w:cs="Arial"/>
                      <w:sz w:val="18"/>
                      <w:szCs w:val="18"/>
                    </w:rPr>
                  </w:pPr>
                </w:p>
              </w:tc>
              <w:tc>
                <w:tcPr>
                  <w:tcW w:w="7612" w:type="dxa"/>
                  <w:tcBorders>
                    <w:top w:val="nil"/>
                    <w:left w:val="nil"/>
                    <w:bottom w:val="nil"/>
                    <w:right w:val="nil"/>
                  </w:tcBorders>
                  <w:shd w:val="clear" w:color="auto" w:fill="auto"/>
                </w:tcPr>
                <w:p w14:paraId="4BD17F53" w14:textId="19B3237D" w:rsidR="00105AE7" w:rsidRPr="00C52C8A" w:rsidRDefault="00105AE7" w:rsidP="00EF524F">
                  <w:pPr>
                    <w:pStyle w:val="TableBodyText"/>
                    <w:jc w:val="left"/>
                  </w:pPr>
                  <w:r w:rsidRPr="00C52C8A">
                    <w:t xml:space="preserve">Data are complete </w:t>
                  </w:r>
                  <w:r w:rsidR="00EF524F" w:rsidRPr="00C52C8A">
                    <w:t xml:space="preserve">(subject to caveats) </w:t>
                  </w:r>
                  <w:r w:rsidRPr="00C52C8A">
                    <w:t xml:space="preserve">for the current reporting period. </w:t>
                  </w:r>
                </w:p>
              </w:tc>
            </w:tr>
          </w:tbl>
          <w:p w14:paraId="784449A5" w14:textId="77777777" w:rsidR="00105AE7" w:rsidRPr="00C52C8A" w:rsidRDefault="00105AE7" w:rsidP="00DE63E6">
            <w:pPr>
              <w:pStyle w:val="FigureTitle"/>
              <w:rPr>
                <w:b w:val="0"/>
              </w:rPr>
            </w:pPr>
          </w:p>
        </w:tc>
        <w:tc>
          <w:tcPr>
            <w:tcW w:w="165" w:type="pct"/>
            <w:tcBorders>
              <w:top w:val="nil"/>
              <w:left w:val="nil"/>
              <w:bottom w:val="nil"/>
              <w:right w:val="nil"/>
            </w:tcBorders>
          </w:tcPr>
          <w:p w14:paraId="3C7570CB" w14:textId="77777777" w:rsidR="00105AE7" w:rsidRPr="00C52C8A" w:rsidRDefault="00105AE7" w:rsidP="00DE63E6">
            <w:pPr>
              <w:keepNext/>
              <w:keepLines/>
              <w:spacing w:before="60" w:after="60" w:line="240" w:lineRule="atLeast"/>
              <w:jc w:val="center"/>
              <w:rPr>
                <w:szCs w:val="20"/>
              </w:rPr>
            </w:pPr>
          </w:p>
        </w:tc>
      </w:tr>
      <w:tr w:rsidR="00105AE7" w:rsidRPr="00C52C8A" w14:paraId="35A4610C" w14:textId="77D15E0F" w:rsidTr="00C84076">
        <w:tc>
          <w:tcPr>
            <w:tcW w:w="4835" w:type="pct"/>
            <w:tcBorders>
              <w:top w:val="nil"/>
              <w:left w:val="nil"/>
              <w:bottom w:val="nil"/>
              <w:right w:val="nil"/>
            </w:tcBorders>
            <w:shd w:val="clear" w:color="auto" w:fill="auto"/>
            <w:tcMar>
              <w:top w:w="28" w:type="dxa"/>
              <w:bottom w:w="28" w:type="dxa"/>
            </w:tcMar>
          </w:tcPr>
          <w:tbl>
            <w:tblPr>
              <w:tblW w:w="8215"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215"/>
            </w:tblGrid>
            <w:tr w:rsidR="00105AE7" w:rsidRPr="00C52C8A" w14:paraId="272F7ACA" w14:textId="77777777" w:rsidTr="00DF36F6">
              <w:trPr>
                <w:trHeight w:val="3969"/>
                <w:tblHeader/>
                <w:jc w:val="center"/>
              </w:trPr>
              <w:tc>
                <w:tcPr>
                  <w:tcW w:w="8215" w:type="dxa"/>
                  <w:tcBorders>
                    <w:top w:val="nil"/>
                    <w:bottom w:val="nil"/>
                  </w:tcBorders>
                </w:tcPr>
                <w:p w14:paraId="16892A7B" w14:textId="515C02F9" w:rsidR="00105AE7" w:rsidRPr="00C52C8A" w:rsidRDefault="00DF36F6" w:rsidP="004F1E81">
                  <w:pPr>
                    <w:pStyle w:val="Figure"/>
                    <w:spacing w:before="60" w:after="60"/>
                    <w:rPr>
                      <w:rFonts w:ascii="Arial" w:hAnsi="Arial" w:cs="Arial"/>
                      <w:sz w:val="18"/>
                      <w:szCs w:val="18"/>
                    </w:rPr>
                  </w:pPr>
                  <w:r>
                    <w:rPr>
                      <w:noProof/>
                    </w:rPr>
                    <w:drawing>
                      <wp:inline distT="0" distB="0" distL="0" distR="0" wp14:anchorId="51EAE605" wp14:editId="23D68A09">
                        <wp:extent cx="5364000" cy="2665710"/>
                        <wp:effectExtent l="0" t="0" r="8255" b="1905"/>
                        <wp:docPr id="1" name="Chart 1" descr="Figure 17.13  Proportion of young people who returned to sentenced youth justice supervision within 12 months.&#10;More details can be found within the text surrounding this image.">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63866382" w14:textId="77777777" w:rsidR="00105AE7" w:rsidRPr="00C52C8A" w:rsidRDefault="00105AE7" w:rsidP="004F1E81">
            <w:pPr>
              <w:pStyle w:val="Figure"/>
            </w:pPr>
          </w:p>
        </w:tc>
        <w:tc>
          <w:tcPr>
            <w:tcW w:w="165" w:type="pct"/>
            <w:tcBorders>
              <w:top w:val="nil"/>
              <w:left w:val="nil"/>
              <w:bottom w:val="nil"/>
              <w:right w:val="nil"/>
            </w:tcBorders>
          </w:tcPr>
          <w:p w14:paraId="23ECB6EC" w14:textId="77777777" w:rsidR="00105AE7" w:rsidRPr="00C52C8A" w:rsidRDefault="00105AE7" w:rsidP="004F1E81">
            <w:pPr>
              <w:pStyle w:val="Figure"/>
              <w:spacing w:before="60" w:after="60"/>
              <w:rPr>
                <w:noProof/>
              </w:rPr>
            </w:pPr>
          </w:p>
        </w:tc>
      </w:tr>
      <w:tr w:rsidR="00105AE7" w:rsidRPr="00C52C8A" w14:paraId="72AFA49B" w14:textId="7B9040E0" w:rsidTr="00C84076">
        <w:tc>
          <w:tcPr>
            <w:tcW w:w="4835" w:type="pct"/>
            <w:tcBorders>
              <w:top w:val="nil"/>
              <w:left w:val="nil"/>
              <w:bottom w:val="nil"/>
              <w:right w:val="nil"/>
            </w:tcBorders>
            <w:shd w:val="clear" w:color="auto" w:fill="auto"/>
          </w:tcPr>
          <w:p w14:paraId="7E2BD5A2" w14:textId="16DAB855" w:rsidR="00105AE7" w:rsidRPr="00C52C8A" w:rsidRDefault="00105AE7" w:rsidP="00C32D9A">
            <w:pPr>
              <w:pStyle w:val="Note"/>
              <w:spacing w:before="60"/>
            </w:pPr>
            <w:r w:rsidRPr="00C52C8A">
              <w:rPr>
                <w:rStyle w:val="NoteLabel"/>
              </w:rPr>
              <w:t>a</w:t>
            </w:r>
            <w:r w:rsidRPr="00C52C8A">
              <w:t xml:space="preserve"> See box</w:t>
            </w:r>
            <w:r w:rsidR="005B0070">
              <w:t> </w:t>
            </w:r>
            <w:r w:rsidR="00B27E61" w:rsidRPr="00C52C8A">
              <w:t>17.19</w:t>
            </w:r>
            <w:r w:rsidRPr="00C52C8A">
              <w:t xml:space="preserve"> </w:t>
            </w:r>
            <w:r w:rsidRPr="009C231F">
              <w:t>and table</w:t>
            </w:r>
            <w:r w:rsidR="005B0070">
              <w:t> </w:t>
            </w:r>
            <w:r w:rsidRPr="009C231F">
              <w:t>17A.2</w:t>
            </w:r>
            <w:r w:rsidR="00C32D9A">
              <w:t>5</w:t>
            </w:r>
            <w:r w:rsidRPr="009C231F">
              <w:t xml:space="preserve"> for detailed definitions, footnotes and caveats. </w:t>
            </w:r>
            <w:r w:rsidRPr="009C231F">
              <w:rPr>
                <w:rStyle w:val="NoteLabel"/>
              </w:rPr>
              <w:t>b</w:t>
            </w:r>
            <w:r w:rsidRPr="009C231F">
              <w:t xml:space="preserve"> Data </w:t>
            </w:r>
            <w:r w:rsidR="00610BAE" w:rsidRPr="009C231F">
              <w:t>are</w:t>
            </w:r>
            <w:r w:rsidR="007030FC" w:rsidRPr="009C231F">
              <w:t xml:space="preserve"> </w:t>
            </w:r>
            <w:r w:rsidRPr="009C231F">
              <w:t>not available for the NT</w:t>
            </w:r>
            <w:r w:rsidR="00EF524F" w:rsidRPr="009C231F">
              <w:t xml:space="preserve"> for 2013</w:t>
            </w:r>
            <w:r w:rsidR="005B0070">
              <w:noBreakHyphen/>
            </w:r>
            <w:r w:rsidR="00EF524F" w:rsidRPr="009C231F">
              <w:t>14</w:t>
            </w:r>
            <w:r w:rsidRPr="009C231F">
              <w:t>.</w:t>
            </w:r>
            <w:r w:rsidR="00D25CBE" w:rsidRPr="009C231F">
              <w:t xml:space="preserve"> The Australian total is presented for the </w:t>
            </w:r>
            <w:r w:rsidR="008D0C92">
              <w:t>four</w:t>
            </w:r>
            <w:r w:rsidR="008D0C92" w:rsidRPr="009C231F">
              <w:t xml:space="preserve"> </w:t>
            </w:r>
            <w:r w:rsidR="00D25CBE" w:rsidRPr="009C231F">
              <w:t>years where data are available for all jurisdictions.</w:t>
            </w:r>
          </w:p>
        </w:tc>
        <w:tc>
          <w:tcPr>
            <w:tcW w:w="165" w:type="pct"/>
            <w:tcBorders>
              <w:top w:val="nil"/>
              <w:left w:val="nil"/>
              <w:bottom w:val="nil"/>
              <w:right w:val="nil"/>
            </w:tcBorders>
          </w:tcPr>
          <w:p w14:paraId="623B25E8" w14:textId="06E90D93" w:rsidR="00105AE7" w:rsidRPr="00C52C8A" w:rsidRDefault="00105AE7" w:rsidP="00496131">
            <w:pPr>
              <w:pStyle w:val="Note"/>
              <w:spacing w:before="60"/>
              <w:rPr>
                <w:rStyle w:val="NoteLabel"/>
              </w:rPr>
            </w:pPr>
          </w:p>
        </w:tc>
      </w:tr>
      <w:tr w:rsidR="00496131" w:rsidRPr="00C52C8A" w14:paraId="614A1EC0" w14:textId="77777777" w:rsidTr="00C84076">
        <w:tc>
          <w:tcPr>
            <w:tcW w:w="4835" w:type="pct"/>
            <w:tcBorders>
              <w:top w:val="nil"/>
              <w:left w:val="nil"/>
              <w:bottom w:val="nil"/>
              <w:right w:val="nil"/>
            </w:tcBorders>
            <w:shd w:val="clear" w:color="auto" w:fill="auto"/>
          </w:tcPr>
          <w:p w14:paraId="2E20CD4A" w14:textId="4EC1B331" w:rsidR="00496131" w:rsidRPr="00C52C8A" w:rsidRDefault="00496131" w:rsidP="007D5187">
            <w:pPr>
              <w:pStyle w:val="Source"/>
              <w:rPr>
                <w:rStyle w:val="NoteLabel"/>
              </w:rPr>
            </w:pPr>
            <w:r w:rsidRPr="007D5187">
              <w:rPr>
                <w:i/>
                <w:iCs/>
              </w:rPr>
              <w:t>Source</w:t>
            </w:r>
            <w:r w:rsidRPr="00C52C8A">
              <w:t>: AIHW</w:t>
            </w:r>
            <w:r w:rsidR="00CE7AB7" w:rsidRPr="00C52C8A">
              <w:t xml:space="preserve"> 20</w:t>
            </w:r>
            <w:r w:rsidR="009D0A7F">
              <w:t>20</w:t>
            </w:r>
            <w:r w:rsidR="00CE7AB7" w:rsidRPr="00C52C8A">
              <w:t>a</w:t>
            </w:r>
            <w:r w:rsidRPr="00C52C8A">
              <w:t xml:space="preserve">, </w:t>
            </w:r>
            <w:r w:rsidRPr="007D5187">
              <w:rPr>
                <w:i/>
                <w:iCs/>
              </w:rPr>
              <w:t>Young People Returning to Sentenced Youth Justice Supervision 201</w:t>
            </w:r>
            <w:r w:rsidR="009D0A7F" w:rsidRPr="007D5187">
              <w:rPr>
                <w:i/>
                <w:iCs/>
              </w:rPr>
              <w:t>8</w:t>
            </w:r>
            <w:r w:rsidRPr="007D5187">
              <w:rPr>
                <w:i/>
                <w:iCs/>
              </w:rPr>
              <w:noBreakHyphen/>
              <w:t>1</w:t>
            </w:r>
            <w:r w:rsidR="009D0A7F" w:rsidRPr="007D5187">
              <w:rPr>
                <w:i/>
                <w:iCs/>
              </w:rPr>
              <w:t>9</w:t>
            </w:r>
            <w:r w:rsidRPr="00C52C8A">
              <w:t>; AIHW (unpublished); table</w:t>
            </w:r>
            <w:r w:rsidR="005B0070">
              <w:t> </w:t>
            </w:r>
            <w:r w:rsidRPr="00C52C8A">
              <w:t>17A.2</w:t>
            </w:r>
            <w:r w:rsidR="00C32D9A">
              <w:t>5</w:t>
            </w:r>
            <w:r w:rsidRPr="00C52C8A">
              <w:t>.</w:t>
            </w:r>
          </w:p>
        </w:tc>
        <w:tc>
          <w:tcPr>
            <w:tcW w:w="165" w:type="pct"/>
            <w:tcBorders>
              <w:top w:val="nil"/>
              <w:left w:val="nil"/>
              <w:bottom w:val="nil"/>
              <w:right w:val="nil"/>
            </w:tcBorders>
          </w:tcPr>
          <w:p w14:paraId="3B70611B" w14:textId="77777777" w:rsidR="00496131" w:rsidRPr="00C52C8A" w:rsidRDefault="00496131" w:rsidP="00496131">
            <w:pPr>
              <w:pStyle w:val="Note"/>
              <w:spacing w:before="40" w:line="180" w:lineRule="exact"/>
              <w:rPr>
                <w:rStyle w:val="NoteLabel"/>
              </w:rPr>
            </w:pPr>
          </w:p>
        </w:tc>
      </w:tr>
      <w:tr w:rsidR="00105AE7" w:rsidRPr="00C52C8A" w14:paraId="07C62B40" w14:textId="1E8ACBCE" w:rsidTr="00C84076">
        <w:tc>
          <w:tcPr>
            <w:tcW w:w="4835" w:type="pct"/>
            <w:tcBorders>
              <w:top w:val="nil"/>
              <w:left w:val="nil"/>
              <w:bottom w:val="single" w:sz="6" w:space="0" w:color="78A22F"/>
              <w:right w:val="nil"/>
            </w:tcBorders>
            <w:shd w:val="clear" w:color="auto" w:fill="auto"/>
          </w:tcPr>
          <w:p w14:paraId="5103544F" w14:textId="77777777" w:rsidR="00105AE7" w:rsidRPr="00C52C8A" w:rsidRDefault="00105AE7" w:rsidP="004F1E81">
            <w:pPr>
              <w:pStyle w:val="Figurespace"/>
            </w:pPr>
          </w:p>
        </w:tc>
        <w:tc>
          <w:tcPr>
            <w:tcW w:w="165" w:type="pct"/>
            <w:tcBorders>
              <w:top w:val="nil"/>
              <w:left w:val="nil"/>
              <w:bottom w:val="single" w:sz="6" w:space="0" w:color="78A22F"/>
              <w:right w:val="nil"/>
            </w:tcBorders>
          </w:tcPr>
          <w:p w14:paraId="72A4C685" w14:textId="77777777" w:rsidR="00105AE7" w:rsidRPr="00C52C8A" w:rsidRDefault="00105AE7" w:rsidP="004F1E81">
            <w:pPr>
              <w:pStyle w:val="Figurespace"/>
            </w:pPr>
          </w:p>
        </w:tc>
      </w:tr>
      <w:tr w:rsidR="00105AE7" w:rsidRPr="00C52C8A" w14:paraId="401864C9" w14:textId="5E70622F" w:rsidTr="00C84076">
        <w:tc>
          <w:tcPr>
            <w:tcW w:w="4835" w:type="pct"/>
            <w:tcBorders>
              <w:top w:val="single" w:sz="6" w:space="0" w:color="78A22F"/>
              <w:left w:val="nil"/>
              <w:bottom w:val="nil"/>
              <w:right w:val="nil"/>
            </w:tcBorders>
          </w:tcPr>
          <w:p w14:paraId="5875F3D7" w14:textId="37553BD8" w:rsidR="00105AE7" w:rsidRPr="002F0149" w:rsidRDefault="00105AE7" w:rsidP="002F0149">
            <w:pPr>
              <w:pStyle w:val="BoxSpaceBelow"/>
            </w:pPr>
          </w:p>
        </w:tc>
        <w:tc>
          <w:tcPr>
            <w:tcW w:w="165" w:type="pct"/>
            <w:tcBorders>
              <w:top w:val="single" w:sz="6" w:space="0" w:color="78A22F"/>
              <w:left w:val="nil"/>
              <w:bottom w:val="nil"/>
              <w:right w:val="nil"/>
            </w:tcBorders>
          </w:tcPr>
          <w:p w14:paraId="3D68C718" w14:textId="77777777" w:rsidR="00105AE7" w:rsidRPr="002F0149" w:rsidRDefault="00105AE7" w:rsidP="002F0149">
            <w:pPr>
              <w:pStyle w:val="BoxSpaceBelow"/>
            </w:pPr>
          </w:p>
        </w:tc>
      </w:tr>
    </w:tbl>
    <w:p w14:paraId="5F18AED6" w14:textId="38F22EB5" w:rsidR="00266592" w:rsidRPr="00C52C8A" w:rsidRDefault="00C77259" w:rsidP="00266592">
      <w:pPr>
        <w:pStyle w:val="Heading2"/>
        <w:keepNext w:val="0"/>
        <w:widowControl w:val="0"/>
      </w:pPr>
      <w:bookmarkStart w:id="53" w:name="_Toc524611863"/>
      <w:r w:rsidRPr="00C52C8A">
        <w:t>17</w:t>
      </w:r>
      <w:r w:rsidR="00BB54BD" w:rsidRPr="00C52C8A">
        <w:t>.</w:t>
      </w:r>
      <w:r w:rsidRPr="00C52C8A">
        <w:t>4</w:t>
      </w:r>
      <w:r w:rsidR="00413C3F" w:rsidRPr="00C52C8A">
        <w:tab/>
        <w:t>Definitions of key terms</w:t>
      </w:r>
      <w:bookmarkEnd w:id="51"/>
      <w:bookmarkEnd w:id="52"/>
      <w:bookmarkEnd w:id="53"/>
    </w:p>
    <w:p w14:paraId="06EFCB30" w14:textId="77777777" w:rsidR="0099506C" w:rsidRPr="00C52C8A" w:rsidRDefault="0099506C" w:rsidP="00EC1B42">
      <w:pPr>
        <w:pStyle w:val="Figurespace"/>
        <w:keepNext w:val="0"/>
        <w:widowControl w:val="0"/>
      </w:pPr>
    </w:p>
    <w:tbl>
      <w:tblPr>
        <w:tblW w:w="8789" w:type="dxa"/>
        <w:tblLayout w:type="fixed"/>
        <w:tblLook w:val="0000" w:firstRow="0" w:lastRow="0" w:firstColumn="0" w:lastColumn="0" w:noHBand="0" w:noVBand="0"/>
      </w:tblPr>
      <w:tblGrid>
        <w:gridCol w:w="2410"/>
        <w:gridCol w:w="6379"/>
      </w:tblGrid>
      <w:tr w:rsidR="00F53F11" w:rsidRPr="00C52C8A" w14:paraId="7C0BFA37" w14:textId="77777777" w:rsidTr="00BC6BA8">
        <w:tc>
          <w:tcPr>
            <w:tcW w:w="2410" w:type="dxa"/>
            <w:shd w:val="clear" w:color="auto" w:fill="auto"/>
          </w:tcPr>
          <w:p w14:paraId="25E191E7" w14:textId="51141677" w:rsidR="00F53F11" w:rsidRPr="00C52C8A" w:rsidRDefault="00F53F11" w:rsidP="00EC1B42">
            <w:pPr>
              <w:pStyle w:val="TableBodyText"/>
              <w:keepNext w:val="0"/>
              <w:keepLines w:val="0"/>
              <w:widowControl w:val="0"/>
              <w:spacing w:before="60" w:after="60"/>
              <w:ind w:left="0"/>
              <w:jc w:val="left"/>
              <w:rPr>
                <w:b/>
              </w:rPr>
            </w:pPr>
            <w:r>
              <w:rPr>
                <w:b/>
              </w:rPr>
              <w:t>Assaults</w:t>
            </w:r>
          </w:p>
        </w:tc>
        <w:tc>
          <w:tcPr>
            <w:tcW w:w="6379" w:type="dxa"/>
            <w:shd w:val="clear" w:color="auto" w:fill="auto"/>
          </w:tcPr>
          <w:p w14:paraId="0DB17F3F" w14:textId="4478A241" w:rsidR="000F2775" w:rsidRDefault="000F2775" w:rsidP="000F2775">
            <w:pPr>
              <w:pStyle w:val="TableBodyText"/>
              <w:keepNext w:val="0"/>
              <w:keepLines w:val="0"/>
              <w:widowControl w:val="0"/>
              <w:spacing w:before="60" w:after="60"/>
              <w:ind w:left="0"/>
              <w:jc w:val="left"/>
            </w:pPr>
            <w:r>
              <w:t xml:space="preserve">An assault is </w:t>
            </w:r>
            <w:r w:rsidR="00855EDC">
              <w:t>an</w:t>
            </w:r>
            <w:r w:rsidRPr="00B45705">
              <w:t xml:space="preserve"> </w:t>
            </w:r>
            <w:r>
              <w:t>intentional act of direct infliction of force or violence</w:t>
            </w:r>
            <w:r w:rsidR="00855EDC">
              <w:t>,</w:t>
            </w:r>
            <w:r>
              <w:t xml:space="preserve"> or indirect or non</w:t>
            </w:r>
            <w:r w:rsidR="00911FAF">
              <w:noBreakHyphen/>
            </w:r>
            <w:r>
              <w:t xml:space="preserve">confrontational force or violence, such as stalking resulting in physical harm to individuals, administration of illicit drugs, poison, drink/food spiking and setting traps. </w:t>
            </w:r>
          </w:p>
          <w:p w14:paraId="59A7238F" w14:textId="3DBF677E" w:rsidR="00F53F11" w:rsidRPr="00C52C8A" w:rsidRDefault="000F2775" w:rsidP="000F2775">
            <w:pPr>
              <w:pStyle w:val="TableBodyText"/>
              <w:keepNext w:val="0"/>
              <w:keepLines w:val="0"/>
              <w:widowControl w:val="0"/>
              <w:spacing w:before="60" w:after="60"/>
              <w:ind w:left="0"/>
              <w:jc w:val="left"/>
            </w:pPr>
            <w:r w:rsidRPr="000F2775">
              <w:t xml:space="preserve">Serious assaults </w:t>
            </w:r>
            <w:r>
              <w:t xml:space="preserve">are </w:t>
            </w:r>
            <w:r w:rsidRPr="00B233EA">
              <w:t xml:space="preserve">all acts of sexual assault </w:t>
            </w:r>
            <w:r>
              <w:t xml:space="preserve">and </w:t>
            </w:r>
            <w:r w:rsidRPr="00B233EA">
              <w:t>those requiring</w:t>
            </w:r>
            <w:r>
              <w:t xml:space="preserve"> the young person or staff member to receive treatment in, or be admitted to, a hospital.  Triage only in a hospital emergency department does not count as an admission.</w:t>
            </w:r>
          </w:p>
        </w:tc>
      </w:tr>
      <w:tr w:rsidR="00AC08F7" w:rsidRPr="00C52C8A" w14:paraId="5FFAC3FB" w14:textId="77777777" w:rsidTr="00BC6BA8">
        <w:tc>
          <w:tcPr>
            <w:tcW w:w="2410" w:type="dxa"/>
            <w:shd w:val="clear" w:color="auto" w:fill="auto"/>
          </w:tcPr>
          <w:p w14:paraId="38529334" w14:textId="77777777" w:rsidR="00AC08F7" w:rsidRPr="00C52C8A" w:rsidRDefault="00070B89" w:rsidP="00EC1B42">
            <w:pPr>
              <w:pStyle w:val="TableBodyText"/>
              <w:keepNext w:val="0"/>
              <w:keepLines w:val="0"/>
              <w:widowControl w:val="0"/>
              <w:spacing w:before="60" w:after="60"/>
              <w:ind w:left="0"/>
              <w:jc w:val="left"/>
              <w:rPr>
                <w:b/>
              </w:rPr>
            </w:pPr>
            <w:r w:rsidRPr="00C52C8A">
              <w:rPr>
                <w:b/>
              </w:rPr>
              <w:t>Community</w:t>
            </w:r>
            <w:r w:rsidR="00F4592C" w:rsidRPr="00C52C8A">
              <w:rPr>
                <w:b/>
              </w:rPr>
              <w:noBreakHyphen/>
            </w:r>
            <w:r w:rsidRPr="00C52C8A">
              <w:rPr>
                <w:b/>
              </w:rPr>
              <w:t>based youth justice supervision</w:t>
            </w:r>
          </w:p>
        </w:tc>
        <w:tc>
          <w:tcPr>
            <w:tcW w:w="6379" w:type="dxa"/>
            <w:shd w:val="clear" w:color="auto" w:fill="auto"/>
          </w:tcPr>
          <w:p w14:paraId="52E61685" w14:textId="15467030" w:rsidR="00AC08F7" w:rsidRPr="00C52C8A" w:rsidRDefault="00070B89" w:rsidP="0059543A">
            <w:pPr>
              <w:pStyle w:val="TableBodyText"/>
              <w:keepNext w:val="0"/>
              <w:keepLines w:val="0"/>
              <w:widowControl w:val="0"/>
              <w:spacing w:before="60" w:after="60"/>
              <w:ind w:left="0"/>
              <w:jc w:val="left"/>
            </w:pPr>
            <w:r w:rsidRPr="00C52C8A">
              <w:t>C</w:t>
            </w:r>
            <w:r w:rsidR="00AC08F7" w:rsidRPr="00C52C8A">
              <w:t>ommunity</w:t>
            </w:r>
            <w:r w:rsidR="00F4592C" w:rsidRPr="00C52C8A">
              <w:noBreakHyphen/>
            </w:r>
            <w:r w:rsidR="00AC08F7" w:rsidRPr="00C52C8A">
              <w:t xml:space="preserve">based youth justice supervision is an alternative to detention, where a sentenced order or unsentenced order (such as conditional bail) </w:t>
            </w:r>
            <w:r w:rsidR="0099506C" w:rsidRPr="00C52C8A">
              <w:t xml:space="preserve">is </w:t>
            </w:r>
            <w:r w:rsidR="00AC08F7" w:rsidRPr="00C52C8A">
              <w:t>served in the community.</w:t>
            </w:r>
          </w:p>
        </w:tc>
      </w:tr>
      <w:tr w:rsidR="00070B89" w:rsidRPr="00C52C8A" w14:paraId="74354480" w14:textId="77777777" w:rsidTr="00BC6BA8">
        <w:tc>
          <w:tcPr>
            <w:tcW w:w="2410" w:type="dxa"/>
            <w:shd w:val="clear" w:color="auto" w:fill="auto"/>
          </w:tcPr>
          <w:p w14:paraId="323D61F4" w14:textId="77777777" w:rsidR="00070B89" w:rsidRPr="00C52C8A" w:rsidRDefault="00070B89" w:rsidP="00EC1B42">
            <w:pPr>
              <w:pStyle w:val="TableBodyText"/>
              <w:keepNext w:val="0"/>
              <w:keepLines w:val="0"/>
              <w:widowControl w:val="0"/>
              <w:spacing w:before="60" w:after="60"/>
              <w:ind w:left="0"/>
              <w:jc w:val="left"/>
              <w:rPr>
                <w:b/>
              </w:rPr>
            </w:pPr>
            <w:r w:rsidRPr="00C52C8A">
              <w:rPr>
                <w:b/>
              </w:rPr>
              <w:t>Detention</w:t>
            </w:r>
            <w:r w:rsidR="00F4592C" w:rsidRPr="00C52C8A">
              <w:rPr>
                <w:b/>
              </w:rPr>
              <w:noBreakHyphen/>
            </w:r>
            <w:r w:rsidRPr="00C52C8A">
              <w:rPr>
                <w:b/>
              </w:rPr>
              <w:t>based youth justice supervision</w:t>
            </w:r>
          </w:p>
        </w:tc>
        <w:tc>
          <w:tcPr>
            <w:tcW w:w="6379" w:type="dxa"/>
            <w:shd w:val="clear" w:color="auto" w:fill="auto"/>
          </w:tcPr>
          <w:p w14:paraId="77E3AB73" w14:textId="77777777" w:rsidR="00070B89" w:rsidRPr="00C52C8A" w:rsidRDefault="00070B89" w:rsidP="00EC1B42">
            <w:pPr>
              <w:pStyle w:val="TableBodyText"/>
              <w:keepNext w:val="0"/>
              <w:keepLines w:val="0"/>
              <w:widowControl w:val="0"/>
              <w:spacing w:before="60" w:after="60"/>
              <w:ind w:left="0"/>
              <w:jc w:val="left"/>
            </w:pPr>
            <w:r w:rsidRPr="00C52C8A">
              <w:t>Detention</w:t>
            </w:r>
            <w:r w:rsidR="00F4592C" w:rsidRPr="00C52C8A">
              <w:noBreakHyphen/>
            </w:r>
            <w:r w:rsidRPr="00C52C8A">
              <w:t>based youth justice supervision involves young people serving their sentence in a custodial environment.</w:t>
            </w:r>
          </w:p>
        </w:tc>
      </w:tr>
      <w:tr w:rsidR="00070B89" w:rsidRPr="00C52C8A" w14:paraId="1C086770" w14:textId="77777777" w:rsidTr="00BC6BA8">
        <w:tc>
          <w:tcPr>
            <w:tcW w:w="2410" w:type="dxa"/>
            <w:shd w:val="clear" w:color="auto" w:fill="auto"/>
          </w:tcPr>
          <w:p w14:paraId="3A91C7BB" w14:textId="77777777" w:rsidR="00070B89" w:rsidRPr="00C52C8A" w:rsidRDefault="00070B89" w:rsidP="00EC1B42">
            <w:pPr>
              <w:pStyle w:val="TableBodyText"/>
              <w:keepNext w:val="0"/>
              <w:keepLines w:val="0"/>
              <w:widowControl w:val="0"/>
              <w:spacing w:before="60" w:after="60"/>
              <w:ind w:left="0"/>
              <w:jc w:val="left"/>
              <w:rPr>
                <w:b/>
              </w:rPr>
            </w:pPr>
            <w:r w:rsidRPr="00C52C8A">
              <w:rPr>
                <w:b/>
              </w:rPr>
              <w:lastRenderedPageBreak/>
              <w:t>Group conferencing</w:t>
            </w:r>
          </w:p>
        </w:tc>
        <w:tc>
          <w:tcPr>
            <w:tcW w:w="6379" w:type="dxa"/>
            <w:shd w:val="clear" w:color="auto" w:fill="auto"/>
          </w:tcPr>
          <w:p w14:paraId="05A813B3" w14:textId="77777777" w:rsidR="00070B89" w:rsidRPr="00C52C8A" w:rsidRDefault="00070B89" w:rsidP="00EC1B42">
            <w:pPr>
              <w:pStyle w:val="TableBodyText"/>
              <w:keepNext w:val="0"/>
              <w:keepLines w:val="0"/>
              <w:widowControl w:val="0"/>
              <w:spacing w:before="60" w:after="60"/>
              <w:ind w:left="0"/>
              <w:jc w:val="left"/>
            </w:pPr>
            <w:r w:rsidRPr="00C52C8A">
              <w:t>Group conferences are decision</w:t>
            </w:r>
            <w:r w:rsidR="00F4592C" w:rsidRPr="00C52C8A">
              <w:noBreakHyphen/>
            </w:r>
            <w:r w:rsidRPr="00C52C8A">
              <w:t xml:space="preserve">making forums that aim to minimise the progression of young people into the youth justice </w:t>
            </w:r>
            <w:proofErr w:type="gramStart"/>
            <w:r w:rsidRPr="00C52C8A">
              <w:t>system, and</w:t>
            </w:r>
            <w:proofErr w:type="gramEnd"/>
            <w:r w:rsidRPr="00C52C8A">
              <w:t xml:space="preserve"> provide restorative justice. Typically, a group conference involves the young offender(s) and victim(s) and their families, police and a youth justice agency officer, all of whom attempt to agree on a course of action required of the young offender/s to make amends for his or her offence/s.</w:t>
            </w:r>
          </w:p>
        </w:tc>
      </w:tr>
      <w:tr w:rsidR="002F2C01" w:rsidRPr="00C52C8A" w14:paraId="3A11C6B2" w14:textId="77777777" w:rsidTr="00BC6BA8">
        <w:tc>
          <w:tcPr>
            <w:tcW w:w="2410" w:type="dxa"/>
            <w:shd w:val="clear" w:color="auto" w:fill="auto"/>
          </w:tcPr>
          <w:p w14:paraId="0974EA04" w14:textId="77777777" w:rsidR="002F2C01" w:rsidRPr="00C52C8A" w:rsidRDefault="004F1351" w:rsidP="00EC1B42">
            <w:pPr>
              <w:pStyle w:val="TableBodyText"/>
              <w:keepNext w:val="0"/>
              <w:keepLines w:val="0"/>
              <w:widowControl w:val="0"/>
              <w:spacing w:before="60" w:after="60"/>
              <w:ind w:left="0"/>
              <w:jc w:val="left"/>
              <w:rPr>
                <w:b/>
              </w:rPr>
            </w:pPr>
            <w:r w:rsidRPr="00C52C8A">
              <w:rPr>
                <w:rFonts w:ascii="Times New Roman" w:hAnsi="Times New Roman"/>
                <w:sz w:val="24"/>
                <w:szCs w:val="24"/>
              </w:rPr>
              <w:br w:type="page"/>
            </w:r>
            <w:r w:rsidR="002F2C01" w:rsidRPr="00C52C8A">
              <w:rPr>
                <w:b/>
              </w:rPr>
              <w:t>Police caution</w:t>
            </w:r>
          </w:p>
        </w:tc>
        <w:tc>
          <w:tcPr>
            <w:tcW w:w="6379" w:type="dxa"/>
            <w:shd w:val="clear" w:color="auto" w:fill="auto"/>
          </w:tcPr>
          <w:p w14:paraId="65424303" w14:textId="77777777" w:rsidR="002F2C01" w:rsidRPr="00C52C8A" w:rsidRDefault="002F2C01" w:rsidP="00EC1B42">
            <w:pPr>
              <w:pStyle w:val="TableBodyText"/>
              <w:keepNext w:val="0"/>
              <w:keepLines w:val="0"/>
              <w:widowControl w:val="0"/>
              <w:spacing w:before="60" w:after="60"/>
              <w:ind w:left="0"/>
              <w:jc w:val="left"/>
            </w:pPr>
            <w:r w:rsidRPr="00C52C8A">
              <w:t>A police officer administering a caution, or warning, to a child instead of bringing a child before a court for the offence.</w:t>
            </w:r>
          </w:p>
        </w:tc>
      </w:tr>
      <w:tr w:rsidR="002F2C01" w:rsidRPr="00C52C8A" w14:paraId="0012BD56" w14:textId="77777777" w:rsidTr="00BC6BA8">
        <w:tc>
          <w:tcPr>
            <w:tcW w:w="2410" w:type="dxa"/>
            <w:shd w:val="clear" w:color="auto" w:fill="auto"/>
          </w:tcPr>
          <w:p w14:paraId="57007720" w14:textId="77777777" w:rsidR="002F2C01" w:rsidRPr="00C52C8A" w:rsidRDefault="002F2C01" w:rsidP="00EC1B42">
            <w:pPr>
              <w:pStyle w:val="TableBodyText"/>
              <w:keepNext w:val="0"/>
              <w:keepLines w:val="0"/>
              <w:widowControl w:val="0"/>
              <w:spacing w:before="60" w:after="60"/>
              <w:ind w:left="0"/>
              <w:jc w:val="left"/>
              <w:rPr>
                <w:b/>
              </w:rPr>
            </w:pPr>
            <w:r w:rsidRPr="00C52C8A">
              <w:rPr>
                <w:b/>
              </w:rPr>
              <w:t>Pre</w:t>
            </w:r>
            <w:r w:rsidR="00F4592C" w:rsidRPr="00C52C8A">
              <w:rPr>
                <w:b/>
              </w:rPr>
              <w:noBreakHyphen/>
            </w:r>
            <w:r w:rsidRPr="00C52C8A">
              <w:rPr>
                <w:b/>
              </w:rPr>
              <w:t>sentence community</w:t>
            </w:r>
          </w:p>
        </w:tc>
        <w:tc>
          <w:tcPr>
            <w:tcW w:w="6379" w:type="dxa"/>
            <w:shd w:val="clear" w:color="auto" w:fill="auto"/>
          </w:tcPr>
          <w:p w14:paraId="47E6E602" w14:textId="77777777" w:rsidR="002F2C01" w:rsidRPr="00C52C8A" w:rsidRDefault="002F2C01" w:rsidP="00EC1B42">
            <w:pPr>
              <w:pStyle w:val="TableBodyText"/>
              <w:keepNext w:val="0"/>
              <w:keepLines w:val="0"/>
              <w:widowControl w:val="0"/>
              <w:spacing w:before="60" w:after="60"/>
              <w:ind w:left="0" w:right="0"/>
              <w:jc w:val="left"/>
            </w:pPr>
            <w:r w:rsidRPr="00C52C8A">
              <w:t>Pre</w:t>
            </w:r>
            <w:r w:rsidR="00F4592C" w:rsidRPr="00C52C8A">
              <w:noBreakHyphen/>
            </w:r>
            <w:r w:rsidRPr="00C52C8A">
              <w:t>sentence arrangements where the youth justice department is responsible for the case management or supervision of a young person (such as supervised or conditional bail where the youth justice department is involved with monitoring or supervising a young person).</w:t>
            </w:r>
          </w:p>
        </w:tc>
      </w:tr>
      <w:tr w:rsidR="002F2C01" w:rsidRPr="00C52C8A" w14:paraId="14FFBFCC" w14:textId="77777777" w:rsidTr="00BC6BA8">
        <w:tc>
          <w:tcPr>
            <w:tcW w:w="2410" w:type="dxa"/>
            <w:shd w:val="clear" w:color="auto" w:fill="auto"/>
          </w:tcPr>
          <w:p w14:paraId="69F64137" w14:textId="77777777" w:rsidR="002F2C01" w:rsidRPr="00C52C8A" w:rsidRDefault="002F2C01" w:rsidP="00EC1B42">
            <w:pPr>
              <w:pStyle w:val="TableBodyText"/>
              <w:keepNext w:val="0"/>
              <w:keepLines w:val="0"/>
              <w:widowControl w:val="0"/>
              <w:spacing w:before="60" w:after="60"/>
              <w:ind w:left="0"/>
              <w:jc w:val="left"/>
              <w:rPr>
                <w:b/>
              </w:rPr>
            </w:pPr>
            <w:r w:rsidRPr="00C52C8A">
              <w:rPr>
                <w:b/>
              </w:rPr>
              <w:t>Pre</w:t>
            </w:r>
            <w:r w:rsidR="00F4592C" w:rsidRPr="00C52C8A">
              <w:rPr>
                <w:b/>
              </w:rPr>
              <w:noBreakHyphen/>
            </w:r>
            <w:r w:rsidRPr="00C52C8A">
              <w:rPr>
                <w:b/>
              </w:rPr>
              <w:t>sentence detention</w:t>
            </w:r>
          </w:p>
        </w:tc>
        <w:tc>
          <w:tcPr>
            <w:tcW w:w="6379" w:type="dxa"/>
            <w:shd w:val="clear" w:color="auto" w:fill="auto"/>
          </w:tcPr>
          <w:p w14:paraId="2730C4EF" w14:textId="77777777" w:rsidR="002F2C01" w:rsidRPr="00C52C8A" w:rsidRDefault="002F2C01" w:rsidP="00EC1B42">
            <w:pPr>
              <w:pStyle w:val="TableBodyText"/>
              <w:keepNext w:val="0"/>
              <w:keepLines w:val="0"/>
              <w:widowControl w:val="0"/>
              <w:spacing w:before="60" w:after="60"/>
              <w:ind w:left="0" w:right="0"/>
              <w:jc w:val="left"/>
            </w:pPr>
            <w:r w:rsidRPr="00C52C8A">
              <w:t xml:space="preserve">Remanded or held in </w:t>
            </w:r>
            <w:proofErr w:type="gramStart"/>
            <w:r w:rsidRPr="00C52C8A">
              <w:t>a youth justice centre or police</w:t>
            </w:r>
            <w:proofErr w:type="gramEnd"/>
            <w:r w:rsidRPr="00C52C8A">
              <w:t xml:space="preserve"> watch house prior to appearing in court or to being sentenced.</w:t>
            </w:r>
          </w:p>
        </w:tc>
      </w:tr>
      <w:tr w:rsidR="004F1351" w:rsidRPr="00C52C8A" w14:paraId="546E5161" w14:textId="77777777" w:rsidTr="00BC6BA8">
        <w:tc>
          <w:tcPr>
            <w:tcW w:w="2410" w:type="dxa"/>
            <w:shd w:val="clear" w:color="auto" w:fill="auto"/>
          </w:tcPr>
          <w:p w14:paraId="326DA6B7" w14:textId="77777777" w:rsidR="004F1351" w:rsidRPr="00C52C8A" w:rsidRDefault="004F1351" w:rsidP="00EC1B42">
            <w:pPr>
              <w:pStyle w:val="TableBodyText"/>
              <w:keepNext w:val="0"/>
              <w:keepLines w:val="0"/>
              <w:widowControl w:val="0"/>
              <w:spacing w:before="60" w:after="60"/>
              <w:ind w:left="0"/>
              <w:jc w:val="left"/>
              <w:rPr>
                <w:b/>
              </w:rPr>
            </w:pPr>
            <w:r w:rsidRPr="00C52C8A">
              <w:rPr>
                <w:b/>
              </w:rPr>
              <w:t xml:space="preserve">Sentenced </w:t>
            </w:r>
            <w:r w:rsidRPr="00C52C8A">
              <w:rPr>
                <w:b/>
              </w:rPr>
              <w:br/>
              <w:t>community</w:t>
            </w:r>
            <w:r w:rsidR="00F4592C" w:rsidRPr="00C52C8A">
              <w:rPr>
                <w:b/>
              </w:rPr>
              <w:noBreakHyphen/>
            </w:r>
            <w:r w:rsidRPr="00C52C8A">
              <w:rPr>
                <w:b/>
              </w:rPr>
              <w:t>based supervision</w:t>
            </w:r>
          </w:p>
        </w:tc>
        <w:tc>
          <w:tcPr>
            <w:tcW w:w="6379" w:type="dxa"/>
            <w:shd w:val="clear" w:color="auto" w:fill="auto"/>
          </w:tcPr>
          <w:p w14:paraId="33A17766" w14:textId="77777777" w:rsidR="004F1351" w:rsidRPr="00C52C8A" w:rsidRDefault="004F1351" w:rsidP="00EC1B42">
            <w:pPr>
              <w:pStyle w:val="TableBodyText"/>
              <w:keepNext w:val="0"/>
              <w:keepLines w:val="0"/>
              <w:widowControl w:val="0"/>
              <w:spacing w:before="60" w:after="60"/>
              <w:ind w:left="0" w:right="0"/>
              <w:jc w:val="left"/>
            </w:pPr>
            <w:r w:rsidRPr="00C52C8A">
              <w:t xml:space="preserve">Includes probation, recognisance and community service orders which are </w:t>
            </w:r>
            <w:proofErr w:type="gramStart"/>
            <w:r w:rsidRPr="00C52C8A">
              <w:t>supervised</w:t>
            </w:r>
            <w:proofErr w:type="gramEnd"/>
            <w:r w:rsidRPr="00C52C8A">
              <w:t xml:space="preserve"> or case managed by the youth justice department. May be supervision with or without additional mandated requirements, requiring some form of obligation or additional element that a young person is required to meet. This obligation could be community work such as a community service order, a developmental activity or program attendance. The youth justice department may or may not directly supervise any additional mandated </w:t>
            </w:r>
            <w:proofErr w:type="gramStart"/>
            <w:r w:rsidRPr="00C52C8A">
              <w:t>requirements, but</w:t>
            </w:r>
            <w:proofErr w:type="gramEnd"/>
            <w:r w:rsidRPr="00C52C8A">
              <w:t xml:space="preserve"> remains responsible for the overall case management of a young person.</w:t>
            </w:r>
          </w:p>
        </w:tc>
      </w:tr>
      <w:tr w:rsidR="004F1351" w:rsidRPr="00C52C8A" w14:paraId="2EA6A736" w14:textId="77777777" w:rsidTr="00BC6BA8">
        <w:tc>
          <w:tcPr>
            <w:tcW w:w="2410" w:type="dxa"/>
            <w:shd w:val="clear" w:color="auto" w:fill="auto"/>
          </w:tcPr>
          <w:p w14:paraId="2734E176" w14:textId="77777777" w:rsidR="004F1351" w:rsidRPr="00C52C8A" w:rsidRDefault="004F1351" w:rsidP="00EC1B42">
            <w:pPr>
              <w:pStyle w:val="TableBodyText"/>
              <w:keepNext w:val="0"/>
              <w:keepLines w:val="0"/>
              <w:widowControl w:val="0"/>
              <w:spacing w:before="60" w:after="60"/>
              <w:ind w:left="0"/>
              <w:jc w:val="left"/>
              <w:rPr>
                <w:b/>
              </w:rPr>
            </w:pPr>
            <w:r w:rsidRPr="00C52C8A">
              <w:rPr>
                <w:b/>
              </w:rPr>
              <w:t>Supervision period</w:t>
            </w:r>
          </w:p>
        </w:tc>
        <w:tc>
          <w:tcPr>
            <w:tcW w:w="6379" w:type="dxa"/>
            <w:shd w:val="clear" w:color="auto" w:fill="auto"/>
          </w:tcPr>
          <w:p w14:paraId="32BA42EF" w14:textId="77777777" w:rsidR="004F1351" w:rsidRPr="00C52C8A" w:rsidRDefault="004F1351" w:rsidP="00EC1B42">
            <w:pPr>
              <w:pStyle w:val="TableBodyText"/>
              <w:keepNext w:val="0"/>
              <w:keepLines w:val="0"/>
              <w:widowControl w:val="0"/>
              <w:spacing w:before="60" w:after="60"/>
              <w:ind w:left="0" w:right="0"/>
              <w:jc w:val="left"/>
            </w:pPr>
            <w:proofErr w:type="gramStart"/>
            <w:r w:rsidRPr="00C52C8A">
              <w:t>A period of time</w:t>
            </w:r>
            <w:proofErr w:type="gramEnd"/>
            <w:r w:rsidRPr="00C52C8A">
              <w:t xml:space="preserve"> during which a young person is continuously under youth justice supervision of one type or another. A supervision period is made up of one or more contiguous episodes.</w:t>
            </w:r>
          </w:p>
        </w:tc>
      </w:tr>
      <w:tr w:rsidR="004F1351" w:rsidRPr="00C52C8A" w14:paraId="1053E9D1" w14:textId="77777777" w:rsidTr="00BC6BA8">
        <w:tc>
          <w:tcPr>
            <w:tcW w:w="2410" w:type="dxa"/>
            <w:shd w:val="clear" w:color="auto" w:fill="auto"/>
          </w:tcPr>
          <w:p w14:paraId="4A699B08" w14:textId="77777777" w:rsidR="004F1351" w:rsidRPr="00C52C8A" w:rsidRDefault="004F1351" w:rsidP="00EC1B42">
            <w:pPr>
              <w:pStyle w:val="TableBodyText"/>
              <w:keepNext w:val="0"/>
              <w:keepLines w:val="0"/>
              <w:widowControl w:val="0"/>
              <w:spacing w:before="60" w:after="60"/>
              <w:ind w:left="0"/>
              <w:jc w:val="left"/>
              <w:rPr>
                <w:b/>
              </w:rPr>
            </w:pPr>
            <w:r w:rsidRPr="00C52C8A">
              <w:rPr>
                <w:b/>
              </w:rPr>
              <w:t>Youth justice centre</w:t>
            </w:r>
          </w:p>
        </w:tc>
        <w:tc>
          <w:tcPr>
            <w:tcW w:w="6379" w:type="dxa"/>
            <w:shd w:val="clear" w:color="auto" w:fill="auto"/>
          </w:tcPr>
          <w:p w14:paraId="506D68A2" w14:textId="77777777" w:rsidR="004F1351" w:rsidRPr="00C52C8A" w:rsidRDefault="004F1351" w:rsidP="00EC1B42">
            <w:pPr>
              <w:pStyle w:val="TableBodyText"/>
              <w:keepNext w:val="0"/>
              <w:keepLines w:val="0"/>
              <w:widowControl w:val="0"/>
              <w:spacing w:before="60" w:after="60"/>
              <w:ind w:left="0" w:right="0"/>
              <w:jc w:val="left"/>
            </w:pPr>
            <w:r w:rsidRPr="00C52C8A">
              <w:t>A place administered and operated by a youth justice department, where young people are detained while under the supervision of the relevant youth justice department on a remand or sentenced detention episode.</w:t>
            </w:r>
          </w:p>
        </w:tc>
      </w:tr>
      <w:tr w:rsidR="002F2C01" w:rsidRPr="00C52C8A" w14:paraId="7CF6C218" w14:textId="77777777" w:rsidTr="00BC6BA8">
        <w:tc>
          <w:tcPr>
            <w:tcW w:w="2410" w:type="dxa"/>
            <w:shd w:val="clear" w:color="auto" w:fill="auto"/>
          </w:tcPr>
          <w:p w14:paraId="7E3DBE07" w14:textId="77777777" w:rsidR="002F2C01" w:rsidRPr="00C52C8A" w:rsidRDefault="002F2C01" w:rsidP="00EC1B42">
            <w:pPr>
              <w:pStyle w:val="TableBodyText"/>
              <w:keepNext w:val="0"/>
              <w:keepLines w:val="0"/>
              <w:widowControl w:val="0"/>
              <w:spacing w:before="60" w:after="60"/>
              <w:ind w:left="0" w:right="-108"/>
              <w:jc w:val="left"/>
              <w:rPr>
                <w:b/>
              </w:rPr>
            </w:pPr>
            <w:r w:rsidRPr="00C52C8A">
              <w:rPr>
                <w:b/>
              </w:rPr>
              <w:t>Youth justice conference/group conference</w:t>
            </w:r>
          </w:p>
        </w:tc>
        <w:tc>
          <w:tcPr>
            <w:tcW w:w="6379" w:type="dxa"/>
            <w:shd w:val="clear" w:color="auto" w:fill="auto"/>
          </w:tcPr>
          <w:p w14:paraId="21B02135" w14:textId="77777777" w:rsidR="002F2C01" w:rsidRPr="00C52C8A" w:rsidRDefault="002F2C01" w:rsidP="00EC1B42">
            <w:pPr>
              <w:pStyle w:val="TableBodyText"/>
              <w:keepNext w:val="0"/>
              <w:keepLines w:val="0"/>
              <w:widowControl w:val="0"/>
              <w:spacing w:before="60" w:after="60"/>
              <w:ind w:left="0" w:right="0"/>
              <w:jc w:val="left"/>
            </w:pPr>
            <w:r w:rsidRPr="00C52C8A">
              <w:t>A youth justice conference, or group conference, is a facilitated meeting resulting in a formal agreement to repair the harm caused by the offence. Participants can include the victim(s), offender(s), a youth justice agency officer, police and other key stakeholders. Referrals may be initiated by the police or the courts.</w:t>
            </w:r>
          </w:p>
        </w:tc>
      </w:tr>
      <w:tr w:rsidR="00413C3F" w:rsidRPr="00C52C8A" w14:paraId="17469397" w14:textId="77777777" w:rsidTr="00BC6BA8">
        <w:tc>
          <w:tcPr>
            <w:tcW w:w="2410" w:type="dxa"/>
            <w:shd w:val="clear" w:color="auto" w:fill="auto"/>
          </w:tcPr>
          <w:p w14:paraId="21811CBD" w14:textId="77777777" w:rsidR="00413C3F" w:rsidRPr="00C52C8A" w:rsidRDefault="00413C3F" w:rsidP="00EC1B42">
            <w:pPr>
              <w:pStyle w:val="TableBodyText"/>
              <w:keepNext w:val="0"/>
              <w:keepLines w:val="0"/>
              <w:widowControl w:val="0"/>
              <w:spacing w:before="60" w:after="60"/>
              <w:ind w:left="0"/>
              <w:jc w:val="left"/>
              <w:rPr>
                <w:b/>
              </w:rPr>
            </w:pPr>
            <w:r w:rsidRPr="00C52C8A">
              <w:rPr>
                <w:b/>
              </w:rPr>
              <w:t>Youth justice department</w:t>
            </w:r>
          </w:p>
        </w:tc>
        <w:tc>
          <w:tcPr>
            <w:tcW w:w="6379" w:type="dxa"/>
            <w:shd w:val="clear" w:color="auto" w:fill="auto"/>
          </w:tcPr>
          <w:p w14:paraId="7138489D" w14:textId="77777777" w:rsidR="00413C3F" w:rsidRPr="00C52C8A" w:rsidRDefault="00244C21" w:rsidP="00EC1B42">
            <w:pPr>
              <w:pStyle w:val="TableBodyText"/>
              <w:keepNext w:val="0"/>
              <w:keepLines w:val="0"/>
              <w:widowControl w:val="0"/>
              <w:spacing w:before="60" w:after="60"/>
              <w:ind w:left="0" w:right="0"/>
              <w:jc w:val="left"/>
            </w:pPr>
            <w:r w:rsidRPr="00C52C8A">
              <w:t>D</w:t>
            </w:r>
            <w:r w:rsidR="00413C3F" w:rsidRPr="00C52C8A">
              <w:t>epartments in each State and Territory that are responsible for youth justice matters.</w:t>
            </w:r>
          </w:p>
        </w:tc>
      </w:tr>
    </w:tbl>
    <w:p w14:paraId="0998D8B5" w14:textId="59C93B80" w:rsidR="00413C3F" w:rsidRPr="00C52C8A" w:rsidRDefault="00BB54BD" w:rsidP="00EC1B42">
      <w:pPr>
        <w:pStyle w:val="Heading2"/>
      </w:pPr>
      <w:bookmarkStart w:id="54" w:name="_Toc345416491"/>
      <w:bookmarkStart w:id="55" w:name="_Toc366137743"/>
      <w:bookmarkStart w:id="56" w:name="_Toc524611864"/>
      <w:r w:rsidRPr="00C52C8A">
        <w:t>1</w:t>
      </w:r>
      <w:r w:rsidR="00C77259" w:rsidRPr="00C52C8A">
        <w:t>7</w:t>
      </w:r>
      <w:r w:rsidRPr="00C52C8A">
        <w:t>.</w:t>
      </w:r>
      <w:r w:rsidR="00C77259" w:rsidRPr="00C52C8A">
        <w:t>5</w:t>
      </w:r>
      <w:r w:rsidR="00413C3F" w:rsidRPr="00C52C8A">
        <w:tab/>
        <w:t>References</w:t>
      </w:r>
      <w:bookmarkEnd w:id="54"/>
      <w:bookmarkEnd w:id="55"/>
      <w:bookmarkEnd w:id="56"/>
    </w:p>
    <w:p w14:paraId="07B28ED2" w14:textId="535FC671" w:rsidR="00116AB4" w:rsidRPr="00C52C8A" w:rsidRDefault="00116AB4" w:rsidP="00983812">
      <w:pPr>
        <w:pStyle w:val="Reference"/>
      </w:pPr>
      <w:r w:rsidRPr="00C52C8A">
        <w:t>AIHW (Australian Institute of Health and Welfare) 20</w:t>
      </w:r>
      <w:r w:rsidR="009D0A7F">
        <w:t>20</w:t>
      </w:r>
      <w:r w:rsidR="00E27013" w:rsidRPr="00C52C8A">
        <w:t>a</w:t>
      </w:r>
      <w:r w:rsidRPr="00C52C8A">
        <w:t xml:space="preserve">, </w:t>
      </w:r>
      <w:r w:rsidRPr="00C52C8A">
        <w:rPr>
          <w:i/>
        </w:rPr>
        <w:t>Young People Returning to Sentenced Youth Justice Supervision 201</w:t>
      </w:r>
      <w:r w:rsidR="009D0A7F">
        <w:rPr>
          <w:i/>
        </w:rPr>
        <w:t>8</w:t>
      </w:r>
      <w:r w:rsidR="00CF76CB" w:rsidRPr="00C52C8A">
        <w:rPr>
          <w:i/>
        </w:rPr>
        <w:noBreakHyphen/>
      </w:r>
      <w:proofErr w:type="gramStart"/>
      <w:r w:rsidRPr="00C52C8A">
        <w:rPr>
          <w:i/>
        </w:rPr>
        <w:t>1</w:t>
      </w:r>
      <w:r w:rsidR="009D0A7F">
        <w:rPr>
          <w:i/>
        </w:rPr>
        <w:t>9</w:t>
      </w:r>
      <w:r w:rsidR="00555871" w:rsidRPr="00C52C8A">
        <w:t>,</w:t>
      </w:r>
      <w:r w:rsidRPr="00C52C8A">
        <w:t>.</w:t>
      </w:r>
      <w:proofErr w:type="gramEnd"/>
      <w:r w:rsidRPr="00C52C8A">
        <w:t xml:space="preserve"> Cat. no</w:t>
      </w:r>
      <w:r w:rsidRPr="008B3055">
        <w:t>. JUV 1</w:t>
      </w:r>
      <w:r w:rsidR="002E6DA5" w:rsidRPr="008B3055">
        <w:t>3</w:t>
      </w:r>
      <w:r w:rsidR="008B3055" w:rsidRPr="008B3055">
        <w:t>3</w:t>
      </w:r>
      <w:r w:rsidR="00555871" w:rsidRPr="00C52C8A">
        <w:t>,</w:t>
      </w:r>
      <w:r w:rsidRPr="00C52C8A">
        <w:t xml:space="preserve"> Canberra</w:t>
      </w:r>
      <w:r w:rsidR="00555871" w:rsidRPr="00C52C8A">
        <w:t>.</w:t>
      </w:r>
    </w:p>
    <w:p w14:paraId="1DBDF385" w14:textId="36AB4EF9" w:rsidR="00E27013" w:rsidRPr="00C52C8A" w:rsidRDefault="00E27013" w:rsidP="00E27013">
      <w:pPr>
        <w:pStyle w:val="Reference"/>
      </w:pPr>
      <w:r w:rsidRPr="00C52C8A">
        <w:t>—— 20</w:t>
      </w:r>
      <w:r w:rsidR="009D0A7F">
        <w:t>20</w:t>
      </w:r>
      <w:r w:rsidRPr="00C52C8A">
        <w:t xml:space="preserve">b, </w:t>
      </w:r>
      <w:r w:rsidRPr="00C52C8A">
        <w:rPr>
          <w:i/>
        </w:rPr>
        <w:t>Youth justice in Australia 201</w:t>
      </w:r>
      <w:r w:rsidR="009D0A7F">
        <w:rPr>
          <w:i/>
        </w:rPr>
        <w:t>8</w:t>
      </w:r>
      <w:r w:rsidRPr="00C52C8A">
        <w:rPr>
          <w:i/>
        </w:rPr>
        <w:noBreakHyphen/>
        <w:t>1</w:t>
      </w:r>
      <w:r w:rsidR="009D0A7F">
        <w:rPr>
          <w:i/>
        </w:rPr>
        <w:t>9</w:t>
      </w:r>
      <w:r w:rsidRPr="00C52C8A">
        <w:t>, Cat. no. </w:t>
      </w:r>
      <w:r w:rsidRPr="005729E3">
        <w:t>JUV </w:t>
      </w:r>
      <w:r w:rsidR="005729E3">
        <w:t>132</w:t>
      </w:r>
      <w:r w:rsidRPr="00C52C8A">
        <w:t xml:space="preserve">, </w:t>
      </w:r>
      <w:proofErr w:type="gramStart"/>
      <w:r w:rsidRPr="00C52C8A">
        <w:t>Canberra,.</w:t>
      </w:r>
      <w:proofErr w:type="gramEnd"/>
    </w:p>
    <w:p w14:paraId="6A4A88C0" w14:textId="77777777" w:rsidR="007A549B" w:rsidRPr="00C52C8A" w:rsidRDefault="007A549B" w:rsidP="00983812">
      <w:pPr>
        <w:pStyle w:val="Reference"/>
      </w:pPr>
      <w:r w:rsidRPr="00C52C8A">
        <w:t xml:space="preserve">Patel, N., 2004, </w:t>
      </w:r>
      <w:r w:rsidRPr="00C52C8A">
        <w:rPr>
          <w:i/>
        </w:rPr>
        <w:t xml:space="preserve">Accommodation needs of young offenders, </w:t>
      </w:r>
      <w:r w:rsidRPr="00C52C8A">
        <w:t>Youth Justice Board for England and Wales</w:t>
      </w:r>
      <w:r w:rsidR="00B60BAB" w:rsidRPr="00C52C8A">
        <w:t>: United Kingdom</w:t>
      </w:r>
      <w:r w:rsidRPr="00C52C8A">
        <w:t>.</w:t>
      </w:r>
    </w:p>
    <w:p w14:paraId="1CCE3ABE" w14:textId="77777777" w:rsidR="007A549B" w:rsidRDefault="00CE573E" w:rsidP="00983812">
      <w:pPr>
        <w:pStyle w:val="Reference"/>
      </w:pPr>
      <w:r w:rsidRPr="00C52C8A">
        <w:t>Supervised Release Review Board</w:t>
      </w:r>
      <w:r w:rsidR="00DE6925" w:rsidRPr="00C52C8A">
        <w:t xml:space="preserve"> 2012, </w:t>
      </w:r>
      <w:r w:rsidR="00DE6925" w:rsidRPr="00C52C8A">
        <w:rPr>
          <w:i/>
        </w:rPr>
        <w:t>Supervised Release Review Board: Annual Report</w:t>
      </w:r>
      <w:r w:rsidR="00DE6925" w:rsidRPr="00C52C8A">
        <w:t>, Western Australia.</w:t>
      </w:r>
    </w:p>
    <w:p w14:paraId="6108E064" w14:textId="77777777" w:rsidR="00FF6E9F" w:rsidRDefault="00FF6E9F" w:rsidP="00983812">
      <w:pPr>
        <w:pStyle w:val="Reference"/>
      </w:pPr>
    </w:p>
    <w:p w14:paraId="7203292B" w14:textId="77777777" w:rsidR="00E435C2" w:rsidRDefault="00E435C2">
      <w:pPr>
        <w:pStyle w:val="Reference"/>
      </w:pPr>
    </w:p>
    <w:sectPr w:rsidR="00E435C2" w:rsidSect="004F2650">
      <w:headerReference w:type="even" r:id="rId23"/>
      <w:headerReference w:type="default" r:id="rId24"/>
      <w:footerReference w:type="even" r:id="rId25"/>
      <w:footerReference w:type="default" r:id="rId26"/>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50B77" w14:textId="77777777" w:rsidR="003A6209" w:rsidRDefault="003A6209">
      <w:r>
        <w:separator/>
      </w:r>
    </w:p>
  </w:endnote>
  <w:endnote w:type="continuationSeparator" w:id="0">
    <w:p w14:paraId="7ADB4A6F" w14:textId="77777777" w:rsidR="003A6209" w:rsidRDefault="003A6209">
      <w:r>
        <w:continuationSeparator/>
      </w:r>
    </w:p>
  </w:endnote>
  <w:endnote w:type="continuationNotice" w:id="1">
    <w:p w14:paraId="6972E6CF" w14:textId="77777777" w:rsidR="003A6209" w:rsidRDefault="003A6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otham">
    <w:altName w:val="Cambria"/>
    <w:panose1 w:val="00000000000000000000"/>
    <w:charset w:val="4D"/>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A6209" w14:paraId="33CFE317" w14:textId="77777777" w:rsidTr="006F761F">
      <w:trPr>
        <w:trHeight w:hRule="exact" w:val="567"/>
      </w:trPr>
      <w:tc>
        <w:tcPr>
          <w:tcW w:w="510" w:type="dxa"/>
        </w:tcPr>
        <w:p w14:paraId="04B5ECE9" w14:textId="5EE7A00E" w:rsidR="003A6209" w:rsidRPr="00A24443" w:rsidRDefault="003A6209" w:rsidP="0019293B">
          <w:pPr>
            <w:pStyle w:val="Footer"/>
            <w:tabs>
              <w:tab w:val="left" w:pos="0"/>
            </w:tabs>
            <w:ind w:right="0"/>
            <w:rPr>
              <w:rStyle w:val="PageNumber"/>
              <w:caps w:val="0"/>
            </w:rPr>
          </w:pPr>
          <w:r>
            <w:rPr>
              <w:rStyle w:val="PageNumber"/>
              <w:caps w:val="0"/>
            </w:rPr>
            <w:t>17.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34</w:t>
          </w:r>
          <w:r w:rsidRPr="00A24443">
            <w:rPr>
              <w:rStyle w:val="PageNumber"/>
              <w:caps w:val="0"/>
            </w:rPr>
            <w:fldChar w:fldCharType="end"/>
          </w:r>
        </w:p>
      </w:tc>
      <w:tc>
        <w:tcPr>
          <w:tcW w:w="7767" w:type="dxa"/>
        </w:tcPr>
        <w:p w14:paraId="524E5985" w14:textId="12DF4C7F" w:rsidR="003A6209" w:rsidRPr="0013739A" w:rsidRDefault="003F3DA9" w:rsidP="006F761F">
          <w:pPr>
            <w:pStyle w:val="Footer"/>
            <w:rPr>
              <w:rFonts w:cs="Arial"/>
            </w:rPr>
          </w:pPr>
          <w:bookmarkStart w:id="57" w:name="DraftReportEven"/>
          <w:bookmarkEnd w:id="57"/>
          <w:r w:rsidRPr="003F3DA9">
            <w:rPr>
              <w:rFonts w:cs="Arial"/>
            </w:rPr>
            <w:t>Report on Government Services 2021</w:t>
          </w:r>
        </w:p>
      </w:tc>
      <w:tc>
        <w:tcPr>
          <w:tcW w:w="510" w:type="dxa"/>
        </w:tcPr>
        <w:p w14:paraId="22CD29F8" w14:textId="77777777" w:rsidR="003A6209" w:rsidRDefault="003A6209" w:rsidP="0019293B">
          <w:pPr>
            <w:pStyle w:val="Footer"/>
          </w:pPr>
        </w:p>
      </w:tc>
    </w:tr>
  </w:tbl>
  <w:p w14:paraId="4947B495" w14:textId="77777777" w:rsidR="003A6209" w:rsidRDefault="003A6209" w:rsidP="0019293B">
    <w:pPr>
      <w:pStyle w:val="FooterEnd"/>
    </w:pPr>
  </w:p>
  <w:p w14:paraId="55BE8CAC" w14:textId="77777777" w:rsidR="003A6209" w:rsidRDefault="003A6209"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A6209" w14:paraId="62959BBD" w14:textId="77777777" w:rsidTr="006F761F">
      <w:trPr>
        <w:trHeight w:hRule="exact" w:val="567"/>
      </w:trPr>
      <w:tc>
        <w:tcPr>
          <w:tcW w:w="510" w:type="dxa"/>
        </w:tcPr>
        <w:p w14:paraId="35628773" w14:textId="77777777" w:rsidR="003A6209" w:rsidRDefault="003A6209">
          <w:pPr>
            <w:pStyle w:val="Footer"/>
            <w:ind w:right="360" w:firstLine="360"/>
          </w:pPr>
        </w:p>
      </w:tc>
      <w:tc>
        <w:tcPr>
          <w:tcW w:w="7767" w:type="dxa"/>
        </w:tcPr>
        <w:p w14:paraId="1FF31D52" w14:textId="63090573" w:rsidR="003A6209" w:rsidRPr="00BA5B14" w:rsidRDefault="003F3DA9" w:rsidP="006F761F">
          <w:pPr>
            <w:pStyle w:val="Footer"/>
            <w:jc w:val="right"/>
            <w:rPr>
              <w:rFonts w:cs="Arial"/>
            </w:rPr>
          </w:pPr>
          <w:r w:rsidRPr="003F3DA9">
            <w:rPr>
              <w:rFonts w:cs="Arial"/>
            </w:rPr>
            <w:t>YOUTH JUSTICE SERVICES</w:t>
          </w:r>
        </w:p>
      </w:tc>
      <w:tc>
        <w:tcPr>
          <w:tcW w:w="510" w:type="dxa"/>
        </w:tcPr>
        <w:p w14:paraId="4CB8A4C3" w14:textId="170C7D75" w:rsidR="003A6209" w:rsidRPr="00A24443" w:rsidRDefault="003A6209">
          <w:pPr>
            <w:pStyle w:val="Footer"/>
            <w:jc w:val="right"/>
            <w:rPr>
              <w:caps w:val="0"/>
            </w:rPr>
          </w:pPr>
          <w:r>
            <w:rPr>
              <w:rStyle w:val="PageNumber"/>
              <w:caps w:val="0"/>
            </w:rPr>
            <w:t>17.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35</w:t>
          </w:r>
          <w:r w:rsidRPr="00A24443">
            <w:rPr>
              <w:rStyle w:val="PageNumber"/>
              <w:caps w:val="0"/>
            </w:rPr>
            <w:fldChar w:fldCharType="end"/>
          </w:r>
        </w:p>
      </w:tc>
    </w:tr>
  </w:tbl>
  <w:p w14:paraId="208485C4" w14:textId="77777777" w:rsidR="003A6209" w:rsidRDefault="003A6209">
    <w:pPr>
      <w:pStyle w:val="FooterEnd"/>
    </w:pPr>
  </w:p>
  <w:p w14:paraId="1EF64087" w14:textId="77777777" w:rsidR="003A6209" w:rsidRDefault="003A620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F8C6C" w14:textId="77777777" w:rsidR="003A6209" w:rsidRDefault="003A6209">
      <w:r>
        <w:separator/>
      </w:r>
    </w:p>
  </w:footnote>
  <w:footnote w:type="continuationSeparator" w:id="0">
    <w:p w14:paraId="7FE2BC5D" w14:textId="77777777" w:rsidR="003A6209" w:rsidRDefault="003A6209">
      <w:r>
        <w:continuationSeparator/>
      </w:r>
    </w:p>
  </w:footnote>
  <w:footnote w:type="continuationNotice" w:id="1">
    <w:p w14:paraId="042A9764" w14:textId="77777777" w:rsidR="003A6209" w:rsidRDefault="003A6209"/>
  </w:footnote>
  <w:footnote w:id="2">
    <w:p w14:paraId="242A6787" w14:textId="4CCBE8D0" w:rsidR="003A6209" w:rsidRDefault="003A6209">
      <w:pPr>
        <w:pStyle w:val="FootnoteText"/>
      </w:pPr>
      <w:r>
        <w:rPr>
          <w:rStyle w:val="FootnoteReference"/>
        </w:rPr>
        <w:footnoteRef/>
      </w:r>
      <w:r>
        <w:tab/>
        <w:t>O</w:t>
      </w:r>
      <w:r w:rsidRPr="00992C17">
        <w:t xml:space="preserve">n </w:t>
      </w:r>
      <w:r>
        <w:t xml:space="preserve">12 </w:t>
      </w:r>
      <w:r w:rsidRPr="00992C17">
        <w:t xml:space="preserve">February 2018, the </w:t>
      </w:r>
      <w:r w:rsidRPr="00992C17">
        <w:rPr>
          <w:i/>
        </w:rPr>
        <w:t>Youth Justice and Other Legislation (Inclusion of 17-year-old Persons) Amendment Act 2016</w:t>
      </w:r>
      <w:r w:rsidRPr="00992C17">
        <w:t xml:space="preserve"> commenced in Queensland, increasing the age that a person can be charged as an adult from 17 to 18 years. This brings Queensland legislation in line with all other Australian jurisdictions and result</w:t>
      </w:r>
      <w:r>
        <w:t>ed</w:t>
      </w:r>
      <w:r w:rsidRPr="00992C17">
        <w:t xml:space="preserve"> in an increase in the numbers of young people supervised by the youth justice system in Queensland and nationally</w:t>
      </w:r>
      <w:r>
        <w:t xml:space="preserve"> in 2017-18</w:t>
      </w:r>
      <w:r w:rsidRPr="00992C17">
        <w:t xml:space="preserve">. </w:t>
      </w:r>
      <w:r>
        <w:t xml:space="preserve">The 2018-19 financial year was the first full reporting period for Queensland that includes 10 to </w:t>
      </w:r>
      <w:proofErr w:type="gramStart"/>
      <w:r>
        <w:t>17 year old</w:t>
      </w:r>
      <w:proofErr w:type="gramEnd"/>
      <w:r>
        <w:t xml:space="preserve"> offenders</w:t>
      </w:r>
      <w:r w:rsidRPr="00992C1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423" w:type="dxa"/>
      <w:tblLayout w:type="fixed"/>
      <w:tblCellMar>
        <w:left w:w="0" w:type="dxa"/>
        <w:right w:w="0" w:type="dxa"/>
      </w:tblCellMar>
      <w:tblLook w:val="0000" w:firstRow="0" w:lastRow="0" w:firstColumn="0" w:lastColumn="0" w:noHBand="0" w:noVBand="0"/>
    </w:tblPr>
    <w:tblGrid>
      <w:gridCol w:w="2155"/>
      <w:gridCol w:w="6634"/>
      <w:gridCol w:w="6634"/>
    </w:tblGrid>
    <w:tr w:rsidR="003A6209" w14:paraId="3640E3C0" w14:textId="77777777" w:rsidTr="00B14A31">
      <w:tc>
        <w:tcPr>
          <w:tcW w:w="2155" w:type="dxa"/>
          <w:tcBorders>
            <w:top w:val="single" w:sz="24" w:space="0" w:color="auto"/>
          </w:tcBorders>
        </w:tcPr>
        <w:p w14:paraId="5535AF65" w14:textId="77777777" w:rsidR="003A6209" w:rsidRDefault="003A6209" w:rsidP="00B14A31">
          <w:pPr>
            <w:pStyle w:val="HeaderEven"/>
          </w:pPr>
        </w:p>
      </w:tc>
      <w:tc>
        <w:tcPr>
          <w:tcW w:w="6634" w:type="dxa"/>
          <w:tcBorders>
            <w:top w:val="single" w:sz="6" w:space="0" w:color="auto"/>
          </w:tcBorders>
        </w:tcPr>
        <w:p w14:paraId="0EA09484" w14:textId="7FE4DF70" w:rsidR="003A6209" w:rsidRDefault="003A6209" w:rsidP="00B14A31">
          <w:pPr>
            <w:pStyle w:val="HeaderEven"/>
          </w:pPr>
        </w:p>
      </w:tc>
      <w:tc>
        <w:tcPr>
          <w:tcW w:w="6634" w:type="dxa"/>
          <w:tcBorders>
            <w:top w:val="single" w:sz="6" w:space="0" w:color="auto"/>
          </w:tcBorders>
        </w:tcPr>
        <w:p w14:paraId="631F221C" w14:textId="4E0AC7D2" w:rsidR="003A6209" w:rsidRDefault="003A6209" w:rsidP="00B14A31">
          <w:pPr>
            <w:pStyle w:val="HeaderEven"/>
          </w:pPr>
        </w:p>
      </w:tc>
    </w:tr>
  </w:tbl>
  <w:p w14:paraId="726E18AF" w14:textId="77777777" w:rsidR="003A6209" w:rsidRDefault="003A6209" w:rsidP="0019293B">
    <w:pPr>
      <w:pStyle w:val="HeaderEnd"/>
    </w:pPr>
  </w:p>
  <w:p w14:paraId="6DC4940B" w14:textId="77777777" w:rsidR="003A6209" w:rsidRDefault="003A6209"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A6209" w14:paraId="284784A9" w14:textId="77777777">
      <w:tc>
        <w:tcPr>
          <w:tcW w:w="6634" w:type="dxa"/>
          <w:tcBorders>
            <w:top w:val="single" w:sz="6" w:space="0" w:color="auto"/>
          </w:tcBorders>
        </w:tcPr>
        <w:p w14:paraId="2BE7DECA" w14:textId="691C5B3B" w:rsidR="003A6209" w:rsidRDefault="003A6209" w:rsidP="00E669E2">
          <w:pPr>
            <w:pStyle w:val="HeaderOdd"/>
          </w:pPr>
        </w:p>
      </w:tc>
      <w:tc>
        <w:tcPr>
          <w:tcW w:w="2155" w:type="dxa"/>
          <w:tcBorders>
            <w:top w:val="single" w:sz="24" w:space="0" w:color="auto"/>
          </w:tcBorders>
        </w:tcPr>
        <w:p w14:paraId="795AB7BB" w14:textId="77777777" w:rsidR="003A6209" w:rsidRDefault="003A6209" w:rsidP="00E669E2">
          <w:pPr>
            <w:pStyle w:val="HeaderOdd"/>
          </w:pPr>
        </w:p>
      </w:tc>
    </w:tr>
  </w:tbl>
  <w:p w14:paraId="5AB90775" w14:textId="77777777" w:rsidR="003A6209" w:rsidRDefault="003A6209" w:rsidP="00E669E2">
    <w:pPr>
      <w:pStyle w:val="HeaderEnd"/>
    </w:pPr>
  </w:p>
  <w:p w14:paraId="5F21DF84" w14:textId="77777777" w:rsidR="003A6209" w:rsidRDefault="003A6209"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4A57079"/>
    <w:multiLevelType w:val="hybridMultilevel"/>
    <w:tmpl w:val="6C8A824A"/>
    <w:lvl w:ilvl="0" w:tplc="E208F0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EF1C83"/>
    <w:multiLevelType w:val="hybridMultilevel"/>
    <w:tmpl w:val="F0B8603C"/>
    <w:lvl w:ilvl="0" w:tplc="008EA8F4">
      <w:start w:val="1"/>
      <w:numFmt w:val="bullet"/>
      <w:lvlText w:val="•"/>
      <w:lvlJc w:val="left"/>
      <w:pPr>
        <w:tabs>
          <w:tab w:val="num" w:pos="595"/>
        </w:tabs>
        <w:ind w:left="595" w:hanging="397"/>
      </w:pPr>
      <w:rPr>
        <w:rFonts w:ascii="Book Antiqua" w:hAnsi="Book Antiqua" w:hint="default"/>
        <w:b w:val="0"/>
        <w:i w:val="0"/>
        <w:color w:val="000000"/>
        <w:sz w:val="22"/>
      </w:rPr>
    </w:lvl>
    <w:lvl w:ilvl="1" w:tplc="0C090003">
      <w:start w:val="1"/>
      <w:numFmt w:val="bullet"/>
      <w:lvlText w:val="o"/>
      <w:lvlJc w:val="left"/>
      <w:pPr>
        <w:tabs>
          <w:tab w:val="num" w:pos="1278"/>
        </w:tabs>
        <w:ind w:left="1278" w:hanging="360"/>
      </w:pPr>
      <w:rPr>
        <w:rFonts w:ascii="Courier New" w:hAnsi="Courier New" w:cs="Courier New" w:hint="default"/>
      </w:rPr>
    </w:lvl>
    <w:lvl w:ilvl="2" w:tplc="0C090005" w:tentative="1">
      <w:start w:val="1"/>
      <w:numFmt w:val="bullet"/>
      <w:lvlText w:val=""/>
      <w:lvlJc w:val="left"/>
      <w:pPr>
        <w:tabs>
          <w:tab w:val="num" w:pos="1998"/>
        </w:tabs>
        <w:ind w:left="1998" w:hanging="360"/>
      </w:pPr>
      <w:rPr>
        <w:rFonts w:ascii="Wingdings" w:hAnsi="Wingdings" w:hint="default"/>
      </w:rPr>
    </w:lvl>
    <w:lvl w:ilvl="3" w:tplc="0C090001" w:tentative="1">
      <w:start w:val="1"/>
      <w:numFmt w:val="bullet"/>
      <w:lvlText w:val=""/>
      <w:lvlJc w:val="left"/>
      <w:pPr>
        <w:tabs>
          <w:tab w:val="num" w:pos="2718"/>
        </w:tabs>
        <w:ind w:left="2718" w:hanging="360"/>
      </w:pPr>
      <w:rPr>
        <w:rFonts w:ascii="Symbol" w:hAnsi="Symbol" w:hint="default"/>
      </w:rPr>
    </w:lvl>
    <w:lvl w:ilvl="4" w:tplc="0C090003" w:tentative="1">
      <w:start w:val="1"/>
      <w:numFmt w:val="bullet"/>
      <w:lvlText w:val="o"/>
      <w:lvlJc w:val="left"/>
      <w:pPr>
        <w:tabs>
          <w:tab w:val="num" w:pos="3438"/>
        </w:tabs>
        <w:ind w:left="3438" w:hanging="360"/>
      </w:pPr>
      <w:rPr>
        <w:rFonts w:ascii="Courier New" w:hAnsi="Courier New" w:cs="Courier New" w:hint="default"/>
      </w:rPr>
    </w:lvl>
    <w:lvl w:ilvl="5" w:tplc="0C090005" w:tentative="1">
      <w:start w:val="1"/>
      <w:numFmt w:val="bullet"/>
      <w:lvlText w:val=""/>
      <w:lvlJc w:val="left"/>
      <w:pPr>
        <w:tabs>
          <w:tab w:val="num" w:pos="4158"/>
        </w:tabs>
        <w:ind w:left="4158" w:hanging="360"/>
      </w:pPr>
      <w:rPr>
        <w:rFonts w:ascii="Wingdings" w:hAnsi="Wingdings" w:hint="default"/>
      </w:rPr>
    </w:lvl>
    <w:lvl w:ilvl="6" w:tplc="0C090001" w:tentative="1">
      <w:start w:val="1"/>
      <w:numFmt w:val="bullet"/>
      <w:lvlText w:val=""/>
      <w:lvlJc w:val="left"/>
      <w:pPr>
        <w:tabs>
          <w:tab w:val="num" w:pos="4878"/>
        </w:tabs>
        <w:ind w:left="4878" w:hanging="360"/>
      </w:pPr>
      <w:rPr>
        <w:rFonts w:ascii="Symbol" w:hAnsi="Symbol" w:hint="default"/>
      </w:rPr>
    </w:lvl>
    <w:lvl w:ilvl="7" w:tplc="0C090003" w:tentative="1">
      <w:start w:val="1"/>
      <w:numFmt w:val="bullet"/>
      <w:lvlText w:val="o"/>
      <w:lvlJc w:val="left"/>
      <w:pPr>
        <w:tabs>
          <w:tab w:val="num" w:pos="5598"/>
        </w:tabs>
        <w:ind w:left="5598" w:hanging="360"/>
      </w:pPr>
      <w:rPr>
        <w:rFonts w:ascii="Courier New" w:hAnsi="Courier New" w:cs="Courier New" w:hint="default"/>
      </w:rPr>
    </w:lvl>
    <w:lvl w:ilvl="8" w:tplc="0C090005" w:tentative="1">
      <w:start w:val="1"/>
      <w:numFmt w:val="bullet"/>
      <w:lvlText w:val=""/>
      <w:lvlJc w:val="left"/>
      <w:pPr>
        <w:tabs>
          <w:tab w:val="num" w:pos="6318"/>
        </w:tabs>
        <w:ind w:left="6318"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8550239"/>
    <w:multiLevelType w:val="hybridMultilevel"/>
    <w:tmpl w:val="9A8A4794"/>
    <w:lvl w:ilvl="0" w:tplc="A5B46E8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D4513DB"/>
    <w:multiLevelType w:val="hybridMultilevel"/>
    <w:tmpl w:val="E50C948C"/>
    <w:lvl w:ilvl="0" w:tplc="0C09000F">
      <w:start w:val="1"/>
      <w:numFmt w:val="bulle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5"/>
  </w:num>
  <w:num w:numId="4">
    <w:abstractNumId w:val="5"/>
  </w:num>
  <w:num w:numId="5">
    <w:abstractNumId w:val="22"/>
  </w:num>
  <w:num w:numId="6">
    <w:abstractNumId w:val="20"/>
  </w:num>
  <w:num w:numId="7">
    <w:abstractNumId w:val="6"/>
  </w:num>
  <w:num w:numId="8">
    <w:abstractNumId w:val="14"/>
  </w:num>
  <w:num w:numId="9">
    <w:abstractNumId w:val="23"/>
  </w:num>
  <w:num w:numId="10">
    <w:abstractNumId w:val="17"/>
  </w:num>
  <w:num w:numId="11">
    <w:abstractNumId w:val="16"/>
  </w:num>
  <w:num w:numId="12">
    <w:abstractNumId w:val="2"/>
  </w:num>
  <w:num w:numId="13">
    <w:abstractNumId w:val="21"/>
  </w:num>
  <w:num w:numId="14">
    <w:abstractNumId w:val="9"/>
  </w:num>
  <w:num w:numId="15">
    <w:abstractNumId w:val="7"/>
  </w:num>
  <w:num w:numId="16">
    <w:abstractNumId w:val="19"/>
  </w:num>
  <w:num w:numId="17">
    <w:abstractNumId w:val="24"/>
  </w:num>
  <w:num w:numId="18">
    <w:abstractNumId w:val="12"/>
  </w:num>
  <w:num w:numId="19">
    <w:abstractNumId w:val="3"/>
  </w:num>
  <w:num w:numId="20">
    <w:abstractNumId w:val="8"/>
  </w:num>
  <w:num w:numId="21">
    <w:abstractNumId w:val="18"/>
  </w:num>
  <w:num w:numId="22">
    <w:abstractNumId w:val="0"/>
  </w:num>
  <w:num w:numId="2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4">
    <w:abstractNumId w:val="25"/>
  </w:num>
  <w:num w:numId="25">
    <w:abstractNumId w:val="11"/>
  </w:num>
  <w:num w:numId="2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clickAndTypeStyle w:val="BodyText"/>
  <w:evenAndOddHeaders/>
  <w:characterSpacingControl w:val="doNotCompress"/>
  <w:hdrShapeDefaults>
    <o:shapedefaults v:ext="edit" spidmax="296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YOUTH JUSTICE SERVICES"/>
    <w:docVar w:name="ShortReportTitle" w:val="Report on Government Services 2021"/>
  </w:docVars>
  <w:rsids>
    <w:rsidRoot w:val="00413C3F"/>
    <w:rsid w:val="000006D4"/>
    <w:rsid w:val="00001535"/>
    <w:rsid w:val="00002C01"/>
    <w:rsid w:val="00004491"/>
    <w:rsid w:val="00004B6D"/>
    <w:rsid w:val="00004F26"/>
    <w:rsid w:val="000053FF"/>
    <w:rsid w:val="00011EAA"/>
    <w:rsid w:val="00012114"/>
    <w:rsid w:val="000128C3"/>
    <w:rsid w:val="00014206"/>
    <w:rsid w:val="00014FE0"/>
    <w:rsid w:val="00016BC8"/>
    <w:rsid w:val="000175CB"/>
    <w:rsid w:val="0002147A"/>
    <w:rsid w:val="000227D5"/>
    <w:rsid w:val="000234FD"/>
    <w:rsid w:val="00023C61"/>
    <w:rsid w:val="000245AA"/>
    <w:rsid w:val="00025E02"/>
    <w:rsid w:val="00026F17"/>
    <w:rsid w:val="00030EC3"/>
    <w:rsid w:val="00032C15"/>
    <w:rsid w:val="00032EFC"/>
    <w:rsid w:val="0003301E"/>
    <w:rsid w:val="000336B0"/>
    <w:rsid w:val="00034949"/>
    <w:rsid w:val="00034E6D"/>
    <w:rsid w:val="00035E10"/>
    <w:rsid w:val="0003664B"/>
    <w:rsid w:val="00036CAE"/>
    <w:rsid w:val="0004111F"/>
    <w:rsid w:val="00044444"/>
    <w:rsid w:val="00044B3A"/>
    <w:rsid w:val="00045E69"/>
    <w:rsid w:val="0004734E"/>
    <w:rsid w:val="0005046A"/>
    <w:rsid w:val="00050D44"/>
    <w:rsid w:val="00053416"/>
    <w:rsid w:val="000534F3"/>
    <w:rsid w:val="000565B3"/>
    <w:rsid w:val="000603EB"/>
    <w:rsid w:val="000615ED"/>
    <w:rsid w:val="0006217D"/>
    <w:rsid w:val="00062927"/>
    <w:rsid w:val="00062DC7"/>
    <w:rsid w:val="0006338D"/>
    <w:rsid w:val="0006557A"/>
    <w:rsid w:val="00065970"/>
    <w:rsid w:val="00065EC2"/>
    <w:rsid w:val="00066067"/>
    <w:rsid w:val="00070B89"/>
    <w:rsid w:val="0007126C"/>
    <w:rsid w:val="000714BE"/>
    <w:rsid w:val="0007150B"/>
    <w:rsid w:val="00071837"/>
    <w:rsid w:val="000719AF"/>
    <w:rsid w:val="000722C0"/>
    <w:rsid w:val="000729C9"/>
    <w:rsid w:val="00073744"/>
    <w:rsid w:val="00073F93"/>
    <w:rsid w:val="00077173"/>
    <w:rsid w:val="00077693"/>
    <w:rsid w:val="0008023C"/>
    <w:rsid w:val="0008039C"/>
    <w:rsid w:val="00082C3D"/>
    <w:rsid w:val="00082FCD"/>
    <w:rsid w:val="000834DA"/>
    <w:rsid w:val="00084F9A"/>
    <w:rsid w:val="00085DDB"/>
    <w:rsid w:val="00087589"/>
    <w:rsid w:val="0009067F"/>
    <w:rsid w:val="00091269"/>
    <w:rsid w:val="000928F8"/>
    <w:rsid w:val="000938F5"/>
    <w:rsid w:val="000941F7"/>
    <w:rsid w:val="000960E5"/>
    <w:rsid w:val="00096E55"/>
    <w:rsid w:val="000970A3"/>
    <w:rsid w:val="000975C0"/>
    <w:rsid w:val="000A060F"/>
    <w:rsid w:val="000A136B"/>
    <w:rsid w:val="000A196A"/>
    <w:rsid w:val="000A1998"/>
    <w:rsid w:val="000A1FC9"/>
    <w:rsid w:val="000A22AE"/>
    <w:rsid w:val="000A2442"/>
    <w:rsid w:val="000A2542"/>
    <w:rsid w:val="000A2D8A"/>
    <w:rsid w:val="000A418C"/>
    <w:rsid w:val="000A507D"/>
    <w:rsid w:val="000B0BC1"/>
    <w:rsid w:val="000B329E"/>
    <w:rsid w:val="000B383B"/>
    <w:rsid w:val="000B4187"/>
    <w:rsid w:val="000B4A96"/>
    <w:rsid w:val="000B4F6B"/>
    <w:rsid w:val="000B4F8D"/>
    <w:rsid w:val="000B505C"/>
    <w:rsid w:val="000B506F"/>
    <w:rsid w:val="000B601B"/>
    <w:rsid w:val="000B75CD"/>
    <w:rsid w:val="000B7640"/>
    <w:rsid w:val="000C039E"/>
    <w:rsid w:val="000C142F"/>
    <w:rsid w:val="000C16FE"/>
    <w:rsid w:val="000C207E"/>
    <w:rsid w:val="000C3E75"/>
    <w:rsid w:val="000C507B"/>
    <w:rsid w:val="000C5661"/>
    <w:rsid w:val="000C60FC"/>
    <w:rsid w:val="000C6364"/>
    <w:rsid w:val="000C6EA1"/>
    <w:rsid w:val="000C7C80"/>
    <w:rsid w:val="000D0C3F"/>
    <w:rsid w:val="000D1460"/>
    <w:rsid w:val="000D27C9"/>
    <w:rsid w:val="000D32CD"/>
    <w:rsid w:val="000D4D41"/>
    <w:rsid w:val="000D5905"/>
    <w:rsid w:val="000D61FF"/>
    <w:rsid w:val="000D6882"/>
    <w:rsid w:val="000D768E"/>
    <w:rsid w:val="000E0DFF"/>
    <w:rsid w:val="000E120D"/>
    <w:rsid w:val="000E20F6"/>
    <w:rsid w:val="000E558F"/>
    <w:rsid w:val="000E5DC6"/>
    <w:rsid w:val="000E5F11"/>
    <w:rsid w:val="000E5F7F"/>
    <w:rsid w:val="000F0035"/>
    <w:rsid w:val="000F044E"/>
    <w:rsid w:val="000F0A1E"/>
    <w:rsid w:val="000F1A4B"/>
    <w:rsid w:val="000F2775"/>
    <w:rsid w:val="000F420B"/>
    <w:rsid w:val="000F4B50"/>
    <w:rsid w:val="00100C65"/>
    <w:rsid w:val="00101505"/>
    <w:rsid w:val="00101D73"/>
    <w:rsid w:val="00103BD8"/>
    <w:rsid w:val="0010428B"/>
    <w:rsid w:val="00104833"/>
    <w:rsid w:val="00105152"/>
    <w:rsid w:val="001056D2"/>
    <w:rsid w:val="00105AE7"/>
    <w:rsid w:val="001067F5"/>
    <w:rsid w:val="00106C7F"/>
    <w:rsid w:val="001071AB"/>
    <w:rsid w:val="0010739F"/>
    <w:rsid w:val="00110116"/>
    <w:rsid w:val="00110A6E"/>
    <w:rsid w:val="0011112C"/>
    <w:rsid w:val="001126F6"/>
    <w:rsid w:val="0011285D"/>
    <w:rsid w:val="00113D98"/>
    <w:rsid w:val="0011594E"/>
    <w:rsid w:val="001160AA"/>
    <w:rsid w:val="00116AB4"/>
    <w:rsid w:val="00117074"/>
    <w:rsid w:val="00120072"/>
    <w:rsid w:val="00120C81"/>
    <w:rsid w:val="001229E1"/>
    <w:rsid w:val="00122B20"/>
    <w:rsid w:val="00122F0C"/>
    <w:rsid w:val="00126EB8"/>
    <w:rsid w:val="0012707B"/>
    <w:rsid w:val="001274D4"/>
    <w:rsid w:val="00127A57"/>
    <w:rsid w:val="001307A2"/>
    <w:rsid w:val="00131476"/>
    <w:rsid w:val="00132790"/>
    <w:rsid w:val="00132AD1"/>
    <w:rsid w:val="00133307"/>
    <w:rsid w:val="001333F0"/>
    <w:rsid w:val="0013372F"/>
    <w:rsid w:val="00134EA0"/>
    <w:rsid w:val="001363AA"/>
    <w:rsid w:val="0014145C"/>
    <w:rsid w:val="00141C71"/>
    <w:rsid w:val="001423EA"/>
    <w:rsid w:val="00143446"/>
    <w:rsid w:val="001436FA"/>
    <w:rsid w:val="00143E3E"/>
    <w:rsid w:val="001440A5"/>
    <w:rsid w:val="001445C9"/>
    <w:rsid w:val="001454F0"/>
    <w:rsid w:val="00145BB9"/>
    <w:rsid w:val="00151834"/>
    <w:rsid w:val="00155BED"/>
    <w:rsid w:val="00156983"/>
    <w:rsid w:val="00157948"/>
    <w:rsid w:val="00157B2F"/>
    <w:rsid w:val="00157F06"/>
    <w:rsid w:val="00160785"/>
    <w:rsid w:val="0016225A"/>
    <w:rsid w:val="00162F5D"/>
    <w:rsid w:val="001640F9"/>
    <w:rsid w:val="00164AA6"/>
    <w:rsid w:val="0016527C"/>
    <w:rsid w:val="00167F55"/>
    <w:rsid w:val="00170804"/>
    <w:rsid w:val="00170F40"/>
    <w:rsid w:val="00171328"/>
    <w:rsid w:val="0017157F"/>
    <w:rsid w:val="00172059"/>
    <w:rsid w:val="00172CD0"/>
    <w:rsid w:val="00173396"/>
    <w:rsid w:val="00173770"/>
    <w:rsid w:val="0017378A"/>
    <w:rsid w:val="001738D7"/>
    <w:rsid w:val="00175EF2"/>
    <w:rsid w:val="00177EB4"/>
    <w:rsid w:val="00180FAC"/>
    <w:rsid w:val="001812B4"/>
    <w:rsid w:val="001823E2"/>
    <w:rsid w:val="00182A62"/>
    <w:rsid w:val="00182B14"/>
    <w:rsid w:val="0018347D"/>
    <w:rsid w:val="00183E82"/>
    <w:rsid w:val="00185A38"/>
    <w:rsid w:val="001865EA"/>
    <w:rsid w:val="001878BB"/>
    <w:rsid w:val="00187E95"/>
    <w:rsid w:val="00191AE0"/>
    <w:rsid w:val="00191CF1"/>
    <w:rsid w:val="00191F49"/>
    <w:rsid w:val="0019293B"/>
    <w:rsid w:val="0019426B"/>
    <w:rsid w:val="00196A8A"/>
    <w:rsid w:val="00197264"/>
    <w:rsid w:val="00197A76"/>
    <w:rsid w:val="00197A77"/>
    <w:rsid w:val="00197AC3"/>
    <w:rsid w:val="001A00E5"/>
    <w:rsid w:val="001A0E2D"/>
    <w:rsid w:val="001A1025"/>
    <w:rsid w:val="001A1439"/>
    <w:rsid w:val="001A16D2"/>
    <w:rsid w:val="001A16E9"/>
    <w:rsid w:val="001A3A89"/>
    <w:rsid w:val="001A3B2B"/>
    <w:rsid w:val="001A4F63"/>
    <w:rsid w:val="001A5D25"/>
    <w:rsid w:val="001A61B0"/>
    <w:rsid w:val="001A61D9"/>
    <w:rsid w:val="001A79BC"/>
    <w:rsid w:val="001A79F0"/>
    <w:rsid w:val="001A7A37"/>
    <w:rsid w:val="001B2AF9"/>
    <w:rsid w:val="001B38C6"/>
    <w:rsid w:val="001B52E7"/>
    <w:rsid w:val="001B5453"/>
    <w:rsid w:val="001B54BD"/>
    <w:rsid w:val="001B60C2"/>
    <w:rsid w:val="001B6A68"/>
    <w:rsid w:val="001B6C8F"/>
    <w:rsid w:val="001B6D69"/>
    <w:rsid w:val="001B7DB4"/>
    <w:rsid w:val="001C0843"/>
    <w:rsid w:val="001C0865"/>
    <w:rsid w:val="001C181F"/>
    <w:rsid w:val="001C1FFA"/>
    <w:rsid w:val="001C2412"/>
    <w:rsid w:val="001C2464"/>
    <w:rsid w:val="001C2500"/>
    <w:rsid w:val="001C2568"/>
    <w:rsid w:val="001C3931"/>
    <w:rsid w:val="001C3ABA"/>
    <w:rsid w:val="001C3DDE"/>
    <w:rsid w:val="001C3F5D"/>
    <w:rsid w:val="001C4016"/>
    <w:rsid w:val="001C4067"/>
    <w:rsid w:val="001C4283"/>
    <w:rsid w:val="001C587D"/>
    <w:rsid w:val="001C5EA7"/>
    <w:rsid w:val="001C6068"/>
    <w:rsid w:val="001C6611"/>
    <w:rsid w:val="001C6F54"/>
    <w:rsid w:val="001C7495"/>
    <w:rsid w:val="001D0038"/>
    <w:rsid w:val="001D037A"/>
    <w:rsid w:val="001D23F7"/>
    <w:rsid w:val="001D2EC7"/>
    <w:rsid w:val="001D3A1B"/>
    <w:rsid w:val="001D3E40"/>
    <w:rsid w:val="001D3E82"/>
    <w:rsid w:val="001D48D6"/>
    <w:rsid w:val="001D4FCA"/>
    <w:rsid w:val="001D56EC"/>
    <w:rsid w:val="001D7F91"/>
    <w:rsid w:val="001E11D8"/>
    <w:rsid w:val="001E1A96"/>
    <w:rsid w:val="001E2030"/>
    <w:rsid w:val="001E34EF"/>
    <w:rsid w:val="001E3506"/>
    <w:rsid w:val="001E42F3"/>
    <w:rsid w:val="001E47C4"/>
    <w:rsid w:val="001E52EF"/>
    <w:rsid w:val="001E7B1F"/>
    <w:rsid w:val="001E7BE8"/>
    <w:rsid w:val="001F0248"/>
    <w:rsid w:val="001F08D8"/>
    <w:rsid w:val="001F0B29"/>
    <w:rsid w:val="001F0EDD"/>
    <w:rsid w:val="001F29C5"/>
    <w:rsid w:val="001F3EB3"/>
    <w:rsid w:val="001F4797"/>
    <w:rsid w:val="001F4F86"/>
    <w:rsid w:val="001F62E8"/>
    <w:rsid w:val="001F67FF"/>
    <w:rsid w:val="002013E5"/>
    <w:rsid w:val="002018C7"/>
    <w:rsid w:val="002024E9"/>
    <w:rsid w:val="00202A9E"/>
    <w:rsid w:val="00202C2C"/>
    <w:rsid w:val="00203D44"/>
    <w:rsid w:val="002044F6"/>
    <w:rsid w:val="0020514F"/>
    <w:rsid w:val="00205A0F"/>
    <w:rsid w:val="00205CC2"/>
    <w:rsid w:val="002067CF"/>
    <w:rsid w:val="00206963"/>
    <w:rsid w:val="00212F31"/>
    <w:rsid w:val="002135AB"/>
    <w:rsid w:val="002140D9"/>
    <w:rsid w:val="002144BE"/>
    <w:rsid w:val="0021465E"/>
    <w:rsid w:val="00214E23"/>
    <w:rsid w:val="00214F5D"/>
    <w:rsid w:val="002164C6"/>
    <w:rsid w:val="00224E03"/>
    <w:rsid w:val="002250E5"/>
    <w:rsid w:val="00226C4E"/>
    <w:rsid w:val="00227F7B"/>
    <w:rsid w:val="0023065B"/>
    <w:rsid w:val="00231159"/>
    <w:rsid w:val="00231A04"/>
    <w:rsid w:val="0023322C"/>
    <w:rsid w:val="0023489A"/>
    <w:rsid w:val="002351E3"/>
    <w:rsid w:val="0023650C"/>
    <w:rsid w:val="002372B8"/>
    <w:rsid w:val="0023752C"/>
    <w:rsid w:val="0023792D"/>
    <w:rsid w:val="00237D77"/>
    <w:rsid w:val="002413CD"/>
    <w:rsid w:val="00241A36"/>
    <w:rsid w:val="00241E73"/>
    <w:rsid w:val="00242279"/>
    <w:rsid w:val="0024474A"/>
    <w:rsid w:val="00244C21"/>
    <w:rsid w:val="00245C82"/>
    <w:rsid w:val="00245DA5"/>
    <w:rsid w:val="00245F23"/>
    <w:rsid w:val="00247A5E"/>
    <w:rsid w:val="002504D5"/>
    <w:rsid w:val="00250846"/>
    <w:rsid w:val="00251CF1"/>
    <w:rsid w:val="002524F3"/>
    <w:rsid w:val="002558BE"/>
    <w:rsid w:val="002576BF"/>
    <w:rsid w:val="00260AC2"/>
    <w:rsid w:val="00261771"/>
    <w:rsid w:val="002617B7"/>
    <w:rsid w:val="00262B53"/>
    <w:rsid w:val="00262EF3"/>
    <w:rsid w:val="002638BB"/>
    <w:rsid w:val="00264E0B"/>
    <w:rsid w:val="00266592"/>
    <w:rsid w:val="002700C5"/>
    <w:rsid w:val="002703F7"/>
    <w:rsid w:val="0027040E"/>
    <w:rsid w:val="0027117C"/>
    <w:rsid w:val="002715C1"/>
    <w:rsid w:val="002723FF"/>
    <w:rsid w:val="002729FD"/>
    <w:rsid w:val="00273C37"/>
    <w:rsid w:val="00274753"/>
    <w:rsid w:val="002769A8"/>
    <w:rsid w:val="002775F4"/>
    <w:rsid w:val="00277649"/>
    <w:rsid w:val="002776A5"/>
    <w:rsid w:val="0027778A"/>
    <w:rsid w:val="00280C46"/>
    <w:rsid w:val="00281987"/>
    <w:rsid w:val="0028275D"/>
    <w:rsid w:val="00282907"/>
    <w:rsid w:val="00286C2B"/>
    <w:rsid w:val="00287344"/>
    <w:rsid w:val="00290B4E"/>
    <w:rsid w:val="00290D76"/>
    <w:rsid w:val="00291B40"/>
    <w:rsid w:val="00295882"/>
    <w:rsid w:val="00296194"/>
    <w:rsid w:val="002977A5"/>
    <w:rsid w:val="00297EDF"/>
    <w:rsid w:val="002A0267"/>
    <w:rsid w:val="002A2627"/>
    <w:rsid w:val="002A2CD8"/>
    <w:rsid w:val="002A37D7"/>
    <w:rsid w:val="002A44B5"/>
    <w:rsid w:val="002A4CE5"/>
    <w:rsid w:val="002A6A77"/>
    <w:rsid w:val="002A74DA"/>
    <w:rsid w:val="002B03C8"/>
    <w:rsid w:val="002B0584"/>
    <w:rsid w:val="002B0925"/>
    <w:rsid w:val="002B30C0"/>
    <w:rsid w:val="002B4008"/>
    <w:rsid w:val="002B536B"/>
    <w:rsid w:val="002C0C6B"/>
    <w:rsid w:val="002C2143"/>
    <w:rsid w:val="002C56F1"/>
    <w:rsid w:val="002C72EA"/>
    <w:rsid w:val="002D0E8E"/>
    <w:rsid w:val="002D3030"/>
    <w:rsid w:val="002D4BC9"/>
    <w:rsid w:val="002D4C9E"/>
    <w:rsid w:val="002E025B"/>
    <w:rsid w:val="002E1697"/>
    <w:rsid w:val="002E1800"/>
    <w:rsid w:val="002E1A48"/>
    <w:rsid w:val="002E1E3E"/>
    <w:rsid w:val="002E39DF"/>
    <w:rsid w:val="002E5663"/>
    <w:rsid w:val="002E61A0"/>
    <w:rsid w:val="002E62B4"/>
    <w:rsid w:val="002E6DA5"/>
    <w:rsid w:val="002E6DD6"/>
    <w:rsid w:val="002E6DD9"/>
    <w:rsid w:val="002F0149"/>
    <w:rsid w:val="002F2C01"/>
    <w:rsid w:val="002F6F62"/>
    <w:rsid w:val="002F7152"/>
    <w:rsid w:val="00300254"/>
    <w:rsid w:val="00301189"/>
    <w:rsid w:val="00301673"/>
    <w:rsid w:val="00301F3E"/>
    <w:rsid w:val="0030248C"/>
    <w:rsid w:val="00303A16"/>
    <w:rsid w:val="00303F29"/>
    <w:rsid w:val="00304FDA"/>
    <w:rsid w:val="00307274"/>
    <w:rsid w:val="00307A90"/>
    <w:rsid w:val="00311267"/>
    <w:rsid w:val="00311E97"/>
    <w:rsid w:val="00311FCF"/>
    <w:rsid w:val="003120FF"/>
    <w:rsid w:val="00312326"/>
    <w:rsid w:val="003149EB"/>
    <w:rsid w:val="00315DC5"/>
    <w:rsid w:val="00317275"/>
    <w:rsid w:val="003176BE"/>
    <w:rsid w:val="00320B3A"/>
    <w:rsid w:val="00321026"/>
    <w:rsid w:val="00321538"/>
    <w:rsid w:val="00322B5C"/>
    <w:rsid w:val="00323154"/>
    <w:rsid w:val="00323E09"/>
    <w:rsid w:val="00323F0B"/>
    <w:rsid w:val="0032434D"/>
    <w:rsid w:val="003246AF"/>
    <w:rsid w:val="003274E5"/>
    <w:rsid w:val="00327BC5"/>
    <w:rsid w:val="003307CB"/>
    <w:rsid w:val="00330ACD"/>
    <w:rsid w:val="00330EDF"/>
    <w:rsid w:val="00331705"/>
    <w:rsid w:val="00331851"/>
    <w:rsid w:val="003319A1"/>
    <w:rsid w:val="00333932"/>
    <w:rsid w:val="003354A5"/>
    <w:rsid w:val="00335FF2"/>
    <w:rsid w:val="0033639A"/>
    <w:rsid w:val="00337C02"/>
    <w:rsid w:val="00340C23"/>
    <w:rsid w:val="00341C20"/>
    <w:rsid w:val="00343076"/>
    <w:rsid w:val="003434DD"/>
    <w:rsid w:val="003458BB"/>
    <w:rsid w:val="00345E5A"/>
    <w:rsid w:val="00345FF6"/>
    <w:rsid w:val="00346E3D"/>
    <w:rsid w:val="003518AA"/>
    <w:rsid w:val="00351CA4"/>
    <w:rsid w:val="00351EDA"/>
    <w:rsid w:val="00352165"/>
    <w:rsid w:val="00352A17"/>
    <w:rsid w:val="00352A87"/>
    <w:rsid w:val="00352BF5"/>
    <w:rsid w:val="00353182"/>
    <w:rsid w:val="0035320E"/>
    <w:rsid w:val="0035416B"/>
    <w:rsid w:val="003546E8"/>
    <w:rsid w:val="003565D9"/>
    <w:rsid w:val="00356C72"/>
    <w:rsid w:val="003570EF"/>
    <w:rsid w:val="00357F71"/>
    <w:rsid w:val="003602E1"/>
    <w:rsid w:val="003608DB"/>
    <w:rsid w:val="00361640"/>
    <w:rsid w:val="003620DB"/>
    <w:rsid w:val="00364F17"/>
    <w:rsid w:val="00364FD8"/>
    <w:rsid w:val="003660BF"/>
    <w:rsid w:val="003672DE"/>
    <w:rsid w:val="0036745A"/>
    <w:rsid w:val="0037026F"/>
    <w:rsid w:val="00370CCB"/>
    <w:rsid w:val="00370E71"/>
    <w:rsid w:val="00371240"/>
    <w:rsid w:val="00372406"/>
    <w:rsid w:val="00373273"/>
    <w:rsid w:val="003737A4"/>
    <w:rsid w:val="00374731"/>
    <w:rsid w:val="00374753"/>
    <w:rsid w:val="00374C42"/>
    <w:rsid w:val="00374FCE"/>
    <w:rsid w:val="003753BE"/>
    <w:rsid w:val="003764FA"/>
    <w:rsid w:val="00376E59"/>
    <w:rsid w:val="00376FCE"/>
    <w:rsid w:val="00380659"/>
    <w:rsid w:val="003807FA"/>
    <w:rsid w:val="00381C76"/>
    <w:rsid w:val="003826E1"/>
    <w:rsid w:val="00383E03"/>
    <w:rsid w:val="003855D4"/>
    <w:rsid w:val="00385AEC"/>
    <w:rsid w:val="00386ABC"/>
    <w:rsid w:val="00387BF2"/>
    <w:rsid w:val="0039021D"/>
    <w:rsid w:val="00390950"/>
    <w:rsid w:val="003919F9"/>
    <w:rsid w:val="003930A5"/>
    <w:rsid w:val="003936BE"/>
    <w:rsid w:val="003948AB"/>
    <w:rsid w:val="00394C17"/>
    <w:rsid w:val="003A2CCE"/>
    <w:rsid w:val="003A2FB0"/>
    <w:rsid w:val="003A529C"/>
    <w:rsid w:val="003A6209"/>
    <w:rsid w:val="003A73DA"/>
    <w:rsid w:val="003A7A03"/>
    <w:rsid w:val="003B34FF"/>
    <w:rsid w:val="003B3750"/>
    <w:rsid w:val="003B38D4"/>
    <w:rsid w:val="003B430F"/>
    <w:rsid w:val="003B4C7F"/>
    <w:rsid w:val="003B4EEB"/>
    <w:rsid w:val="003B5BDB"/>
    <w:rsid w:val="003B5ED0"/>
    <w:rsid w:val="003B5F6F"/>
    <w:rsid w:val="003B700D"/>
    <w:rsid w:val="003C03B0"/>
    <w:rsid w:val="003C1850"/>
    <w:rsid w:val="003C38B5"/>
    <w:rsid w:val="003C3C73"/>
    <w:rsid w:val="003C3CBA"/>
    <w:rsid w:val="003C3F09"/>
    <w:rsid w:val="003C438B"/>
    <w:rsid w:val="003C48D5"/>
    <w:rsid w:val="003C5D99"/>
    <w:rsid w:val="003C6BBE"/>
    <w:rsid w:val="003C7826"/>
    <w:rsid w:val="003D1081"/>
    <w:rsid w:val="003D1CA4"/>
    <w:rsid w:val="003D4AC6"/>
    <w:rsid w:val="003D746F"/>
    <w:rsid w:val="003D75B3"/>
    <w:rsid w:val="003D7CBE"/>
    <w:rsid w:val="003E1652"/>
    <w:rsid w:val="003E2F59"/>
    <w:rsid w:val="003E56DD"/>
    <w:rsid w:val="003F0776"/>
    <w:rsid w:val="003F0789"/>
    <w:rsid w:val="003F13ED"/>
    <w:rsid w:val="003F1DD9"/>
    <w:rsid w:val="003F2257"/>
    <w:rsid w:val="003F2B03"/>
    <w:rsid w:val="003F3C53"/>
    <w:rsid w:val="003F3DA9"/>
    <w:rsid w:val="003F5CAF"/>
    <w:rsid w:val="003F5D78"/>
    <w:rsid w:val="003F63D0"/>
    <w:rsid w:val="003F6465"/>
    <w:rsid w:val="003F7B09"/>
    <w:rsid w:val="00400987"/>
    <w:rsid w:val="00401882"/>
    <w:rsid w:val="00401E9A"/>
    <w:rsid w:val="0040210F"/>
    <w:rsid w:val="00403802"/>
    <w:rsid w:val="0040398C"/>
    <w:rsid w:val="00405CB0"/>
    <w:rsid w:val="00405E52"/>
    <w:rsid w:val="00406542"/>
    <w:rsid w:val="004100C8"/>
    <w:rsid w:val="00410CC8"/>
    <w:rsid w:val="004114F3"/>
    <w:rsid w:val="00411590"/>
    <w:rsid w:val="00411710"/>
    <w:rsid w:val="00411DBD"/>
    <w:rsid w:val="0041284E"/>
    <w:rsid w:val="00412ACE"/>
    <w:rsid w:val="00413358"/>
    <w:rsid w:val="00413C3F"/>
    <w:rsid w:val="0041513C"/>
    <w:rsid w:val="00415407"/>
    <w:rsid w:val="004157D7"/>
    <w:rsid w:val="0041739E"/>
    <w:rsid w:val="00417652"/>
    <w:rsid w:val="00420522"/>
    <w:rsid w:val="00420C2A"/>
    <w:rsid w:val="004211B7"/>
    <w:rsid w:val="0042450F"/>
    <w:rsid w:val="0042559A"/>
    <w:rsid w:val="00425F1A"/>
    <w:rsid w:val="00426643"/>
    <w:rsid w:val="00430233"/>
    <w:rsid w:val="00430C58"/>
    <w:rsid w:val="00431249"/>
    <w:rsid w:val="00431D4A"/>
    <w:rsid w:val="00432678"/>
    <w:rsid w:val="00432EBA"/>
    <w:rsid w:val="00434659"/>
    <w:rsid w:val="004349D6"/>
    <w:rsid w:val="00434C19"/>
    <w:rsid w:val="00435A01"/>
    <w:rsid w:val="00437BCD"/>
    <w:rsid w:val="004408A6"/>
    <w:rsid w:val="00440935"/>
    <w:rsid w:val="00441CB3"/>
    <w:rsid w:val="00443437"/>
    <w:rsid w:val="0044726F"/>
    <w:rsid w:val="00450810"/>
    <w:rsid w:val="00454C3A"/>
    <w:rsid w:val="0045508D"/>
    <w:rsid w:val="00456B61"/>
    <w:rsid w:val="00456D0D"/>
    <w:rsid w:val="00457E25"/>
    <w:rsid w:val="00461077"/>
    <w:rsid w:val="00463078"/>
    <w:rsid w:val="0046317A"/>
    <w:rsid w:val="004633A2"/>
    <w:rsid w:val="0046383E"/>
    <w:rsid w:val="00466B13"/>
    <w:rsid w:val="00467073"/>
    <w:rsid w:val="00472DA7"/>
    <w:rsid w:val="00473A99"/>
    <w:rsid w:val="0047401A"/>
    <w:rsid w:val="00474586"/>
    <w:rsid w:val="00475061"/>
    <w:rsid w:val="00475D01"/>
    <w:rsid w:val="00476108"/>
    <w:rsid w:val="00477144"/>
    <w:rsid w:val="00480A78"/>
    <w:rsid w:val="00481F88"/>
    <w:rsid w:val="00482EFB"/>
    <w:rsid w:val="004843AD"/>
    <w:rsid w:val="00485EAE"/>
    <w:rsid w:val="004912C3"/>
    <w:rsid w:val="00491380"/>
    <w:rsid w:val="0049255A"/>
    <w:rsid w:val="004930F5"/>
    <w:rsid w:val="0049434D"/>
    <w:rsid w:val="0049459F"/>
    <w:rsid w:val="00494D67"/>
    <w:rsid w:val="00495541"/>
    <w:rsid w:val="00496131"/>
    <w:rsid w:val="004975B2"/>
    <w:rsid w:val="0049791B"/>
    <w:rsid w:val="004A2E5B"/>
    <w:rsid w:val="004A37BD"/>
    <w:rsid w:val="004A38DD"/>
    <w:rsid w:val="004A5416"/>
    <w:rsid w:val="004A5D31"/>
    <w:rsid w:val="004B15DE"/>
    <w:rsid w:val="004B2C03"/>
    <w:rsid w:val="004B3AA6"/>
    <w:rsid w:val="004B43AE"/>
    <w:rsid w:val="004B5AB8"/>
    <w:rsid w:val="004B6256"/>
    <w:rsid w:val="004C2A03"/>
    <w:rsid w:val="004C30ED"/>
    <w:rsid w:val="004C3D2D"/>
    <w:rsid w:val="004C3DC4"/>
    <w:rsid w:val="004C3E0F"/>
    <w:rsid w:val="004C50D7"/>
    <w:rsid w:val="004C519D"/>
    <w:rsid w:val="004C58FD"/>
    <w:rsid w:val="004C6587"/>
    <w:rsid w:val="004D1120"/>
    <w:rsid w:val="004D23D8"/>
    <w:rsid w:val="004D2CB9"/>
    <w:rsid w:val="004D2F95"/>
    <w:rsid w:val="004D50D3"/>
    <w:rsid w:val="004D515D"/>
    <w:rsid w:val="004D53A2"/>
    <w:rsid w:val="004D5675"/>
    <w:rsid w:val="004D6793"/>
    <w:rsid w:val="004D6A1E"/>
    <w:rsid w:val="004D71D5"/>
    <w:rsid w:val="004D7C38"/>
    <w:rsid w:val="004E0308"/>
    <w:rsid w:val="004E0EA4"/>
    <w:rsid w:val="004E14A2"/>
    <w:rsid w:val="004E3B27"/>
    <w:rsid w:val="004E4BDE"/>
    <w:rsid w:val="004E548C"/>
    <w:rsid w:val="004E6861"/>
    <w:rsid w:val="004E717B"/>
    <w:rsid w:val="004F01A4"/>
    <w:rsid w:val="004F03D2"/>
    <w:rsid w:val="004F1351"/>
    <w:rsid w:val="004F1E81"/>
    <w:rsid w:val="004F21CA"/>
    <w:rsid w:val="004F2650"/>
    <w:rsid w:val="004F2B1B"/>
    <w:rsid w:val="004F3312"/>
    <w:rsid w:val="004F5622"/>
    <w:rsid w:val="004F5981"/>
    <w:rsid w:val="004F6C32"/>
    <w:rsid w:val="00500774"/>
    <w:rsid w:val="00502399"/>
    <w:rsid w:val="00503D89"/>
    <w:rsid w:val="005042EA"/>
    <w:rsid w:val="00507C59"/>
    <w:rsid w:val="005101B9"/>
    <w:rsid w:val="00510A53"/>
    <w:rsid w:val="005125D4"/>
    <w:rsid w:val="00512B2B"/>
    <w:rsid w:val="00513ECC"/>
    <w:rsid w:val="00514DA8"/>
    <w:rsid w:val="005156FE"/>
    <w:rsid w:val="00516F5E"/>
    <w:rsid w:val="00517A72"/>
    <w:rsid w:val="005212B1"/>
    <w:rsid w:val="00521D20"/>
    <w:rsid w:val="00522FC0"/>
    <w:rsid w:val="00523157"/>
    <w:rsid w:val="00523639"/>
    <w:rsid w:val="00524656"/>
    <w:rsid w:val="00524BB3"/>
    <w:rsid w:val="00525F6A"/>
    <w:rsid w:val="00527500"/>
    <w:rsid w:val="00527C7A"/>
    <w:rsid w:val="00527C86"/>
    <w:rsid w:val="00531FE5"/>
    <w:rsid w:val="005320F3"/>
    <w:rsid w:val="00532BF4"/>
    <w:rsid w:val="00534CEA"/>
    <w:rsid w:val="00535338"/>
    <w:rsid w:val="00535401"/>
    <w:rsid w:val="005374A3"/>
    <w:rsid w:val="005376AB"/>
    <w:rsid w:val="0053790D"/>
    <w:rsid w:val="00537B22"/>
    <w:rsid w:val="005402FA"/>
    <w:rsid w:val="005405F3"/>
    <w:rsid w:val="00543E85"/>
    <w:rsid w:val="0054415A"/>
    <w:rsid w:val="0054416E"/>
    <w:rsid w:val="00544C47"/>
    <w:rsid w:val="005451B9"/>
    <w:rsid w:val="005466DD"/>
    <w:rsid w:val="005468F4"/>
    <w:rsid w:val="00546D2F"/>
    <w:rsid w:val="00547232"/>
    <w:rsid w:val="00547EAF"/>
    <w:rsid w:val="00550918"/>
    <w:rsid w:val="00554F6E"/>
    <w:rsid w:val="00555001"/>
    <w:rsid w:val="00555871"/>
    <w:rsid w:val="0055598F"/>
    <w:rsid w:val="00555A5B"/>
    <w:rsid w:val="00555D91"/>
    <w:rsid w:val="0055677B"/>
    <w:rsid w:val="0055774B"/>
    <w:rsid w:val="00557A3A"/>
    <w:rsid w:val="0056051E"/>
    <w:rsid w:val="005634F0"/>
    <w:rsid w:val="005645B6"/>
    <w:rsid w:val="005646D5"/>
    <w:rsid w:val="00564F89"/>
    <w:rsid w:val="005661F0"/>
    <w:rsid w:val="005668C0"/>
    <w:rsid w:val="005729E3"/>
    <w:rsid w:val="00572AE0"/>
    <w:rsid w:val="00573D3A"/>
    <w:rsid w:val="0057427A"/>
    <w:rsid w:val="00577154"/>
    <w:rsid w:val="005771C9"/>
    <w:rsid w:val="005777ED"/>
    <w:rsid w:val="0058154F"/>
    <w:rsid w:val="005828FA"/>
    <w:rsid w:val="00583619"/>
    <w:rsid w:val="00583C39"/>
    <w:rsid w:val="0058484E"/>
    <w:rsid w:val="005854E8"/>
    <w:rsid w:val="0058606F"/>
    <w:rsid w:val="00586176"/>
    <w:rsid w:val="0058792D"/>
    <w:rsid w:val="00587E3C"/>
    <w:rsid w:val="00587E48"/>
    <w:rsid w:val="00587F28"/>
    <w:rsid w:val="00590038"/>
    <w:rsid w:val="005900D3"/>
    <w:rsid w:val="00590308"/>
    <w:rsid w:val="00590721"/>
    <w:rsid w:val="005909CF"/>
    <w:rsid w:val="00590CEC"/>
    <w:rsid w:val="00591157"/>
    <w:rsid w:val="00591E71"/>
    <w:rsid w:val="00593ED1"/>
    <w:rsid w:val="00595066"/>
    <w:rsid w:val="005950B4"/>
    <w:rsid w:val="0059543A"/>
    <w:rsid w:val="00595C45"/>
    <w:rsid w:val="00595D0D"/>
    <w:rsid w:val="00596776"/>
    <w:rsid w:val="00596BC6"/>
    <w:rsid w:val="0059724B"/>
    <w:rsid w:val="005A0334"/>
    <w:rsid w:val="005A0750"/>
    <w:rsid w:val="005A07BD"/>
    <w:rsid w:val="005A08A4"/>
    <w:rsid w:val="005A0D41"/>
    <w:rsid w:val="005A0F69"/>
    <w:rsid w:val="005A1016"/>
    <w:rsid w:val="005A26B9"/>
    <w:rsid w:val="005A27B4"/>
    <w:rsid w:val="005A4620"/>
    <w:rsid w:val="005A4788"/>
    <w:rsid w:val="005A6542"/>
    <w:rsid w:val="005A7080"/>
    <w:rsid w:val="005B0070"/>
    <w:rsid w:val="005B0847"/>
    <w:rsid w:val="005B20E4"/>
    <w:rsid w:val="005B2DA3"/>
    <w:rsid w:val="005B43F1"/>
    <w:rsid w:val="005B55FC"/>
    <w:rsid w:val="005B628B"/>
    <w:rsid w:val="005B74C0"/>
    <w:rsid w:val="005B7EAC"/>
    <w:rsid w:val="005C08BB"/>
    <w:rsid w:val="005C1BC5"/>
    <w:rsid w:val="005C233B"/>
    <w:rsid w:val="005C588B"/>
    <w:rsid w:val="005C58A3"/>
    <w:rsid w:val="005C5E60"/>
    <w:rsid w:val="005C6DF1"/>
    <w:rsid w:val="005C760C"/>
    <w:rsid w:val="005D1B0D"/>
    <w:rsid w:val="005D1CA8"/>
    <w:rsid w:val="005D36E0"/>
    <w:rsid w:val="005D4776"/>
    <w:rsid w:val="005D4D76"/>
    <w:rsid w:val="005E0B94"/>
    <w:rsid w:val="005E2BB9"/>
    <w:rsid w:val="005E4C54"/>
    <w:rsid w:val="005E6372"/>
    <w:rsid w:val="005E7D23"/>
    <w:rsid w:val="005F1856"/>
    <w:rsid w:val="005F1954"/>
    <w:rsid w:val="005F21BF"/>
    <w:rsid w:val="005F26CA"/>
    <w:rsid w:val="005F2D0D"/>
    <w:rsid w:val="005F31CD"/>
    <w:rsid w:val="005F4464"/>
    <w:rsid w:val="005F5365"/>
    <w:rsid w:val="005F5A26"/>
    <w:rsid w:val="005F5F3C"/>
    <w:rsid w:val="005F676B"/>
    <w:rsid w:val="005F7297"/>
    <w:rsid w:val="00600195"/>
    <w:rsid w:val="006008A2"/>
    <w:rsid w:val="00600E00"/>
    <w:rsid w:val="006027DB"/>
    <w:rsid w:val="00602941"/>
    <w:rsid w:val="006037A1"/>
    <w:rsid w:val="00603ABE"/>
    <w:rsid w:val="00603CA1"/>
    <w:rsid w:val="00604768"/>
    <w:rsid w:val="00606524"/>
    <w:rsid w:val="0060659F"/>
    <w:rsid w:val="00606606"/>
    <w:rsid w:val="00607BF1"/>
    <w:rsid w:val="00610BAE"/>
    <w:rsid w:val="00610F93"/>
    <w:rsid w:val="00611E35"/>
    <w:rsid w:val="00612FB4"/>
    <w:rsid w:val="0061308E"/>
    <w:rsid w:val="006137D5"/>
    <w:rsid w:val="006151E7"/>
    <w:rsid w:val="006156B9"/>
    <w:rsid w:val="006158F8"/>
    <w:rsid w:val="00616D11"/>
    <w:rsid w:val="00616F25"/>
    <w:rsid w:val="00620C68"/>
    <w:rsid w:val="00620CEA"/>
    <w:rsid w:val="006212BA"/>
    <w:rsid w:val="00622286"/>
    <w:rsid w:val="0062240E"/>
    <w:rsid w:val="00622C49"/>
    <w:rsid w:val="0062330C"/>
    <w:rsid w:val="00623DB8"/>
    <w:rsid w:val="006254DA"/>
    <w:rsid w:val="0062646D"/>
    <w:rsid w:val="00626B37"/>
    <w:rsid w:val="00627B1C"/>
    <w:rsid w:val="00630289"/>
    <w:rsid w:val="00630D4D"/>
    <w:rsid w:val="006316B1"/>
    <w:rsid w:val="00631B7C"/>
    <w:rsid w:val="00632A74"/>
    <w:rsid w:val="00634B19"/>
    <w:rsid w:val="00635B39"/>
    <w:rsid w:val="00637154"/>
    <w:rsid w:val="006373B1"/>
    <w:rsid w:val="00637B99"/>
    <w:rsid w:val="00640020"/>
    <w:rsid w:val="00641A06"/>
    <w:rsid w:val="00642C30"/>
    <w:rsid w:val="0064326D"/>
    <w:rsid w:val="00643AF9"/>
    <w:rsid w:val="00646D85"/>
    <w:rsid w:val="0064759B"/>
    <w:rsid w:val="006523B1"/>
    <w:rsid w:val="00652A2C"/>
    <w:rsid w:val="00652F24"/>
    <w:rsid w:val="0065325E"/>
    <w:rsid w:val="006532FD"/>
    <w:rsid w:val="0065370E"/>
    <w:rsid w:val="006542C2"/>
    <w:rsid w:val="00654806"/>
    <w:rsid w:val="00654905"/>
    <w:rsid w:val="00656AFA"/>
    <w:rsid w:val="00657764"/>
    <w:rsid w:val="00662F76"/>
    <w:rsid w:val="00663B97"/>
    <w:rsid w:val="006656CD"/>
    <w:rsid w:val="00666E4E"/>
    <w:rsid w:val="00667765"/>
    <w:rsid w:val="00667885"/>
    <w:rsid w:val="00670F2A"/>
    <w:rsid w:val="00672EC9"/>
    <w:rsid w:val="00674B02"/>
    <w:rsid w:val="00675A3E"/>
    <w:rsid w:val="00680570"/>
    <w:rsid w:val="00681418"/>
    <w:rsid w:val="00682D1F"/>
    <w:rsid w:val="00682FDC"/>
    <w:rsid w:val="00683219"/>
    <w:rsid w:val="006844DF"/>
    <w:rsid w:val="006853EF"/>
    <w:rsid w:val="00686719"/>
    <w:rsid w:val="006876AB"/>
    <w:rsid w:val="006878A2"/>
    <w:rsid w:val="00687F46"/>
    <w:rsid w:val="0069015A"/>
    <w:rsid w:val="00691381"/>
    <w:rsid w:val="00692BE8"/>
    <w:rsid w:val="006946CF"/>
    <w:rsid w:val="00694920"/>
    <w:rsid w:val="00695A56"/>
    <w:rsid w:val="0069751A"/>
    <w:rsid w:val="00697CC4"/>
    <w:rsid w:val="006A11AF"/>
    <w:rsid w:val="006A277F"/>
    <w:rsid w:val="006A299B"/>
    <w:rsid w:val="006A2E35"/>
    <w:rsid w:val="006A311B"/>
    <w:rsid w:val="006A3541"/>
    <w:rsid w:val="006A4655"/>
    <w:rsid w:val="006A4F08"/>
    <w:rsid w:val="006A593F"/>
    <w:rsid w:val="006A5969"/>
    <w:rsid w:val="006A65CF"/>
    <w:rsid w:val="006A6854"/>
    <w:rsid w:val="006A6A3E"/>
    <w:rsid w:val="006A71F6"/>
    <w:rsid w:val="006A7F74"/>
    <w:rsid w:val="006B1E20"/>
    <w:rsid w:val="006B2863"/>
    <w:rsid w:val="006B2B3C"/>
    <w:rsid w:val="006B4049"/>
    <w:rsid w:val="006B4A5C"/>
    <w:rsid w:val="006C0F21"/>
    <w:rsid w:val="006C1D81"/>
    <w:rsid w:val="006C5D2E"/>
    <w:rsid w:val="006C60CC"/>
    <w:rsid w:val="006C6743"/>
    <w:rsid w:val="006C6E9A"/>
    <w:rsid w:val="006C6F34"/>
    <w:rsid w:val="006C7038"/>
    <w:rsid w:val="006C7DAE"/>
    <w:rsid w:val="006D0C33"/>
    <w:rsid w:val="006D13E4"/>
    <w:rsid w:val="006D1462"/>
    <w:rsid w:val="006D3337"/>
    <w:rsid w:val="006D67D1"/>
    <w:rsid w:val="006D6B1D"/>
    <w:rsid w:val="006E17D2"/>
    <w:rsid w:val="006E1FBF"/>
    <w:rsid w:val="006E2C88"/>
    <w:rsid w:val="006E2D16"/>
    <w:rsid w:val="006E351B"/>
    <w:rsid w:val="006E498A"/>
    <w:rsid w:val="006E501C"/>
    <w:rsid w:val="006E60C8"/>
    <w:rsid w:val="006E6F1D"/>
    <w:rsid w:val="006E72B1"/>
    <w:rsid w:val="006E73EF"/>
    <w:rsid w:val="006E77CD"/>
    <w:rsid w:val="006F3AF7"/>
    <w:rsid w:val="006F45D3"/>
    <w:rsid w:val="006F4C85"/>
    <w:rsid w:val="006F761F"/>
    <w:rsid w:val="006F77A8"/>
    <w:rsid w:val="00701591"/>
    <w:rsid w:val="007030FC"/>
    <w:rsid w:val="007032A7"/>
    <w:rsid w:val="00704901"/>
    <w:rsid w:val="007049D3"/>
    <w:rsid w:val="0070592B"/>
    <w:rsid w:val="00705CC1"/>
    <w:rsid w:val="007072BB"/>
    <w:rsid w:val="00711ABB"/>
    <w:rsid w:val="00713961"/>
    <w:rsid w:val="00714D4D"/>
    <w:rsid w:val="00717BBF"/>
    <w:rsid w:val="00721B01"/>
    <w:rsid w:val="00722ED6"/>
    <w:rsid w:val="007231B0"/>
    <w:rsid w:val="007236CD"/>
    <w:rsid w:val="00724701"/>
    <w:rsid w:val="00725258"/>
    <w:rsid w:val="0072540F"/>
    <w:rsid w:val="00726550"/>
    <w:rsid w:val="007268FF"/>
    <w:rsid w:val="00726F10"/>
    <w:rsid w:val="0072721F"/>
    <w:rsid w:val="0072756E"/>
    <w:rsid w:val="007276A2"/>
    <w:rsid w:val="00730D9F"/>
    <w:rsid w:val="007311BF"/>
    <w:rsid w:val="0073255C"/>
    <w:rsid w:val="00732FB4"/>
    <w:rsid w:val="00733CA3"/>
    <w:rsid w:val="00735308"/>
    <w:rsid w:val="00736D8E"/>
    <w:rsid w:val="00737D22"/>
    <w:rsid w:val="0074147B"/>
    <w:rsid w:val="007423FE"/>
    <w:rsid w:val="0074386C"/>
    <w:rsid w:val="00744138"/>
    <w:rsid w:val="0074603C"/>
    <w:rsid w:val="0074657A"/>
    <w:rsid w:val="00746BBF"/>
    <w:rsid w:val="00747133"/>
    <w:rsid w:val="00747170"/>
    <w:rsid w:val="007478C0"/>
    <w:rsid w:val="00747D96"/>
    <w:rsid w:val="00750030"/>
    <w:rsid w:val="007500E7"/>
    <w:rsid w:val="00750252"/>
    <w:rsid w:val="007502DF"/>
    <w:rsid w:val="00752385"/>
    <w:rsid w:val="00752418"/>
    <w:rsid w:val="00753C6B"/>
    <w:rsid w:val="007546CE"/>
    <w:rsid w:val="00755B28"/>
    <w:rsid w:val="00756364"/>
    <w:rsid w:val="007564DF"/>
    <w:rsid w:val="007604BB"/>
    <w:rsid w:val="007617C6"/>
    <w:rsid w:val="00761D2A"/>
    <w:rsid w:val="00762449"/>
    <w:rsid w:val="00762BBC"/>
    <w:rsid w:val="007630DB"/>
    <w:rsid w:val="007634F9"/>
    <w:rsid w:val="0076730C"/>
    <w:rsid w:val="00767523"/>
    <w:rsid w:val="0076777B"/>
    <w:rsid w:val="00770E81"/>
    <w:rsid w:val="00771584"/>
    <w:rsid w:val="007730DE"/>
    <w:rsid w:val="00773DAF"/>
    <w:rsid w:val="0077563E"/>
    <w:rsid w:val="00775CE1"/>
    <w:rsid w:val="00777B00"/>
    <w:rsid w:val="0078036E"/>
    <w:rsid w:val="00784B08"/>
    <w:rsid w:val="00785232"/>
    <w:rsid w:val="00785F8A"/>
    <w:rsid w:val="0078661B"/>
    <w:rsid w:val="00787194"/>
    <w:rsid w:val="00790846"/>
    <w:rsid w:val="00791BC7"/>
    <w:rsid w:val="00791D65"/>
    <w:rsid w:val="00793413"/>
    <w:rsid w:val="00793A48"/>
    <w:rsid w:val="00795991"/>
    <w:rsid w:val="00795ECD"/>
    <w:rsid w:val="00795F82"/>
    <w:rsid w:val="0079724E"/>
    <w:rsid w:val="007A06B3"/>
    <w:rsid w:val="007A0E4A"/>
    <w:rsid w:val="007A17FA"/>
    <w:rsid w:val="007A21EB"/>
    <w:rsid w:val="007A236D"/>
    <w:rsid w:val="007A260F"/>
    <w:rsid w:val="007A439C"/>
    <w:rsid w:val="007A4482"/>
    <w:rsid w:val="007A538F"/>
    <w:rsid w:val="007A549B"/>
    <w:rsid w:val="007A5B9F"/>
    <w:rsid w:val="007A7310"/>
    <w:rsid w:val="007A7B01"/>
    <w:rsid w:val="007B0278"/>
    <w:rsid w:val="007B0909"/>
    <w:rsid w:val="007B165C"/>
    <w:rsid w:val="007B1A93"/>
    <w:rsid w:val="007B1B3C"/>
    <w:rsid w:val="007B1C00"/>
    <w:rsid w:val="007B210C"/>
    <w:rsid w:val="007B247F"/>
    <w:rsid w:val="007B3B9D"/>
    <w:rsid w:val="007B50B6"/>
    <w:rsid w:val="007B5753"/>
    <w:rsid w:val="007C099B"/>
    <w:rsid w:val="007C1C1E"/>
    <w:rsid w:val="007C2D45"/>
    <w:rsid w:val="007C36C9"/>
    <w:rsid w:val="007C38EB"/>
    <w:rsid w:val="007C67C2"/>
    <w:rsid w:val="007C6C22"/>
    <w:rsid w:val="007C730B"/>
    <w:rsid w:val="007D1558"/>
    <w:rsid w:val="007D2448"/>
    <w:rsid w:val="007D32DB"/>
    <w:rsid w:val="007D5187"/>
    <w:rsid w:val="007D6401"/>
    <w:rsid w:val="007D6991"/>
    <w:rsid w:val="007D6EE3"/>
    <w:rsid w:val="007D728E"/>
    <w:rsid w:val="007D74CF"/>
    <w:rsid w:val="007E01D7"/>
    <w:rsid w:val="007E01E4"/>
    <w:rsid w:val="007E05D5"/>
    <w:rsid w:val="007E06EC"/>
    <w:rsid w:val="007E2E30"/>
    <w:rsid w:val="007E2FCC"/>
    <w:rsid w:val="007E6F0A"/>
    <w:rsid w:val="007E7040"/>
    <w:rsid w:val="007E7387"/>
    <w:rsid w:val="007F05F2"/>
    <w:rsid w:val="007F286B"/>
    <w:rsid w:val="007F2D11"/>
    <w:rsid w:val="007F425B"/>
    <w:rsid w:val="007F4F66"/>
    <w:rsid w:val="007F4FDC"/>
    <w:rsid w:val="007F5011"/>
    <w:rsid w:val="007F641D"/>
    <w:rsid w:val="007F6C66"/>
    <w:rsid w:val="007F70C7"/>
    <w:rsid w:val="007F7107"/>
    <w:rsid w:val="007F71D9"/>
    <w:rsid w:val="007F7B76"/>
    <w:rsid w:val="00800D4C"/>
    <w:rsid w:val="00801666"/>
    <w:rsid w:val="0080234B"/>
    <w:rsid w:val="0080374C"/>
    <w:rsid w:val="00803972"/>
    <w:rsid w:val="00803E71"/>
    <w:rsid w:val="00804A36"/>
    <w:rsid w:val="00805AF6"/>
    <w:rsid w:val="00807E35"/>
    <w:rsid w:val="0081030F"/>
    <w:rsid w:val="0081112C"/>
    <w:rsid w:val="0081239C"/>
    <w:rsid w:val="00812A4D"/>
    <w:rsid w:val="0081381F"/>
    <w:rsid w:val="00814BEE"/>
    <w:rsid w:val="00820082"/>
    <w:rsid w:val="0082087D"/>
    <w:rsid w:val="0082093F"/>
    <w:rsid w:val="00820ABC"/>
    <w:rsid w:val="00822B16"/>
    <w:rsid w:val="00822CB8"/>
    <w:rsid w:val="0082350A"/>
    <w:rsid w:val="00824044"/>
    <w:rsid w:val="008246E9"/>
    <w:rsid w:val="008247D7"/>
    <w:rsid w:val="0082617E"/>
    <w:rsid w:val="00826495"/>
    <w:rsid w:val="008271A3"/>
    <w:rsid w:val="00833216"/>
    <w:rsid w:val="00833989"/>
    <w:rsid w:val="00834233"/>
    <w:rsid w:val="00834B06"/>
    <w:rsid w:val="008350AD"/>
    <w:rsid w:val="00835771"/>
    <w:rsid w:val="00837BC8"/>
    <w:rsid w:val="00842933"/>
    <w:rsid w:val="00844D60"/>
    <w:rsid w:val="00845600"/>
    <w:rsid w:val="00845933"/>
    <w:rsid w:val="00846B00"/>
    <w:rsid w:val="0085140F"/>
    <w:rsid w:val="008519C5"/>
    <w:rsid w:val="00851B9E"/>
    <w:rsid w:val="0085308C"/>
    <w:rsid w:val="00853682"/>
    <w:rsid w:val="00854D77"/>
    <w:rsid w:val="0085538E"/>
    <w:rsid w:val="00855EDC"/>
    <w:rsid w:val="00856C09"/>
    <w:rsid w:val="008570DD"/>
    <w:rsid w:val="00857595"/>
    <w:rsid w:val="00857EED"/>
    <w:rsid w:val="00860016"/>
    <w:rsid w:val="0086082C"/>
    <w:rsid w:val="00860FCC"/>
    <w:rsid w:val="00861574"/>
    <w:rsid w:val="0086207A"/>
    <w:rsid w:val="008623B2"/>
    <w:rsid w:val="0086294E"/>
    <w:rsid w:val="0086339D"/>
    <w:rsid w:val="00863F30"/>
    <w:rsid w:val="00864ADC"/>
    <w:rsid w:val="008651D4"/>
    <w:rsid w:val="00865CEB"/>
    <w:rsid w:val="00865DEC"/>
    <w:rsid w:val="00870C5E"/>
    <w:rsid w:val="008710AF"/>
    <w:rsid w:val="00871E4E"/>
    <w:rsid w:val="00872287"/>
    <w:rsid w:val="008737B2"/>
    <w:rsid w:val="00873E39"/>
    <w:rsid w:val="008770C5"/>
    <w:rsid w:val="00877B5D"/>
    <w:rsid w:val="00877F2B"/>
    <w:rsid w:val="008800BB"/>
    <w:rsid w:val="00880153"/>
    <w:rsid w:val="00880C28"/>
    <w:rsid w:val="00880F97"/>
    <w:rsid w:val="0088133A"/>
    <w:rsid w:val="00881793"/>
    <w:rsid w:val="00882669"/>
    <w:rsid w:val="00882769"/>
    <w:rsid w:val="0088493B"/>
    <w:rsid w:val="00885012"/>
    <w:rsid w:val="00885769"/>
    <w:rsid w:val="008878F0"/>
    <w:rsid w:val="0089285E"/>
    <w:rsid w:val="00892B2C"/>
    <w:rsid w:val="0089374A"/>
    <w:rsid w:val="0089436C"/>
    <w:rsid w:val="00894519"/>
    <w:rsid w:val="00896C73"/>
    <w:rsid w:val="00896CD4"/>
    <w:rsid w:val="00896F9A"/>
    <w:rsid w:val="00897A87"/>
    <w:rsid w:val="00897D2C"/>
    <w:rsid w:val="008A082F"/>
    <w:rsid w:val="008A26B8"/>
    <w:rsid w:val="008A2F75"/>
    <w:rsid w:val="008A376A"/>
    <w:rsid w:val="008A6BA6"/>
    <w:rsid w:val="008B08BC"/>
    <w:rsid w:val="008B10C9"/>
    <w:rsid w:val="008B1162"/>
    <w:rsid w:val="008B3055"/>
    <w:rsid w:val="008C012B"/>
    <w:rsid w:val="008C0DFB"/>
    <w:rsid w:val="008C2405"/>
    <w:rsid w:val="008C318E"/>
    <w:rsid w:val="008C5637"/>
    <w:rsid w:val="008C6CF5"/>
    <w:rsid w:val="008C7215"/>
    <w:rsid w:val="008C783E"/>
    <w:rsid w:val="008C7F56"/>
    <w:rsid w:val="008D0C92"/>
    <w:rsid w:val="008D0CC4"/>
    <w:rsid w:val="008D365C"/>
    <w:rsid w:val="008D37AC"/>
    <w:rsid w:val="008D4011"/>
    <w:rsid w:val="008D5230"/>
    <w:rsid w:val="008D5A79"/>
    <w:rsid w:val="008D5E50"/>
    <w:rsid w:val="008D6B97"/>
    <w:rsid w:val="008D7066"/>
    <w:rsid w:val="008D732A"/>
    <w:rsid w:val="008E03DE"/>
    <w:rsid w:val="008E0E3F"/>
    <w:rsid w:val="008E1E62"/>
    <w:rsid w:val="008E24FF"/>
    <w:rsid w:val="008E3491"/>
    <w:rsid w:val="008E43A7"/>
    <w:rsid w:val="008E4925"/>
    <w:rsid w:val="008E4EA9"/>
    <w:rsid w:val="008E66E1"/>
    <w:rsid w:val="008E7923"/>
    <w:rsid w:val="008F1646"/>
    <w:rsid w:val="008F3203"/>
    <w:rsid w:val="008F4F0D"/>
    <w:rsid w:val="008F5052"/>
    <w:rsid w:val="008F5506"/>
    <w:rsid w:val="008F68C7"/>
    <w:rsid w:val="008F6BA1"/>
    <w:rsid w:val="008F7749"/>
    <w:rsid w:val="008F7BA8"/>
    <w:rsid w:val="00900119"/>
    <w:rsid w:val="009002F3"/>
    <w:rsid w:val="0090051E"/>
    <w:rsid w:val="0090107A"/>
    <w:rsid w:val="009018B6"/>
    <w:rsid w:val="00902350"/>
    <w:rsid w:val="00902BAA"/>
    <w:rsid w:val="00902E1A"/>
    <w:rsid w:val="009030BF"/>
    <w:rsid w:val="009049E2"/>
    <w:rsid w:val="00904AEF"/>
    <w:rsid w:val="00905335"/>
    <w:rsid w:val="0090543B"/>
    <w:rsid w:val="00905C04"/>
    <w:rsid w:val="00906CA5"/>
    <w:rsid w:val="00907074"/>
    <w:rsid w:val="00907455"/>
    <w:rsid w:val="0090751B"/>
    <w:rsid w:val="00907D45"/>
    <w:rsid w:val="0091032F"/>
    <w:rsid w:val="009106FE"/>
    <w:rsid w:val="00910A75"/>
    <w:rsid w:val="00910EAA"/>
    <w:rsid w:val="00911706"/>
    <w:rsid w:val="00911901"/>
    <w:rsid w:val="00911FAF"/>
    <w:rsid w:val="0091209F"/>
    <w:rsid w:val="00914368"/>
    <w:rsid w:val="0091549F"/>
    <w:rsid w:val="009165BA"/>
    <w:rsid w:val="0092039C"/>
    <w:rsid w:val="00922065"/>
    <w:rsid w:val="0092400E"/>
    <w:rsid w:val="00925FD6"/>
    <w:rsid w:val="009265BA"/>
    <w:rsid w:val="009278E3"/>
    <w:rsid w:val="00927A97"/>
    <w:rsid w:val="00931076"/>
    <w:rsid w:val="009319BF"/>
    <w:rsid w:val="0093244A"/>
    <w:rsid w:val="009337D6"/>
    <w:rsid w:val="009345D9"/>
    <w:rsid w:val="00934B15"/>
    <w:rsid w:val="00934BA5"/>
    <w:rsid w:val="0093545C"/>
    <w:rsid w:val="0093653B"/>
    <w:rsid w:val="0094027E"/>
    <w:rsid w:val="00940C87"/>
    <w:rsid w:val="00941032"/>
    <w:rsid w:val="009412B5"/>
    <w:rsid w:val="009414EE"/>
    <w:rsid w:val="00942B62"/>
    <w:rsid w:val="00943818"/>
    <w:rsid w:val="00943929"/>
    <w:rsid w:val="00944AF4"/>
    <w:rsid w:val="00944FFA"/>
    <w:rsid w:val="00945DB4"/>
    <w:rsid w:val="0094633F"/>
    <w:rsid w:val="00946E22"/>
    <w:rsid w:val="00950FE8"/>
    <w:rsid w:val="0095165B"/>
    <w:rsid w:val="009525C1"/>
    <w:rsid w:val="0095323B"/>
    <w:rsid w:val="00953541"/>
    <w:rsid w:val="009540B3"/>
    <w:rsid w:val="00954DD5"/>
    <w:rsid w:val="00956A0C"/>
    <w:rsid w:val="00956AB8"/>
    <w:rsid w:val="00956BD9"/>
    <w:rsid w:val="00960491"/>
    <w:rsid w:val="009607FE"/>
    <w:rsid w:val="00962489"/>
    <w:rsid w:val="00963F1E"/>
    <w:rsid w:val="00965C28"/>
    <w:rsid w:val="00966577"/>
    <w:rsid w:val="009668CC"/>
    <w:rsid w:val="00970BBB"/>
    <w:rsid w:val="00970BFE"/>
    <w:rsid w:val="00971A32"/>
    <w:rsid w:val="009722AF"/>
    <w:rsid w:val="00972C40"/>
    <w:rsid w:val="0097358D"/>
    <w:rsid w:val="00974EF0"/>
    <w:rsid w:val="009750E0"/>
    <w:rsid w:val="009772EC"/>
    <w:rsid w:val="00981507"/>
    <w:rsid w:val="00982F21"/>
    <w:rsid w:val="00983812"/>
    <w:rsid w:val="0098488F"/>
    <w:rsid w:val="00985E2C"/>
    <w:rsid w:val="0098652E"/>
    <w:rsid w:val="0098667B"/>
    <w:rsid w:val="009866A4"/>
    <w:rsid w:val="00987D85"/>
    <w:rsid w:val="0099014C"/>
    <w:rsid w:val="00990C2C"/>
    <w:rsid w:val="00990EFE"/>
    <w:rsid w:val="009924D1"/>
    <w:rsid w:val="00992C17"/>
    <w:rsid w:val="00993A19"/>
    <w:rsid w:val="00994E33"/>
    <w:rsid w:val="0099506C"/>
    <w:rsid w:val="009962D3"/>
    <w:rsid w:val="009968C0"/>
    <w:rsid w:val="0099724A"/>
    <w:rsid w:val="009A16CC"/>
    <w:rsid w:val="009A1B18"/>
    <w:rsid w:val="009A2479"/>
    <w:rsid w:val="009A292F"/>
    <w:rsid w:val="009A333E"/>
    <w:rsid w:val="009A3F53"/>
    <w:rsid w:val="009A4228"/>
    <w:rsid w:val="009A4756"/>
    <w:rsid w:val="009A48FB"/>
    <w:rsid w:val="009A4E0B"/>
    <w:rsid w:val="009B1947"/>
    <w:rsid w:val="009B2625"/>
    <w:rsid w:val="009B619F"/>
    <w:rsid w:val="009B6529"/>
    <w:rsid w:val="009B654B"/>
    <w:rsid w:val="009B66D9"/>
    <w:rsid w:val="009B6878"/>
    <w:rsid w:val="009B6978"/>
    <w:rsid w:val="009B6AF4"/>
    <w:rsid w:val="009B6EDF"/>
    <w:rsid w:val="009B7411"/>
    <w:rsid w:val="009B76EB"/>
    <w:rsid w:val="009C05D6"/>
    <w:rsid w:val="009C231F"/>
    <w:rsid w:val="009C2FCB"/>
    <w:rsid w:val="009C3883"/>
    <w:rsid w:val="009C5D2F"/>
    <w:rsid w:val="009C6B51"/>
    <w:rsid w:val="009C73E0"/>
    <w:rsid w:val="009D026B"/>
    <w:rsid w:val="009D0A7F"/>
    <w:rsid w:val="009D0CFC"/>
    <w:rsid w:val="009D1604"/>
    <w:rsid w:val="009D1DB5"/>
    <w:rsid w:val="009D4ADD"/>
    <w:rsid w:val="009D5239"/>
    <w:rsid w:val="009D5FA1"/>
    <w:rsid w:val="009D707B"/>
    <w:rsid w:val="009E036F"/>
    <w:rsid w:val="009E1844"/>
    <w:rsid w:val="009E2163"/>
    <w:rsid w:val="009E26E5"/>
    <w:rsid w:val="009E5687"/>
    <w:rsid w:val="009E6749"/>
    <w:rsid w:val="009F046E"/>
    <w:rsid w:val="009F0D1B"/>
    <w:rsid w:val="009F259E"/>
    <w:rsid w:val="009F3A5C"/>
    <w:rsid w:val="009F3AEE"/>
    <w:rsid w:val="009F44F0"/>
    <w:rsid w:val="009F696D"/>
    <w:rsid w:val="009F6BC6"/>
    <w:rsid w:val="009F776A"/>
    <w:rsid w:val="00A00633"/>
    <w:rsid w:val="00A02045"/>
    <w:rsid w:val="00A02F4F"/>
    <w:rsid w:val="00A03F50"/>
    <w:rsid w:val="00A04A8D"/>
    <w:rsid w:val="00A04B13"/>
    <w:rsid w:val="00A052D9"/>
    <w:rsid w:val="00A05348"/>
    <w:rsid w:val="00A05B19"/>
    <w:rsid w:val="00A05FD4"/>
    <w:rsid w:val="00A07896"/>
    <w:rsid w:val="00A07D0E"/>
    <w:rsid w:val="00A10FF1"/>
    <w:rsid w:val="00A11BBC"/>
    <w:rsid w:val="00A149FF"/>
    <w:rsid w:val="00A172BB"/>
    <w:rsid w:val="00A17328"/>
    <w:rsid w:val="00A176E3"/>
    <w:rsid w:val="00A223AB"/>
    <w:rsid w:val="00A22CCB"/>
    <w:rsid w:val="00A22F12"/>
    <w:rsid w:val="00A23670"/>
    <w:rsid w:val="00A23A20"/>
    <w:rsid w:val="00A242CE"/>
    <w:rsid w:val="00A251D9"/>
    <w:rsid w:val="00A2541F"/>
    <w:rsid w:val="00A25D78"/>
    <w:rsid w:val="00A2660D"/>
    <w:rsid w:val="00A268B9"/>
    <w:rsid w:val="00A2703A"/>
    <w:rsid w:val="00A27051"/>
    <w:rsid w:val="00A2733A"/>
    <w:rsid w:val="00A2781B"/>
    <w:rsid w:val="00A3042E"/>
    <w:rsid w:val="00A328D8"/>
    <w:rsid w:val="00A32A5A"/>
    <w:rsid w:val="00A32F2A"/>
    <w:rsid w:val="00A33DEC"/>
    <w:rsid w:val="00A33DFF"/>
    <w:rsid w:val="00A34745"/>
    <w:rsid w:val="00A35115"/>
    <w:rsid w:val="00A36D9A"/>
    <w:rsid w:val="00A4038F"/>
    <w:rsid w:val="00A4058C"/>
    <w:rsid w:val="00A428CF"/>
    <w:rsid w:val="00A42EEF"/>
    <w:rsid w:val="00A44380"/>
    <w:rsid w:val="00A45668"/>
    <w:rsid w:val="00A456E4"/>
    <w:rsid w:val="00A462DD"/>
    <w:rsid w:val="00A4641D"/>
    <w:rsid w:val="00A474D0"/>
    <w:rsid w:val="00A50747"/>
    <w:rsid w:val="00A554AB"/>
    <w:rsid w:val="00A55537"/>
    <w:rsid w:val="00A5623E"/>
    <w:rsid w:val="00A57062"/>
    <w:rsid w:val="00A57D2F"/>
    <w:rsid w:val="00A60563"/>
    <w:rsid w:val="00A60EAA"/>
    <w:rsid w:val="00A6164C"/>
    <w:rsid w:val="00A61F86"/>
    <w:rsid w:val="00A6482C"/>
    <w:rsid w:val="00A64F5C"/>
    <w:rsid w:val="00A653D4"/>
    <w:rsid w:val="00A654E3"/>
    <w:rsid w:val="00A6689D"/>
    <w:rsid w:val="00A67FBF"/>
    <w:rsid w:val="00A708B7"/>
    <w:rsid w:val="00A72ECC"/>
    <w:rsid w:val="00A73918"/>
    <w:rsid w:val="00A746D2"/>
    <w:rsid w:val="00A74801"/>
    <w:rsid w:val="00A762AD"/>
    <w:rsid w:val="00A80B20"/>
    <w:rsid w:val="00A80CF7"/>
    <w:rsid w:val="00A82BE4"/>
    <w:rsid w:val="00A83598"/>
    <w:rsid w:val="00A837A2"/>
    <w:rsid w:val="00A879C8"/>
    <w:rsid w:val="00A9147C"/>
    <w:rsid w:val="00A9201B"/>
    <w:rsid w:val="00A92B53"/>
    <w:rsid w:val="00A92BC8"/>
    <w:rsid w:val="00A92DCE"/>
    <w:rsid w:val="00A94FA6"/>
    <w:rsid w:val="00A95196"/>
    <w:rsid w:val="00A9570C"/>
    <w:rsid w:val="00A959CB"/>
    <w:rsid w:val="00A96D2C"/>
    <w:rsid w:val="00AA08B9"/>
    <w:rsid w:val="00AA1E80"/>
    <w:rsid w:val="00AA229D"/>
    <w:rsid w:val="00AA2411"/>
    <w:rsid w:val="00AA25E3"/>
    <w:rsid w:val="00AA2CB9"/>
    <w:rsid w:val="00AA3A72"/>
    <w:rsid w:val="00AA49A0"/>
    <w:rsid w:val="00AA5E01"/>
    <w:rsid w:val="00AA6710"/>
    <w:rsid w:val="00AA6D95"/>
    <w:rsid w:val="00AA73F8"/>
    <w:rsid w:val="00AB0681"/>
    <w:rsid w:val="00AB1EAE"/>
    <w:rsid w:val="00AB212A"/>
    <w:rsid w:val="00AB22EB"/>
    <w:rsid w:val="00AB2334"/>
    <w:rsid w:val="00AB665E"/>
    <w:rsid w:val="00AB6D4F"/>
    <w:rsid w:val="00AB77D1"/>
    <w:rsid w:val="00AB7CD9"/>
    <w:rsid w:val="00AC08F7"/>
    <w:rsid w:val="00AC0DF0"/>
    <w:rsid w:val="00AC16B6"/>
    <w:rsid w:val="00AC3D02"/>
    <w:rsid w:val="00AC3DEB"/>
    <w:rsid w:val="00AC40C3"/>
    <w:rsid w:val="00AC496A"/>
    <w:rsid w:val="00AC520A"/>
    <w:rsid w:val="00AC5327"/>
    <w:rsid w:val="00AC5E66"/>
    <w:rsid w:val="00AC64D1"/>
    <w:rsid w:val="00AC7113"/>
    <w:rsid w:val="00AD07AA"/>
    <w:rsid w:val="00AD0E63"/>
    <w:rsid w:val="00AD1812"/>
    <w:rsid w:val="00AD2677"/>
    <w:rsid w:val="00AD2C7F"/>
    <w:rsid w:val="00AD35B2"/>
    <w:rsid w:val="00AD520B"/>
    <w:rsid w:val="00AD54C8"/>
    <w:rsid w:val="00AD782C"/>
    <w:rsid w:val="00AE0CE1"/>
    <w:rsid w:val="00AE2210"/>
    <w:rsid w:val="00AE4167"/>
    <w:rsid w:val="00AE4B31"/>
    <w:rsid w:val="00AE630A"/>
    <w:rsid w:val="00AE6AE3"/>
    <w:rsid w:val="00AE77E6"/>
    <w:rsid w:val="00AF059C"/>
    <w:rsid w:val="00AF0AA0"/>
    <w:rsid w:val="00AF0BAC"/>
    <w:rsid w:val="00AF179B"/>
    <w:rsid w:val="00AF18C5"/>
    <w:rsid w:val="00AF1957"/>
    <w:rsid w:val="00AF2085"/>
    <w:rsid w:val="00AF20B0"/>
    <w:rsid w:val="00AF3A06"/>
    <w:rsid w:val="00AF3C0C"/>
    <w:rsid w:val="00AF4750"/>
    <w:rsid w:val="00AF55FD"/>
    <w:rsid w:val="00AF5C17"/>
    <w:rsid w:val="00AF64D0"/>
    <w:rsid w:val="00B019F8"/>
    <w:rsid w:val="00B01D07"/>
    <w:rsid w:val="00B03500"/>
    <w:rsid w:val="00B0367C"/>
    <w:rsid w:val="00B047AE"/>
    <w:rsid w:val="00B04E30"/>
    <w:rsid w:val="00B054EC"/>
    <w:rsid w:val="00B05A0C"/>
    <w:rsid w:val="00B06478"/>
    <w:rsid w:val="00B0760C"/>
    <w:rsid w:val="00B07637"/>
    <w:rsid w:val="00B106AE"/>
    <w:rsid w:val="00B10BCB"/>
    <w:rsid w:val="00B115D1"/>
    <w:rsid w:val="00B131C7"/>
    <w:rsid w:val="00B135D3"/>
    <w:rsid w:val="00B137FD"/>
    <w:rsid w:val="00B1399B"/>
    <w:rsid w:val="00B13D7E"/>
    <w:rsid w:val="00B14A31"/>
    <w:rsid w:val="00B15E97"/>
    <w:rsid w:val="00B16E71"/>
    <w:rsid w:val="00B17FFA"/>
    <w:rsid w:val="00B2145B"/>
    <w:rsid w:val="00B21639"/>
    <w:rsid w:val="00B2187B"/>
    <w:rsid w:val="00B22A4D"/>
    <w:rsid w:val="00B22ADB"/>
    <w:rsid w:val="00B237CD"/>
    <w:rsid w:val="00B2503A"/>
    <w:rsid w:val="00B252F2"/>
    <w:rsid w:val="00B25A63"/>
    <w:rsid w:val="00B271EB"/>
    <w:rsid w:val="00B27E61"/>
    <w:rsid w:val="00B30474"/>
    <w:rsid w:val="00B30AFF"/>
    <w:rsid w:val="00B31DCC"/>
    <w:rsid w:val="00B34C98"/>
    <w:rsid w:val="00B36D1D"/>
    <w:rsid w:val="00B37A04"/>
    <w:rsid w:val="00B402E0"/>
    <w:rsid w:val="00B425C3"/>
    <w:rsid w:val="00B428F6"/>
    <w:rsid w:val="00B42DE2"/>
    <w:rsid w:val="00B42E4F"/>
    <w:rsid w:val="00B43830"/>
    <w:rsid w:val="00B440AD"/>
    <w:rsid w:val="00B461F6"/>
    <w:rsid w:val="00B46B51"/>
    <w:rsid w:val="00B479BB"/>
    <w:rsid w:val="00B506EA"/>
    <w:rsid w:val="00B525C9"/>
    <w:rsid w:val="00B52AD5"/>
    <w:rsid w:val="00B53C32"/>
    <w:rsid w:val="00B53E7E"/>
    <w:rsid w:val="00B543F0"/>
    <w:rsid w:val="00B55B69"/>
    <w:rsid w:val="00B55F7A"/>
    <w:rsid w:val="00B561FC"/>
    <w:rsid w:val="00B6059F"/>
    <w:rsid w:val="00B60A2F"/>
    <w:rsid w:val="00B60BAB"/>
    <w:rsid w:val="00B60DED"/>
    <w:rsid w:val="00B60F5E"/>
    <w:rsid w:val="00B6342E"/>
    <w:rsid w:val="00B638D3"/>
    <w:rsid w:val="00B70D9F"/>
    <w:rsid w:val="00B7113F"/>
    <w:rsid w:val="00B716AF"/>
    <w:rsid w:val="00B71F83"/>
    <w:rsid w:val="00B725AA"/>
    <w:rsid w:val="00B72948"/>
    <w:rsid w:val="00B745FF"/>
    <w:rsid w:val="00B74E7F"/>
    <w:rsid w:val="00B7651D"/>
    <w:rsid w:val="00B76A80"/>
    <w:rsid w:val="00B81703"/>
    <w:rsid w:val="00B81EDA"/>
    <w:rsid w:val="00B842DB"/>
    <w:rsid w:val="00B8620B"/>
    <w:rsid w:val="00B8675E"/>
    <w:rsid w:val="00B92838"/>
    <w:rsid w:val="00B94CA4"/>
    <w:rsid w:val="00B95541"/>
    <w:rsid w:val="00B95A61"/>
    <w:rsid w:val="00B96706"/>
    <w:rsid w:val="00B96DD8"/>
    <w:rsid w:val="00B96E1D"/>
    <w:rsid w:val="00BA1CC3"/>
    <w:rsid w:val="00BA2067"/>
    <w:rsid w:val="00BA2084"/>
    <w:rsid w:val="00BA29D4"/>
    <w:rsid w:val="00BA3E13"/>
    <w:rsid w:val="00BA4CBA"/>
    <w:rsid w:val="00BA5585"/>
    <w:rsid w:val="00BA73B6"/>
    <w:rsid w:val="00BA7E27"/>
    <w:rsid w:val="00BB0982"/>
    <w:rsid w:val="00BB0E22"/>
    <w:rsid w:val="00BB1057"/>
    <w:rsid w:val="00BB2603"/>
    <w:rsid w:val="00BB28BA"/>
    <w:rsid w:val="00BB2D04"/>
    <w:rsid w:val="00BB4FCD"/>
    <w:rsid w:val="00BB54BD"/>
    <w:rsid w:val="00BB7A99"/>
    <w:rsid w:val="00BB7EB9"/>
    <w:rsid w:val="00BC04E9"/>
    <w:rsid w:val="00BC07F9"/>
    <w:rsid w:val="00BC2A7F"/>
    <w:rsid w:val="00BC471C"/>
    <w:rsid w:val="00BC4735"/>
    <w:rsid w:val="00BC4A85"/>
    <w:rsid w:val="00BC5834"/>
    <w:rsid w:val="00BC63A8"/>
    <w:rsid w:val="00BC6BA8"/>
    <w:rsid w:val="00BC6EE5"/>
    <w:rsid w:val="00BC76D5"/>
    <w:rsid w:val="00BC7867"/>
    <w:rsid w:val="00BD0102"/>
    <w:rsid w:val="00BD062C"/>
    <w:rsid w:val="00BD13EA"/>
    <w:rsid w:val="00BD1910"/>
    <w:rsid w:val="00BD476F"/>
    <w:rsid w:val="00BD483C"/>
    <w:rsid w:val="00BD508C"/>
    <w:rsid w:val="00BD5469"/>
    <w:rsid w:val="00BD58EE"/>
    <w:rsid w:val="00BD5ED9"/>
    <w:rsid w:val="00BD75A4"/>
    <w:rsid w:val="00BE0135"/>
    <w:rsid w:val="00BE2AD3"/>
    <w:rsid w:val="00BE3808"/>
    <w:rsid w:val="00BE3DC6"/>
    <w:rsid w:val="00BE405D"/>
    <w:rsid w:val="00BE7105"/>
    <w:rsid w:val="00BE71E2"/>
    <w:rsid w:val="00BF028B"/>
    <w:rsid w:val="00BF1B2F"/>
    <w:rsid w:val="00BF3296"/>
    <w:rsid w:val="00BF3931"/>
    <w:rsid w:val="00BF64C2"/>
    <w:rsid w:val="00BF6D68"/>
    <w:rsid w:val="00BF755C"/>
    <w:rsid w:val="00BF76FA"/>
    <w:rsid w:val="00BF7823"/>
    <w:rsid w:val="00BF79E0"/>
    <w:rsid w:val="00BF79E5"/>
    <w:rsid w:val="00BF7B77"/>
    <w:rsid w:val="00C016E2"/>
    <w:rsid w:val="00C01946"/>
    <w:rsid w:val="00C0213B"/>
    <w:rsid w:val="00C024F8"/>
    <w:rsid w:val="00C04BBD"/>
    <w:rsid w:val="00C0502C"/>
    <w:rsid w:val="00C062E9"/>
    <w:rsid w:val="00C06470"/>
    <w:rsid w:val="00C06A8C"/>
    <w:rsid w:val="00C06D4B"/>
    <w:rsid w:val="00C07B64"/>
    <w:rsid w:val="00C07FA2"/>
    <w:rsid w:val="00C11A35"/>
    <w:rsid w:val="00C11D34"/>
    <w:rsid w:val="00C11DB7"/>
    <w:rsid w:val="00C11F79"/>
    <w:rsid w:val="00C12849"/>
    <w:rsid w:val="00C12E15"/>
    <w:rsid w:val="00C131AD"/>
    <w:rsid w:val="00C13721"/>
    <w:rsid w:val="00C14FE4"/>
    <w:rsid w:val="00C16FBD"/>
    <w:rsid w:val="00C17277"/>
    <w:rsid w:val="00C2014E"/>
    <w:rsid w:val="00C20576"/>
    <w:rsid w:val="00C21EE1"/>
    <w:rsid w:val="00C223A2"/>
    <w:rsid w:val="00C22AF4"/>
    <w:rsid w:val="00C23655"/>
    <w:rsid w:val="00C241B4"/>
    <w:rsid w:val="00C2490A"/>
    <w:rsid w:val="00C258E9"/>
    <w:rsid w:val="00C26031"/>
    <w:rsid w:val="00C26CB3"/>
    <w:rsid w:val="00C26DF2"/>
    <w:rsid w:val="00C3066D"/>
    <w:rsid w:val="00C30F2B"/>
    <w:rsid w:val="00C31DAE"/>
    <w:rsid w:val="00C32D9A"/>
    <w:rsid w:val="00C34F02"/>
    <w:rsid w:val="00C350A5"/>
    <w:rsid w:val="00C35AD6"/>
    <w:rsid w:val="00C36790"/>
    <w:rsid w:val="00C40795"/>
    <w:rsid w:val="00C439EB"/>
    <w:rsid w:val="00C44624"/>
    <w:rsid w:val="00C44EF8"/>
    <w:rsid w:val="00C450A6"/>
    <w:rsid w:val="00C45DDB"/>
    <w:rsid w:val="00C461F5"/>
    <w:rsid w:val="00C51B21"/>
    <w:rsid w:val="00C52416"/>
    <w:rsid w:val="00C52C8A"/>
    <w:rsid w:val="00C52D90"/>
    <w:rsid w:val="00C53D8B"/>
    <w:rsid w:val="00C543F4"/>
    <w:rsid w:val="00C562D8"/>
    <w:rsid w:val="00C56E0A"/>
    <w:rsid w:val="00C579BC"/>
    <w:rsid w:val="00C57BB2"/>
    <w:rsid w:val="00C60B54"/>
    <w:rsid w:val="00C6291C"/>
    <w:rsid w:val="00C62B95"/>
    <w:rsid w:val="00C633CB"/>
    <w:rsid w:val="00C65E1A"/>
    <w:rsid w:val="00C713E0"/>
    <w:rsid w:val="00C72094"/>
    <w:rsid w:val="00C7230B"/>
    <w:rsid w:val="00C736B7"/>
    <w:rsid w:val="00C754BC"/>
    <w:rsid w:val="00C77259"/>
    <w:rsid w:val="00C81A0F"/>
    <w:rsid w:val="00C81ABC"/>
    <w:rsid w:val="00C81BFA"/>
    <w:rsid w:val="00C81D4A"/>
    <w:rsid w:val="00C822A6"/>
    <w:rsid w:val="00C829C5"/>
    <w:rsid w:val="00C82D29"/>
    <w:rsid w:val="00C84076"/>
    <w:rsid w:val="00C8544D"/>
    <w:rsid w:val="00C85549"/>
    <w:rsid w:val="00C85572"/>
    <w:rsid w:val="00C85FC0"/>
    <w:rsid w:val="00C8762C"/>
    <w:rsid w:val="00C87A43"/>
    <w:rsid w:val="00C90851"/>
    <w:rsid w:val="00C91AAC"/>
    <w:rsid w:val="00C91DDF"/>
    <w:rsid w:val="00CA00F9"/>
    <w:rsid w:val="00CA04B7"/>
    <w:rsid w:val="00CA0B01"/>
    <w:rsid w:val="00CA2373"/>
    <w:rsid w:val="00CA2961"/>
    <w:rsid w:val="00CA4BB0"/>
    <w:rsid w:val="00CA4E76"/>
    <w:rsid w:val="00CA5771"/>
    <w:rsid w:val="00CB0ACD"/>
    <w:rsid w:val="00CB0EC0"/>
    <w:rsid w:val="00CB21D5"/>
    <w:rsid w:val="00CB2E2A"/>
    <w:rsid w:val="00CB4E25"/>
    <w:rsid w:val="00CB50D7"/>
    <w:rsid w:val="00CB54CF"/>
    <w:rsid w:val="00CB69A6"/>
    <w:rsid w:val="00CB7177"/>
    <w:rsid w:val="00CB7616"/>
    <w:rsid w:val="00CC147C"/>
    <w:rsid w:val="00CC1998"/>
    <w:rsid w:val="00CC1B6B"/>
    <w:rsid w:val="00CC3254"/>
    <w:rsid w:val="00CC3E5F"/>
    <w:rsid w:val="00CC4946"/>
    <w:rsid w:val="00CC4B31"/>
    <w:rsid w:val="00CC4FD5"/>
    <w:rsid w:val="00CC6BA0"/>
    <w:rsid w:val="00CD0906"/>
    <w:rsid w:val="00CD09E0"/>
    <w:rsid w:val="00CD0F82"/>
    <w:rsid w:val="00CD1349"/>
    <w:rsid w:val="00CD1B33"/>
    <w:rsid w:val="00CD305C"/>
    <w:rsid w:val="00CD4700"/>
    <w:rsid w:val="00CD4C18"/>
    <w:rsid w:val="00CD6D94"/>
    <w:rsid w:val="00CD7491"/>
    <w:rsid w:val="00CD7C7B"/>
    <w:rsid w:val="00CE0082"/>
    <w:rsid w:val="00CE0812"/>
    <w:rsid w:val="00CE2334"/>
    <w:rsid w:val="00CE3E53"/>
    <w:rsid w:val="00CE4F1B"/>
    <w:rsid w:val="00CE573E"/>
    <w:rsid w:val="00CE7513"/>
    <w:rsid w:val="00CE75F1"/>
    <w:rsid w:val="00CE7AB7"/>
    <w:rsid w:val="00CF1377"/>
    <w:rsid w:val="00CF153A"/>
    <w:rsid w:val="00CF189D"/>
    <w:rsid w:val="00CF319F"/>
    <w:rsid w:val="00CF3832"/>
    <w:rsid w:val="00CF39F1"/>
    <w:rsid w:val="00CF76CB"/>
    <w:rsid w:val="00D00626"/>
    <w:rsid w:val="00D01059"/>
    <w:rsid w:val="00D0141A"/>
    <w:rsid w:val="00D01619"/>
    <w:rsid w:val="00D01E34"/>
    <w:rsid w:val="00D0213F"/>
    <w:rsid w:val="00D031CD"/>
    <w:rsid w:val="00D03D49"/>
    <w:rsid w:val="00D03DD0"/>
    <w:rsid w:val="00D04CCC"/>
    <w:rsid w:val="00D0565F"/>
    <w:rsid w:val="00D057C9"/>
    <w:rsid w:val="00D06833"/>
    <w:rsid w:val="00D06BD0"/>
    <w:rsid w:val="00D105B8"/>
    <w:rsid w:val="00D1094C"/>
    <w:rsid w:val="00D11E1C"/>
    <w:rsid w:val="00D138C9"/>
    <w:rsid w:val="00D1510E"/>
    <w:rsid w:val="00D15232"/>
    <w:rsid w:val="00D16588"/>
    <w:rsid w:val="00D1739E"/>
    <w:rsid w:val="00D17B61"/>
    <w:rsid w:val="00D21E48"/>
    <w:rsid w:val="00D22C52"/>
    <w:rsid w:val="00D22DED"/>
    <w:rsid w:val="00D23B3C"/>
    <w:rsid w:val="00D25CBE"/>
    <w:rsid w:val="00D270A4"/>
    <w:rsid w:val="00D274AE"/>
    <w:rsid w:val="00D27E50"/>
    <w:rsid w:val="00D31087"/>
    <w:rsid w:val="00D31FE9"/>
    <w:rsid w:val="00D32266"/>
    <w:rsid w:val="00D32FC1"/>
    <w:rsid w:val="00D33635"/>
    <w:rsid w:val="00D34E1B"/>
    <w:rsid w:val="00D3537D"/>
    <w:rsid w:val="00D3558A"/>
    <w:rsid w:val="00D364CF"/>
    <w:rsid w:val="00D37236"/>
    <w:rsid w:val="00D376BA"/>
    <w:rsid w:val="00D40036"/>
    <w:rsid w:val="00D402D5"/>
    <w:rsid w:val="00D4045D"/>
    <w:rsid w:val="00D40C79"/>
    <w:rsid w:val="00D422C1"/>
    <w:rsid w:val="00D44AF7"/>
    <w:rsid w:val="00D45634"/>
    <w:rsid w:val="00D45B5E"/>
    <w:rsid w:val="00D45EB1"/>
    <w:rsid w:val="00D46678"/>
    <w:rsid w:val="00D46DDC"/>
    <w:rsid w:val="00D475C8"/>
    <w:rsid w:val="00D52805"/>
    <w:rsid w:val="00D54FFE"/>
    <w:rsid w:val="00D5568A"/>
    <w:rsid w:val="00D55A2D"/>
    <w:rsid w:val="00D55FE4"/>
    <w:rsid w:val="00D578A5"/>
    <w:rsid w:val="00D6063C"/>
    <w:rsid w:val="00D6238C"/>
    <w:rsid w:val="00D624B7"/>
    <w:rsid w:val="00D63D73"/>
    <w:rsid w:val="00D64452"/>
    <w:rsid w:val="00D648C8"/>
    <w:rsid w:val="00D651FE"/>
    <w:rsid w:val="00D65B2A"/>
    <w:rsid w:val="00D65D9F"/>
    <w:rsid w:val="00D66C77"/>
    <w:rsid w:val="00D66E1E"/>
    <w:rsid w:val="00D67BB1"/>
    <w:rsid w:val="00D7024C"/>
    <w:rsid w:val="00D72DC8"/>
    <w:rsid w:val="00D72F80"/>
    <w:rsid w:val="00D73EF8"/>
    <w:rsid w:val="00D74E4E"/>
    <w:rsid w:val="00D75722"/>
    <w:rsid w:val="00D764AE"/>
    <w:rsid w:val="00D7684F"/>
    <w:rsid w:val="00D77CE0"/>
    <w:rsid w:val="00D80CF5"/>
    <w:rsid w:val="00D80F28"/>
    <w:rsid w:val="00D81722"/>
    <w:rsid w:val="00D8303F"/>
    <w:rsid w:val="00D831ED"/>
    <w:rsid w:val="00D83C6A"/>
    <w:rsid w:val="00D840EE"/>
    <w:rsid w:val="00D8446C"/>
    <w:rsid w:val="00D85AB4"/>
    <w:rsid w:val="00D85C7C"/>
    <w:rsid w:val="00D8622B"/>
    <w:rsid w:val="00D86A29"/>
    <w:rsid w:val="00D904C0"/>
    <w:rsid w:val="00D91680"/>
    <w:rsid w:val="00D924C4"/>
    <w:rsid w:val="00D92E39"/>
    <w:rsid w:val="00D94357"/>
    <w:rsid w:val="00D96C6B"/>
    <w:rsid w:val="00DA0D47"/>
    <w:rsid w:val="00DA1E0F"/>
    <w:rsid w:val="00DA3804"/>
    <w:rsid w:val="00DA3E9A"/>
    <w:rsid w:val="00DA59CF"/>
    <w:rsid w:val="00DA5BBA"/>
    <w:rsid w:val="00DA7555"/>
    <w:rsid w:val="00DB109D"/>
    <w:rsid w:val="00DB26D2"/>
    <w:rsid w:val="00DB2C61"/>
    <w:rsid w:val="00DB5166"/>
    <w:rsid w:val="00DB67C9"/>
    <w:rsid w:val="00DC0C95"/>
    <w:rsid w:val="00DC1327"/>
    <w:rsid w:val="00DC23D2"/>
    <w:rsid w:val="00DC40E9"/>
    <w:rsid w:val="00DC5588"/>
    <w:rsid w:val="00DC5FCF"/>
    <w:rsid w:val="00DC6936"/>
    <w:rsid w:val="00DD0248"/>
    <w:rsid w:val="00DD0FEB"/>
    <w:rsid w:val="00DD1879"/>
    <w:rsid w:val="00DD1FD0"/>
    <w:rsid w:val="00DD26BE"/>
    <w:rsid w:val="00DD2C84"/>
    <w:rsid w:val="00DD2F94"/>
    <w:rsid w:val="00DD3328"/>
    <w:rsid w:val="00DD3D9A"/>
    <w:rsid w:val="00DD6580"/>
    <w:rsid w:val="00DD702B"/>
    <w:rsid w:val="00DE015F"/>
    <w:rsid w:val="00DE2746"/>
    <w:rsid w:val="00DE2DA4"/>
    <w:rsid w:val="00DE32D0"/>
    <w:rsid w:val="00DE63E6"/>
    <w:rsid w:val="00DE6925"/>
    <w:rsid w:val="00DE7550"/>
    <w:rsid w:val="00DE78B1"/>
    <w:rsid w:val="00DF0D39"/>
    <w:rsid w:val="00DF1156"/>
    <w:rsid w:val="00DF17DB"/>
    <w:rsid w:val="00DF2334"/>
    <w:rsid w:val="00DF2E74"/>
    <w:rsid w:val="00DF36F6"/>
    <w:rsid w:val="00DF3E94"/>
    <w:rsid w:val="00DF4297"/>
    <w:rsid w:val="00DF4B9F"/>
    <w:rsid w:val="00DF4E27"/>
    <w:rsid w:val="00DF5101"/>
    <w:rsid w:val="00DF55FD"/>
    <w:rsid w:val="00DF5D86"/>
    <w:rsid w:val="00DF61F0"/>
    <w:rsid w:val="00DF637D"/>
    <w:rsid w:val="00DF6AB6"/>
    <w:rsid w:val="00E042E5"/>
    <w:rsid w:val="00E05025"/>
    <w:rsid w:val="00E057D0"/>
    <w:rsid w:val="00E07CFE"/>
    <w:rsid w:val="00E15BCD"/>
    <w:rsid w:val="00E16609"/>
    <w:rsid w:val="00E16F83"/>
    <w:rsid w:val="00E17C72"/>
    <w:rsid w:val="00E17CEC"/>
    <w:rsid w:val="00E17EBC"/>
    <w:rsid w:val="00E2007C"/>
    <w:rsid w:val="00E209D6"/>
    <w:rsid w:val="00E21A34"/>
    <w:rsid w:val="00E21DC1"/>
    <w:rsid w:val="00E21FC6"/>
    <w:rsid w:val="00E22433"/>
    <w:rsid w:val="00E23BF8"/>
    <w:rsid w:val="00E23D6E"/>
    <w:rsid w:val="00E23F59"/>
    <w:rsid w:val="00E25A80"/>
    <w:rsid w:val="00E26439"/>
    <w:rsid w:val="00E27013"/>
    <w:rsid w:val="00E27AE9"/>
    <w:rsid w:val="00E3117D"/>
    <w:rsid w:val="00E32D6D"/>
    <w:rsid w:val="00E3582B"/>
    <w:rsid w:val="00E35BD1"/>
    <w:rsid w:val="00E371BC"/>
    <w:rsid w:val="00E41783"/>
    <w:rsid w:val="00E41828"/>
    <w:rsid w:val="00E42E64"/>
    <w:rsid w:val="00E431A9"/>
    <w:rsid w:val="00E435C2"/>
    <w:rsid w:val="00E43D2B"/>
    <w:rsid w:val="00E4437E"/>
    <w:rsid w:val="00E44F23"/>
    <w:rsid w:val="00E45461"/>
    <w:rsid w:val="00E46E4A"/>
    <w:rsid w:val="00E472A6"/>
    <w:rsid w:val="00E5021D"/>
    <w:rsid w:val="00E50320"/>
    <w:rsid w:val="00E5061A"/>
    <w:rsid w:val="00E5095E"/>
    <w:rsid w:val="00E51C23"/>
    <w:rsid w:val="00E529BC"/>
    <w:rsid w:val="00E53DE7"/>
    <w:rsid w:val="00E54E11"/>
    <w:rsid w:val="00E6035C"/>
    <w:rsid w:val="00E60D65"/>
    <w:rsid w:val="00E61F4A"/>
    <w:rsid w:val="00E64971"/>
    <w:rsid w:val="00E669E2"/>
    <w:rsid w:val="00E672DF"/>
    <w:rsid w:val="00E70BF8"/>
    <w:rsid w:val="00E712E3"/>
    <w:rsid w:val="00E73382"/>
    <w:rsid w:val="00E75D30"/>
    <w:rsid w:val="00E76135"/>
    <w:rsid w:val="00E763AF"/>
    <w:rsid w:val="00E80D6E"/>
    <w:rsid w:val="00E81083"/>
    <w:rsid w:val="00E821EF"/>
    <w:rsid w:val="00E82924"/>
    <w:rsid w:val="00E82F4F"/>
    <w:rsid w:val="00E83040"/>
    <w:rsid w:val="00E834CD"/>
    <w:rsid w:val="00E838D2"/>
    <w:rsid w:val="00E84E29"/>
    <w:rsid w:val="00E85178"/>
    <w:rsid w:val="00E8606E"/>
    <w:rsid w:val="00E905A8"/>
    <w:rsid w:val="00E95C3F"/>
    <w:rsid w:val="00E95DE3"/>
    <w:rsid w:val="00E96522"/>
    <w:rsid w:val="00E96B32"/>
    <w:rsid w:val="00E96DB8"/>
    <w:rsid w:val="00E97A05"/>
    <w:rsid w:val="00EA0030"/>
    <w:rsid w:val="00EA0897"/>
    <w:rsid w:val="00EA1AFB"/>
    <w:rsid w:val="00EA2FA4"/>
    <w:rsid w:val="00EA4CCA"/>
    <w:rsid w:val="00EA51D1"/>
    <w:rsid w:val="00EA577F"/>
    <w:rsid w:val="00EB26DA"/>
    <w:rsid w:val="00EB2934"/>
    <w:rsid w:val="00EB35F2"/>
    <w:rsid w:val="00EB3908"/>
    <w:rsid w:val="00EB49C7"/>
    <w:rsid w:val="00EB52FF"/>
    <w:rsid w:val="00EB54E2"/>
    <w:rsid w:val="00EB593D"/>
    <w:rsid w:val="00EB59F8"/>
    <w:rsid w:val="00EB63CA"/>
    <w:rsid w:val="00EB6428"/>
    <w:rsid w:val="00EB68D7"/>
    <w:rsid w:val="00EB7047"/>
    <w:rsid w:val="00EC032E"/>
    <w:rsid w:val="00EC0575"/>
    <w:rsid w:val="00EC0D25"/>
    <w:rsid w:val="00EC1B42"/>
    <w:rsid w:val="00EC220E"/>
    <w:rsid w:val="00EC2844"/>
    <w:rsid w:val="00EC32B0"/>
    <w:rsid w:val="00EC3868"/>
    <w:rsid w:val="00EC3D7C"/>
    <w:rsid w:val="00EC4B83"/>
    <w:rsid w:val="00EC5500"/>
    <w:rsid w:val="00EC568F"/>
    <w:rsid w:val="00EC5F97"/>
    <w:rsid w:val="00EC6B42"/>
    <w:rsid w:val="00ED03B6"/>
    <w:rsid w:val="00ED12C5"/>
    <w:rsid w:val="00ED18F8"/>
    <w:rsid w:val="00ED2BAD"/>
    <w:rsid w:val="00ED5FD9"/>
    <w:rsid w:val="00ED60E7"/>
    <w:rsid w:val="00ED6752"/>
    <w:rsid w:val="00EE0883"/>
    <w:rsid w:val="00EE32DB"/>
    <w:rsid w:val="00EE38B4"/>
    <w:rsid w:val="00EE3F53"/>
    <w:rsid w:val="00EE5BFE"/>
    <w:rsid w:val="00EF0BC2"/>
    <w:rsid w:val="00EF1E32"/>
    <w:rsid w:val="00EF21FE"/>
    <w:rsid w:val="00EF49AD"/>
    <w:rsid w:val="00EF4CA0"/>
    <w:rsid w:val="00EF524F"/>
    <w:rsid w:val="00EF570D"/>
    <w:rsid w:val="00EF5DCD"/>
    <w:rsid w:val="00EF6C6C"/>
    <w:rsid w:val="00F006E6"/>
    <w:rsid w:val="00F01EE9"/>
    <w:rsid w:val="00F0250A"/>
    <w:rsid w:val="00F04155"/>
    <w:rsid w:val="00F056FC"/>
    <w:rsid w:val="00F05EEC"/>
    <w:rsid w:val="00F066FD"/>
    <w:rsid w:val="00F06962"/>
    <w:rsid w:val="00F07D9A"/>
    <w:rsid w:val="00F10476"/>
    <w:rsid w:val="00F10BC9"/>
    <w:rsid w:val="00F11110"/>
    <w:rsid w:val="00F1200F"/>
    <w:rsid w:val="00F1216A"/>
    <w:rsid w:val="00F13084"/>
    <w:rsid w:val="00F135D8"/>
    <w:rsid w:val="00F13F7C"/>
    <w:rsid w:val="00F13FCD"/>
    <w:rsid w:val="00F14888"/>
    <w:rsid w:val="00F166B7"/>
    <w:rsid w:val="00F16EEB"/>
    <w:rsid w:val="00F17C75"/>
    <w:rsid w:val="00F2084A"/>
    <w:rsid w:val="00F20A36"/>
    <w:rsid w:val="00F20E29"/>
    <w:rsid w:val="00F20E8C"/>
    <w:rsid w:val="00F2210B"/>
    <w:rsid w:val="00F229DB"/>
    <w:rsid w:val="00F23A40"/>
    <w:rsid w:val="00F25F90"/>
    <w:rsid w:val="00F30814"/>
    <w:rsid w:val="00F31299"/>
    <w:rsid w:val="00F31EC6"/>
    <w:rsid w:val="00F34D19"/>
    <w:rsid w:val="00F3534A"/>
    <w:rsid w:val="00F35B11"/>
    <w:rsid w:val="00F40E46"/>
    <w:rsid w:val="00F41B11"/>
    <w:rsid w:val="00F41C65"/>
    <w:rsid w:val="00F4461B"/>
    <w:rsid w:val="00F44E08"/>
    <w:rsid w:val="00F4592C"/>
    <w:rsid w:val="00F459A8"/>
    <w:rsid w:val="00F45D78"/>
    <w:rsid w:val="00F45DAD"/>
    <w:rsid w:val="00F45ED1"/>
    <w:rsid w:val="00F476C6"/>
    <w:rsid w:val="00F51609"/>
    <w:rsid w:val="00F52579"/>
    <w:rsid w:val="00F52DAC"/>
    <w:rsid w:val="00F53F11"/>
    <w:rsid w:val="00F542F7"/>
    <w:rsid w:val="00F55557"/>
    <w:rsid w:val="00F5556B"/>
    <w:rsid w:val="00F556DC"/>
    <w:rsid w:val="00F60CD0"/>
    <w:rsid w:val="00F6111C"/>
    <w:rsid w:val="00F635D4"/>
    <w:rsid w:val="00F63763"/>
    <w:rsid w:val="00F64AFA"/>
    <w:rsid w:val="00F6506A"/>
    <w:rsid w:val="00F65121"/>
    <w:rsid w:val="00F65A26"/>
    <w:rsid w:val="00F6611B"/>
    <w:rsid w:val="00F70D5D"/>
    <w:rsid w:val="00F722F9"/>
    <w:rsid w:val="00F728B9"/>
    <w:rsid w:val="00F74617"/>
    <w:rsid w:val="00F74CBA"/>
    <w:rsid w:val="00F807AD"/>
    <w:rsid w:val="00F8090E"/>
    <w:rsid w:val="00F81006"/>
    <w:rsid w:val="00F8131A"/>
    <w:rsid w:val="00F81AAE"/>
    <w:rsid w:val="00F82166"/>
    <w:rsid w:val="00F83743"/>
    <w:rsid w:val="00F83869"/>
    <w:rsid w:val="00F85325"/>
    <w:rsid w:val="00F85758"/>
    <w:rsid w:val="00F85F68"/>
    <w:rsid w:val="00F86116"/>
    <w:rsid w:val="00F86778"/>
    <w:rsid w:val="00F8732C"/>
    <w:rsid w:val="00F876EE"/>
    <w:rsid w:val="00F92E59"/>
    <w:rsid w:val="00F935AE"/>
    <w:rsid w:val="00F93C2C"/>
    <w:rsid w:val="00F93E08"/>
    <w:rsid w:val="00F94025"/>
    <w:rsid w:val="00F94677"/>
    <w:rsid w:val="00F949D0"/>
    <w:rsid w:val="00F94D12"/>
    <w:rsid w:val="00F952DB"/>
    <w:rsid w:val="00FA3715"/>
    <w:rsid w:val="00FA3EBD"/>
    <w:rsid w:val="00FA420A"/>
    <w:rsid w:val="00FA48E2"/>
    <w:rsid w:val="00FA600F"/>
    <w:rsid w:val="00FA6B42"/>
    <w:rsid w:val="00FA73FE"/>
    <w:rsid w:val="00FA75E9"/>
    <w:rsid w:val="00FB02F9"/>
    <w:rsid w:val="00FB07CA"/>
    <w:rsid w:val="00FB21ED"/>
    <w:rsid w:val="00FB34A0"/>
    <w:rsid w:val="00FB366C"/>
    <w:rsid w:val="00FB3B07"/>
    <w:rsid w:val="00FB4A73"/>
    <w:rsid w:val="00FB4CA9"/>
    <w:rsid w:val="00FB5412"/>
    <w:rsid w:val="00FB5453"/>
    <w:rsid w:val="00FB7AF9"/>
    <w:rsid w:val="00FB7FF7"/>
    <w:rsid w:val="00FC0B12"/>
    <w:rsid w:val="00FC1349"/>
    <w:rsid w:val="00FC3395"/>
    <w:rsid w:val="00FC3BDE"/>
    <w:rsid w:val="00FC4090"/>
    <w:rsid w:val="00FC480C"/>
    <w:rsid w:val="00FC57BA"/>
    <w:rsid w:val="00FC727A"/>
    <w:rsid w:val="00FC7D2F"/>
    <w:rsid w:val="00FD12EF"/>
    <w:rsid w:val="00FD208D"/>
    <w:rsid w:val="00FD22B1"/>
    <w:rsid w:val="00FD27CE"/>
    <w:rsid w:val="00FD2A6F"/>
    <w:rsid w:val="00FD2C0E"/>
    <w:rsid w:val="00FD31D3"/>
    <w:rsid w:val="00FD609F"/>
    <w:rsid w:val="00FD6FAF"/>
    <w:rsid w:val="00FD79B8"/>
    <w:rsid w:val="00FE26F8"/>
    <w:rsid w:val="00FE33FF"/>
    <w:rsid w:val="00FE5397"/>
    <w:rsid w:val="00FE5469"/>
    <w:rsid w:val="00FE5D98"/>
    <w:rsid w:val="00FE622D"/>
    <w:rsid w:val="00FE630A"/>
    <w:rsid w:val="00FE6536"/>
    <w:rsid w:val="00FE699D"/>
    <w:rsid w:val="00FE739D"/>
    <w:rsid w:val="00FE7AFD"/>
    <w:rsid w:val="00FF110D"/>
    <w:rsid w:val="00FF1831"/>
    <w:rsid w:val="00FF2861"/>
    <w:rsid w:val="00FF5472"/>
    <w:rsid w:val="00FF6357"/>
    <w:rsid w:val="00FF66A9"/>
    <w:rsid w:val="00FF69AC"/>
    <w:rsid w:val="00FF6E9F"/>
    <w:rsid w:val="00FF730D"/>
    <w:rsid w:val="00FF7599"/>
    <w:rsid w:val="00FF75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6E4EF465"/>
  <w15:docId w15:val="{52702B70-1658-4889-9B0C-7E802C14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229E1"/>
    <w:rPr>
      <w:sz w:val="24"/>
      <w:szCs w:val="24"/>
    </w:rPr>
  </w:style>
  <w:style w:type="paragraph" w:styleId="Heading1">
    <w:name w:val="heading 1"/>
    <w:basedOn w:val="BodyText"/>
    <w:next w:val="BodyText"/>
    <w:link w:val="Heading1Char"/>
    <w:rsid w:val="001229E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1229E1"/>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1229E1"/>
    <w:pPr>
      <w:spacing w:before="560" w:line="320" w:lineRule="exact"/>
      <w:ind w:left="0" w:firstLine="0"/>
      <w:outlineLvl w:val="2"/>
    </w:pPr>
    <w:rPr>
      <w:sz w:val="26"/>
    </w:rPr>
  </w:style>
  <w:style w:type="paragraph" w:styleId="Heading4">
    <w:name w:val="heading 4"/>
    <w:basedOn w:val="Heading3"/>
    <w:next w:val="BodyText"/>
    <w:link w:val="Heading4Char"/>
    <w:qFormat/>
    <w:rsid w:val="001229E1"/>
    <w:pPr>
      <w:spacing w:before="480"/>
      <w:outlineLvl w:val="3"/>
    </w:pPr>
    <w:rPr>
      <w:b w:val="0"/>
      <w:sz w:val="24"/>
    </w:rPr>
  </w:style>
  <w:style w:type="paragraph" w:styleId="Heading5">
    <w:name w:val="heading 5"/>
    <w:basedOn w:val="Heading4"/>
    <w:next w:val="BodyText"/>
    <w:link w:val="Heading5Char"/>
    <w:qFormat/>
    <w:rsid w:val="001229E1"/>
    <w:pPr>
      <w:outlineLvl w:val="4"/>
    </w:pPr>
    <w:rPr>
      <w:i/>
      <w:sz w:val="22"/>
    </w:rPr>
  </w:style>
  <w:style w:type="paragraph" w:styleId="Heading6">
    <w:name w:val="heading 6"/>
    <w:basedOn w:val="BodyText"/>
    <w:next w:val="BodyText"/>
    <w:link w:val="Heading6Char"/>
    <w:rsid w:val="001229E1"/>
    <w:pPr>
      <w:spacing w:after="60"/>
      <w:jc w:val="left"/>
      <w:outlineLvl w:val="5"/>
    </w:pPr>
    <w:rPr>
      <w:i/>
      <w:sz w:val="22"/>
    </w:rPr>
  </w:style>
  <w:style w:type="paragraph" w:styleId="Heading7">
    <w:name w:val="heading 7"/>
    <w:basedOn w:val="BodyText"/>
    <w:next w:val="BodyText"/>
    <w:link w:val="Heading7Char"/>
    <w:rsid w:val="001229E1"/>
    <w:pPr>
      <w:spacing w:after="60" w:line="240" w:lineRule="auto"/>
      <w:jc w:val="left"/>
      <w:outlineLvl w:val="6"/>
    </w:pPr>
    <w:rPr>
      <w:rFonts w:ascii="Arial" w:hAnsi="Arial"/>
      <w:sz w:val="20"/>
    </w:rPr>
  </w:style>
  <w:style w:type="paragraph" w:styleId="Heading8">
    <w:name w:val="heading 8"/>
    <w:basedOn w:val="BodyText"/>
    <w:next w:val="BodyText"/>
    <w:link w:val="Heading8Char"/>
    <w:rsid w:val="001229E1"/>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1229E1"/>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229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29E1"/>
  </w:style>
  <w:style w:type="paragraph" w:styleId="BodyText">
    <w:name w:val="Body Text"/>
    <w:link w:val="BodyTextChar"/>
    <w:qFormat/>
    <w:rsid w:val="001229E1"/>
    <w:pPr>
      <w:spacing w:before="240" w:line="300" w:lineRule="atLeast"/>
      <w:jc w:val="both"/>
    </w:pPr>
    <w:rPr>
      <w:sz w:val="24"/>
    </w:rPr>
  </w:style>
  <w:style w:type="paragraph" w:styleId="Footer">
    <w:name w:val="footer"/>
    <w:basedOn w:val="BodyText"/>
    <w:link w:val="FooterChar"/>
    <w:rsid w:val="001229E1"/>
    <w:pPr>
      <w:spacing w:before="80" w:line="200" w:lineRule="exact"/>
      <w:ind w:right="6"/>
      <w:jc w:val="left"/>
    </w:pPr>
    <w:rPr>
      <w:rFonts w:ascii="Arial" w:hAnsi="Arial"/>
      <w:caps/>
      <w:spacing w:val="-4"/>
      <w:sz w:val="16"/>
    </w:rPr>
  </w:style>
  <w:style w:type="paragraph" w:customStyle="1" w:styleId="FooterEnd">
    <w:name w:val="Footer End"/>
    <w:basedOn w:val="Footer"/>
    <w:rsid w:val="001229E1"/>
    <w:pPr>
      <w:spacing w:before="0" w:line="20" w:lineRule="exact"/>
    </w:pPr>
  </w:style>
  <w:style w:type="paragraph" w:styleId="Header">
    <w:name w:val="header"/>
    <w:basedOn w:val="BodyText"/>
    <w:link w:val="HeaderChar"/>
    <w:rsid w:val="001229E1"/>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1229E1"/>
    <w:pPr>
      <w:spacing w:line="20" w:lineRule="exact"/>
    </w:pPr>
    <w:rPr>
      <w:sz w:val="16"/>
    </w:rPr>
  </w:style>
  <w:style w:type="paragraph" w:customStyle="1" w:styleId="HeaderEven">
    <w:name w:val="Header Even"/>
    <w:basedOn w:val="Header"/>
    <w:rsid w:val="001229E1"/>
  </w:style>
  <w:style w:type="paragraph" w:customStyle="1" w:styleId="HeaderOdd">
    <w:name w:val="Header Odd"/>
    <w:basedOn w:val="Header"/>
    <w:rsid w:val="001229E1"/>
  </w:style>
  <w:style w:type="character" w:styleId="PageNumber">
    <w:name w:val="page number"/>
    <w:basedOn w:val="DefaultParagraphFont"/>
    <w:rsid w:val="001229E1"/>
    <w:rPr>
      <w:rFonts w:ascii="Arial" w:hAnsi="Arial"/>
      <w:b/>
      <w:sz w:val="16"/>
    </w:rPr>
  </w:style>
  <w:style w:type="paragraph" w:customStyle="1" w:styleId="Abbreviation">
    <w:name w:val="Abbreviation"/>
    <w:basedOn w:val="BodyText"/>
    <w:rsid w:val="001229E1"/>
    <w:pPr>
      <w:spacing w:before="120"/>
      <w:ind w:left="2381" w:hanging="2381"/>
      <w:jc w:val="left"/>
    </w:pPr>
  </w:style>
  <w:style w:type="paragraph" w:customStyle="1" w:styleId="Box">
    <w:name w:val="Box"/>
    <w:basedOn w:val="BodyText"/>
    <w:link w:val="BoxChar"/>
    <w:qFormat/>
    <w:rsid w:val="001229E1"/>
    <w:pPr>
      <w:keepNext/>
      <w:spacing w:before="120" w:line="260" w:lineRule="atLeast"/>
    </w:pPr>
    <w:rPr>
      <w:rFonts w:ascii="Arial" w:hAnsi="Arial"/>
      <w:sz w:val="20"/>
    </w:rPr>
  </w:style>
  <w:style w:type="paragraph" w:customStyle="1" w:styleId="BoxContinued">
    <w:name w:val="Box Continued"/>
    <w:basedOn w:val="BodyText"/>
    <w:next w:val="BodyText"/>
    <w:link w:val="BoxContinuedChar"/>
    <w:semiHidden/>
    <w:rsid w:val="001229E1"/>
    <w:pPr>
      <w:spacing w:before="180" w:line="220" w:lineRule="exact"/>
      <w:jc w:val="right"/>
    </w:pPr>
    <w:rPr>
      <w:rFonts w:ascii="Arial" w:hAnsi="Arial"/>
      <w:sz w:val="18"/>
    </w:rPr>
  </w:style>
  <w:style w:type="paragraph" w:customStyle="1" w:styleId="BoxHeading1">
    <w:name w:val="Box Heading 1"/>
    <w:basedOn w:val="BodyText"/>
    <w:next w:val="Box"/>
    <w:link w:val="BoxHeading1Char"/>
    <w:rsid w:val="001229E1"/>
    <w:pPr>
      <w:keepNext/>
      <w:spacing w:before="200" w:line="280" w:lineRule="atLeast"/>
    </w:pPr>
    <w:rPr>
      <w:rFonts w:ascii="Arial" w:hAnsi="Arial"/>
      <w:b/>
      <w:sz w:val="22"/>
    </w:rPr>
  </w:style>
  <w:style w:type="paragraph" w:customStyle="1" w:styleId="BoxHeading2">
    <w:name w:val="Box Heading 2"/>
    <w:basedOn w:val="BoxHeading1"/>
    <w:next w:val="Box"/>
    <w:rsid w:val="001229E1"/>
    <w:rPr>
      <w:b w:val="0"/>
      <w:i/>
    </w:rPr>
  </w:style>
  <w:style w:type="paragraph" w:customStyle="1" w:styleId="BoxListBullet">
    <w:name w:val="Box List Bullet"/>
    <w:basedOn w:val="BodyText"/>
    <w:link w:val="BoxListBulletChar"/>
    <w:rsid w:val="001229E1"/>
    <w:pPr>
      <w:keepNext/>
      <w:numPr>
        <w:numId w:val="3"/>
      </w:numPr>
      <w:spacing w:before="100" w:line="260" w:lineRule="atLeast"/>
    </w:pPr>
    <w:rPr>
      <w:rFonts w:ascii="Arial" w:hAnsi="Arial"/>
      <w:sz w:val="20"/>
    </w:rPr>
  </w:style>
  <w:style w:type="paragraph" w:customStyle="1" w:styleId="BoxListBullet2">
    <w:name w:val="Box List Bullet 2"/>
    <w:basedOn w:val="BoxListBullet"/>
    <w:rsid w:val="001229E1"/>
    <w:pPr>
      <w:numPr>
        <w:numId w:val="4"/>
      </w:numPr>
      <w:ind w:left="568" w:hanging="284"/>
    </w:pPr>
  </w:style>
  <w:style w:type="paragraph" w:customStyle="1" w:styleId="BoxListNumber">
    <w:name w:val="Box List Number"/>
    <w:basedOn w:val="BodyText"/>
    <w:link w:val="BoxListNumberChar"/>
    <w:rsid w:val="001229E1"/>
    <w:pPr>
      <w:keepNext/>
      <w:numPr>
        <w:numId w:val="7"/>
      </w:numPr>
      <w:spacing w:before="100" w:line="260" w:lineRule="atLeast"/>
    </w:pPr>
    <w:rPr>
      <w:rFonts w:ascii="Arial" w:hAnsi="Arial"/>
      <w:sz w:val="20"/>
    </w:rPr>
  </w:style>
  <w:style w:type="paragraph" w:customStyle="1" w:styleId="BoxListNumber2">
    <w:name w:val="Box List Number 2"/>
    <w:basedOn w:val="BoxListNumber"/>
    <w:link w:val="BoxListNumber2Char"/>
    <w:rsid w:val="001229E1"/>
    <w:pPr>
      <w:numPr>
        <w:ilvl w:val="1"/>
      </w:numPr>
      <w:ind w:left="681" w:hanging="397"/>
    </w:pPr>
  </w:style>
  <w:style w:type="paragraph" w:customStyle="1" w:styleId="BoxQuote">
    <w:name w:val="Box Quote"/>
    <w:basedOn w:val="BodyText"/>
    <w:next w:val="Box"/>
    <w:qFormat/>
    <w:rsid w:val="001229E1"/>
    <w:pPr>
      <w:keepNext/>
      <w:spacing w:before="60" w:line="240" w:lineRule="exact"/>
      <w:ind w:left="284"/>
    </w:pPr>
    <w:rPr>
      <w:rFonts w:ascii="Arial" w:hAnsi="Arial"/>
      <w:sz w:val="18"/>
    </w:rPr>
  </w:style>
  <w:style w:type="paragraph" w:customStyle="1" w:styleId="Note">
    <w:name w:val="Note"/>
    <w:basedOn w:val="BodyText"/>
    <w:next w:val="BodyText"/>
    <w:link w:val="NoteChar"/>
    <w:rsid w:val="001229E1"/>
    <w:pPr>
      <w:keepLines/>
      <w:spacing w:before="80" w:line="220" w:lineRule="exact"/>
    </w:pPr>
    <w:rPr>
      <w:rFonts w:ascii="Arial" w:hAnsi="Arial"/>
      <w:sz w:val="18"/>
    </w:rPr>
  </w:style>
  <w:style w:type="paragraph" w:customStyle="1" w:styleId="Source">
    <w:name w:val="Source"/>
    <w:basedOn w:val="Normal"/>
    <w:next w:val="BodyText"/>
    <w:link w:val="SourceChar"/>
    <w:rsid w:val="001229E1"/>
    <w:pPr>
      <w:keepLines/>
      <w:spacing w:before="80" w:line="220" w:lineRule="exact"/>
      <w:jc w:val="both"/>
    </w:pPr>
    <w:rPr>
      <w:rFonts w:ascii="Arial" w:hAnsi="Arial"/>
      <w:sz w:val="18"/>
      <w:szCs w:val="20"/>
    </w:rPr>
  </w:style>
  <w:style w:type="paragraph" w:customStyle="1" w:styleId="BoxSource">
    <w:name w:val="Box Source"/>
    <w:basedOn w:val="Source"/>
    <w:next w:val="BodyText"/>
    <w:link w:val="BoxSourceChar"/>
    <w:rsid w:val="001229E1"/>
    <w:pPr>
      <w:spacing w:before="120"/>
    </w:pPr>
  </w:style>
  <w:style w:type="paragraph" w:customStyle="1" w:styleId="BoxSpaceAbove">
    <w:name w:val="Box Space Above"/>
    <w:basedOn w:val="BodyText"/>
    <w:rsid w:val="001229E1"/>
    <w:pPr>
      <w:keepNext/>
      <w:spacing w:before="360" w:line="80" w:lineRule="exact"/>
      <w:jc w:val="left"/>
    </w:pPr>
  </w:style>
  <w:style w:type="paragraph" w:styleId="Caption">
    <w:name w:val="caption"/>
    <w:basedOn w:val="Normal"/>
    <w:next w:val="BodyText"/>
    <w:link w:val="CaptionChar"/>
    <w:rsid w:val="001229E1"/>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1229E1"/>
    <w:pPr>
      <w:spacing w:before="120" w:after="0"/>
    </w:pPr>
  </w:style>
  <w:style w:type="paragraph" w:customStyle="1" w:styleId="BoxSubtitle">
    <w:name w:val="Box Subtitle"/>
    <w:basedOn w:val="BoxTitle"/>
    <w:next w:val="Normal"/>
    <w:rsid w:val="001229E1"/>
    <w:pPr>
      <w:spacing w:after="80" w:line="200" w:lineRule="exact"/>
      <w:ind w:firstLine="0"/>
    </w:pPr>
    <w:rPr>
      <w:b w:val="0"/>
      <w:sz w:val="20"/>
    </w:rPr>
  </w:style>
  <w:style w:type="paragraph" w:customStyle="1" w:styleId="Chapter">
    <w:name w:val="Chapter"/>
    <w:basedOn w:val="Heading1"/>
    <w:next w:val="BodyText"/>
    <w:link w:val="ChapterChar"/>
    <w:semiHidden/>
    <w:rsid w:val="001229E1"/>
    <w:pPr>
      <w:ind w:left="0" w:firstLine="0"/>
      <w:outlineLvl w:val="9"/>
    </w:pPr>
  </w:style>
  <w:style w:type="paragraph" w:customStyle="1" w:styleId="ChapterSummary">
    <w:name w:val="Chapter Summary"/>
    <w:basedOn w:val="BodyText"/>
    <w:rsid w:val="001229E1"/>
    <w:pPr>
      <w:spacing w:line="280" w:lineRule="atLeast"/>
      <w:ind w:left="907"/>
    </w:pPr>
    <w:rPr>
      <w:rFonts w:ascii="Arial" w:hAnsi="Arial"/>
      <w:b/>
      <w:sz w:val="20"/>
    </w:rPr>
  </w:style>
  <w:style w:type="character" w:styleId="CommentReference">
    <w:name w:val="annotation reference"/>
    <w:basedOn w:val="DefaultParagraphFont"/>
    <w:rsid w:val="001229E1"/>
    <w:rPr>
      <w:b/>
      <w:vanish/>
      <w:color w:val="FF00FF"/>
      <w:sz w:val="20"/>
    </w:rPr>
  </w:style>
  <w:style w:type="paragraph" w:styleId="CommentText">
    <w:name w:val="annotation text"/>
    <w:basedOn w:val="Normal"/>
    <w:link w:val="CommentTextChar"/>
    <w:semiHidden/>
    <w:rsid w:val="001229E1"/>
    <w:pPr>
      <w:spacing w:before="120" w:line="240" w:lineRule="atLeast"/>
      <w:ind w:left="567" w:hanging="567"/>
    </w:pPr>
    <w:rPr>
      <w:sz w:val="20"/>
    </w:rPr>
  </w:style>
  <w:style w:type="paragraph" w:customStyle="1" w:styleId="Continued">
    <w:name w:val="Continued"/>
    <w:basedOn w:val="BoxContinued"/>
    <w:next w:val="BodyText"/>
    <w:link w:val="ContinuedChar"/>
    <w:rsid w:val="001229E1"/>
  </w:style>
  <w:style w:type="character" w:customStyle="1" w:styleId="DocumentInfo">
    <w:name w:val="Document Info"/>
    <w:basedOn w:val="DefaultParagraphFont"/>
    <w:semiHidden/>
    <w:rsid w:val="001229E1"/>
    <w:rPr>
      <w:rFonts w:ascii="Arial" w:hAnsi="Arial"/>
      <w:sz w:val="14"/>
    </w:rPr>
  </w:style>
  <w:style w:type="character" w:customStyle="1" w:styleId="DraftingNote">
    <w:name w:val="Drafting Note"/>
    <w:basedOn w:val="DefaultParagraphFont"/>
    <w:rsid w:val="001229E1"/>
    <w:rPr>
      <w:b/>
      <w:color w:val="FF0000"/>
      <w:sz w:val="24"/>
      <w:u w:val="dotted"/>
    </w:rPr>
  </w:style>
  <w:style w:type="paragraph" w:customStyle="1" w:styleId="Figure">
    <w:name w:val="Figure"/>
    <w:basedOn w:val="BodyText"/>
    <w:rsid w:val="001229E1"/>
    <w:pPr>
      <w:keepNext/>
      <w:spacing w:before="120" w:after="120" w:line="240" w:lineRule="atLeast"/>
      <w:jc w:val="center"/>
    </w:pPr>
  </w:style>
  <w:style w:type="paragraph" w:customStyle="1" w:styleId="FigureTitle">
    <w:name w:val="Figure Title"/>
    <w:basedOn w:val="Caption"/>
    <w:next w:val="Subtitle"/>
    <w:link w:val="FigureTitleChar"/>
    <w:rsid w:val="001229E1"/>
    <w:pPr>
      <w:spacing w:before="120"/>
    </w:pPr>
  </w:style>
  <w:style w:type="paragraph" w:styleId="Subtitle">
    <w:name w:val="Subtitle"/>
    <w:basedOn w:val="Caption"/>
    <w:link w:val="SubtitleChar"/>
    <w:qFormat/>
    <w:rsid w:val="001229E1"/>
    <w:pPr>
      <w:spacing w:before="0" w:line="200" w:lineRule="exact"/>
      <w:ind w:firstLine="0"/>
    </w:pPr>
    <w:rPr>
      <w:b w:val="0"/>
      <w:sz w:val="20"/>
    </w:rPr>
  </w:style>
  <w:style w:type="paragraph" w:customStyle="1" w:styleId="Finding">
    <w:name w:val="Finding"/>
    <w:basedOn w:val="BodyText"/>
    <w:rsid w:val="001229E1"/>
    <w:pPr>
      <w:keepLines/>
      <w:spacing w:before="120" w:line="280" w:lineRule="atLeast"/>
    </w:pPr>
    <w:rPr>
      <w:rFonts w:ascii="Arial" w:hAnsi="Arial"/>
      <w:sz w:val="22"/>
    </w:rPr>
  </w:style>
  <w:style w:type="paragraph" w:customStyle="1" w:styleId="FindingBullet">
    <w:name w:val="Finding Bullet"/>
    <w:basedOn w:val="Finding"/>
    <w:rsid w:val="001229E1"/>
    <w:pPr>
      <w:numPr>
        <w:numId w:val="9"/>
      </w:numPr>
      <w:spacing w:before="80"/>
    </w:pPr>
  </w:style>
  <w:style w:type="paragraph" w:customStyle="1" w:styleId="FindingNoTitle">
    <w:name w:val="Finding NoTitle"/>
    <w:basedOn w:val="Finding"/>
    <w:rsid w:val="001229E1"/>
    <w:pPr>
      <w:spacing w:before="240"/>
    </w:pPr>
  </w:style>
  <w:style w:type="paragraph" w:customStyle="1" w:styleId="RecTitle">
    <w:name w:val="Rec Title"/>
    <w:basedOn w:val="BodyText"/>
    <w:next w:val="Rec"/>
    <w:qFormat/>
    <w:rsid w:val="001229E1"/>
    <w:pPr>
      <w:keepNext/>
      <w:keepLines/>
      <w:spacing w:line="280" w:lineRule="atLeast"/>
    </w:pPr>
    <w:rPr>
      <w:rFonts w:ascii="Arial" w:hAnsi="Arial"/>
      <w:caps/>
      <w:sz w:val="18"/>
    </w:rPr>
  </w:style>
  <w:style w:type="paragraph" w:customStyle="1" w:styleId="FindingTitle">
    <w:name w:val="Finding Title"/>
    <w:basedOn w:val="RecTitle"/>
    <w:next w:val="Finding"/>
    <w:rsid w:val="001229E1"/>
  </w:style>
  <w:style w:type="character" w:styleId="FootnoteReference">
    <w:name w:val="footnote reference"/>
    <w:basedOn w:val="DefaultParagraphFont"/>
    <w:semiHidden/>
    <w:rsid w:val="001229E1"/>
    <w:rPr>
      <w:rFonts w:ascii="Times New Roman" w:hAnsi="Times New Roman"/>
      <w:position w:val="6"/>
      <w:sz w:val="20"/>
      <w:vertAlign w:val="baseline"/>
    </w:rPr>
  </w:style>
  <w:style w:type="paragraph" w:styleId="FootnoteText">
    <w:name w:val="footnote text"/>
    <w:basedOn w:val="BodyText"/>
    <w:link w:val="FootnoteTextChar"/>
    <w:rsid w:val="001229E1"/>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1229E1"/>
    <w:rPr>
      <w:i/>
    </w:rPr>
  </w:style>
  <w:style w:type="paragraph" w:customStyle="1" w:styleId="Jurisdictioncommentsbodytext">
    <w:name w:val="Jurisdiction comments body text"/>
    <w:link w:val="JurisdictioncommentsbodytextChar"/>
    <w:rsid w:val="001229E1"/>
    <w:pPr>
      <w:spacing w:after="140"/>
      <w:jc w:val="both"/>
    </w:pPr>
    <w:rPr>
      <w:rFonts w:ascii="Arial" w:hAnsi="Arial"/>
      <w:sz w:val="24"/>
      <w:lang w:eastAsia="en-US"/>
    </w:rPr>
  </w:style>
  <w:style w:type="paragraph" w:customStyle="1" w:styleId="Jurisdictioncommentsheading">
    <w:name w:val="Jurisdiction comments heading"/>
    <w:rsid w:val="001229E1"/>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1229E1"/>
    <w:pPr>
      <w:numPr>
        <w:numId w:val="12"/>
      </w:numPr>
      <w:spacing w:after="140"/>
      <w:jc w:val="both"/>
    </w:pPr>
    <w:rPr>
      <w:rFonts w:ascii="Arial" w:hAnsi="Arial"/>
      <w:sz w:val="24"/>
      <w:lang w:eastAsia="en-US"/>
    </w:rPr>
  </w:style>
  <w:style w:type="paragraph" w:styleId="ListBullet">
    <w:name w:val="List Bullet"/>
    <w:basedOn w:val="BodyText"/>
    <w:link w:val="ListBulletChar"/>
    <w:rsid w:val="001229E1"/>
    <w:pPr>
      <w:numPr>
        <w:numId w:val="10"/>
      </w:numPr>
      <w:spacing w:before="120"/>
    </w:pPr>
  </w:style>
  <w:style w:type="paragraph" w:styleId="ListBullet2">
    <w:name w:val="List Bullet 2"/>
    <w:basedOn w:val="BodyText"/>
    <w:rsid w:val="001229E1"/>
    <w:pPr>
      <w:numPr>
        <w:numId w:val="19"/>
      </w:numPr>
      <w:spacing w:before="120"/>
    </w:pPr>
  </w:style>
  <w:style w:type="paragraph" w:styleId="ListBullet3">
    <w:name w:val="List Bullet 3"/>
    <w:basedOn w:val="BodyText"/>
    <w:rsid w:val="001229E1"/>
    <w:pPr>
      <w:numPr>
        <w:numId w:val="5"/>
      </w:numPr>
      <w:spacing w:before="120"/>
      <w:ind w:left="1020" w:hanging="340"/>
    </w:pPr>
  </w:style>
  <w:style w:type="paragraph" w:styleId="ListNumber">
    <w:name w:val="List Number"/>
    <w:basedOn w:val="BodyText"/>
    <w:rsid w:val="001229E1"/>
    <w:pPr>
      <w:numPr>
        <w:numId w:val="15"/>
      </w:numPr>
      <w:spacing w:before="120"/>
    </w:pPr>
  </w:style>
  <w:style w:type="paragraph" w:styleId="ListNumber2">
    <w:name w:val="List Number 2"/>
    <w:basedOn w:val="ListNumber"/>
    <w:rsid w:val="001229E1"/>
    <w:pPr>
      <w:numPr>
        <w:ilvl w:val="1"/>
      </w:numPr>
    </w:pPr>
  </w:style>
  <w:style w:type="paragraph" w:styleId="ListNumber3">
    <w:name w:val="List Number 3"/>
    <w:basedOn w:val="ListNumber2"/>
    <w:rsid w:val="001229E1"/>
    <w:pPr>
      <w:numPr>
        <w:ilvl w:val="2"/>
      </w:numPr>
    </w:pPr>
  </w:style>
  <w:style w:type="character" w:customStyle="1" w:styleId="NoteLabel">
    <w:name w:val="Note Label"/>
    <w:basedOn w:val="DefaultParagraphFont"/>
    <w:rsid w:val="001229E1"/>
    <w:rPr>
      <w:rFonts w:ascii="Arial" w:hAnsi="Arial"/>
      <w:b/>
      <w:position w:val="6"/>
      <w:sz w:val="18"/>
    </w:rPr>
  </w:style>
  <w:style w:type="paragraph" w:customStyle="1" w:styleId="PartDivider">
    <w:name w:val="Part Divider"/>
    <w:basedOn w:val="BodyText"/>
    <w:next w:val="BodyText"/>
    <w:semiHidden/>
    <w:rsid w:val="001229E1"/>
    <w:pPr>
      <w:spacing w:before="0" w:line="40" w:lineRule="exact"/>
      <w:jc w:val="right"/>
    </w:pPr>
    <w:rPr>
      <w:smallCaps/>
      <w:sz w:val="16"/>
    </w:rPr>
  </w:style>
  <w:style w:type="paragraph" w:customStyle="1" w:styleId="PartNumber">
    <w:name w:val="Part Number"/>
    <w:basedOn w:val="BodyText"/>
    <w:next w:val="BodyText"/>
    <w:semiHidden/>
    <w:rsid w:val="001229E1"/>
    <w:pPr>
      <w:spacing w:before="4000" w:line="320" w:lineRule="exact"/>
      <w:ind w:left="6634"/>
      <w:jc w:val="right"/>
    </w:pPr>
    <w:rPr>
      <w:smallCaps/>
      <w:spacing w:val="60"/>
      <w:sz w:val="32"/>
    </w:rPr>
  </w:style>
  <w:style w:type="paragraph" w:customStyle="1" w:styleId="PartTitle">
    <w:name w:val="Part Title"/>
    <w:basedOn w:val="BodyText"/>
    <w:semiHidden/>
    <w:rsid w:val="001229E1"/>
    <w:pPr>
      <w:spacing w:before="160" w:after="1360" w:line="520" w:lineRule="exact"/>
      <w:ind w:right="2381"/>
      <w:jc w:val="right"/>
    </w:pPr>
    <w:rPr>
      <w:smallCaps/>
      <w:sz w:val="52"/>
    </w:rPr>
  </w:style>
  <w:style w:type="paragraph" w:styleId="Quote">
    <w:name w:val="Quote"/>
    <w:basedOn w:val="BodyText"/>
    <w:next w:val="BodyText"/>
    <w:link w:val="QuoteChar"/>
    <w:qFormat/>
    <w:rsid w:val="001229E1"/>
    <w:pPr>
      <w:spacing w:before="120" w:line="280" w:lineRule="exact"/>
      <w:ind w:left="340"/>
    </w:pPr>
    <w:rPr>
      <w:sz w:val="22"/>
    </w:rPr>
  </w:style>
  <w:style w:type="paragraph" w:customStyle="1" w:styleId="QuoteBullet">
    <w:name w:val="Quote Bullet"/>
    <w:basedOn w:val="Quote"/>
    <w:rsid w:val="001229E1"/>
    <w:pPr>
      <w:numPr>
        <w:numId w:val="16"/>
      </w:numPr>
    </w:pPr>
  </w:style>
  <w:style w:type="paragraph" w:customStyle="1" w:styleId="Rec">
    <w:name w:val="Rec"/>
    <w:basedOn w:val="BodyText"/>
    <w:qFormat/>
    <w:rsid w:val="001229E1"/>
    <w:pPr>
      <w:keepLines/>
      <w:spacing w:before="120" w:line="280" w:lineRule="atLeast"/>
    </w:pPr>
    <w:rPr>
      <w:rFonts w:ascii="Arial" w:hAnsi="Arial"/>
      <w:sz w:val="22"/>
    </w:rPr>
  </w:style>
  <w:style w:type="paragraph" w:customStyle="1" w:styleId="RecBullet">
    <w:name w:val="Rec Bullet"/>
    <w:basedOn w:val="Rec"/>
    <w:rsid w:val="001229E1"/>
    <w:pPr>
      <w:numPr>
        <w:numId w:val="17"/>
      </w:numPr>
      <w:spacing w:before="80"/>
    </w:pPr>
  </w:style>
  <w:style w:type="paragraph" w:customStyle="1" w:styleId="RecB">
    <w:name w:val="RecB"/>
    <w:basedOn w:val="Normal"/>
    <w:rsid w:val="001229E1"/>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1229E1"/>
    <w:pPr>
      <w:numPr>
        <w:numId w:val="18"/>
      </w:numPr>
      <w:spacing w:before="80"/>
    </w:pPr>
  </w:style>
  <w:style w:type="paragraph" w:customStyle="1" w:styleId="RecBNoTitle">
    <w:name w:val="RecB NoTitle"/>
    <w:basedOn w:val="RecB"/>
    <w:rsid w:val="001229E1"/>
    <w:pPr>
      <w:spacing w:before="240"/>
    </w:pPr>
  </w:style>
  <w:style w:type="paragraph" w:customStyle="1" w:styleId="Reference">
    <w:name w:val="Reference"/>
    <w:basedOn w:val="BodyText"/>
    <w:link w:val="ReferenceChar"/>
    <w:rsid w:val="001229E1"/>
    <w:pPr>
      <w:spacing w:before="120"/>
      <w:ind w:left="340" w:hanging="340"/>
    </w:pPr>
  </w:style>
  <w:style w:type="paragraph" w:customStyle="1" w:styleId="SequenceInfo">
    <w:name w:val="Sequence Info"/>
    <w:basedOn w:val="BodyText"/>
    <w:semiHidden/>
    <w:rsid w:val="001229E1"/>
    <w:rPr>
      <w:vanish/>
      <w:sz w:val="16"/>
    </w:rPr>
  </w:style>
  <w:style w:type="paragraph" w:customStyle="1" w:styleId="SideNote">
    <w:name w:val="Side Note"/>
    <w:basedOn w:val="BodyText"/>
    <w:next w:val="BodyText"/>
    <w:semiHidden/>
    <w:rsid w:val="001229E1"/>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1229E1"/>
    <w:pPr>
      <w:framePr w:wrap="around"/>
      <w:numPr>
        <w:numId w:val="20"/>
      </w:numPr>
      <w:tabs>
        <w:tab w:val="left" w:pos="227"/>
      </w:tabs>
    </w:pPr>
  </w:style>
  <w:style w:type="paragraph" w:customStyle="1" w:styleId="SideNoteGraphic">
    <w:name w:val="Side Note Graphic"/>
    <w:basedOn w:val="SideNote"/>
    <w:next w:val="BodyText"/>
    <w:semiHidden/>
    <w:rsid w:val="001229E1"/>
    <w:pPr>
      <w:framePr w:wrap="around"/>
    </w:pPr>
  </w:style>
  <w:style w:type="paragraph" w:customStyle="1" w:styleId="TableBodyText">
    <w:name w:val="Table Body Text"/>
    <w:basedOn w:val="BodyText"/>
    <w:link w:val="TableBodyTextChar"/>
    <w:rsid w:val="001229E1"/>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1229E1"/>
    <w:pPr>
      <w:numPr>
        <w:numId w:val="21"/>
      </w:numPr>
      <w:jc w:val="left"/>
    </w:pPr>
  </w:style>
  <w:style w:type="paragraph" w:customStyle="1" w:styleId="TableColumnHeading">
    <w:name w:val="Table Column Heading"/>
    <w:basedOn w:val="TableBodyText"/>
    <w:rsid w:val="001229E1"/>
    <w:pPr>
      <w:spacing w:before="80" w:after="80"/>
    </w:pPr>
    <w:rPr>
      <w:i/>
    </w:rPr>
  </w:style>
  <w:style w:type="paragraph" w:styleId="TOC2">
    <w:name w:val="toc 2"/>
    <w:basedOn w:val="TOC1"/>
    <w:rsid w:val="001229E1"/>
    <w:pPr>
      <w:ind w:left="1134" w:hanging="624"/>
    </w:pPr>
    <w:rPr>
      <w:b w:val="0"/>
    </w:rPr>
  </w:style>
  <w:style w:type="paragraph" w:styleId="TOC3">
    <w:name w:val="toc 3"/>
    <w:basedOn w:val="TOC2"/>
    <w:rsid w:val="001229E1"/>
    <w:pPr>
      <w:spacing w:before="60"/>
      <w:ind w:left="1190" w:hanging="680"/>
    </w:pPr>
  </w:style>
  <w:style w:type="paragraph" w:styleId="TableofFigures">
    <w:name w:val="table of figures"/>
    <w:basedOn w:val="TOC3"/>
    <w:next w:val="BodyText"/>
    <w:semiHidden/>
    <w:rsid w:val="001229E1"/>
    <w:pPr>
      <w:ind w:left="737" w:hanging="737"/>
    </w:pPr>
  </w:style>
  <w:style w:type="paragraph" w:customStyle="1" w:styleId="TableTitle">
    <w:name w:val="Table Title"/>
    <w:basedOn w:val="Caption"/>
    <w:next w:val="Subtitle"/>
    <w:qFormat/>
    <w:rsid w:val="001229E1"/>
    <w:pPr>
      <w:spacing w:before="120"/>
    </w:pPr>
  </w:style>
  <w:style w:type="paragraph" w:customStyle="1" w:styleId="TableUnitsRow">
    <w:name w:val="Table Units Row"/>
    <w:basedOn w:val="TableBodyText"/>
    <w:rsid w:val="001229E1"/>
    <w:pPr>
      <w:spacing w:before="40"/>
    </w:pPr>
  </w:style>
  <w:style w:type="paragraph" w:styleId="TOC1">
    <w:name w:val="toc 1"/>
    <w:basedOn w:val="Normal"/>
    <w:next w:val="TOC2"/>
    <w:link w:val="TOC1Char"/>
    <w:rsid w:val="001229E1"/>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1229E1"/>
    <w:pPr>
      <w:ind w:left="1191" w:firstLine="0"/>
    </w:pPr>
  </w:style>
  <w:style w:type="paragraph" w:customStyle="1" w:styleId="RecBBullet2">
    <w:name w:val="RecB Bullet 2"/>
    <w:basedOn w:val="ListBullet2"/>
    <w:semiHidden/>
    <w:rsid w:val="001229E1"/>
    <w:pPr>
      <w:pBdr>
        <w:left w:val="single" w:sz="24" w:space="29" w:color="C0C0C0"/>
      </w:pBdr>
    </w:pPr>
    <w:rPr>
      <w:b/>
      <w:i/>
    </w:rPr>
  </w:style>
  <w:style w:type="paragraph" w:styleId="BalloonText">
    <w:name w:val="Balloon Text"/>
    <w:basedOn w:val="Normal"/>
    <w:link w:val="BalloonTextChar"/>
    <w:rsid w:val="001229E1"/>
    <w:rPr>
      <w:rFonts w:ascii="Tahoma" w:hAnsi="Tahoma" w:cs="Tahoma"/>
      <w:sz w:val="16"/>
      <w:szCs w:val="16"/>
    </w:rPr>
  </w:style>
  <w:style w:type="character" w:customStyle="1" w:styleId="BalloonTextChar">
    <w:name w:val="Balloon Text Char"/>
    <w:basedOn w:val="DefaultParagraphFont"/>
    <w:link w:val="BalloonText"/>
    <w:rsid w:val="001229E1"/>
    <w:rPr>
      <w:rFonts w:ascii="Tahoma" w:hAnsi="Tahoma" w:cs="Tahoma"/>
      <w:sz w:val="16"/>
      <w:szCs w:val="16"/>
    </w:rPr>
  </w:style>
  <w:style w:type="character" w:customStyle="1" w:styleId="SubtitleChar">
    <w:name w:val="Subtitle Char"/>
    <w:basedOn w:val="DefaultParagraphFont"/>
    <w:link w:val="Subtitle"/>
    <w:rsid w:val="001229E1"/>
    <w:rPr>
      <w:rFonts w:ascii="Arial" w:hAnsi="Arial"/>
      <w:szCs w:val="24"/>
    </w:rPr>
  </w:style>
  <w:style w:type="paragraph" w:customStyle="1" w:styleId="BoxListBullet3">
    <w:name w:val="Box List Bullet 3"/>
    <w:basedOn w:val="ListBullet3"/>
    <w:rsid w:val="001229E1"/>
    <w:pPr>
      <w:numPr>
        <w:numId w:val="6"/>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1229E1"/>
    <w:rPr>
      <w:i/>
      <w:iCs/>
    </w:rPr>
  </w:style>
  <w:style w:type="paragraph" w:customStyle="1" w:styleId="BoxQuoteBullet">
    <w:name w:val="Box Quote Bullet"/>
    <w:basedOn w:val="BoxQuote"/>
    <w:next w:val="Box"/>
    <w:rsid w:val="001229E1"/>
    <w:pPr>
      <w:numPr>
        <w:numId w:val="8"/>
      </w:numPr>
      <w:ind w:left="568" w:hanging="284"/>
    </w:pPr>
  </w:style>
  <w:style w:type="paragraph" w:customStyle="1" w:styleId="InformationRequestBullet">
    <w:name w:val="Information Request Bullet"/>
    <w:basedOn w:val="ListBullet"/>
    <w:next w:val="BodyText"/>
    <w:rsid w:val="001229E1"/>
    <w:pPr>
      <w:numPr>
        <w:numId w:val="11"/>
      </w:numPr>
      <w:spacing w:before="80" w:line="280" w:lineRule="atLeast"/>
      <w:ind w:left="357" w:hanging="357"/>
    </w:pPr>
    <w:rPr>
      <w:rFonts w:ascii="Arial" w:hAnsi="Arial"/>
      <w:i/>
      <w:sz w:val="22"/>
    </w:rPr>
  </w:style>
  <w:style w:type="paragraph" w:customStyle="1" w:styleId="BoxSpaceBelow">
    <w:name w:val="Box Space Below"/>
    <w:basedOn w:val="Box"/>
    <w:rsid w:val="001229E1"/>
    <w:pPr>
      <w:keepNext w:val="0"/>
      <w:spacing w:before="60" w:after="60" w:line="80" w:lineRule="exact"/>
    </w:pPr>
    <w:rPr>
      <w:sz w:val="14"/>
    </w:rPr>
  </w:style>
  <w:style w:type="paragraph" w:customStyle="1" w:styleId="BoxSpace">
    <w:name w:val="Box Space"/>
    <w:basedOn w:val="BodyText"/>
    <w:rsid w:val="00413C3F"/>
    <w:pPr>
      <w:keepNext/>
      <w:spacing w:before="360" w:line="80" w:lineRule="exact"/>
      <w:jc w:val="left"/>
    </w:pPr>
  </w:style>
  <w:style w:type="character" w:customStyle="1" w:styleId="SourceChar">
    <w:name w:val="Source Char"/>
    <w:basedOn w:val="NoteChar"/>
    <w:link w:val="Source"/>
    <w:rsid w:val="00413C3F"/>
    <w:rPr>
      <w:rFonts w:ascii="Arial" w:hAnsi="Arial"/>
      <w:sz w:val="18"/>
    </w:rPr>
  </w:style>
  <w:style w:type="character" w:customStyle="1" w:styleId="NoteChar">
    <w:name w:val="Note Char"/>
    <w:link w:val="Note"/>
    <w:rsid w:val="00413C3F"/>
    <w:rPr>
      <w:rFonts w:ascii="Arial" w:hAnsi="Arial"/>
      <w:sz w:val="18"/>
    </w:rPr>
  </w:style>
  <w:style w:type="character" w:customStyle="1" w:styleId="BoxContinuedChar">
    <w:name w:val="Box Continued Char"/>
    <w:link w:val="BoxContinued"/>
    <w:semiHidden/>
    <w:rsid w:val="00413C3F"/>
    <w:rPr>
      <w:rFonts w:ascii="Arial" w:hAnsi="Arial"/>
      <w:sz w:val="18"/>
    </w:rPr>
  </w:style>
  <w:style w:type="character" w:customStyle="1" w:styleId="ContinuedChar">
    <w:name w:val="Continued Char"/>
    <w:basedOn w:val="BoxContinuedChar"/>
    <w:link w:val="Continued"/>
    <w:rsid w:val="00413C3F"/>
    <w:rPr>
      <w:rFonts w:ascii="Arial" w:hAnsi="Arial"/>
      <w:sz w:val="18"/>
    </w:rPr>
  </w:style>
  <w:style w:type="character" w:customStyle="1" w:styleId="BoxChar">
    <w:name w:val="Box Char"/>
    <w:link w:val="Box"/>
    <w:rsid w:val="00413C3F"/>
    <w:rPr>
      <w:rFonts w:ascii="Arial" w:hAnsi="Arial"/>
    </w:rPr>
  </w:style>
  <w:style w:type="character" w:customStyle="1" w:styleId="BoxListNumberChar">
    <w:name w:val="Box List Number Char"/>
    <w:basedOn w:val="BoxChar"/>
    <w:link w:val="BoxListNumber"/>
    <w:rsid w:val="00413C3F"/>
    <w:rPr>
      <w:rFonts w:ascii="Arial" w:hAnsi="Arial"/>
    </w:rPr>
  </w:style>
  <w:style w:type="character" w:customStyle="1" w:styleId="BoxListNumber2Char">
    <w:name w:val="Box List Number 2 Char"/>
    <w:basedOn w:val="BoxListNumberChar"/>
    <w:link w:val="BoxListNumber2"/>
    <w:rsid w:val="00413C3F"/>
    <w:rPr>
      <w:rFonts w:ascii="Arial" w:hAnsi="Arial"/>
    </w:rPr>
  </w:style>
  <w:style w:type="paragraph" w:styleId="CommentSubject">
    <w:name w:val="annotation subject"/>
    <w:basedOn w:val="CommentText"/>
    <w:next w:val="CommentText"/>
    <w:link w:val="CommentSubjectChar"/>
    <w:rsid w:val="00413C3F"/>
    <w:pPr>
      <w:spacing w:before="0" w:line="240" w:lineRule="auto"/>
      <w:ind w:left="0" w:firstLine="0"/>
    </w:pPr>
    <w:rPr>
      <w:b/>
      <w:bCs/>
    </w:rPr>
  </w:style>
  <w:style w:type="character" w:customStyle="1" w:styleId="CommentTextChar">
    <w:name w:val="Comment Text Char"/>
    <w:basedOn w:val="DefaultParagraphFont"/>
    <w:link w:val="CommentText"/>
    <w:semiHidden/>
    <w:rsid w:val="00E23D6E"/>
    <w:rPr>
      <w:szCs w:val="24"/>
    </w:rPr>
  </w:style>
  <w:style w:type="character" w:customStyle="1" w:styleId="CommentSubjectChar">
    <w:name w:val="Comment Subject Char"/>
    <w:basedOn w:val="CommentTextChar"/>
    <w:link w:val="CommentSubject"/>
    <w:rsid w:val="00413C3F"/>
    <w:rPr>
      <w:b/>
      <w:bCs/>
      <w:szCs w:val="24"/>
    </w:rPr>
  </w:style>
  <w:style w:type="character" w:customStyle="1" w:styleId="Heading1Char">
    <w:name w:val="Heading 1 Char"/>
    <w:basedOn w:val="DefaultParagraphFont"/>
    <w:link w:val="Heading1"/>
    <w:rsid w:val="00E23D6E"/>
    <w:rPr>
      <w:sz w:val="52"/>
    </w:rPr>
  </w:style>
  <w:style w:type="character" w:customStyle="1" w:styleId="ChapterChar">
    <w:name w:val="Chapter Char"/>
    <w:basedOn w:val="Heading1Char"/>
    <w:link w:val="Chapter"/>
    <w:semiHidden/>
    <w:rsid w:val="00413C3F"/>
    <w:rPr>
      <w:sz w:val="52"/>
    </w:rPr>
  </w:style>
  <w:style w:type="character" w:customStyle="1" w:styleId="Heading2Char">
    <w:name w:val="Heading 2 Char"/>
    <w:basedOn w:val="DefaultParagraphFont"/>
    <w:link w:val="Heading2"/>
    <w:rsid w:val="00E23D6E"/>
    <w:rPr>
      <w:rFonts w:ascii="Arial" w:hAnsi="Arial"/>
      <w:b/>
      <w:sz w:val="32"/>
    </w:rPr>
  </w:style>
  <w:style w:type="character" w:customStyle="1" w:styleId="Heading3Char">
    <w:name w:val="Heading 3 Char"/>
    <w:basedOn w:val="DefaultParagraphFont"/>
    <w:link w:val="Heading3"/>
    <w:rsid w:val="00E23D6E"/>
    <w:rPr>
      <w:rFonts w:ascii="Arial" w:hAnsi="Arial"/>
      <w:b/>
      <w:sz w:val="26"/>
    </w:rPr>
  </w:style>
  <w:style w:type="character" w:customStyle="1" w:styleId="BoxListBulletChar">
    <w:name w:val="Box List Bullet Char"/>
    <w:basedOn w:val="BoxChar"/>
    <w:link w:val="BoxListBullet"/>
    <w:rsid w:val="00413C3F"/>
    <w:rPr>
      <w:rFonts w:ascii="Arial" w:hAnsi="Arial"/>
    </w:rPr>
  </w:style>
  <w:style w:type="paragraph" w:styleId="DocumentMap">
    <w:name w:val="Document Map"/>
    <w:basedOn w:val="Normal"/>
    <w:link w:val="DocumentMapChar"/>
    <w:rsid w:val="00413C3F"/>
    <w:pPr>
      <w:shd w:val="clear" w:color="auto" w:fill="000080"/>
    </w:pPr>
    <w:rPr>
      <w:rFonts w:ascii="Tahoma" w:hAnsi="Tahoma" w:cs="Tahoma"/>
      <w:sz w:val="20"/>
    </w:rPr>
  </w:style>
  <w:style w:type="character" w:customStyle="1" w:styleId="DocumentMapChar">
    <w:name w:val="Document Map Char"/>
    <w:basedOn w:val="DefaultParagraphFont"/>
    <w:link w:val="DocumentMap"/>
    <w:rsid w:val="00413C3F"/>
    <w:rPr>
      <w:rFonts w:ascii="Tahoma" w:hAnsi="Tahoma" w:cs="Tahoma"/>
      <w:szCs w:val="24"/>
      <w:shd w:val="clear" w:color="auto" w:fill="000080"/>
    </w:rPr>
  </w:style>
  <w:style w:type="character" w:customStyle="1" w:styleId="BodyTextChar">
    <w:name w:val="Body Text Char"/>
    <w:basedOn w:val="DefaultParagraphFont"/>
    <w:link w:val="BodyText"/>
    <w:rsid w:val="001229E1"/>
    <w:rPr>
      <w:sz w:val="24"/>
    </w:rPr>
  </w:style>
  <w:style w:type="character" w:customStyle="1" w:styleId="TableBodyTextChar">
    <w:name w:val="Table Body Text Char"/>
    <w:link w:val="TableBodyText"/>
    <w:rsid w:val="00413C3F"/>
    <w:rPr>
      <w:rFonts w:ascii="Arial" w:hAnsi="Arial"/>
      <w:sz w:val="18"/>
    </w:rPr>
  </w:style>
  <w:style w:type="character" w:customStyle="1" w:styleId="TableBulletChar">
    <w:name w:val="Table Bullet Char"/>
    <w:basedOn w:val="TableBodyTextChar"/>
    <w:link w:val="TableBullet"/>
    <w:rsid w:val="00413C3F"/>
    <w:rPr>
      <w:rFonts w:ascii="Arial" w:hAnsi="Arial"/>
      <w:sz w:val="18"/>
    </w:rPr>
  </w:style>
  <w:style w:type="character" w:customStyle="1" w:styleId="BoxHeading1Char">
    <w:name w:val="Box Heading 1 Char"/>
    <w:link w:val="BoxHeading1"/>
    <w:rsid w:val="00413C3F"/>
    <w:rPr>
      <w:rFonts w:ascii="Arial" w:hAnsi="Arial"/>
      <w:b/>
      <w:sz w:val="22"/>
    </w:rPr>
  </w:style>
  <w:style w:type="table" w:styleId="TableGrid">
    <w:name w:val="Table Grid"/>
    <w:basedOn w:val="TableNormal"/>
    <w:rsid w:val="0012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13C3F"/>
    <w:rPr>
      <w:color w:val="0000FF"/>
      <w:u w:val="single"/>
    </w:rPr>
  </w:style>
  <w:style w:type="character" w:customStyle="1" w:styleId="JurisdictioncommentsbodytextChar">
    <w:name w:val="Jurisdiction comments body text Char"/>
    <w:link w:val="Jurisdictioncommentsbodytext"/>
    <w:rsid w:val="00413C3F"/>
    <w:rPr>
      <w:rFonts w:ascii="Arial" w:hAnsi="Arial"/>
      <w:sz w:val="24"/>
      <w:lang w:eastAsia="en-US"/>
    </w:rPr>
  </w:style>
  <w:style w:type="character" w:customStyle="1" w:styleId="ListBulletChar">
    <w:name w:val="List Bullet Char"/>
    <w:basedOn w:val="BodyTextChar"/>
    <w:link w:val="ListBullet"/>
    <w:rsid w:val="00413C3F"/>
    <w:rPr>
      <w:sz w:val="24"/>
    </w:rPr>
  </w:style>
  <w:style w:type="paragraph" w:customStyle="1" w:styleId="SOC">
    <w:name w:val="SOC"/>
    <w:basedOn w:val="BodyText"/>
    <w:rsid w:val="00413C3F"/>
    <w:pPr>
      <w:spacing w:before="0" w:after="140" w:line="240" w:lineRule="auto"/>
    </w:pPr>
    <w:rPr>
      <w:rFonts w:ascii="Arial" w:hAnsi="Arial"/>
    </w:rPr>
  </w:style>
  <w:style w:type="character" w:styleId="FollowedHyperlink">
    <w:name w:val="FollowedHyperlink"/>
    <w:rsid w:val="00413C3F"/>
    <w:rPr>
      <w:color w:val="800080"/>
      <w:u w:val="single"/>
    </w:rPr>
  </w:style>
  <w:style w:type="paragraph" w:customStyle="1" w:styleId="DocInfo">
    <w:name w:val="Doc Info"/>
    <w:basedOn w:val="Normal"/>
    <w:next w:val="Normal"/>
    <w:rsid w:val="00413C3F"/>
    <w:pPr>
      <w:jc w:val="center"/>
    </w:pPr>
    <w:rPr>
      <w:rFonts w:ascii="Arial" w:hAnsi="Arial"/>
      <w:sz w:val="14"/>
    </w:rPr>
  </w:style>
  <w:style w:type="paragraph" w:customStyle="1" w:styleId="Heading2NotTOC">
    <w:name w:val="Heading 2 Not TOC"/>
    <w:basedOn w:val="Heading2"/>
    <w:next w:val="BodyText"/>
    <w:rsid w:val="00413C3F"/>
    <w:pPr>
      <w:outlineLvl w:val="9"/>
    </w:pPr>
  </w:style>
  <w:style w:type="paragraph" w:customStyle="1" w:styleId="indenta">
    <w:name w:val="indent(a)"/>
    <w:aliases w:val="a"/>
    <w:basedOn w:val="Normal"/>
    <w:rsid w:val="00413C3F"/>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
    <w:name w:val="Subsection"/>
    <w:aliases w:val="ss"/>
    <w:basedOn w:val="Normal"/>
    <w:rsid w:val="00413C3F"/>
    <w:pPr>
      <w:tabs>
        <w:tab w:val="right" w:pos="1021"/>
      </w:tabs>
      <w:autoSpaceDE w:val="0"/>
      <w:autoSpaceDN w:val="0"/>
      <w:spacing w:before="180" w:line="260" w:lineRule="atLeast"/>
      <w:ind w:left="1134" w:hanging="1134"/>
    </w:pPr>
    <w:rPr>
      <w:rFonts w:ascii="Times" w:hAnsi="Times" w:cs="Times"/>
      <w:sz w:val="22"/>
      <w:szCs w:val="22"/>
    </w:rPr>
  </w:style>
  <w:style w:type="paragraph" w:customStyle="1" w:styleId="TableFigSubtotal">
    <w:name w:val="Table/Fig: Subtotal"/>
    <w:basedOn w:val="Normal"/>
    <w:next w:val="Normal"/>
    <w:rsid w:val="00413C3F"/>
    <w:pPr>
      <w:keepLines/>
      <w:tabs>
        <w:tab w:val="left" w:pos="198"/>
      </w:tabs>
      <w:spacing w:before="60" w:after="60" w:line="200" w:lineRule="atLeast"/>
    </w:pPr>
    <w:rPr>
      <w:rFonts w:ascii="Arial" w:hAnsi="Arial"/>
      <w:i/>
      <w:color w:val="000000"/>
      <w:sz w:val="16"/>
      <w:szCs w:val="20"/>
      <w:lang w:eastAsia="en-US"/>
    </w:rPr>
  </w:style>
  <w:style w:type="character" w:customStyle="1" w:styleId="Heading4Char">
    <w:name w:val="Heading 4 Char"/>
    <w:basedOn w:val="DefaultParagraphFont"/>
    <w:link w:val="Heading4"/>
    <w:rsid w:val="00E23D6E"/>
    <w:rPr>
      <w:rFonts w:ascii="Arial" w:hAnsi="Arial"/>
      <w:sz w:val="24"/>
    </w:rPr>
  </w:style>
  <w:style w:type="character" w:customStyle="1" w:styleId="Heading5Char">
    <w:name w:val="Heading 5 Char"/>
    <w:basedOn w:val="DefaultParagraphFont"/>
    <w:link w:val="Heading5"/>
    <w:rsid w:val="001229E1"/>
    <w:rPr>
      <w:rFonts w:ascii="Arial" w:hAnsi="Arial"/>
      <w:i/>
      <w:sz w:val="22"/>
    </w:rPr>
  </w:style>
  <w:style w:type="paragraph" w:customStyle="1" w:styleId="AIHWbodytext">
    <w:name w:val="AIHW body text"/>
    <w:link w:val="AIHWbodytextChar"/>
    <w:rsid w:val="00413C3F"/>
    <w:pPr>
      <w:spacing w:before="60" w:after="40" w:line="260" w:lineRule="atLeast"/>
    </w:pPr>
    <w:rPr>
      <w:rFonts w:ascii="Book Antiqua" w:hAnsi="Book Antiqua"/>
      <w:color w:val="000000"/>
      <w:sz w:val="22"/>
      <w:lang w:eastAsia="en-US"/>
    </w:rPr>
  </w:style>
  <w:style w:type="character" w:customStyle="1" w:styleId="AIHWbodytextChar">
    <w:name w:val="AIHW body text Char"/>
    <w:link w:val="AIHWbodytext"/>
    <w:rsid w:val="00413C3F"/>
    <w:rPr>
      <w:rFonts w:ascii="Book Antiqua" w:hAnsi="Book Antiqua"/>
      <w:color w:val="000000"/>
      <w:sz w:val="22"/>
      <w:lang w:eastAsia="en-US"/>
    </w:rPr>
  </w:style>
  <w:style w:type="character" w:customStyle="1" w:styleId="CaptionChar">
    <w:name w:val="Caption Char"/>
    <w:link w:val="Caption"/>
    <w:rsid w:val="00413C3F"/>
    <w:rPr>
      <w:rFonts w:ascii="Arial" w:hAnsi="Arial"/>
      <w:b/>
      <w:sz w:val="24"/>
      <w:szCs w:val="24"/>
    </w:rPr>
  </w:style>
  <w:style w:type="character" w:customStyle="1" w:styleId="BoxTitleChar">
    <w:name w:val="Box Title Char"/>
    <w:basedOn w:val="CaptionChar"/>
    <w:link w:val="BoxTitle"/>
    <w:rsid w:val="00413C3F"/>
    <w:rPr>
      <w:rFonts w:ascii="Arial" w:hAnsi="Arial"/>
      <w:b/>
      <w:sz w:val="24"/>
      <w:szCs w:val="24"/>
    </w:rPr>
  </w:style>
  <w:style w:type="character" w:customStyle="1" w:styleId="FigureTitleChar">
    <w:name w:val="Figure Title Char"/>
    <w:basedOn w:val="CaptionChar"/>
    <w:link w:val="FigureTitle"/>
    <w:rsid w:val="00413C3F"/>
    <w:rPr>
      <w:rFonts w:ascii="Arial" w:hAnsi="Arial"/>
      <w:b/>
      <w:sz w:val="24"/>
      <w:szCs w:val="24"/>
    </w:rPr>
  </w:style>
  <w:style w:type="paragraph" w:customStyle="1" w:styleId="Bullet1">
    <w:name w:val="Bullet 1"/>
    <w:basedOn w:val="Normal"/>
    <w:link w:val="Bullet1Char"/>
    <w:rsid w:val="00413C3F"/>
    <w:pPr>
      <w:numPr>
        <w:numId w:val="1"/>
      </w:numPr>
      <w:spacing w:before="40" w:after="40" w:line="260" w:lineRule="atLeast"/>
    </w:pPr>
    <w:rPr>
      <w:rFonts w:ascii="Book Antiqua" w:hAnsi="Book Antiqua"/>
      <w:color w:val="000000"/>
      <w:sz w:val="22"/>
      <w:szCs w:val="20"/>
      <w:lang w:eastAsia="en-US"/>
    </w:rPr>
  </w:style>
  <w:style w:type="character" w:customStyle="1" w:styleId="Bullet1Char">
    <w:name w:val="Bullet 1 Char"/>
    <w:link w:val="Bullet1"/>
    <w:locked/>
    <w:rsid w:val="00413C3F"/>
    <w:rPr>
      <w:rFonts w:ascii="Book Antiqua" w:hAnsi="Book Antiqua"/>
      <w:color w:val="000000"/>
      <w:sz w:val="22"/>
      <w:lang w:eastAsia="en-US"/>
    </w:rPr>
  </w:style>
  <w:style w:type="paragraph" w:customStyle="1" w:styleId="Body2">
    <w:name w:val="Body 2"/>
    <w:basedOn w:val="Normal"/>
    <w:rsid w:val="00413C3F"/>
    <w:pPr>
      <w:overflowPunct w:val="0"/>
      <w:autoSpaceDE w:val="0"/>
      <w:autoSpaceDN w:val="0"/>
      <w:adjustRightInd w:val="0"/>
      <w:spacing w:after="240"/>
      <w:ind w:left="1440"/>
      <w:textAlignment w:val="baseline"/>
    </w:pPr>
    <w:rPr>
      <w:szCs w:val="20"/>
      <w:lang w:eastAsia="en-US"/>
    </w:rPr>
  </w:style>
  <w:style w:type="paragraph" w:customStyle="1" w:styleId="TableBullet2">
    <w:name w:val="Table Bullet 2"/>
    <w:basedOn w:val="TableBullet"/>
    <w:rsid w:val="00413C3F"/>
    <w:pPr>
      <w:numPr>
        <w:numId w:val="0"/>
      </w:numPr>
      <w:tabs>
        <w:tab w:val="num" w:pos="1021"/>
      </w:tabs>
      <w:ind w:left="1021" w:hanging="341"/>
    </w:pPr>
  </w:style>
  <w:style w:type="character" w:customStyle="1" w:styleId="BoxSourceChar">
    <w:name w:val="Box Source Char"/>
    <w:basedOn w:val="SourceChar"/>
    <w:link w:val="BoxSource"/>
    <w:rsid w:val="00413C3F"/>
    <w:rPr>
      <w:rFonts w:ascii="Arial" w:hAnsi="Arial"/>
      <w:sz w:val="18"/>
    </w:rPr>
  </w:style>
  <w:style w:type="paragraph" w:customStyle="1" w:styleId="Headinglevel3">
    <w:name w:val="Heading level 3"/>
    <w:basedOn w:val="BodyText"/>
    <w:rsid w:val="00413C3F"/>
  </w:style>
  <w:style w:type="paragraph" w:customStyle="1" w:styleId="Default">
    <w:name w:val="Default"/>
    <w:rsid w:val="00413C3F"/>
    <w:pPr>
      <w:widowControl w:val="0"/>
      <w:autoSpaceDE w:val="0"/>
      <w:autoSpaceDN w:val="0"/>
      <w:adjustRightInd w:val="0"/>
    </w:pPr>
    <w:rPr>
      <w:rFonts w:ascii="Gotham" w:hAnsi="Gotham" w:cs="Gotham"/>
      <w:color w:val="000000"/>
      <w:sz w:val="24"/>
      <w:szCs w:val="24"/>
      <w:lang w:val="en-US" w:eastAsia="en-US"/>
    </w:rPr>
  </w:style>
  <w:style w:type="paragraph" w:styleId="Revision">
    <w:name w:val="Revision"/>
    <w:hidden/>
    <w:uiPriority w:val="99"/>
    <w:semiHidden/>
    <w:rsid w:val="00413C3F"/>
    <w:rPr>
      <w:sz w:val="26"/>
      <w:szCs w:val="24"/>
    </w:rPr>
  </w:style>
  <w:style w:type="character" w:customStyle="1" w:styleId="HeaderChar">
    <w:name w:val="Header Char"/>
    <w:basedOn w:val="DefaultParagraphFont"/>
    <w:link w:val="Header"/>
    <w:locked/>
    <w:rsid w:val="00E23D6E"/>
    <w:rPr>
      <w:rFonts w:ascii="Arial" w:hAnsi="Arial"/>
      <w:caps/>
      <w:sz w:val="24"/>
    </w:rPr>
  </w:style>
  <w:style w:type="paragraph" w:styleId="PlainText">
    <w:name w:val="Plain Text"/>
    <w:basedOn w:val="Normal"/>
    <w:link w:val="PlainTextChar"/>
    <w:uiPriority w:val="99"/>
    <w:unhideWhenUsed/>
    <w:rsid w:val="00413C3F"/>
    <w:pPr>
      <w:spacing w:after="200" w:line="276" w:lineRule="auto"/>
    </w:pPr>
    <w:rPr>
      <w:rFonts w:ascii="Gill Sans MT" w:eastAsiaTheme="minorHAnsi" w:hAnsi="Gill Sans MT" w:cstheme="minorBidi"/>
      <w:sz w:val="22"/>
      <w:szCs w:val="22"/>
      <w:lang w:eastAsia="en-US"/>
    </w:rPr>
  </w:style>
  <w:style w:type="character" w:customStyle="1" w:styleId="PlainTextChar">
    <w:name w:val="Plain Text Char"/>
    <w:basedOn w:val="DefaultParagraphFont"/>
    <w:link w:val="PlainText"/>
    <w:uiPriority w:val="99"/>
    <w:rsid w:val="00413C3F"/>
    <w:rPr>
      <w:rFonts w:ascii="Gill Sans MT" w:eastAsiaTheme="minorHAnsi" w:hAnsi="Gill Sans MT" w:cstheme="minorBidi"/>
      <w:sz w:val="22"/>
      <w:szCs w:val="22"/>
      <w:lang w:eastAsia="en-US"/>
    </w:rPr>
  </w:style>
  <w:style w:type="character" w:customStyle="1" w:styleId="ReferenceChar">
    <w:name w:val="Reference Char"/>
    <w:link w:val="Reference"/>
    <w:rsid w:val="00413C3F"/>
    <w:rPr>
      <w:sz w:val="24"/>
    </w:rPr>
  </w:style>
  <w:style w:type="paragraph" w:styleId="TOCHeading">
    <w:name w:val="TOC Heading"/>
    <w:basedOn w:val="Heading1"/>
    <w:next w:val="Normal"/>
    <w:uiPriority w:val="39"/>
    <w:unhideWhenUsed/>
    <w:qFormat/>
    <w:rsid w:val="00CF189D"/>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paragraph" w:customStyle="1" w:styleId="KeyPointsListBullet">
    <w:name w:val="Key Points List Bullet"/>
    <w:basedOn w:val="Normal"/>
    <w:qFormat/>
    <w:rsid w:val="001229E1"/>
    <w:pPr>
      <w:keepNext/>
      <w:numPr>
        <w:numId w:val="13"/>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1229E1"/>
    <w:pPr>
      <w:numPr>
        <w:numId w:val="14"/>
      </w:numPr>
      <w:ind w:left="568" w:hanging="284"/>
    </w:pPr>
  </w:style>
  <w:style w:type="paragraph" w:customStyle="1" w:styleId="InformationRequestTitle">
    <w:name w:val="Information Request Title"/>
    <w:basedOn w:val="FindingTitle"/>
    <w:next w:val="InformationRequest"/>
    <w:rsid w:val="001229E1"/>
    <w:rPr>
      <w:i/>
    </w:rPr>
  </w:style>
  <w:style w:type="paragraph" w:customStyle="1" w:styleId="Space">
    <w:name w:val="Space"/>
    <w:basedOn w:val="Normal"/>
    <w:rsid w:val="001229E1"/>
    <w:pPr>
      <w:keepNext/>
      <w:spacing w:line="120" w:lineRule="exact"/>
      <w:jc w:val="both"/>
    </w:pPr>
    <w:rPr>
      <w:rFonts w:ascii="Arial" w:hAnsi="Arial"/>
      <w:sz w:val="20"/>
      <w:szCs w:val="20"/>
    </w:rPr>
  </w:style>
  <w:style w:type="paragraph" w:customStyle="1" w:styleId="Heading1nochapterno">
    <w:name w:val="Heading 1 (no chapter no.)"/>
    <w:basedOn w:val="Heading1"/>
    <w:rsid w:val="001229E1"/>
    <w:pPr>
      <w:spacing w:before="0"/>
      <w:ind w:left="0" w:firstLine="0"/>
    </w:pPr>
  </w:style>
  <w:style w:type="paragraph" w:customStyle="1" w:styleId="Heading2nosectionno">
    <w:name w:val="Heading 2 (no section no.)"/>
    <w:basedOn w:val="Heading2"/>
    <w:rsid w:val="001229E1"/>
    <w:pPr>
      <w:ind w:left="0" w:firstLine="0"/>
    </w:pPr>
  </w:style>
  <w:style w:type="paragraph" w:customStyle="1" w:styleId="Figurespace">
    <w:name w:val="Figure space"/>
    <w:basedOn w:val="Box"/>
    <w:rsid w:val="001229E1"/>
    <w:pPr>
      <w:spacing w:before="0" w:line="120" w:lineRule="exact"/>
    </w:pPr>
  </w:style>
  <w:style w:type="paragraph" w:customStyle="1" w:styleId="FooterDraftReport">
    <w:name w:val="FooterDraftReport"/>
    <w:basedOn w:val="Footer"/>
    <w:link w:val="FooterDraftReportChar"/>
    <w:rsid w:val="001229E1"/>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1229E1"/>
    <w:rPr>
      <w:rFonts w:ascii="Arial" w:hAnsi="Arial"/>
      <w:caps/>
      <w:spacing w:val="-4"/>
      <w:sz w:val="16"/>
    </w:rPr>
  </w:style>
  <w:style w:type="character" w:customStyle="1" w:styleId="FooterDraftReportChar">
    <w:name w:val="FooterDraftReport Char"/>
    <w:basedOn w:val="FooterChar"/>
    <w:link w:val="FooterDraftReport"/>
    <w:rsid w:val="001229E1"/>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1229E1"/>
    <w:rPr>
      <w:rFonts w:ascii="Arial" w:hAnsi="Arial"/>
      <w:b/>
      <w:sz w:val="26"/>
      <w:szCs w:val="26"/>
      <w:lang w:eastAsia="en-US"/>
    </w:rPr>
  </w:style>
  <w:style w:type="paragraph" w:customStyle="1" w:styleId="Copyrightbodytext">
    <w:name w:val="Copyright bodytext"/>
    <w:basedOn w:val="BodyText"/>
    <w:link w:val="CopyrightbodytextChar"/>
    <w:qFormat/>
    <w:rsid w:val="00943818"/>
    <w:pPr>
      <w:spacing w:before="60"/>
    </w:pPr>
    <w:rPr>
      <w:sz w:val="22"/>
    </w:rPr>
  </w:style>
  <w:style w:type="character" w:customStyle="1" w:styleId="CopyrightbodytextChar">
    <w:name w:val="Copyright bodytext Char"/>
    <w:basedOn w:val="BodyTextChar"/>
    <w:link w:val="Copyrightbodytext"/>
    <w:rsid w:val="00943818"/>
    <w:rPr>
      <w:sz w:val="22"/>
    </w:rPr>
  </w:style>
  <w:style w:type="paragraph" w:customStyle="1" w:styleId="Heading1NotTOC">
    <w:name w:val="Heading 1 Not TOC"/>
    <w:basedOn w:val="Heading1"/>
    <w:next w:val="BodyText"/>
    <w:rsid w:val="00943818"/>
    <w:rPr>
      <w:kern w:val="28"/>
      <w:szCs w:val="26"/>
      <w:lang w:eastAsia="en-US"/>
    </w:rPr>
  </w:style>
  <w:style w:type="character" w:styleId="Strong">
    <w:name w:val="Strong"/>
    <w:basedOn w:val="DefaultParagraphFont"/>
    <w:uiPriority w:val="22"/>
    <w:qFormat/>
    <w:rsid w:val="006A65CF"/>
    <w:rPr>
      <w:b/>
      <w:bCs/>
    </w:rPr>
  </w:style>
  <w:style w:type="character" w:customStyle="1" w:styleId="apple-converted-space">
    <w:name w:val="apple-converted-space"/>
    <w:basedOn w:val="DefaultParagraphFont"/>
    <w:rsid w:val="00E97A05"/>
  </w:style>
  <w:style w:type="character" w:customStyle="1" w:styleId="Continuedintitle">
    <w:name w:val="Continued (in title)"/>
    <w:basedOn w:val="DefaultParagraphFont"/>
    <w:rsid w:val="001229E1"/>
    <w:rPr>
      <w:rFonts w:ascii="Arial" w:hAnsi="Arial"/>
      <w:b/>
      <w:sz w:val="18"/>
    </w:rPr>
  </w:style>
  <w:style w:type="character" w:customStyle="1" w:styleId="FootnoteTextChar">
    <w:name w:val="Footnote Text Char"/>
    <w:basedOn w:val="DefaultParagraphFont"/>
    <w:link w:val="FootnoteText"/>
    <w:rsid w:val="00E23D6E"/>
  </w:style>
  <w:style w:type="character" w:customStyle="1" w:styleId="Heading6Char">
    <w:name w:val="Heading 6 Char"/>
    <w:basedOn w:val="DefaultParagraphFont"/>
    <w:link w:val="Heading6"/>
    <w:rsid w:val="00E23D6E"/>
    <w:rPr>
      <w:i/>
      <w:sz w:val="22"/>
    </w:rPr>
  </w:style>
  <w:style w:type="character" w:customStyle="1" w:styleId="Heading7Char">
    <w:name w:val="Heading 7 Char"/>
    <w:basedOn w:val="DefaultParagraphFont"/>
    <w:link w:val="Heading7"/>
    <w:rsid w:val="00E23D6E"/>
    <w:rPr>
      <w:rFonts w:ascii="Arial" w:hAnsi="Arial"/>
    </w:rPr>
  </w:style>
  <w:style w:type="character" w:customStyle="1" w:styleId="Heading8Char">
    <w:name w:val="Heading 8 Char"/>
    <w:basedOn w:val="DefaultParagraphFont"/>
    <w:link w:val="Heading8"/>
    <w:rsid w:val="00E23D6E"/>
    <w:rPr>
      <w:rFonts w:ascii="Arial" w:hAnsi="Arial"/>
      <w:i/>
    </w:rPr>
  </w:style>
  <w:style w:type="character" w:customStyle="1" w:styleId="Heading9Char">
    <w:name w:val="Heading 9 Char"/>
    <w:basedOn w:val="DefaultParagraphFont"/>
    <w:link w:val="Heading9"/>
    <w:rsid w:val="00E23D6E"/>
    <w:rPr>
      <w:rFonts w:ascii="Arial" w:hAnsi="Arial"/>
      <w:b/>
      <w:i/>
      <w:sz w:val="18"/>
    </w:rPr>
  </w:style>
  <w:style w:type="character" w:customStyle="1" w:styleId="QuoteChar">
    <w:name w:val="Quote Char"/>
    <w:basedOn w:val="DefaultParagraphFont"/>
    <w:link w:val="Quote"/>
    <w:rsid w:val="00E23D6E"/>
    <w:rPr>
      <w:sz w:val="22"/>
    </w:rPr>
  </w:style>
  <w:style w:type="character" w:styleId="LineNumber">
    <w:name w:val="line number"/>
    <w:basedOn w:val="DefaultParagraphFont"/>
    <w:semiHidden/>
    <w:rsid w:val="000F2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017">
      <w:bodyDiv w:val="1"/>
      <w:marLeft w:val="0"/>
      <w:marRight w:val="0"/>
      <w:marTop w:val="0"/>
      <w:marBottom w:val="0"/>
      <w:divBdr>
        <w:top w:val="none" w:sz="0" w:space="0" w:color="auto"/>
        <w:left w:val="none" w:sz="0" w:space="0" w:color="auto"/>
        <w:bottom w:val="none" w:sz="0" w:space="0" w:color="auto"/>
        <w:right w:val="none" w:sz="0" w:space="0" w:color="auto"/>
      </w:divBdr>
    </w:div>
    <w:div w:id="94905993">
      <w:bodyDiv w:val="1"/>
      <w:marLeft w:val="0"/>
      <w:marRight w:val="0"/>
      <w:marTop w:val="0"/>
      <w:marBottom w:val="0"/>
      <w:divBdr>
        <w:top w:val="none" w:sz="0" w:space="0" w:color="auto"/>
        <w:left w:val="none" w:sz="0" w:space="0" w:color="auto"/>
        <w:bottom w:val="none" w:sz="0" w:space="0" w:color="auto"/>
        <w:right w:val="none" w:sz="0" w:space="0" w:color="auto"/>
      </w:divBdr>
    </w:div>
    <w:div w:id="140344643">
      <w:bodyDiv w:val="1"/>
      <w:marLeft w:val="0"/>
      <w:marRight w:val="0"/>
      <w:marTop w:val="0"/>
      <w:marBottom w:val="0"/>
      <w:divBdr>
        <w:top w:val="none" w:sz="0" w:space="0" w:color="auto"/>
        <w:left w:val="none" w:sz="0" w:space="0" w:color="auto"/>
        <w:bottom w:val="none" w:sz="0" w:space="0" w:color="auto"/>
        <w:right w:val="none" w:sz="0" w:space="0" w:color="auto"/>
      </w:divBdr>
    </w:div>
    <w:div w:id="141122224">
      <w:bodyDiv w:val="1"/>
      <w:marLeft w:val="0"/>
      <w:marRight w:val="0"/>
      <w:marTop w:val="0"/>
      <w:marBottom w:val="0"/>
      <w:divBdr>
        <w:top w:val="none" w:sz="0" w:space="0" w:color="auto"/>
        <w:left w:val="none" w:sz="0" w:space="0" w:color="auto"/>
        <w:bottom w:val="none" w:sz="0" w:space="0" w:color="auto"/>
        <w:right w:val="none" w:sz="0" w:space="0" w:color="auto"/>
      </w:divBdr>
    </w:div>
    <w:div w:id="179511432">
      <w:bodyDiv w:val="1"/>
      <w:marLeft w:val="0"/>
      <w:marRight w:val="0"/>
      <w:marTop w:val="0"/>
      <w:marBottom w:val="0"/>
      <w:divBdr>
        <w:top w:val="none" w:sz="0" w:space="0" w:color="auto"/>
        <w:left w:val="none" w:sz="0" w:space="0" w:color="auto"/>
        <w:bottom w:val="none" w:sz="0" w:space="0" w:color="auto"/>
        <w:right w:val="none" w:sz="0" w:space="0" w:color="auto"/>
      </w:divBdr>
    </w:div>
    <w:div w:id="216822637">
      <w:bodyDiv w:val="1"/>
      <w:marLeft w:val="0"/>
      <w:marRight w:val="0"/>
      <w:marTop w:val="0"/>
      <w:marBottom w:val="0"/>
      <w:divBdr>
        <w:top w:val="none" w:sz="0" w:space="0" w:color="auto"/>
        <w:left w:val="none" w:sz="0" w:space="0" w:color="auto"/>
        <w:bottom w:val="none" w:sz="0" w:space="0" w:color="auto"/>
        <w:right w:val="none" w:sz="0" w:space="0" w:color="auto"/>
      </w:divBdr>
    </w:div>
    <w:div w:id="254484787">
      <w:bodyDiv w:val="1"/>
      <w:marLeft w:val="0"/>
      <w:marRight w:val="0"/>
      <w:marTop w:val="0"/>
      <w:marBottom w:val="0"/>
      <w:divBdr>
        <w:top w:val="none" w:sz="0" w:space="0" w:color="auto"/>
        <w:left w:val="none" w:sz="0" w:space="0" w:color="auto"/>
        <w:bottom w:val="none" w:sz="0" w:space="0" w:color="auto"/>
        <w:right w:val="none" w:sz="0" w:space="0" w:color="auto"/>
      </w:divBdr>
    </w:div>
    <w:div w:id="260335416">
      <w:bodyDiv w:val="1"/>
      <w:marLeft w:val="0"/>
      <w:marRight w:val="0"/>
      <w:marTop w:val="0"/>
      <w:marBottom w:val="0"/>
      <w:divBdr>
        <w:top w:val="none" w:sz="0" w:space="0" w:color="auto"/>
        <w:left w:val="none" w:sz="0" w:space="0" w:color="auto"/>
        <w:bottom w:val="none" w:sz="0" w:space="0" w:color="auto"/>
        <w:right w:val="none" w:sz="0" w:space="0" w:color="auto"/>
      </w:divBdr>
    </w:div>
    <w:div w:id="377559374">
      <w:bodyDiv w:val="1"/>
      <w:marLeft w:val="0"/>
      <w:marRight w:val="0"/>
      <w:marTop w:val="0"/>
      <w:marBottom w:val="0"/>
      <w:divBdr>
        <w:top w:val="none" w:sz="0" w:space="0" w:color="auto"/>
        <w:left w:val="none" w:sz="0" w:space="0" w:color="auto"/>
        <w:bottom w:val="none" w:sz="0" w:space="0" w:color="auto"/>
        <w:right w:val="none" w:sz="0" w:space="0" w:color="auto"/>
      </w:divBdr>
    </w:div>
    <w:div w:id="409237409">
      <w:bodyDiv w:val="1"/>
      <w:marLeft w:val="0"/>
      <w:marRight w:val="0"/>
      <w:marTop w:val="0"/>
      <w:marBottom w:val="0"/>
      <w:divBdr>
        <w:top w:val="none" w:sz="0" w:space="0" w:color="auto"/>
        <w:left w:val="none" w:sz="0" w:space="0" w:color="auto"/>
        <w:bottom w:val="none" w:sz="0" w:space="0" w:color="auto"/>
        <w:right w:val="none" w:sz="0" w:space="0" w:color="auto"/>
      </w:divBdr>
    </w:div>
    <w:div w:id="424956810">
      <w:bodyDiv w:val="1"/>
      <w:marLeft w:val="0"/>
      <w:marRight w:val="0"/>
      <w:marTop w:val="0"/>
      <w:marBottom w:val="0"/>
      <w:divBdr>
        <w:top w:val="none" w:sz="0" w:space="0" w:color="auto"/>
        <w:left w:val="none" w:sz="0" w:space="0" w:color="auto"/>
        <w:bottom w:val="none" w:sz="0" w:space="0" w:color="auto"/>
        <w:right w:val="none" w:sz="0" w:space="0" w:color="auto"/>
      </w:divBdr>
    </w:div>
    <w:div w:id="562368928">
      <w:bodyDiv w:val="1"/>
      <w:marLeft w:val="0"/>
      <w:marRight w:val="0"/>
      <w:marTop w:val="0"/>
      <w:marBottom w:val="0"/>
      <w:divBdr>
        <w:top w:val="none" w:sz="0" w:space="0" w:color="auto"/>
        <w:left w:val="none" w:sz="0" w:space="0" w:color="auto"/>
        <w:bottom w:val="none" w:sz="0" w:space="0" w:color="auto"/>
        <w:right w:val="none" w:sz="0" w:space="0" w:color="auto"/>
      </w:divBdr>
    </w:div>
    <w:div w:id="600141604">
      <w:bodyDiv w:val="1"/>
      <w:marLeft w:val="0"/>
      <w:marRight w:val="0"/>
      <w:marTop w:val="0"/>
      <w:marBottom w:val="0"/>
      <w:divBdr>
        <w:top w:val="none" w:sz="0" w:space="0" w:color="auto"/>
        <w:left w:val="none" w:sz="0" w:space="0" w:color="auto"/>
        <w:bottom w:val="none" w:sz="0" w:space="0" w:color="auto"/>
        <w:right w:val="none" w:sz="0" w:space="0" w:color="auto"/>
      </w:divBdr>
    </w:div>
    <w:div w:id="628441623">
      <w:bodyDiv w:val="1"/>
      <w:marLeft w:val="0"/>
      <w:marRight w:val="0"/>
      <w:marTop w:val="0"/>
      <w:marBottom w:val="0"/>
      <w:divBdr>
        <w:top w:val="none" w:sz="0" w:space="0" w:color="auto"/>
        <w:left w:val="none" w:sz="0" w:space="0" w:color="auto"/>
        <w:bottom w:val="none" w:sz="0" w:space="0" w:color="auto"/>
        <w:right w:val="none" w:sz="0" w:space="0" w:color="auto"/>
      </w:divBdr>
    </w:div>
    <w:div w:id="788622242">
      <w:bodyDiv w:val="1"/>
      <w:marLeft w:val="0"/>
      <w:marRight w:val="0"/>
      <w:marTop w:val="0"/>
      <w:marBottom w:val="0"/>
      <w:divBdr>
        <w:top w:val="none" w:sz="0" w:space="0" w:color="auto"/>
        <w:left w:val="none" w:sz="0" w:space="0" w:color="auto"/>
        <w:bottom w:val="none" w:sz="0" w:space="0" w:color="auto"/>
        <w:right w:val="none" w:sz="0" w:space="0" w:color="auto"/>
      </w:divBdr>
    </w:div>
    <w:div w:id="879975682">
      <w:bodyDiv w:val="1"/>
      <w:marLeft w:val="0"/>
      <w:marRight w:val="0"/>
      <w:marTop w:val="0"/>
      <w:marBottom w:val="0"/>
      <w:divBdr>
        <w:top w:val="none" w:sz="0" w:space="0" w:color="auto"/>
        <w:left w:val="none" w:sz="0" w:space="0" w:color="auto"/>
        <w:bottom w:val="none" w:sz="0" w:space="0" w:color="auto"/>
        <w:right w:val="none" w:sz="0" w:space="0" w:color="auto"/>
      </w:divBdr>
    </w:div>
    <w:div w:id="1141574613">
      <w:bodyDiv w:val="1"/>
      <w:marLeft w:val="0"/>
      <w:marRight w:val="0"/>
      <w:marTop w:val="0"/>
      <w:marBottom w:val="0"/>
      <w:divBdr>
        <w:top w:val="none" w:sz="0" w:space="0" w:color="auto"/>
        <w:left w:val="none" w:sz="0" w:space="0" w:color="auto"/>
        <w:bottom w:val="none" w:sz="0" w:space="0" w:color="auto"/>
        <w:right w:val="none" w:sz="0" w:space="0" w:color="auto"/>
      </w:divBdr>
    </w:div>
    <w:div w:id="1150172131">
      <w:bodyDiv w:val="1"/>
      <w:marLeft w:val="0"/>
      <w:marRight w:val="0"/>
      <w:marTop w:val="0"/>
      <w:marBottom w:val="0"/>
      <w:divBdr>
        <w:top w:val="none" w:sz="0" w:space="0" w:color="auto"/>
        <w:left w:val="none" w:sz="0" w:space="0" w:color="auto"/>
        <w:bottom w:val="none" w:sz="0" w:space="0" w:color="auto"/>
        <w:right w:val="none" w:sz="0" w:space="0" w:color="auto"/>
      </w:divBdr>
    </w:div>
    <w:div w:id="1272975705">
      <w:bodyDiv w:val="1"/>
      <w:marLeft w:val="0"/>
      <w:marRight w:val="0"/>
      <w:marTop w:val="0"/>
      <w:marBottom w:val="0"/>
      <w:divBdr>
        <w:top w:val="none" w:sz="0" w:space="0" w:color="auto"/>
        <w:left w:val="none" w:sz="0" w:space="0" w:color="auto"/>
        <w:bottom w:val="none" w:sz="0" w:space="0" w:color="auto"/>
        <w:right w:val="none" w:sz="0" w:space="0" w:color="auto"/>
      </w:divBdr>
    </w:div>
    <w:div w:id="1296259229">
      <w:bodyDiv w:val="1"/>
      <w:marLeft w:val="0"/>
      <w:marRight w:val="0"/>
      <w:marTop w:val="0"/>
      <w:marBottom w:val="0"/>
      <w:divBdr>
        <w:top w:val="none" w:sz="0" w:space="0" w:color="auto"/>
        <w:left w:val="none" w:sz="0" w:space="0" w:color="auto"/>
        <w:bottom w:val="none" w:sz="0" w:space="0" w:color="auto"/>
        <w:right w:val="none" w:sz="0" w:space="0" w:color="auto"/>
      </w:divBdr>
    </w:div>
    <w:div w:id="1350526999">
      <w:bodyDiv w:val="1"/>
      <w:marLeft w:val="0"/>
      <w:marRight w:val="0"/>
      <w:marTop w:val="0"/>
      <w:marBottom w:val="0"/>
      <w:divBdr>
        <w:top w:val="none" w:sz="0" w:space="0" w:color="auto"/>
        <w:left w:val="none" w:sz="0" w:space="0" w:color="auto"/>
        <w:bottom w:val="none" w:sz="0" w:space="0" w:color="auto"/>
        <w:right w:val="none" w:sz="0" w:space="0" w:color="auto"/>
      </w:divBdr>
    </w:div>
    <w:div w:id="1689792735">
      <w:bodyDiv w:val="1"/>
      <w:marLeft w:val="0"/>
      <w:marRight w:val="0"/>
      <w:marTop w:val="0"/>
      <w:marBottom w:val="0"/>
      <w:divBdr>
        <w:top w:val="none" w:sz="0" w:space="0" w:color="auto"/>
        <w:left w:val="none" w:sz="0" w:space="0" w:color="auto"/>
        <w:bottom w:val="none" w:sz="0" w:space="0" w:color="auto"/>
        <w:right w:val="none" w:sz="0" w:space="0" w:color="auto"/>
      </w:divBdr>
    </w:div>
    <w:div w:id="1790973034">
      <w:bodyDiv w:val="1"/>
      <w:marLeft w:val="0"/>
      <w:marRight w:val="0"/>
      <w:marTop w:val="0"/>
      <w:marBottom w:val="0"/>
      <w:divBdr>
        <w:top w:val="none" w:sz="0" w:space="0" w:color="auto"/>
        <w:left w:val="none" w:sz="0" w:space="0" w:color="auto"/>
        <w:bottom w:val="none" w:sz="0" w:space="0" w:color="auto"/>
        <w:right w:val="none" w:sz="0" w:space="0" w:color="auto"/>
      </w:divBdr>
    </w:div>
    <w:div w:id="1839955577">
      <w:bodyDiv w:val="1"/>
      <w:marLeft w:val="0"/>
      <w:marRight w:val="0"/>
      <w:marTop w:val="0"/>
      <w:marBottom w:val="0"/>
      <w:divBdr>
        <w:top w:val="none" w:sz="0" w:space="0" w:color="auto"/>
        <w:left w:val="none" w:sz="0" w:space="0" w:color="auto"/>
        <w:bottom w:val="none" w:sz="0" w:space="0" w:color="auto"/>
        <w:right w:val="none" w:sz="0" w:space="0" w:color="auto"/>
      </w:divBdr>
    </w:div>
    <w:div w:id="187592672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7788024">
      <w:bodyDiv w:val="1"/>
      <w:marLeft w:val="0"/>
      <w:marRight w:val="0"/>
      <w:marTop w:val="0"/>
      <w:marBottom w:val="0"/>
      <w:divBdr>
        <w:top w:val="none" w:sz="0" w:space="0" w:color="auto"/>
        <w:left w:val="none" w:sz="0" w:space="0" w:color="auto"/>
        <w:bottom w:val="none" w:sz="0" w:space="0" w:color="auto"/>
        <w:right w:val="none" w:sz="0" w:space="0" w:color="auto"/>
      </w:divBdr>
    </w:div>
    <w:div w:id="2042701356">
      <w:bodyDiv w:val="1"/>
      <w:marLeft w:val="0"/>
      <w:marRight w:val="0"/>
      <w:marTop w:val="0"/>
      <w:marBottom w:val="0"/>
      <w:divBdr>
        <w:top w:val="none" w:sz="0" w:space="0" w:color="auto"/>
        <w:left w:val="none" w:sz="0" w:space="0" w:color="auto"/>
        <w:bottom w:val="none" w:sz="0" w:space="0" w:color="auto"/>
        <w:right w:val="none" w:sz="0" w:space="0" w:color="auto"/>
      </w:divBdr>
    </w:div>
    <w:div w:id="2083406127">
      <w:bodyDiv w:val="1"/>
      <w:marLeft w:val="0"/>
      <w:marRight w:val="0"/>
      <w:marTop w:val="0"/>
      <w:marBottom w:val="0"/>
      <w:divBdr>
        <w:top w:val="none" w:sz="0" w:space="0" w:color="auto"/>
        <w:left w:val="none" w:sz="0" w:space="0" w:color="auto"/>
        <w:bottom w:val="none" w:sz="0" w:space="0" w:color="auto"/>
        <w:right w:val="none" w:sz="0" w:space="0" w:color="auto"/>
      </w:divBdr>
    </w:div>
    <w:div w:id="2114549637">
      <w:bodyDiv w:val="1"/>
      <w:marLeft w:val="0"/>
      <w:marRight w:val="0"/>
      <w:marTop w:val="0"/>
      <w:marBottom w:val="0"/>
      <w:divBdr>
        <w:top w:val="none" w:sz="0" w:space="0" w:color="auto"/>
        <w:left w:val="none" w:sz="0" w:space="0" w:color="auto"/>
        <w:bottom w:val="none" w:sz="0" w:space="0" w:color="auto"/>
        <w:right w:val="none" w:sz="0" w:space="0" w:color="auto"/>
      </w:divBdr>
    </w:div>
    <w:div w:id="2138643596">
      <w:bodyDiv w:val="1"/>
      <w:marLeft w:val="0"/>
      <w:marRight w:val="0"/>
      <w:marTop w:val="0"/>
      <w:marBottom w:val="0"/>
      <w:divBdr>
        <w:top w:val="none" w:sz="0" w:space="0" w:color="auto"/>
        <w:left w:val="none" w:sz="0" w:space="0" w:color="auto"/>
        <w:bottom w:val="none" w:sz="0" w:space="0" w:color="auto"/>
        <w:right w:val="none" w:sz="0" w:space="0" w:color="auto"/>
      </w:divBdr>
    </w:div>
    <w:div w:id="21446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 Id="rId22" Type="http://schemas.openxmlformats.org/officeDocument/2006/relationships/chart" Target="charts/chart1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unce\Productivity%20Commission\OfficeTemplates%20-%20Documents\Templates\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 in supervision'!$B$4</c:f>
              <c:strCache>
                <c:ptCount val="1"/>
                <c:pt idx="0">
                  <c:v>Community</c:v>
                </c:pt>
              </c:strCache>
            </c:strRef>
          </c:tx>
          <c:spPr>
            <a:solidFill>
              <a:srgbClr val="66BCDB"/>
            </a:solidFill>
            <a:ln>
              <a:solidFill>
                <a:srgbClr val="66BCDB"/>
              </a:solidFill>
            </a:ln>
          </c:spPr>
          <c:invertIfNegative val="0"/>
          <c:cat>
            <c:multiLvlStrRef>
              <c:f>'% in supervision'!$C$2:$BL$3</c:f>
              <c:multiLvlStrCache>
                <c:ptCount val="62"/>
                <c:lvl>
                  <c:pt idx="0">
                    <c:v>2014-15</c:v>
                  </c:pt>
                  <c:pt idx="1">
                    <c:v>2015-16</c:v>
                  </c:pt>
                  <c:pt idx="2">
                    <c:v>2016-17</c:v>
                  </c:pt>
                  <c:pt idx="3">
                    <c:v>2017-18</c:v>
                  </c:pt>
                  <c:pt idx="4">
                    <c:v>2018-19</c:v>
                  </c:pt>
                  <c:pt idx="5">
                    <c:v>2019-20</c:v>
                  </c:pt>
                  <c:pt idx="7">
                    <c:v>2014-15</c:v>
                  </c:pt>
                  <c:pt idx="8">
                    <c:v>2015-16</c:v>
                  </c:pt>
                  <c:pt idx="9">
                    <c:v>2016-17</c:v>
                  </c:pt>
                  <c:pt idx="10">
                    <c:v>2017-18</c:v>
                  </c:pt>
                  <c:pt idx="11">
                    <c:v>2018-19</c:v>
                  </c:pt>
                  <c:pt idx="12">
                    <c:v>2019-20</c:v>
                  </c:pt>
                  <c:pt idx="14">
                    <c:v>2014-15</c:v>
                  </c:pt>
                  <c:pt idx="15">
                    <c:v>2015-16</c:v>
                  </c:pt>
                  <c:pt idx="16">
                    <c:v>2016-17</c:v>
                  </c:pt>
                  <c:pt idx="17">
                    <c:v>2017-18</c:v>
                  </c:pt>
                  <c:pt idx="18">
                    <c:v>2018-19</c:v>
                  </c:pt>
                  <c:pt idx="19">
                    <c:v>2019-20</c:v>
                  </c:pt>
                  <c:pt idx="21">
                    <c:v>2014-15</c:v>
                  </c:pt>
                  <c:pt idx="22">
                    <c:v>2015-16</c:v>
                  </c:pt>
                  <c:pt idx="23">
                    <c:v>2016-17</c:v>
                  </c:pt>
                  <c:pt idx="24">
                    <c:v>2017-18</c:v>
                  </c:pt>
                  <c:pt idx="25">
                    <c:v>2018-19</c:v>
                  </c:pt>
                  <c:pt idx="26">
                    <c:v>2019-20</c:v>
                  </c:pt>
                  <c:pt idx="28">
                    <c:v>2014-15</c:v>
                  </c:pt>
                  <c:pt idx="29">
                    <c:v>2015-16</c:v>
                  </c:pt>
                  <c:pt idx="30">
                    <c:v>2016-17</c:v>
                  </c:pt>
                  <c:pt idx="31">
                    <c:v>2017-18</c:v>
                  </c:pt>
                  <c:pt idx="32">
                    <c:v>2018-19</c:v>
                  </c:pt>
                  <c:pt idx="33">
                    <c:v>2019-20</c:v>
                  </c:pt>
                  <c:pt idx="35">
                    <c:v>2014-15</c:v>
                  </c:pt>
                  <c:pt idx="36">
                    <c:v>2015-16</c:v>
                  </c:pt>
                  <c:pt idx="37">
                    <c:v>2016-17</c:v>
                  </c:pt>
                  <c:pt idx="38">
                    <c:v>2017-18</c:v>
                  </c:pt>
                  <c:pt idx="39">
                    <c:v>2018-19</c:v>
                  </c:pt>
                  <c:pt idx="40">
                    <c:v>2019-20</c:v>
                  </c:pt>
                  <c:pt idx="42">
                    <c:v>2014-15</c:v>
                  </c:pt>
                  <c:pt idx="43">
                    <c:v>2015-16</c:v>
                  </c:pt>
                  <c:pt idx="44">
                    <c:v>2016-17</c:v>
                  </c:pt>
                  <c:pt idx="45">
                    <c:v>2017-18</c:v>
                  </c:pt>
                  <c:pt idx="46">
                    <c:v>2018-19</c:v>
                  </c:pt>
                  <c:pt idx="47">
                    <c:v>2019-20</c:v>
                  </c:pt>
                  <c:pt idx="49">
                    <c:v>2014-15</c:v>
                  </c:pt>
                  <c:pt idx="50">
                    <c:v>2015-16</c:v>
                  </c:pt>
                  <c:pt idx="51">
                    <c:v>2016-17</c:v>
                  </c:pt>
                  <c:pt idx="52">
                    <c:v>2017-18</c:v>
                  </c:pt>
                  <c:pt idx="53">
                    <c:v>2018-19</c:v>
                  </c:pt>
                  <c:pt idx="54">
                    <c:v>2019-20</c:v>
                  </c:pt>
                  <c:pt idx="56">
                    <c:v>2014-15</c:v>
                  </c:pt>
                  <c:pt idx="57">
                    <c:v>2015-16</c:v>
                  </c:pt>
                  <c:pt idx="58">
                    <c:v>2016-17</c:v>
                  </c:pt>
                  <c:pt idx="59">
                    <c:v>2017-18</c:v>
                  </c:pt>
                  <c:pt idx="60">
                    <c:v>2018-19</c:v>
                  </c:pt>
                  <c:pt idx="61">
                    <c:v>2019-20</c:v>
                  </c:pt>
                </c:lvl>
                <c:lvl>
                  <c:pt idx="0">
                    <c:v>NSW</c:v>
                  </c:pt>
                  <c:pt idx="7">
                    <c:v>Vic</c:v>
                  </c:pt>
                  <c:pt idx="14">
                    <c:v>Qld</c:v>
                  </c:pt>
                  <c:pt idx="21">
                    <c:v>WA</c:v>
                  </c:pt>
                  <c:pt idx="28">
                    <c:v>SA</c:v>
                  </c:pt>
                  <c:pt idx="35">
                    <c:v>Tas</c:v>
                  </c:pt>
                  <c:pt idx="42">
                    <c:v>ACT</c:v>
                  </c:pt>
                  <c:pt idx="49">
                    <c:v>NT</c:v>
                  </c:pt>
                  <c:pt idx="56">
                    <c:v>Aust</c:v>
                  </c:pt>
                </c:lvl>
              </c:multiLvlStrCache>
            </c:multiLvlStrRef>
          </c:cat>
          <c:val>
            <c:numRef>
              <c:f>'% in supervision'!$C$4:$BL$4</c:f>
              <c:numCache>
                <c:formatCode>0.0</c:formatCode>
                <c:ptCount val="62"/>
                <c:pt idx="0">
                  <c:v>82.335766423357654</c:v>
                </c:pt>
                <c:pt idx="1">
                  <c:v>82.286520818630919</c:v>
                </c:pt>
                <c:pt idx="2">
                  <c:v>81.728582259287336</c:v>
                </c:pt>
                <c:pt idx="3">
                  <c:v>80.295950155763236</c:v>
                </c:pt>
                <c:pt idx="4">
                  <c:v>82.229150428682772</c:v>
                </c:pt>
                <c:pt idx="5">
                  <c:v>84.564860426929386</c:v>
                </c:pt>
                <c:pt idx="7">
                  <c:v>89.473684210526315</c:v>
                </c:pt>
                <c:pt idx="8">
                  <c:v>86.393659180977551</c:v>
                </c:pt>
                <c:pt idx="9">
                  <c:v>82.801664355062414</c:v>
                </c:pt>
                <c:pt idx="10">
                  <c:v>81.818181818181827</c:v>
                </c:pt>
                <c:pt idx="11">
                  <c:v>81.59879336349924</c:v>
                </c:pt>
                <c:pt idx="12">
                  <c:v>80.209154492898989</c:v>
                </c:pt>
                <c:pt idx="14">
                  <c:v>88.085399449035819</c:v>
                </c:pt>
                <c:pt idx="15">
                  <c:v>86.24725676664228</c:v>
                </c:pt>
                <c:pt idx="16">
                  <c:v>86.390977443609017</c:v>
                </c:pt>
                <c:pt idx="17">
                  <c:v>86.295081967213122</c:v>
                </c:pt>
                <c:pt idx="18">
                  <c:v>84.988038277511961</c:v>
                </c:pt>
                <c:pt idx="19">
                  <c:v>85.193982581155979</c:v>
                </c:pt>
                <c:pt idx="21">
                  <c:v>80.211081794195252</c:v>
                </c:pt>
                <c:pt idx="22">
                  <c:v>82.273342354533156</c:v>
                </c:pt>
                <c:pt idx="23">
                  <c:v>81.198910081743875</c:v>
                </c:pt>
                <c:pt idx="24">
                  <c:v>80.161943319838059</c:v>
                </c:pt>
                <c:pt idx="25">
                  <c:v>81.604426002766246</c:v>
                </c:pt>
                <c:pt idx="26">
                  <c:v>84.284542364805816</c:v>
                </c:pt>
                <c:pt idx="28">
                  <c:v>84.406779661016955</c:v>
                </c:pt>
                <c:pt idx="29">
                  <c:v>80.286738351254485</c:v>
                </c:pt>
                <c:pt idx="30">
                  <c:v>82.437275985663078</c:v>
                </c:pt>
                <c:pt idx="31">
                  <c:v>81.632653061224488</c:v>
                </c:pt>
                <c:pt idx="32">
                  <c:v>81.25</c:v>
                </c:pt>
                <c:pt idx="33">
                  <c:v>87.439613526570042</c:v>
                </c:pt>
                <c:pt idx="35">
                  <c:v>91.428571428571431</c:v>
                </c:pt>
                <c:pt idx="36">
                  <c:v>91.666666666666657</c:v>
                </c:pt>
                <c:pt idx="37">
                  <c:v>90.099009900990097</c:v>
                </c:pt>
                <c:pt idx="38">
                  <c:v>90.990990990990994</c:v>
                </c:pt>
                <c:pt idx="39">
                  <c:v>90.839694656488547</c:v>
                </c:pt>
                <c:pt idx="40" formatCode="0">
                  <c:v>87.502387784810637</c:v>
                </c:pt>
                <c:pt idx="42">
                  <c:v>89.610389610389603</c:v>
                </c:pt>
                <c:pt idx="43">
                  <c:v>89.705882352941174</c:v>
                </c:pt>
                <c:pt idx="44">
                  <c:v>85.714285714285708</c:v>
                </c:pt>
                <c:pt idx="45">
                  <c:v>87.368421052631589</c:v>
                </c:pt>
                <c:pt idx="46">
                  <c:v>90.909090909090907</c:v>
                </c:pt>
                <c:pt idx="47">
                  <c:v>79.710144927536234</c:v>
                </c:pt>
                <c:pt idx="49">
                  <c:v>72.789115646258509</c:v>
                </c:pt>
                <c:pt idx="50">
                  <c:v>70.25316455696202</c:v>
                </c:pt>
                <c:pt idx="51">
                  <c:v>75.949367088607602</c:v>
                </c:pt>
                <c:pt idx="52">
                  <c:v>73.611111111111114</c:v>
                </c:pt>
                <c:pt idx="53">
                  <c:v>77.564102564102569</c:v>
                </c:pt>
                <c:pt idx="54">
                  <c:v>88.625592417061611</c:v>
                </c:pt>
                <c:pt idx="56">
                  <c:v>84.959839357429729</c:v>
                </c:pt>
                <c:pt idx="57">
                  <c:v>83.828653412584544</c:v>
                </c:pt>
                <c:pt idx="58">
                  <c:v>83.216634839804797</c:v>
                </c:pt>
                <c:pt idx="59">
                  <c:v>82.618556701030926</c:v>
                </c:pt>
                <c:pt idx="60">
                  <c:v>83.153171527636133</c:v>
                </c:pt>
                <c:pt idx="61">
                  <c:v>84.439658571852661</c:v>
                </c:pt>
              </c:numCache>
            </c:numRef>
          </c:val>
          <c:extLst>
            <c:ext xmlns:c16="http://schemas.microsoft.com/office/drawing/2014/chart" uri="{C3380CC4-5D6E-409C-BE32-E72D297353CC}">
              <c16:uniqueId val="{00000000-53D0-4C5B-8ECB-D97FC4DF58A6}"/>
            </c:ext>
          </c:extLst>
        </c:ser>
        <c:ser>
          <c:idx val="1"/>
          <c:order val="1"/>
          <c:tx>
            <c:strRef>
              <c:f>'% in supervision'!$B$5</c:f>
              <c:strCache>
                <c:ptCount val="1"/>
                <c:pt idx="0">
                  <c:v>Detention</c:v>
                </c:pt>
              </c:strCache>
            </c:strRef>
          </c:tx>
          <c:spPr>
            <a:solidFill>
              <a:srgbClr val="265A9A"/>
            </a:solidFill>
            <a:ln>
              <a:solidFill>
                <a:srgbClr val="265A9A"/>
              </a:solidFill>
            </a:ln>
          </c:spPr>
          <c:invertIfNegative val="0"/>
          <c:cat>
            <c:multiLvlStrRef>
              <c:f>'% in supervision'!$C$2:$BL$3</c:f>
              <c:multiLvlStrCache>
                <c:ptCount val="62"/>
                <c:lvl>
                  <c:pt idx="0">
                    <c:v>2014-15</c:v>
                  </c:pt>
                  <c:pt idx="1">
                    <c:v>2015-16</c:v>
                  </c:pt>
                  <c:pt idx="2">
                    <c:v>2016-17</c:v>
                  </c:pt>
                  <c:pt idx="3">
                    <c:v>2017-18</c:v>
                  </c:pt>
                  <c:pt idx="4">
                    <c:v>2018-19</c:v>
                  </c:pt>
                  <c:pt idx="5">
                    <c:v>2019-20</c:v>
                  </c:pt>
                  <c:pt idx="7">
                    <c:v>2014-15</c:v>
                  </c:pt>
                  <c:pt idx="8">
                    <c:v>2015-16</c:v>
                  </c:pt>
                  <c:pt idx="9">
                    <c:v>2016-17</c:v>
                  </c:pt>
                  <c:pt idx="10">
                    <c:v>2017-18</c:v>
                  </c:pt>
                  <c:pt idx="11">
                    <c:v>2018-19</c:v>
                  </c:pt>
                  <c:pt idx="12">
                    <c:v>2019-20</c:v>
                  </c:pt>
                  <c:pt idx="14">
                    <c:v>2014-15</c:v>
                  </c:pt>
                  <c:pt idx="15">
                    <c:v>2015-16</c:v>
                  </c:pt>
                  <c:pt idx="16">
                    <c:v>2016-17</c:v>
                  </c:pt>
                  <c:pt idx="17">
                    <c:v>2017-18</c:v>
                  </c:pt>
                  <c:pt idx="18">
                    <c:v>2018-19</c:v>
                  </c:pt>
                  <c:pt idx="19">
                    <c:v>2019-20</c:v>
                  </c:pt>
                  <c:pt idx="21">
                    <c:v>2014-15</c:v>
                  </c:pt>
                  <c:pt idx="22">
                    <c:v>2015-16</c:v>
                  </c:pt>
                  <c:pt idx="23">
                    <c:v>2016-17</c:v>
                  </c:pt>
                  <c:pt idx="24">
                    <c:v>2017-18</c:v>
                  </c:pt>
                  <c:pt idx="25">
                    <c:v>2018-19</c:v>
                  </c:pt>
                  <c:pt idx="26">
                    <c:v>2019-20</c:v>
                  </c:pt>
                  <c:pt idx="28">
                    <c:v>2014-15</c:v>
                  </c:pt>
                  <c:pt idx="29">
                    <c:v>2015-16</c:v>
                  </c:pt>
                  <c:pt idx="30">
                    <c:v>2016-17</c:v>
                  </c:pt>
                  <c:pt idx="31">
                    <c:v>2017-18</c:v>
                  </c:pt>
                  <c:pt idx="32">
                    <c:v>2018-19</c:v>
                  </c:pt>
                  <c:pt idx="33">
                    <c:v>2019-20</c:v>
                  </c:pt>
                  <c:pt idx="35">
                    <c:v>2014-15</c:v>
                  </c:pt>
                  <c:pt idx="36">
                    <c:v>2015-16</c:v>
                  </c:pt>
                  <c:pt idx="37">
                    <c:v>2016-17</c:v>
                  </c:pt>
                  <c:pt idx="38">
                    <c:v>2017-18</c:v>
                  </c:pt>
                  <c:pt idx="39">
                    <c:v>2018-19</c:v>
                  </c:pt>
                  <c:pt idx="40">
                    <c:v>2019-20</c:v>
                  </c:pt>
                  <c:pt idx="42">
                    <c:v>2014-15</c:v>
                  </c:pt>
                  <c:pt idx="43">
                    <c:v>2015-16</c:v>
                  </c:pt>
                  <c:pt idx="44">
                    <c:v>2016-17</c:v>
                  </c:pt>
                  <c:pt idx="45">
                    <c:v>2017-18</c:v>
                  </c:pt>
                  <c:pt idx="46">
                    <c:v>2018-19</c:v>
                  </c:pt>
                  <c:pt idx="47">
                    <c:v>2019-20</c:v>
                  </c:pt>
                  <c:pt idx="49">
                    <c:v>2014-15</c:v>
                  </c:pt>
                  <c:pt idx="50">
                    <c:v>2015-16</c:v>
                  </c:pt>
                  <c:pt idx="51">
                    <c:v>2016-17</c:v>
                  </c:pt>
                  <c:pt idx="52">
                    <c:v>2017-18</c:v>
                  </c:pt>
                  <c:pt idx="53">
                    <c:v>2018-19</c:v>
                  </c:pt>
                  <c:pt idx="54">
                    <c:v>2019-20</c:v>
                  </c:pt>
                  <c:pt idx="56">
                    <c:v>2014-15</c:v>
                  </c:pt>
                  <c:pt idx="57">
                    <c:v>2015-16</c:v>
                  </c:pt>
                  <c:pt idx="58">
                    <c:v>2016-17</c:v>
                  </c:pt>
                  <c:pt idx="59">
                    <c:v>2017-18</c:v>
                  </c:pt>
                  <c:pt idx="60">
                    <c:v>2018-19</c:v>
                  </c:pt>
                  <c:pt idx="61">
                    <c:v>2019-20</c:v>
                  </c:pt>
                </c:lvl>
                <c:lvl>
                  <c:pt idx="0">
                    <c:v>NSW</c:v>
                  </c:pt>
                  <c:pt idx="7">
                    <c:v>Vic</c:v>
                  </c:pt>
                  <c:pt idx="14">
                    <c:v>Qld</c:v>
                  </c:pt>
                  <c:pt idx="21">
                    <c:v>WA</c:v>
                  </c:pt>
                  <c:pt idx="28">
                    <c:v>SA</c:v>
                  </c:pt>
                  <c:pt idx="35">
                    <c:v>Tas</c:v>
                  </c:pt>
                  <c:pt idx="42">
                    <c:v>ACT</c:v>
                  </c:pt>
                  <c:pt idx="49">
                    <c:v>NT</c:v>
                  </c:pt>
                  <c:pt idx="56">
                    <c:v>Aust</c:v>
                  </c:pt>
                </c:lvl>
              </c:multiLvlStrCache>
            </c:multiLvlStrRef>
          </c:cat>
          <c:val>
            <c:numRef>
              <c:f>'% in supervision'!$C$5:$BL$5</c:f>
              <c:numCache>
                <c:formatCode>0.0</c:formatCode>
                <c:ptCount val="62"/>
                <c:pt idx="0">
                  <c:v>17.664233576642335</c:v>
                </c:pt>
                <c:pt idx="1">
                  <c:v>17.713479181369092</c:v>
                </c:pt>
                <c:pt idx="2">
                  <c:v>18.271417740712661</c:v>
                </c:pt>
                <c:pt idx="3">
                  <c:v>19.70404984423676</c:v>
                </c:pt>
                <c:pt idx="4">
                  <c:v>17.770849571317228</c:v>
                </c:pt>
                <c:pt idx="5">
                  <c:v>15.435139573070607</c:v>
                </c:pt>
                <c:pt idx="7">
                  <c:v>10.526315789473683</c:v>
                </c:pt>
                <c:pt idx="8">
                  <c:v>18.271417740712661</c:v>
                </c:pt>
                <c:pt idx="9">
                  <c:v>17.198335644937586</c:v>
                </c:pt>
                <c:pt idx="10">
                  <c:v>18.181818181818183</c:v>
                </c:pt>
                <c:pt idx="11">
                  <c:v>18.401206636500756</c:v>
                </c:pt>
                <c:pt idx="12">
                  <c:v>19.790845507101011</c:v>
                </c:pt>
                <c:pt idx="14">
                  <c:v>11.914600550964186</c:v>
                </c:pt>
                <c:pt idx="15">
                  <c:v>13.752743233357718</c:v>
                </c:pt>
                <c:pt idx="16">
                  <c:v>13.609022556390975</c:v>
                </c:pt>
                <c:pt idx="17">
                  <c:v>13.704918032786887</c:v>
                </c:pt>
                <c:pt idx="18">
                  <c:v>15.011961722488037</c:v>
                </c:pt>
                <c:pt idx="19">
                  <c:v>14.806017418844023</c:v>
                </c:pt>
                <c:pt idx="21">
                  <c:v>19.788918205804748</c:v>
                </c:pt>
                <c:pt idx="22">
                  <c:v>17.726657645466847</c:v>
                </c:pt>
                <c:pt idx="23">
                  <c:v>18.801089918256132</c:v>
                </c:pt>
                <c:pt idx="24">
                  <c:v>19.838056680161944</c:v>
                </c:pt>
                <c:pt idx="25">
                  <c:v>18.39557399723375</c:v>
                </c:pt>
                <c:pt idx="26">
                  <c:v>15.715457635194191</c:v>
                </c:pt>
                <c:pt idx="28">
                  <c:v>15.593220338983052</c:v>
                </c:pt>
                <c:pt idx="29">
                  <c:v>19.713261648745519</c:v>
                </c:pt>
                <c:pt idx="30">
                  <c:v>17.562724014336915</c:v>
                </c:pt>
                <c:pt idx="31">
                  <c:v>18.367346938775512</c:v>
                </c:pt>
                <c:pt idx="32">
                  <c:v>18.75</c:v>
                </c:pt>
                <c:pt idx="33">
                  <c:v>12.560386473429952</c:v>
                </c:pt>
                <c:pt idx="35">
                  <c:v>8.5714285714285712</c:v>
                </c:pt>
                <c:pt idx="36">
                  <c:v>8.3333333333333321</c:v>
                </c:pt>
                <c:pt idx="37">
                  <c:v>9.9009900990099009</c:v>
                </c:pt>
                <c:pt idx="38">
                  <c:v>9.0090090090090094</c:v>
                </c:pt>
                <c:pt idx="39">
                  <c:v>9.1603053435114496</c:v>
                </c:pt>
                <c:pt idx="40" formatCode="0">
                  <c:v>12.497612215189367</c:v>
                </c:pt>
                <c:pt idx="42">
                  <c:v>10.38961038961039</c:v>
                </c:pt>
                <c:pt idx="43">
                  <c:v>10.294117647058822</c:v>
                </c:pt>
                <c:pt idx="44">
                  <c:v>14.285714285714285</c:v>
                </c:pt>
                <c:pt idx="45">
                  <c:v>12.631578947368421</c:v>
                </c:pt>
                <c:pt idx="46">
                  <c:v>9.0909090909090917</c:v>
                </c:pt>
                <c:pt idx="47">
                  <c:v>20.289855072463769</c:v>
                </c:pt>
                <c:pt idx="49">
                  <c:v>27.210884353741498</c:v>
                </c:pt>
                <c:pt idx="50">
                  <c:v>29.746835443037973</c:v>
                </c:pt>
                <c:pt idx="51">
                  <c:v>24.050632911392405</c:v>
                </c:pt>
                <c:pt idx="52">
                  <c:v>26.388888888888889</c:v>
                </c:pt>
                <c:pt idx="53">
                  <c:v>22.435897435897438</c:v>
                </c:pt>
                <c:pt idx="54">
                  <c:v>11.374407582938389</c:v>
                </c:pt>
                <c:pt idx="56">
                  <c:v>15.04016064257028</c:v>
                </c:pt>
                <c:pt idx="57">
                  <c:v>16.171346587415453</c:v>
                </c:pt>
                <c:pt idx="58">
                  <c:v>16.783365160195203</c:v>
                </c:pt>
                <c:pt idx="59">
                  <c:v>17.381443298969071</c:v>
                </c:pt>
                <c:pt idx="60">
                  <c:v>16.84682847236386</c:v>
                </c:pt>
                <c:pt idx="61">
                  <c:v>15.560341428147339</c:v>
                </c:pt>
              </c:numCache>
            </c:numRef>
          </c:val>
          <c:extLst>
            <c:ext xmlns:c16="http://schemas.microsoft.com/office/drawing/2014/chart" uri="{C3380CC4-5D6E-409C-BE32-E72D297353CC}">
              <c16:uniqueId val="{00000001-53D0-4C5B-8ECB-D97FC4DF58A6}"/>
            </c:ext>
          </c:extLst>
        </c:ser>
        <c:dLbls>
          <c:showLegendKey val="0"/>
          <c:showVal val="0"/>
          <c:showCatName val="0"/>
          <c:showSerName val="0"/>
          <c:showPercent val="0"/>
          <c:showBubbleSize val="0"/>
        </c:dLbls>
        <c:gapWidth val="0"/>
        <c:overlap val="100"/>
        <c:axId val="520775864"/>
        <c:axId val="520776256"/>
      </c:barChart>
      <c:catAx>
        <c:axId val="520775864"/>
        <c:scaling>
          <c:orientation val="minMax"/>
        </c:scaling>
        <c:delete val="0"/>
        <c:axPos val="b"/>
        <c:numFmt formatCode="General" sourceLinked="1"/>
        <c:majorTickMark val="none"/>
        <c:minorTickMark val="none"/>
        <c:tickLblPos val="nextTo"/>
        <c:spPr>
          <a:ln>
            <a:solidFill>
              <a:srgbClr val="BFBFBF"/>
            </a:solidFill>
          </a:ln>
        </c:spPr>
        <c:txPr>
          <a:bodyPr/>
          <a:lstStyle/>
          <a:p>
            <a:pPr algn="ctr">
              <a:defRPr lang="en-AU" sz="550" b="0" i="0" u="none" strike="noStrike" kern="1200" baseline="0">
                <a:solidFill>
                  <a:sysClr val="windowText" lastClr="000000"/>
                </a:solidFill>
                <a:latin typeface="Arial"/>
                <a:ea typeface="Arial"/>
                <a:cs typeface="Arial"/>
              </a:defRPr>
            </a:pPr>
            <a:endParaRPr lang="en-US"/>
          </a:p>
        </c:txPr>
        <c:crossAx val="520776256"/>
        <c:crosses val="autoZero"/>
        <c:auto val="1"/>
        <c:lblAlgn val="ctr"/>
        <c:lblOffset val="100"/>
        <c:noMultiLvlLbl val="0"/>
      </c:catAx>
      <c:valAx>
        <c:axId val="520776256"/>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lgn="ctr" rtl="0">
                  <a:defRPr sz="900" b="1" i="0" u="none" strike="noStrike" kern="1200" baseline="0">
                    <a:solidFill>
                      <a:sysClr val="windowText" lastClr="000000"/>
                    </a:solidFill>
                    <a:latin typeface="arial"/>
                    <a:ea typeface="arial"/>
                    <a:cs typeface="arial"/>
                  </a:defRPr>
                </a:pPr>
                <a:r>
                  <a:rPr lang="en-AU"/>
                  <a:t>Per cent</a:t>
                </a:r>
              </a:p>
            </c:rich>
          </c:tx>
          <c:overlay val="0"/>
        </c:title>
        <c:numFmt formatCode="#\ ##0" sourceLinked="0"/>
        <c:majorTickMark val="out"/>
        <c:minorTickMark val="none"/>
        <c:tickLblPos val="nextTo"/>
        <c:spPr>
          <a:ln>
            <a:solidFill>
              <a:srgbClr val="BFBFBF"/>
            </a:solidFill>
          </a:ln>
        </c:spPr>
        <c:txPr>
          <a:bodyPr/>
          <a:lstStyle/>
          <a:p>
            <a:pPr algn="ctr">
              <a:defRPr lang="en-AU" sz="900" b="0" i="0" u="none" strike="noStrike" kern="1200" baseline="0">
                <a:solidFill>
                  <a:sysClr val="windowText" lastClr="000000"/>
                </a:solidFill>
                <a:latin typeface="Arial"/>
                <a:ea typeface="Arial"/>
                <a:cs typeface="Arial"/>
              </a:defRPr>
            </a:pPr>
            <a:endParaRPr lang="en-US"/>
          </a:p>
        </c:txPr>
        <c:crossAx val="520775864"/>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lgn="ctr">
        <a:defRPr lang="en-AU" sz="700" b="0" i="0" u="none" strike="noStrike" kern="1200" baseline="0">
          <a:solidFill>
            <a:sysClr val="windowText" lastClr="000000"/>
          </a:solidFill>
          <a:latin typeface="Arial"/>
          <a:ea typeface="Arial"/>
          <a:cs typeface="Arial"/>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65907407407406"/>
          <c:y val="4.8506944444444443E-2"/>
          <c:w val="0.84747055555555539"/>
          <c:h val="0.75647534722222221"/>
        </c:manualLayout>
      </c:layout>
      <c:barChart>
        <c:barDir val="col"/>
        <c:grouping val="clustered"/>
        <c:varyColors val="0"/>
        <c:ser>
          <c:idx val="5"/>
          <c:order val="0"/>
          <c:tx>
            <c:strRef>
              <c:f>'Cost per yp community'!$N$9</c:f>
              <c:strCache>
                <c:ptCount val="1"/>
              </c:strCache>
            </c:strRef>
          </c:tx>
          <c:spPr>
            <a:solidFill>
              <a:srgbClr val="66BCDB"/>
            </a:solidFill>
            <a:ln>
              <a:solidFill>
                <a:srgbClr val="66BCDB"/>
              </a:solidFill>
            </a:ln>
          </c:spPr>
          <c:invertIfNegative val="0"/>
          <c:val>
            <c:numRef>
              <c:f>'Cost per yp community'!$O$9:$W$9</c:f>
              <c:numCache>
                <c:formatCode>#,##0.00</c:formatCode>
                <c:ptCount val="9"/>
                <c:pt idx="0">
                  <c:v>145.94385743890214</c:v>
                </c:pt>
                <c:pt idx="1">
                  <c:v>131.14472687943146</c:v>
                </c:pt>
                <c:pt idx="2">
                  <c:v>134.56544141511651</c:v>
                </c:pt>
                <c:pt idx="3">
                  <c:v>107.48104062115458</c:v>
                </c:pt>
                <c:pt idx="4">
                  <c:v>91.674544896979555</c:v>
                </c:pt>
                <c:pt idx="5">
                  <c:v>84.887726378702695</c:v>
                </c:pt>
                <c:pt idx="6">
                  <c:v>113.83571084737585</c:v>
                </c:pt>
                <c:pt idx="7">
                  <c:v>69.387418269913297</c:v>
                </c:pt>
                <c:pt idx="8">
                  <c:v>126.51147176772959</c:v>
                </c:pt>
              </c:numCache>
            </c:numRef>
          </c:val>
          <c:extLst>
            <c:ext xmlns:c16="http://schemas.microsoft.com/office/drawing/2014/chart" uri="{C3380CC4-5D6E-409C-BE32-E72D297353CC}">
              <c16:uniqueId val="{00000000-A470-4150-B09E-76FDD21E00FB}"/>
            </c:ext>
          </c:extLst>
        </c:ser>
        <c:ser>
          <c:idx val="4"/>
          <c:order val="1"/>
          <c:tx>
            <c:strRef>
              <c:f>'Cost per yp community'!$N$8</c:f>
              <c:strCache>
                <c:ptCount val="1"/>
              </c:strCache>
            </c:strRef>
          </c:tx>
          <c:spPr>
            <a:solidFill>
              <a:srgbClr val="66BCDB"/>
            </a:solidFill>
            <a:ln>
              <a:solidFill>
                <a:srgbClr val="66BCDB"/>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community'!$O$8:$W$8</c:f>
              <c:numCache>
                <c:formatCode>#,##0.00</c:formatCode>
                <c:ptCount val="9"/>
                <c:pt idx="0">
                  <c:v>131.80070045205929</c:v>
                </c:pt>
                <c:pt idx="1">
                  <c:v>155.42616757173965</c:v>
                </c:pt>
                <c:pt idx="2">
                  <c:v>149.70430285321459</c:v>
                </c:pt>
                <c:pt idx="3">
                  <c:v>110.08425123426252</c:v>
                </c:pt>
                <c:pt idx="4">
                  <c:v>115.38260152965239</c:v>
                </c:pt>
                <c:pt idx="5">
                  <c:v>98.675602192575411</c:v>
                </c:pt>
                <c:pt idx="6">
                  <c:v>143.41991618412609</c:v>
                </c:pt>
                <c:pt idx="7">
                  <c:v>88.568771386801785</c:v>
                </c:pt>
                <c:pt idx="8">
                  <c:v>135.44817669705304</c:v>
                </c:pt>
              </c:numCache>
            </c:numRef>
          </c:val>
          <c:extLst>
            <c:ext xmlns:c16="http://schemas.microsoft.com/office/drawing/2014/chart" uri="{C3380CC4-5D6E-409C-BE32-E72D297353CC}">
              <c16:uniqueId val="{00000001-A470-4150-B09E-76FDD21E00FB}"/>
            </c:ext>
          </c:extLst>
        </c:ser>
        <c:ser>
          <c:idx val="3"/>
          <c:order val="2"/>
          <c:tx>
            <c:strRef>
              <c:f>'Cost per yp community'!$N$7</c:f>
              <c:strCache>
                <c:ptCount val="1"/>
              </c:strCache>
            </c:strRef>
          </c:tx>
          <c:spPr>
            <a:solidFill>
              <a:srgbClr val="66BCDB"/>
            </a:solidFill>
            <a:ln>
              <a:solidFill>
                <a:srgbClr val="66BCDB"/>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community'!$O$7:$W$7</c:f>
              <c:numCache>
                <c:formatCode>#,##0.00</c:formatCode>
                <c:ptCount val="9"/>
                <c:pt idx="0">
                  <c:v>166.71623667958758</c:v>
                </c:pt>
                <c:pt idx="1">
                  <c:v>160.94409284816504</c:v>
                </c:pt>
                <c:pt idx="2">
                  <c:v>174.36486748948997</c:v>
                </c:pt>
                <c:pt idx="3">
                  <c:v>114.0134981559533</c:v>
                </c:pt>
                <c:pt idx="4">
                  <c:v>122.66361208107912</c:v>
                </c:pt>
                <c:pt idx="5">
                  <c:v>143.88485492389211</c:v>
                </c:pt>
                <c:pt idx="6">
                  <c:v>135.22492182851397</c:v>
                </c:pt>
                <c:pt idx="7">
                  <c:v>166.04128651977831</c:v>
                </c:pt>
                <c:pt idx="8">
                  <c:v>156.37554567000393</c:v>
                </c:pt>
              </c:numCache>
            </c:numRef>
          </c:val>
          <c:extLst>
            <c:ext xmlns:c16="http://schemas.microsoft.com/office/drawing/2014/chart" uri="{C3380CC4-5D6E-409C-BE32-E72D297353CC}">
              <c16:uniqueId val="{00000002-A470-4150-B09E-76FDD21E00FB}"/>
            </c:ext>
          </c:extLst>
        </c:ser>
        <c:ser>
          <c:idx val="2"/>
          <c:order val="3"/>
          <c:tx>
            <c:strRef>
              <c:f>'Cost per yp community'!$N$6</c:f>
              <c:strCache>
                <c:ptCount val="1"/>
              </c:strCache>
            </c:strRef>
          </c:tx>
          <c:spPr>
            <a:solidFill>
              <a:srgbClr val="66BCDB"/>
            </a:solidFill>
            <a:ln>
              <a:solidFill>
                <a:srgbClr val="66BCDB"/>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community'!$O$6:$W$6</c:f>
              <c:numCache>
                <c:formatCode>#,##0.00</c:formatCode>
                <c:ptCount val="9"/>
                <c:pt idx="0">
                  <c:v>175.17038839710594</c:v>
                </c:pt>
                <c:pt idx="1">
                  <c:v>186.90654160231594</c:v>
                </c:pt>
                <c:pt idx="2">
                  <c:v>200.20620868554744</c:v>
                </c:pt>
                <c:pt idx="3">
                  <c:v>103.92594869198679</c:v>
                </c:pt>
                <c:pt idx="4">
                  <c:v>127.51018981085824</c:v>
                </c:pt>
                <c:pt idx="5">
                  <c:v>150.65432035691029</c:v>
                </c:pt>
                <c:pt idx="6">
                  <c:v>112.30893161077967</c:v>
                </c:pt>
                <c:pt idx="7">
                  <c:v>412.45488056606996</c:v>
                </c:pt>
                <c:pt idx="8">
                  <c:v>177.7941200911163</c:v>
                </c:pt>
              </c:numCache>
            </c:numRef>
          </c:val>
          <c:extLst>
            <c:ext xmlns:c16="http://schemas.microsoft.com/office/drawing/2014/chart" uri="{C3380CC4-5D6E-409C-BE32-E72D297353CC}">
              <c16:uniqueId val="{00000003-A470-4150-B09E-76FDD21E00FB}"/>
            </c:ext>
          </c:extLst>
        </c:ser>
        <c:ser>
          <c:idx val="1"/>
          <c:order val="4"/>
          <c:tx>
            <c:strRef>
              <c:f>'Cost per yp community'!$N$5</c:f>
              <c:strCache>
                <c:ptCount val="1"/>
                <c:pt idx="0">
                  <c:v>2014-15 to 2018-19</c:v>
                </c:pt>
              </c:strCache>
            </c:strRef>
          </c:tx>
          <c:spPr>
            <a:solidFill>
              <a:srgbClr val="66BCDB"/>
            </a:solidFill>
            <a:ln>
              <a:solidFill>
                <a:srgbClr val="66BCDB"/>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community'!$O$5:$W$5</c:f>
              <c:numCache>
                <c:formatCode>#,##0.00</c:formatCode>
                <c:ptCount val="9"/>
                <c:pt idx="0">
                  <c:v>155.36236518959819</c:v>
                </c:pt>
                <c:pt idx="1">
                  <c:v>259.8714409091217</c:v>
                </c:pt>
                <c:pt idx="2">
                  <c:v>217.00016220733397</c:v>
                </c:pt>
                <c:pt idx="3">
                  <c:v>91.848094211687339</c:v>
                </c:pt>
                <c:pt idx="4">
                  <c:v>157.75266337051491</c:v>
                </c:pt>
                <c:pt idx="5">
                  <c:v>130.0400803005399</c:v>
                </c:pt>
                <c:pt idx="6">
                  <c:v>170.65597849979036</c:v>
                </c:pt>
                <c:pt idx="7">
                  <c:v>509.49407844657549</c:v>
                </c:pt>
                <c:pt idx="8">
                  <c:v>196.48169624652979</c:v>
                </c:pt>
              </c:numCache>
            </c:numRef>
          </c:val>
          <c:extLst>
            <c:ext xmlns:c16="http://schemas.microsoft.com/office/drawing/2014/chart" uri="{C3380CC4-5D6E-409C-BE32-E72D297353CC}">
              <c16:uniqueId val="{00000004-A470-4150-B09E-76FDD21E00FB}"/>
            </c:ext>
          </c:extLst>
        </c:ser>
        <c:ser>
          <c:idx val="0"/>
          <c:order val="5"/>
          <c:tx>
            <c:strRef>
              <c:f>'Cost per yp community'!$N$4</c:f>
              <c:strCache>
                <c:ptCount val="1"/>
                <c:pt idx="0">
                  <c:v>2019-20</c:v>
                </c:pt>
              </c:strCache>
            </c:strRef>
          </c:tx>
          <c:spPr>
            <a:solidFill>
              <a:srgbClr val="265A9A"/>
            </a:solidFill>
            <a:ln>
              <a:solidFill>
                <a:srgbClr val="265A9A"/>
              </a:solidFill>
            </a:ln>
          </c:spPr>
          <c:invertIfNegative val="0"/>
          <c:cat>
            <c:strRef>
              <c:f>'Cost per yp community'!$O$3:$W$3</c:f>
              <c:strCache>
                <c:ptCount val="9"/>
                <c:pt idx="0">
                  <c:v>NSW</c:v>
                </c:pt>
                <c:pt idx="1">
                  <c:v>Vic</c:v>
                </c:pt>
                <c:pt idx="2">
                  <c:v>Qld</c:v>
                </c:pt>
                <c:pt idx="3">
                  <c:v>WA</c:v>
                </c:pt>
                <c:pt idx="4">
                  <c:v>SA</c:v>
                </c:pt>
                <c:pt idx="5">
                  <c:v>Tas</c:v>
                </c:pt>
                <c:pt idx="6">
                  <c:v>ACT</c:v>
                </c:pt>
                <c:pt idx="7">
                  <c:v>NT</c:v>
                </c:pt>
                <c:pt idx="8">
                  <c:v>Aust</c:v>
                </c:pt>
              </c:strCache>
            </c:strRef>
          </c:cat>
          <c:val>
            <c:numRef>
              <c:f>'Cost per yp community'!$O$4:$W$4</c:f>
              <c:numCache>
                <c:formatCode>#,##0.00</c:formatCode>
                <c:ptCount val="9"/>
                <c:pt idx="0">
                  <c:v>169.89581715344312</c:v>
                </c:pt>
                <c:pt idx="1">
                  <c:v>295.35547561280026</c:v>
                </c:pt>
                <c:pt idx="2">
                  <c:v>271.25661707405277</c:v>
                </c:pt>
                <c:pt idx="3">
                  <c:v>92.134529692411832</c:v>
                </c:pt>
                <c:pt idx="4">
                  <c:v>96.594208029455501</c:v>
                </c:pt>
                <c:pt idx="5">
                  <c:v>162.30766002468485</c:v>
                </c:pt>
                <c:pt idx="6">
                  <c:v>221.5908708385229</c:v>
                </c:pt>
                <c:pt idx="7">
                  <c:v>509.15546227159638</c:v>
                </c:pt>
                <c:pt idx="8">
                  <c:v>222.86849689409348</c:v>
                </c:pt>
              </c:numCache>
            </c:numRef>
          </c:val>
          <c:extLst>
            <c:ext xmlns:c16="http://schemas.microsoft.com/office/drawing/2014/chart" uri="{C3380CC4-5D6E-409C-BE32-E72D297353CC}">
              <c16:uniqueId val="{00000005-A470-4150-B09E-76FDD21E00FB}"/>
            </c:ext>
          </c:extLst>
        </c:ser>
        <c:dLbls>
          <c:showLegendKey val="0"/>
          <c:showVal val="0"/>
          <c:showCatName val="0"/>
          <c:showSerName val="0"/>
          <c:showPercent val="0"/>
          <c:showBubbleSize val="0"/>
        </c:dLbls>
        <c:gapWidth val="150"/>
        <c:axId val="522013008"/>
        <c:axId val="522017320"/>
      </c:barChart>
      <c:catAx>
        <c:axId val="52201300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22017320"/>
        <c:crosses val="autoZero"/>
        <c:auto val="1"/>
        <c:lblAlgn val="ctr"/>
        <c:lblOffset val="100"/>
        <c:noMultiLvlLbl val="0"/>
      </c:catAx>
      <c:valAx>
        <c:axId val="522017320"/>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AU"/>
                  <a:t>Average daily cost ($)</a:t>
                </a:r>
              </a:p>
              <a:p>
                <a:pPr>
                  <a:defRPr sz="900">
                    <a:latin typeface="arial"/>
                    <a:ea typeface="arial"/>
                    <a:cs typeface="arial"/>
                  </a:defRPr>
                </a:pPr>
                <a:r>
                  <a:rPr lang="en-AU"/>
                  <a:t> community-based supervision</a:t>
                </a:r>
              </a:p>
            </c:rich>
          </c:tx>
          <c:layout>
            <c:manualLayout>
              <c:xMode val="edge"/>
              <c:yMode val="edge"/>
              <c:x val="1.645730797912006E-2"/>
              <c:y val="0.1418648148148148"/>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22013008"/>
        <c:crosses val="autoZero"/>
        <c:crossBetween val="between"/>
      </c:valAx>
      <c:spPr>
        <a:noFill/>
        <a:ln>
          <a:noFill/>
        </a:ln>
      </c:spPr>
    </c:plotArea>
    <c:legend>
      <c:legendPos val="b"/>
      <c:legendEntry>
        <c:idx val="0"/>
        <c:delete val="1"/>
      </c:legendEntry>
      <c:legendEntry>
        <c:idx val="1"/>
        <c:delete val="1"/>
      </c:legendEntry>
      <c:legendEntry>
        <c:idx val="2"/>
        <c:delete val="1"/>
      </c:legendEntry>
      <c:legendEntry>
        <c:idx val="3"/>
        <c:delete val="1"/>
      </c:legendEntry>
      <c:layout>
        <c:manualLayout>
          <c:xMode val="edge"/>
          <c:yMode val="edge"/>
          <c:x val="0.30459564266543276"/>
          <c:y val="0.89337043731053545"/>
          <c:w val="0.39080871466913447"/>
          <c:h val="8.2339845655105159E-2"/>
        </c:manualLayout>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5"/>
          <c:order val="0"/>
          <c:tx>
            <c:strRef>
              <c:f>'Cost per yp detention'!$O$9</c:f>
              <c:strCache>
                <c:ptCount val="1"/>
              </c:strCache>
            </c:strRef>
          </c:tx>
          <c:spPr>
            <a:solidFill>
              <a:srgbClr val="66BCDB"/>
            </a:solidFill>
            <a:ln>
              <a:solidFill>
                <a:srgbClr val="66BCDB"/>
              </a:solidFill>
            </a:ln>
          </c:spPr>
          <c:invertIfNegative val="0"/>
          <c:val>
            <c:numRef>
              <c:f>'Cost per yp detention'!$P$9:$X$9</c:f>
              <c:numCache>
                <c:formatCode>#,##0.00</c:formatCode>
                <c:ptCount val="9"/>
                <c:pt idx="0">
                  <c:v>1578.0876338169837</c:v>
                </c:pt>
                <c:pt idx="1">
                  <c:v>1526.368091179221</c:v>
                </c:pt>
                <c:pt idx="2">
                  <c:v>1521.3086345513721</c:v>
                </c:pt>
                <c:pt idx="3">
                  <c:v>975.31079416494822</c:v>
                </c:pt>
                <c:pt idx="4">
                  <c:v>1045.8908035976096</c:v>
                </c:pt>
                <c:pt idx="5">
                  <c:v>3950.1640350256084</c:v>
                </c:pt>
                <c:pt idx="6">
                  <c:v>5287.8749793481093</c:v>
                </c:pt>
                <c:pt idx="7">
                  <c:v>1104.5487266633625</c:v>
                </c:pt>
                <c:pt idx="8">
                  <c:v>1462.9992764075832</c:v>
                </c:pt>
              </c:numCache>
            </c:numRef>
          </c:val>
          <c:extLst>
            <c:ext xmlns:c16="http://schemas.microsoft.com/office/drawing/2014/chart" uri="{C3380CC4-5D6E-409C-BE32-E72D297353CC}">
              <c16:uniqueId val="{00000001-2BF1-4AE1-A84B-8E3F267880B2}"/>
            </c:ext>
          </c:extLst>
        </c:ser>
        <c:ser>
          <c:idx val="4"/>
          <c:order val="1"/>
          <c:spPr>
            <a:solidFill>
              <a:srgbClr val="66BCDB"/>
            </a:solidFill>
            <a:ln>
              <a:solidFill>
                <a:srgbClr val="66BCDB"/>
              </a:solidFill>
            </a:ln>
          </c:spPr>
          <c:invertIfNegative val="0"/>
          <c:val>
            <c:numRef>
              <c:f>'Cost per yp detention'!$P$8:$X$8</c:f>
              <c:numCache>
                <c:formatCode>#,##0.00</c:formatCode>
                <c:ptCount val="9"/>
                <c:pt idx="0">
                  <c:v>1385.8054066659643</c:v>
                </c:pt>
                <c:pt idx="1">
                  <c:v>1584.6316973495966</c:v>
                </c:pt>
                <c:pt idx="2">
                  <c:v>1488.9055294464358</c:v>
                </c:pt>
                <c:pt idx="3">
                  <c:v>1101.4450541924341</c:v>
                </c:pt>
                <c:pt idx="4">
                  <c:v>1359.918155737108</c:v>
                </c:pt>
                <c:pt idx="5">
                  <c:v>3632.6813947505107</c:v>
                </c:pt>
                <c:pt idx="6">
                  <c:v>5653.5452934694495</c:v>
                </c:pt>
                <c:pt idx="7">
                  <c:v>1707.7595264720362</c:v>
                </c:pt>
                <c:pt idx="8">
                  <c:v>1478.7128972883293</c:v>
                </c:pt>
              </c:numCache>
            </c:numRef>
          </c:val>
          <c:extLst>
            <c:ext xmlns:c16="http://schemas.microsoft.com/office/drawing/2014/chart" uri="{C3380CC4-5D6E-409C-BE32-E72D297353CC}">
              <c16:uniqueId val="{00000000-2730-428A-994C-6DAB19BC356C}"/>
            </c:ext>
          </c:extLst>
        </c:ser>
        <c:ser>
          <c:idx val="3"/>
          <c:order val="2"/>
          <c:tx>
            <c:strRef>
              <c:f>'Cost per yp detention'!$O$7</c:f>
              <c:strCache>
                <c:ptCount val="1"/>
                <c:pt idx="0">
                  <c:v>2014-15 to 2018-19</c:v>
                </c:pt>
              </c:strCache>
            </c:strRef>
          </c:tx>
          <c:spPr>
            <a:solidFill>
              <a:srgbClr val="66BCDB"/>
            </a:solidFill>
            <a:ln>
              <a:solidFill>
                <a:srgbClr val="66BCDB"/>
              </a:solidFill>
            </a:ln>
          </c:spPr>
          <c:invertIfNegative val="0"/>
          <c:cat>
            <c:strRef>
              <c:f>'Cost per yp detention'!$P$3:$X$3</c:f>
              <c:strCache>
                <c:ptCount val="9"/>
                <c:pt idx="0">
                  <c:v>NSW</c:v>
                </c:pt>
                <c:pt idx="1">
                  <c:v>Vic</c:v>
                </c:pt>
                <c:pt idx="2">
                  <c:v>Qld</c:v>
                </c:pt>
                <c:pt idx="3">
                  <c:v>WA</c:v>
                </c:pt>
                <c:pt idx="4">
                  <c:v>SA</c:v>
                </c:pt>
                <c:pt idx="5">
                  <c:v>Tas</c:v>
                </c:pt>
                <c:pt idx="6">
                  <c:v>ACT</c:v>
                </c:pt>
                <c:pt idx="7">
                  <c:v>NT</c:v>
                </c:pt>
                <c:pt idx="8">
                  <c:v>Aust</c:v>
                </c:pt>
              </c:strCache>
            </c:strRef>
          </c:cat>
          <c:val>
            <c:numRef>
              <c:f>'Cost per yp detention'!$P$7:$X$7</c:f>
              <c:numCache>
                <c:formatCode>#,##0.00</c:formatCode>
                <c:ptCount val="9"/>
                <c:pt idx="0">
                  <c:v>1386.8974895201454</c:v>
                </c:pt>
                <c:pt idx="1">
                  <c:v>1655.9862339153444</c:v>
                </c:pt>
                <c:pt idx="2">
                  <c:v>1539.0694688469418</c:v>
                </c:pt>
                <c:pt idx="3">
                  <c:v>1103.8146857502827</c:v>
                </c:pt>
                <c:pt idx="4">
                  <c:v>1585.2724036385305</c:v>
                </c:pt>
                <c:pt idx="5">
                  <c:v>3103.5906855312674</c:v>
                </c:pt>
                <c:pt idx="6">
                  <c:v>4458.8403726396609</c:v>
                </c:pt>
                <c:pt idx="7">
                  <c:v>1925.7858818890686</c:v>
                </c:pt>
                <c:pt idx="8">
                  <c:v>1520.5551381933501</c:v>
                </c:pt>
              </c:numCache>
            </c:numRef>
          </c:val>
          <c:extLst>
            <c:ext xmlns:c16="http://schemas.microsoft.com/office/drawing/2014/chart" uri="{C3380CC4-5D6E-409C-BE32-E72D297353CC}">
              <c16:uniqueId val="{00000001-2730-428A-994C-6DAB19BC356C}"/>
            </c:ext>
          </c:extLst>
        </c:ser>
        <c:ser>
          <c:idx val="2"/>
          <c:order val="3"/>
          <c:tx>
            <c:strRef>
              <c:f>'Cost per yp detention'!$O$6</c:f>
              <c:strCache>
                <c:ptCount val="1"/>
              </c:strCache>
            </c:strRef>
          </c:tx>
          <c:spPr>
            <a:solidFill>
              <a:srgbClr val="66BCDB"/>
            </a:solidFill>
            <a:ln>
              <a:solidFill>
                <a:srgbClr val="66BCDB"/>
              </a:solidFill>
            </a:ln>
          </c:spPr>
          <c:invertIfNegative val="0"/>
          <c:cat>
            <c:strRef>
              <c:f>'Cost per yp detention'!$P$3:$X$3</c:f>
              <c:strCache>
                <c:ptCount val="9"/>
                <c:pt idx="0">
                  <c:v>NSW</c:v>
                </c:pt>
                <c:pt idx="1">
                  <c:v>Vic</c:v>
                </c:pt>
                <c:pt idx="2">
                  <c:v>Qld</c:v>
                </c:pt>
                <c:pt idx="3">
                  <c:v>WA</c:v>
                </c:pt>
                <c:pt idx="4">
                  <c:v>SA</c:v>
                </c:pt>
                <c:pt idx="5">
                  <c:v>Tas</c:v>
                </c:pt>
                <c:pt idx="6">
                  <c:v>ACT</c:v>
                </c:pt>
                <c:pt idx="7">
                  <c:v>NT</c:v>
                </c:pt>
                <c:pt idx="8">
                  <c:v>Aust</c:v>
                </c:pt>
              </c:strCache>
            </c:strRef>
          </c:cat>
          <c:val>
            <c:numRef>
              <c:f>'Cost per yp detention'!$P$6:$X$6</c:f>
              <c:numCache>
                <c:formatCode>#,##0.00</c:formatCode>
                <c:ptCount val="9"/>
                <c:pt idx="0">
                  <c:v>1305.6438653568327</c:v>
                </c:pt>
                <c:pt idx="1">
                  <c:v>1756.6396992864459</c:v>
                </c:pt>
                <c:pt idx="2">
                  <c:v>1362.8658514078593</c:v>
                </c:pt>
                <c:pt idx="3">
                  <c:v>1024.8629988978637</c:v>
                </c:pt>
                <c:pt idx="4">
                  <c:v>1772.8243600933538</c:v>
                </c:pt>
                <c:pt idx="5">
                  <c:v>3020.790495123144</c:v>
                </c:pt>
                <c:pt idx="6">
                  <c:v>3451.0656605112458</c:v>
                </c:pt>
                <c:pt idx="7">
                  <c:v>2124.3643799322208</c:v>
                </c:pt>
                <c:pt idx="8">
                  <c:v>1480.4293362848637</c:v>
                </c:pt>
              </c:numCache>
            </c:numRef>
          </c:val>
          <c:extLst>
            <c:ext xmlns:c16="http://schemas.microsoft.com/office/drawing/2014/chart" uri="{C3380CC4-5D6E-409C-BE32-E72D297353CC}">
              <c16:uniqueId val="{00000002-2730-428A-994C-6DAB19BC356C}"/>
            </c:ext>
          </c:extLst>
        </c:ser>
        <c:ser>
          <c:idx val="1"/>
          <c:order val="4"/>
          <c:tx>
            <c:strRef>
              <c:f>'Cost per yp detention'!$O$5</c:f>
              <c:strCache>
                <c:ptCount val="1"/>
              </c:strCache>
            </c:strRef>
          </c:tx>
          <c:spPr>
            <a:solidFill>
              <a:srgbClr val="66BCDB"/>
            </a:solidFill>
            <a:ln>
              <a:solidFill>
                <a:srgbClr val="66BCDB"/>
              </a:solidFill>
            </a:ln>
          </c:spPr>
          <c:invertIfNegative val="0"/>
          <c:cat>
            <c:strRef>
              <c:f>'Cost per yp detention'!$P$3:$X$3</c:f>
              <c:strCache>
                <c:ptCount val="9"/>
                <c:pt idx="0">
                  <c:v>NSW</c:v>
                </c:pt>
                <c:pt idx="1">
                  <c:v>Vic</c:v>
                </c:pt>
                <c:pt idx="2">
                  <c:v>Qld</c:v>
                </c:pt>
                <c:pt idx="3">
                  <c:v>WA</c:v>
                </c:pt>
                <c:pt idx="4">
                  <c:v>SA</c:v>
                </c:pt>
                <c:pt idx="5">
                  <c:v>Tas</c:v>
                </c:pt>
                <c:pt idx="6">
                  <c:v>ACT</c:v>
                </c:pt>
                <c:pt idx="7">
                  <c:v>NT</c:v>
                </c:pt>
                <c:pt idx="8">
                  <c:v>Aust</c:v>
                </c:pt>
              </c:strCache>
            </c:strRef>
          </c:cat>
          <c:val>
            <c:numRef>
              <c:f>'Cost per yp detention'!$P$5:$X$5</c:f>
              <c:numCache>
                <c:formatCode>#,##0.00</c:formatCode>
                <c:ptCount val="9"/>
                <c:pt idx="0">
                  <c:v>1404.719822768473</c:v>
                </c:pt>
                <c:pt idx="1">
                  <c:v>2243.3384339541276</c:v>
                </c:pt>
                <c:pt idx="2">
                  <c:v>1304.4065145170691</c:v>
                </c:pt>
                <c:pt idx="3">
                  <c:v>1098.4185028140232</c:v>
                </c:pt>
                <c:pt idx="4">
                  <c:v>1989.2743661962872</c:v>
                </c:pt>
                <c:pt idx="5">
                  <c:v>3155.4580039785551</c:v>
                </c:pt>
                <c:pt idx="6">
                  <c:v>7019.9726373913791</c:v>
                </c:pt>
                <c:pt idx="7">
                  <c:v>3333.9255803822334</c:v>
                </c:pt>
                <c:pt idx="8">
                  <c:v>1665.4615061365012</c:v>
                </c:pt>
              </c:numCache>
            </c:numRef>
          </c:val>
          <c:extLst>
            <c:ext xmlns:c16="http://schemas.microsoft.com/office/drawing/2014/chart" uri="{C3380CC4-5D6E-409C-BE32-E72D297353CC}">
              <c16:uniqueId val="{00000003-2730-428A-994C-6DAB19BC356C}"/>
            </c:ext>
          </c:extLst>
        </c:ser>
        <c:ser>
          <c:idx val="0"/>
          <c:order val="5"/>
          <c:tx>
            <c:strRef>
              <c:f>'Cost per yp detention'!$O$4</c:f>
              <c:strCache>
                <c:ptCount val="1"/>
                <c:pt idx="0">
                  <c:v>2019-20</c:v>
                </c:pt>
              </c:strCache>
            </c:strRef>
          </c:tx>
          <c:spPr>
            <a:solidFill>
              <a:srgbClr val="265A9A"/>
            </a:solidFill>
            <a:ln>
              <a:solidFill>
                <a:srgbClr val="265A9A"/>
              </a:solidFill>
            </a:ln>
          </c:spPr>
          <c:invertIfNegative val="0"/>
          <c:cat>
            <c:strRef>
              <c:f>'Cost per yp detention'!$P$3:$X$3</c:f>
              <c:strCache>
                <c:ptCount val="9"/>
                <c:pt idx="0">
                  <c:v>NSW</c:v>
                </c:pt>
                <c:pt idx="1">
                  <c:v>Vic</c:v>
                </c:pt>
                <c:pt idx="2">
                  <c:v>Qld</c:v>
                </c:pt>
                <c:pt idx="3">
                  <c:v>WA</c:v>
                </c:pt>
                <c:pt idx="4">
                  <c:v>SA</c:v>
                </c:pt>
                <c:pt idx="5">
                  <c:v>Tas</c:v>
                </c:pt>
                <c:pt idx="6">
                  <c:v>ACT</c:v>
                </c:pt>
                <c:pt idx="7">
                  <c:v>NT</c:v>
                </c:pt>
                <c:pt idx="8">
                  <c:v>Aust</c:v>
                </c:pt>
              </c:strCache>
            </c:strRef>
          </c:cat>
          <c:val>
            <c:numRef>
              <c:f>'Cost per yp detention'!$P$4:$X$4</c:f>
              <c:numCache>
                <c:formatCode>#,##0.00</c:formatCode>
                <c:ptCount val="9"/>
                <c:pt idx="0">
                  <c:v>1597.9711543967865</c:v>
                </c:pt>
                <c:pt idx="1">
                  <c:v>2449.8505908520183</c:v>
                </c:pt>
                <c:pt idx="2">
                  <c:v>1640.5065863389109</c:v>
                </c:pt>
                <c:pt idx="3">
                  <c:v>821.49340461589281</c:v>
                </c:pt>
                <c:pt idx="4">
                  <c:v>3121.2515889312608</c:v>
                </c:pt>
                <c:pt idx="5">
                  <c:v>2744.4425118783852</c:v>
                </c:pt>
                <c:pt idx="6">
                  <c:v>3464.056582249601</c:v>
                </c:pt>
                <c:pt idx="7">
                  <c:v>4600.808564625142</c:v>
                </c:pt>
                <c:pt idx="8">
                  <c:v>1901.2184645385003</c:v>
                </c:pt>
              </c:numCache>
            </c:numRef>
          </c:val>
          <c:extLst>
            <c:ext xmlns:c16="http://schemas.microsoft.com/office/drawing/2014/chart" uri="{C3380CC4-5D6E-409C-BE32-E72D297353CC}">
              <c16:uniqueId val="{00000004-2730-428A-994C-6DAB19BC356C}"/>
            </c:ext>
          </c:extLst>
        </c:ser>
        <c:dLbls>
          <c:showLegendKey val="0"/>
          <c:showVal val="0"/>
          <c:showCatName val="0"/>
          <c:showSerName val="0"/>
          <c:showPercent val="0"/>
          <c:showBubbleSize val="0"/>
        </c:dLbls>
        <c:gapWidth val="150"/>
        <c:axId val="512767520"/>
        <c:axId val="511677424"/>
      </c:barChart>
      <c:catAx>
        <c:axId val="512767520"/>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11677424"/>
        <c:crosses val="autoZero"/>
        <c:auto val="1"/>
        <c:lblAlgn val="ctr"/>
        <c:lblOffset val="100"/>
        <c:noMultiLvlLbl val="0"/>
      </c:catAx>
      <c:valAx>
        <c:axId val="511677424"/>
        <c:scaling>
          <c:orientation val="minMax"/>
          <c:max val="80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Average daily cost ($) </a:t>
                </a:r>
                <a:br>
                  <a:rPr lang="en-US"/>
                </a:br>
                <a:r>
                  <a:rPr lang="en-US"/>
                  <a:t>detention-based supervision</a:t>
                </a:r>
              </a:p>
            </c:rich>
          </c:tx>
          <c:layout>
            <c:manualLayout>
              <c:xMode val="edge"/>
              <c:yMode val="edge"/>
              <c:x val="2.054340265608403E-2"/>
              <c:y val="0.11961546642928261"/>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12767520"/>
        <c:crosses val="autoZero"/>
        <c:crossBetween val="between"/>
        <c:majorUnit val="10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0"/>
        <c:delete val="1"/>
      </c:legendEntry>
      <c:legendEntry>
        <c:idx val="1"/>
        <c:delete val="1"/>
      </c:legendEntry>
      <c:legendEntry>
        <c:idx val="3"/>
        <c:delete val="1"/>
      </c:legendEntry>
      <c:legendEntry>
        <c:idx val="4"/>
        <c:delete val="1"/>
      </c:legendEntry>
      <c:overlay val="0"/>
      <c:spPr>
        <a:noFill/>
        <a:ln>
          <a:noFill/>
        </a:ln>
        <a:effectLst/>
        <a:extLst>
          <a:ext uri="{91240B29-F687-4F45-9708-019B960494DF}">
            <a14:hiddenLine xmlns:a14="http://schemas.microsoft.com/office/drawing/2010/main">
              <a:noFill/>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5"/>
          <c:order val="0"/>
          <c:tx>
            <c:strRef>
              <c:f>'Cost per group conference'!$P$9</c:f>
              <c:strCache>
                <c:ptCount val="1"/>
              </c:strCache>
            </c:strRef>
          </c:tx>
          <c:spPr>
            <a:solidFill>
              <a:srgbClr val="66BCDB"/>
            </a:solidFill>
            <a:ln>
              <a:solidFill>
                <a:srgbClr val="66BCDB"/>
              </a:solidFill>
            </a:ln>
          </c:spPr>
          <c:invertIfNegative val="0"/>
          <c:val>
            <c:numRef>
              <c:f>'Cost per group conference'!$Q$9:$Y$9</c:f>
              <c:numCache>
                <c:formatCode>0.00</c:formatCode>
                <c:ptCount val="9"/>
                <c:pt idx="0">
                  <c:v>3994.219313574913</c:v>
                </c:pt>
                <c:pt idx="1">
                  <c:v>9197.2928009679381</c:v>
                </c:pt>
                <c:pt idx="2">
                  <c:v>8393.2157961085923</c:v>
                </c:pt>
                <c:pt idx="3">
                  <c:v>16739.727682887529</c:v>
                </c:pt>
                <c:pt idx="4">
                  <c:v>1364.0829694323145</c:v>
                </c:pt>
                <c:pt idx="5">
                  <c:v>657.20917014020461</c:v>
                </c:pt>
                <c:pt idx="6">
                  <c:v>7845.5837870538417</c:v>
                </c:pt>
                <c:pt idx="7">
                  <c:v>17196.438665912945</c:v>
                </c:pt>
                <c:pt idx="8">
                  <c:v>9113.6891073400711</c:v>
                </c:pt>
              </c:numCache>
            </c:numRef>
          </c:val>
          <c:extLst>
            <c:ext xmlns:c16="http://schemas.microsoft.com/office/drawing/2014/chart" uri="{C3380CC4-5D6E-409C-BE32-E72D297353CC}">
              <c16:uniqueId val="{00000000-33CF-41F0-A0D6-6D8AF720BD1C}"/>
            </c:ext>
          </c:extLst>
        </c:ser>
        <c:ser>
          <c:idx val="4"/>
          <c:order val="1"/>
          <c:tx>
            <c:strRef>
              <c:f>'Cost per group conference'!$P$8</c:f>
              <c:strCache>
                <c:ptCount val="1"/>
              </c:strCache>
            </c:strRef>
          </c:tx>
          <c:spPr>
            <a:solidFill>
              <a:srgbClr val="66BCDB"/>
            </a:solidFill>
            <a:ln>
              <a:solidFill>
                <a:srgbClr val="66BCDB"/>
              </a:solidFill>
            </a:ln>
          </c:spPr>
          <c:invertIfNegative val="0"/>
          <c:val>
            <c:numRef>
              <c:f>'Cost per group conference'!$Q$8:$Y$8</c:f>
              <c:numCache>
                <c:formatCode>0.00</c:formatCode>
                <c:ptCount val="9"/>
                <c:pt idx="0">
                  <c:v>1430.9547669371559</c:v>
                </c:pt>
                <c:pt idx="1">
                  <c:v>8800.3805569970591</c:v>
                </c:pt>
                <c:pt idx="2">
                  <c:v>11813.256365034607</c:v>
                </c:pt>
                <c:pt idx="3">
                  <c:v>13823.616142481913</c:v>
                </c:pt>
                <c:pt idx="4">
                  <c:v>1539.5266171067246</c:v>
                </c:pt>
                <c:pt idx="5">
                  <c:v>784.79246599232647</c:v>
                </c:pt>
                <c:pt idx="6">
                  <c:v>7313.8297872340427</c:v>
                </c:pt>
                <c:pt idx="7">
                  <c:v>11449.339207048459</c:v>
                </c:pt>
                <c:pt idx="8">
                  <c:v>7938.3421048834125</c:v>
                </c:pt>
              </c:numCache>
            </c:numRef>
          </c:val>
          <c:extLst>
            <c:ext xmlns:c16="http://schemas.microsoft.com/office/drawing/2014/chart" uri="{C3380CC4-5D6E-409C-BE32-E72D297353CC}">
              <c16:uniqueId val="{00000000-A47C-41FF-B85B-91EA822A5A2B}"/>
            </c:ext>
          </c:extLst>
        </c:ser>
        <c:ser>
          <c:idx val="3"/>
          <c:order val="2"/>
          <c:tx>
            <c:strRef>
              <c:f>'Cost per group conference'!$P$7</c:f>
              <c:strCache>
                <c:ptCount val="1"/>
                <c:pt idx="0">
                  <c:v>2014-15 to 2018-19</c:v>
                </c:pt>
              </c:strCache>
            </c:strRef>
          </c:tx>
          <c:spPr>
            <a:solidFill>
              <a:srgbClr val="66BCDB"/>
            </a:solidFill>
            <a:ln>
              <a:solidFill>
                <a:srgbClr val="66BCDB"/>
              </a:solidFill>
            </a:ln>
          </c:spPr>
          <c:invertIfNegative val="0"/>
          <c:cat>
            <c:strRef>
              <c:f>'Cost per group conference'!$Q$3:$Y$3</c:f>
              <c:strCache>
                <c:ptCount val="9"/>
                <c:pt idx="0">
                  <c:v>NSW</c:v>
                </c:pt>
                <c:pt idx="1">
                  <c:v>Vic</c:v>
                </c:pt>
                <c:pt idx="2">
                  <c:v>Qld</c:v>
                </c:pt>
                <c:pt idx="3">
                  <c:v>WA</c:v>
                </c:pt>
                <c:pt idx="4">
                  <c:v>SA</c:v>
                </c:pt>
                <c:pt idx="5">
                  <c:v>Tas</c:v>
                </c:pt>
                <c:pt idx="6">
                  <c:v>ACT</c:v>
                </c:pt>
                <c:pt idx="7">
                  <c:v>NT</c:v>
                </c:pt>
                <c:pt idx="8">
                  <c:v>Aust</c:v>
                </c:pt>
              </c:strCache>
            </c:strRef>
          </c:cat>
          <c:val>
            <c:numRef>
              <c:f>'Cost per group conference'!$Q$7:$Y$7</c:f>
              <c:numCache>
                <c:formatCode>0.00</c:formatCode>
                <c:ptCount val="9"/>
                <c:pt idx="0">
                  <c:v>984.55656418497688</c:v>
                </c:pt>
                <c:pt idx="1">
                  <c:v>11383.614627285513</c:v>
                </c:pt>
                <c:pt idx="2">
                  <c:v>11631.762203697985</c:v>
                </c:pt>
                <c:pt idx="3">
                  <c:v>10698.922602616693</c:v>
                </c:pt>
                <c:pt idx="4">
                  <c:v>1229.7723207957465</c:v>
                </c:pt>
                <c:pt idx="5">
                  <c:v>682.55150161330357</c:v>
                </c:pt>
                <c:pt idx="6">
                  <c:v>10293.31700013611</c:v>
                </c:pt>
                <c:pt idx="7">
                  <c:v>14296.660159120012</c:v>
                </c:pt>
                <c:pt idx="8">
                  <c:v>7475.2232868740148</c:v>
                </c:pt>
              </c:numCache>
            </c:numRef>
          </c:val>
          <c:extLst>
            <c:ext xmlns:c16="http://schemas.microsoft.com/office/drawing/2014/chart" uri="{C3380CC4-5D6E-409C-BE32-E72D297353CC}">
              <c16:uniqueId val="{00000001-A47C-41FF-B85B-91EA822A5A2B}"/>
            </c:ext>
          </c:extLst>
        </c:ser>
        <c:ser>
          <c:idx val="2"/>
          <c:order val="3"/>
          <c:tx>
            <c:strRef>
              <c:f>'Cost per group conference'!$P$6</c:f>
              <c:strCache>
                <c:ptCount val="1"/>
              </c:strCache>
            </c:strRef>
          </c:tx>
          <c:spPr>
            <a:solidFill>
              <a:srgbClr val="66BCDB"/>
            </a:solidFill>
            <a:ln>
              <a:solidFill>
                <a:srgbClr val="66BCDB"/>
              </a:solidFill>
            </a:ln>
          </c:spPr>
          <c:invertIfNegative val="0"/>
          <c:cat>
            <c:strRef>
              <c:f>'Cost per group conference'!$Q$3:$Y$3</c:f>
              <c:strCache>
                <c:ptCount val="9"/>
                <c:pt idx="0">
                  <c:v>NSW</c:v>
                </c:pt>
                <c:pt idx="1">
                  <c:v>Vic</c:v>
                </c:pt>
                <c:pt idx="2">
                  <c:v>Qld</c:v>
                </c:pt>
                <c:pt idx="3">
                  <c:v>WA</c:v>
                </c:pt>
                <c:pt idx="4">
                  <c:v>SA</c:v>
                </c:pt>
                <c:pt idx="5">
                  <c:v>Tas</c:v>
                </c:pt>
                <c:pt idx="6">
                  <c:v>ACT</c:v>
                </c:pt>
                <c:pt idx="7">
                  <c:v>NT</c:v>
                </c:pt>
                <c:pt idx="8">
                  <c:v>Aust</c:v>
                </c:pt>
              </c:strCache>
            </c:strRef>
          </c:cat>
          <c:val>
            <c:numRef>
              <c:f>'Cost per group conference'!$Q$6:$Y$6</c:f>
              <c:numCache>
                <c:formatCode>#,##0.00</c:formatCode>
                <c:ptCount val="9"/>
                <c:pt idx="0">
                  <c:v>939.99209348214606</c:v>
                </c:pt>
                <c:pt idx="1">
                  <c:v>11331.54199191935</c:v>
                </c:pt>
                <c:pt idx="2">
                  <c:v>8373.458891898892</c:v>
                </c:pt>
                <c:pt idx="3">
                  <c:v>10231.550049402513</c:v>
                </c:pt>
                <c:pt idx="4">
                  <c:v>1110.0933206196362</c:v>
                </c:pt>
                <c:pt idx="5">
                  <c:v>715.17671517671511</c:v>
                </c:pt>
                <c:pt idx="6">
                  <c:v>11238.379162907464</c:v>
                </c:pt>
                <c:pt idx="7">
                  <c:v>13036.846370179703</c:v>
                </c:pt>
                <c:pt idx="8">
                  <c:v>6946.1768868135705</c:v>
                </c:pt>
              </c:numCache>
            </c:numRef>
          </c:val>
          <c:extLst>
            <c:ext xmlns:c16="http://schemas.microsoft.com/office/drawing/2014/chart" uri="{C3380CC4-5D6E-409C-BE32-E72D297353CC}">
              <c16:uniqueId val="{00000002-A47C-41FF-B85B-91EA822A5A2B}"/>
            </c:ext>
          </c:extLst>
        </c:ser>
        <c:ser>
          <c:idx val="1"/>
          <c:order val="4"/>
          <c:tx>
            <c:strRef>
              <c:f>'Cost per group conference'!$P$5</c:f>
              <c:strCache>
                <c:ptCount val="1"/>
              </c:strCache>
            </c:strRef>
          </c:tx>
          <c:spPr>
            <a:solidFill>
              <a:srgbClr val="66BCDB"/>
            </a:solidFill>
            <a:ln>
              <a:solidFill>
                <a:srgbClr val="66BCDB"/>
              </a:solidFill>
            </a:ln>
          </c:spPr>
          <c:invertIfNegative val="0"/>
          <c:cat>
            <c:strRef>
              <c:f>'Cost per group conference'!$Q$3:$Y$3</c:f>
              <c:strCache>
                <c:ptCount val="9"/>
                <c:pt idx="0">
                  <c:v>NSW</c:v>
                </c:pt>
                <c:pt idx="1">
                  <c:v>Vic</c:v>
                </c:pt>
                <c:pt idx="2">
                  <c:v>Qld</c:v>
                </c:pt>
                <c:pt idx="3">
                  <c:v>WA</c:v>
                </c:pt>
                <c:pt idx="4">
                  <c:v>SA</c:v>
                </c:pt>
                <c:pt idx="5">
                  <c:v>Tas</c:v>
                </c:pt>
                <c:pt idx="6">
                  <c:v>ACT</c:v>
                </c:pt>
                <c:pt idx="7">
                  <c:v>NT</c:v>
                </c:pt>
                <c:pt idx="8">
                  <c:v>Aust</c:v>
                </c:pt>
              </c:strCache>
            </c:strRef>
          </c:cat>
          <c:val>
            <c:numRef>
              <c:f>'Cost per group conference'!$Q$5:$Y$5</c:f>
              <c:numCache>
                <c:formatCode>0.00</c:formatCode>
                <c:ptCount val="9"/>
                <c:pt idx="0">
                  <c:v>974.82940403478347</c:v>
                </c:pt>
                <c:pt idx="1">
                  <c:v>12337.084066716954</c:v>
                </c:pt>
                <c:pt idx="2">
                  <c:v>4110.9226746944241</c:v>
                </c:pt>
                <c:pt idx="3">
                  <c:v>9044.3666792736003</c:v>
                </c:pt>
                <c:pt idx="4">
                  <c:v>1454.4351413663389</c:v>
                </c:pt>
                <c:pt idx="5">
                  <c:v>702.2430685845319</c:v>
                </c:pt>
                <c:pt idx="6">
                  <c:v>16196.646341463415</c:v>
                </c:pt>
                <c:pt idx="7">
                  <c:v>10437.51881963264</c:v>
                </c:pt>
                <c:pt idx="8">
                  <c:v>5544.783637856749</c:v>
                </c:pt>
              </c:numCache>
            </c:numRef>
          </c:val>
          <c:extLst>
            <c:ext xmlns:c16="http://schemas.microsoft.com/office/drawing/2014/chart" uri="{C3380CC4-5D6E-409C-BE32-E72D297353CC}">
              <c16:uniqueId val="{00000003-A47C-41FF-B85B-91EA822A5A2B}"/>
            </c:ext>
          </c:extLst>
        </c:ser>
        <c:ser>
          <c:idx val="0"/>
          <c:order val="5"/>
          <c:tx>
            <c:strRef>
              <c:f>'Cost per group conference'!$P$4</c:f>
              <c:strCache>
                <c:ptCount val="1"/>
                <c:pt idx="0">
                  <c:v>2019-20</c:v>
                </c:pt>
              </c:strCache>
            </c:strRef>
          </c:tx>
          <c:spPr>
            <a:solidFill>
              <a:srgbClr val="265A9A"/>
            </a:solidFill>
            <a:ln>
              <a:solidFill>
                <a:srgbClr val="265A9A"/>
              </a:solidFill>
            </a:ln>
          </c:spPr>
          <c:invertIfNegative val="0"/>
          <c:cat>
            <c:strRef>
              <c:f>'Cost per group conference'!$Q$3:$Y$3</c:f>
              <c:strCache>
                <c:ptCount val="9"/>
                <c:pt idx="0">
                  <c:v>NSW</c:v>
                </c:pt>
                <c:pt idx="1">
                  <c:v>Vic</c:v>
                </c:pt>
                <c:pt idx="2">
                  <c:v>Qld</c:v>
                </c:pt>
                <c:pt idx="3">
                  <c:v>WA</c:v>
                </c:pt>
                <c:pt idx="4">
                  <c:v>SA</c:v>
                </c:pt>
                <c:pt idx="5">
                  <c:v>Tas</c:v>
                </c:pt>
                <c:pt idx="6">
                  <c:v>ACT</c:v>
                </c:pt>
                <c:pt idx="7">
                  <c:v>NT</c:v>
                </c:pt>
                <c:pt idx="8">
                  <c:v>Aust</c:v>
                </c:pt>
              </c:strCache>
            </c:strRef>
          </c:cat>
          <c:val>
            <c:numRef>
              <c:f>'Cost per group conference'!$Q$4:$Y$4</c:f>
              <c:numCache>
                <c:formatCode>0.00</c:formatCode>
                <c:ptCount val="9"/>
                <c:pt idx="0">
                  <c:v>932.60672116257945</c:v>
                </c:pt>
                <c:pt idx="1">
                  <c:v>13371.505376344086</c:v>
                </c:pt>
                <c:pt idx="2">
                  <c:v>4031.5269637462238</c:v>
                </c:pt>
                <c:pt idx="3">
                  <c:v>9048.7860742098037</c:v>
                </c:pt>
                <c:pt idx="4">
                  <c:v>1726.0210526315789</c:v>
                </c:pt>
                <c:pt idx="5">
                  <c:v>724.49704761904763</c:v>
                </c:pt>
                <c:pt idx="6">
                  <c:v>17173.076923076922</c:v>
                </c:pt>
                <c:pt idx="7">
                  <c:v>40087.650273224041</c:v>
                </c:pt>
                <c:pt idx="8">
                  <c:v>6049.2350153486332</c:v>
                </c:pt>
              </c:numCache>
            </c:numRef>
          </c:val>
          <c:extLst>
            <c:ext xmlns:c16="http://schemas.microsoft.com/office/drawing/2014/chart" uri="{C3380CC4-5D6E-409C-BE32-E72D297353CC}">
              <c16:uniqueId val="{00000004-A47C-41FF-B85B-91EA822A5A2B}"/>
            </c:ext>
          </c:extLst>
        </c:ser>
        <c:dLbls>
          <c:showLegendKey val="0"/>
          <c:showVal val="0"/>
          <c:showCatName val="0"/>
          <c:showSerName val="0"/>
          <c:showPercent val="0"/>
          <c:showBubbleSize val="0"/>
        </c:dLbls>
        <c:gapWidth val="150"/>
        <c:axId val="511675072"/>
        <c:axId val="511674288"/>
      </c:barChart>
      <c:catAx>
        <c:axId val="511675072"/>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11674288"/>
        <c:crosses val="autoZero"/>
        <c:auto val="1"/>
        <c:lblAlgn val="ctr"/>
        <c:lblOffset val="100"/>
        <c:noMultiLvlLbl val="0"/>
      </c:catAx>
      <c:valAx>
        <c:axId val="511674288"/>
        <c:scaling>
          <c:orientation val="minMax"/>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Cost ($) per concluded group conference </a:t>
                </a:r>
              </a:p>
            </c:rich>
          </c:tx>
          <c:layout>
            <c:manualLayout>
              <c:xMode val="edge"/>
              <c:yMode val="edge"/>
              <c:x val="2.054340265608403E-2"/>
              <c:y val="0.11961546642928261"/>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11675072"/>
        <c:crosses val="autoZero"/>
        <c:crossBetween val="between"/>
        <c:majorUnit val="50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0"/>
        <c:delete val="1"/>
      </c:legendEntry>
      <c:legendEntry>
        <c:idx val="1"/>
        <c:delete val="1"/>
      </c:legendEntry>
      <c:legendEntry>
        <c:idx val="3"/>
        <c:delete val="1"/>
      </c:legendEntry>
      <c:legendEntry>
        <c:idx val="4"/>
        <c:delete val="1"/>
      </c:legendEntry>
      <c:overlay val="0"/>
      <c:spPr>
        <a:noFill/>
        <a:ln>
          <a:noFill/>
        </a:ln>
        <a:effectLst/>
        <a:extLst>
          <a:ext uri="{91240B29-F687-4F45-9708-019B960494DF}">
            <a14:hiddenLine xmlns:a14="http://schemas.microsoft.com/office/drawing/2010/main">
              <a:noFill/>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'Completion of orders data'!$M$4</c:f>
              <c:strCache>
                <c:ptCount val="1"/>
                <c:pt idx="0">
                  <c:v>Aboriginal and Torres Strait Islander young people</c:v>
                </c:pt>
              </c:strCache>
            </c:strRef>
          </c:tx>
          <c:spPr>
            <a:solidFill>
              <a:srgbClr val="66BCDB"/>
            </a:solidFill>
            <a:ln>
              <a:solidFill>
                <a:srgbClr val="66BCDB"/>
              </a:solidFill>
            </a:ln>
          </c:spPr>
          <c:invertIfNegative val="0"/>
          <c:cat>
            <c:strRef>
              <c:f>'Completion of orders data'!$N$3:$V$3</c:f>
              <c:strCache>
                <c:ptCount val="9"/>
                <c:pt idx="0">
                  <c:v>NSW</c:v>
                </c:pt>
                <c:pt idx="1">
                  <c:v>Vic</c:v>
                </c:pt>
                <c:pt idx="2">
                  <c:v>Qld</c:v>
                </c:pt>
                <c:pt idx="3">
                  <c:v>WA</c:v>
                </c:pt>
                <c:pt idx="4">
                  <c:v>SA</c:v>
                </c:pt>
                <c:pt idx="5">
                  <c:v>Tas</c:v>
                </c:pt>
                <c:pt idx="6">
                  <c:v>ACT</c:v>
                </c:pt>
                <c:pt idx="7">
                  <c:v>NT</c:v>
                </c:pt>
                <c:pt idx="8">
                  <c:v>Aust</c:v>
                </c:pt>
              </c:strCache>
            </c:strRef>
          </c:cat>
          <c:val>
            <c:numRef>
              <c:f>'Completion of orders data'!$N$4:$V$4</c:f>
              <c:numCache>
                <c:formatCode>###\ ###\ ##0.0;\-###\ ###\ ##0.0;"–"</c:formatCode>
                <c:ptCount val="9"/>
                <c:pt idx="0">
                  <c:v>84.984138174127594</c:v>
                </c:pt>
                <c:pt idx="1">
                  <c:v>86.979166666666657</c:v>
                </c:pt>
                <c:pt idx="2">
                  <c:v>84.39048562933597</c:v>
                </c:pt>
                <c:pt idx="3">
                  <c:v>63.473818646232438</c:v>
                </c:pt>
                <c:pt idx="4">
                  <c:v>72.357723577235774</c:v>
                </c:pt>
                <c:pt idx="5">
                  <c:v>76.31578947368422</c:v>
                </c:pt>
                <c:pt idx="6">
                  <c:v>15.909090909090908</c:v>
                </c:pt>
                <c:pt idx="7">
                  <c:v>73.065902578796553</c:v>
                </c:pt>
                <c:pt idx="8">
                  <c:v>80.769230769230774</c:v>
                </c:pt>
              </c:numCache>
            </c:numRef>
          </c:val>
          <c:extLst>
            <c:ext xmlns:c16="http://schemas.microsoft.com/office/drawing/2014/chart" uri="{C3380CC4-5D6E-409C-BE32-E72D297353CC}">
              <c16:uniqueId val="{00000000-6200-4474-B574-D8446D7206F8}"/>
            </c:ext>
          </c:extLst>
        </c:ser>
        <c:ser>
          <c:idx val="1"/>
          <c:order val="1"/>
          <c:tx>
            <c:strRef>
              <c:f>'Completion of orders data'!$M$5</c:f>
              <c:strCache>
                <c:ptCount val="1"/>
                <c:pt idx="0">
                  <c:v>Non-Indigenous young people</c:v>
                </c:pt>
              </c:strCache>
            </c:strRef>
          </c:tx>
          <c:spPr>
            <a:solidFill>
              <a:srgbClr val="265A9A"/>
            </a:solidFill>
            <a:ln>
              <a:solidFill>
                <a:srgbClr val="265A9A"/>
              </a:solidFill>
            </a:ln>
          </c:spPr>
          <c:invertIfNegative val="0"/>
          <c:cat>
            <c:strRef>
              <c:f>'Completion of orders data'!$N$3:$V$3</c:f>
              <c:strCache>
                <c:ptCount val="9"/>
                <c:pt idx="0">
                  <c:v>NSW</c:v>
                </c:pt>
                <c:pt idx="1">
                  <c:v>Vic</c:v>
                </c:pt>
                <c:pt idx="2">
                  <c:v>Qld</c:v>
                </c:pt>
                <c:pt idx="3">
                  <c:v>WA</c:v>
                </c:pt>
                <c:pt idx="4">
                  <c:v>SA</c:v>
                </c:pt>
                <c:pt idx="5">
                  <c:v>Tas</c:v>
                </c:pt>
                <c:pt idx="6">
                  <c:v>ACT</c:v>
                </c:pt>
                <c:pt idx="7">
                  <c:v>NT</c:v>
                </c:pt>
                <c:pt idx="8">
                  <c:v>Aust</c:v>
                </c:pt>
              </c:strCache>
            </c:strRef>
          </c:cat>
          <c:val>
            <c:numRef>
              <c:f>'Completion of orders data'!$N$5:$V$5</c:f>
              <c:numCache>
                <c:formatCode>###\ ###\ ##0.0;\-###\ ###\ ##0.0;"–"</c:formatCode>
                <c:ptCount val="9"/>
                <c:pt idx="0">
                  <c:v>83.537130927527585</c:v>
                </c:pt>
                <c:pt idx="1">
                  <c:v>92.613185067513911</c:v>
                </c:pt>
                <c:pt idx="2">
                  <c:v>85.856079404466499</c:v>
                </c:pt>
                <c:pt idx="3">
                  <c:v>73.725490196078439</c:v>
                </c:pt>
                <c:pt idx="4">
                  <c:v>71.15384615384616</c:v>
                </c:pt>
                <c:pt idx="5">
                  <c:v>79.268292682926827</c:v>
                </c:pt>
                <c:pt idx="6">
                  <c:v>66.666666666666657</c:v>
                </c:pt>
                <c:pt idx="7">
                  <c:v>68.421052631578945</c:v>
                </c:pt>
                <c:pt idx="8">
                  <c:v>84.316055250259907</c:v>
                </c:pt>
              </c:numCache>
            </c:numRef>
          </c:val>
          <c:extLst>
            <c:ext xmlns:c16="http://schemas.microsoft.com/office/drawing/2014/chart" uri="{C3380CC4-5D6E-409C-BE32-E72D297353CC}">
              <c16:uniqueId val="{00000001-6200-4474-B574-D8446D7206F8}"/>
            </c:ext>
          </c:extLst>
        </c:ser>
        <c:ser>
          <c:idx val="2"/>
          <c:order val="2"/>
          <c:tx>
            <c:strRef>
              <c:f>'Completion of orders data'!$M$6</c:f>
              <c:strCache>
                <c:ptCount val="1"/>
                <c:pt idx="0">
                  <c:v>Total</c:v>
                </c:pt>
              </c:strCache>
            </c:strRef>
          </c:tx>
          <c:spPr>
            <a:solidFill>
              <a:srgbClr val="78A22F"/>
            </a:solidFill>
            <a:ln>
              <a:solidFill>
                <a:srgbClr val="78A22F"/>
              </a:solidFill>
            </a:ln>
          </c:spPr>
          <c:invertIfNegative val="0"/>
          <c:cat>
            <c:strRef>
              <c:f>'Completion of orders data'!$N$3:$V$3</c:f>
              <c:strCache>
                <c:ptCount val="9"/>
                <c:pt idx="0">
                  <c:v>NSW</c:v>
                </c:pt>
                <c:pt idx="1">
                  <c:v>Vic</c:v>
                </c:pt>
                <c:pt idx="2">
                  <c:v>Qld</c:v>
                </c:pt>
                <c:pt idx="3">
                  <c:v>WA</c:v>
                </c:pt>
                <c:pt idx="4">
                  <c:v>SA</c:v>
                </c:pt>
                <c:pt idx="5">
                  <c:v>Tas</c:v>
                </c:pt>
                <c:pt idx="6">
                  <c:v>ACT</c:v>
                </c:pt>
                <c:pt idx="7">
                  <c:v>NT</c:v>
                </c:pt>
                <c:pt idx="8">
                  <c:v>Aust</c:v>
                </c:pt>
              </c:strCache>
            </c:strRef>
          </c:cat>
          <c:val>
            <c:numRef>
              <c:f>'Completion of orders data'!$N$6:$V$6</c:f>
              <c:numCache>
                <c:formatCode>###\ ###\ ##0.0;\-###\ ###\ ##0.0;"–"</c:formatCode>
                <c:ptCount val="9"/>
                <c:pt idx="0">
                  <c:v>84.410885637879502</c:v>
                </c:pt>
                <c:pt idx="1">
                  <c:v>91.867677463818055</c:v>
                </c:pt>
                <c:pt idx="2">
                  <c:v>84.945904173106641</c:v>
                </c:pt>
                <c:pt idx="3">
                  <c:v>69.247626004382752</c:v>
                </c:pt>
                <c:pt idx="4">
                  <c:v>71.68458781362007</c:v>
                </c:pt>
                <c:pt idx="5">
                  <c:v>79.536679536679529</c:v>
                </c:pt>
                <c:pt idx="6">
                  <c:v>45.794392523364486</c:v>
                </c:pt>
                <c:pt idx="7">
                  <c:v>72.826086956521735</c:v>
                </c:pt>
                <c:pt idx="8">
                  <c:v>82.815642458100555</c:v>
                </c:pt>
              </c:numCache>
            </c:numRef>
          </c:val>
          <c:extLst>
            <c:ext xmlns:c16="http://schemas.microsoft.com/office/drawing/2014/chart" uri="{C3380CC4-5D6E-409C-BE32-E72D297353CC}">
              <c16:uniqueId val="{00000002-6200-4474-B574-D8446D7206F8}"/>
            </c:ext>
          </c:extLst>
        </c:ser>
        <c:dLbls>
          <c:showLegendKey val="0"/>
          <c:showVal val="0"/>
          <c:showCatName val="0"/>
          <c:showSerName val="0"/>
          <c:showPercent val="0"/>
          <c:showBubbleSize val="0"/>
        </c:dLbls>
        <c:gapWidth val="150"/>
        <c:axId val="522016928"/>
        <c:axId val="522012224"/>
      </c:barChart>
      <c:catAx>
        <c:axId val="522016928"/>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22012224"/>
        <c:crosses val="autoZero"/>
        <c:auto val="1"/>
        <c:lblAlgn val="ctr"/>
        <c:lblOffset val="100"/>
        <c:noMultiLvlLbl val="0"/>
      </c:catAx>
      <c:valAx>
        <c:axId val="522012224"/>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22016928"/>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4"/>
          <c:order val="2"/>
          <c:tx>
            <c:strRef>
              <c:f>Returns!$F$11</c:f>
              <c:strCache>
                <c:ptCount val="1"/>
                <c:pt idx="0">
                  <c:v>2013-14 to 2016-17</c:v>
                </c:pt>
              </c:strCache>
            </c:strRef>
          </c:tx>
          <c:spPr>
            <a:solidFill>
              <a:srgbClr val="66BCDB"/>
            </a:solidFill>
            <a:ln>
              <a:solidFill>
                <a:srgbClr val="66BCDB"/>
              </a:solidFill>
            </a:ln>
            <a:effectLst/>
          </c:spPr>
          <c:invertIfNegative val="0"/>
          <c:cat>
            <c:strRef>
              <c:f>Returns!$G$2:$O$2</c:f>
              <c:strCache>
                <c:ptCount val="9"/>
                <c:pt idx="0">
                  <c:v>NSW</c:v>
                </c:pt>
                <c:pt idx="1">
                  <c:v>Vic</c:v>
                </c:pt>
                <c:pt idx="2">
                  <c:v>Qld</c:v>
                </c:pt>
                <c:pt idx="3">
                  <c:v>WA</c:v>
                </c:pt>
                <c:pt idx="4">
                  <c:v>SA</c:v>
                </c:pt>
                <c:pt idx="5">
                  <c:v>Tas</c:v>
                </c:pt>
                <c:pt idx="6">
                  <c:v>ACT</c:v>
                </c:pt>
                <c:pt idx="7">
                  <c:v>NT</c:v>
                </c:pt>
                <c:pt idx="8">
                  <c:v>Aust</c:v>
                </c:pt>
              </c:strCache>
            </c:strRef>
          </c:cat>
          <c:val>
            <c:numRef>
              <c:f>Returns!$G$12:$O$12</c:f>
              <c:numCache>
                <c:formatCode>0.0</c:formatCode>
                <c:ptCount val="9"/>
                <c:pt idx="0">
                  <c:v>41.25</c:v>
                </c:pt>
                <c:pt idx="1">
                  <c:v>39.25</c:v>
                </c:pt>
                <c:pt idx="2">
                  <c:v>54.77</c:v>
                </c:pt>
                <c:pt idx="3">
                  <c:v>57.31</c:v>
                </c:pt>
                <c:pt idx="4">
                  <c:v>54.25</c:v>
                </c:pt>
                <c:pt idx="5">
                  <c:v>29.76</c:v>
                </c:pt>
                <c:pt idx="6">
                  <c:v>29.63</c:v>
                </c:pt>
                <c:pt idx="7">
                  <c:v>0</c:v>
                </c:pt>
              </c:numCache>
            </c:numRef>
          </c:val>
          <c:extLst>
            <c:ext xmlns:c16="http://schemas.microsoft.com/office/drawing/2014/chart" uri="{C3380CC4-5D6E-409C-BE32-E72D297353CC}">
              <c16:uniqueId val="{00000000-E9E3-48CB-B7C1-57977A0DA679}"/>
            </c:ext>
          </c:extLst>
        </c:ser>
        <c:ser>
          <c:idx val="2"/>
          <c:order val="3"/>
          <c:tx>
            <c:strRef>
              <c:f>Returns!$F$9</c:f>
              <c:strCache>
                <c:ptCount val="1"/>
              </c:strCache>
            </c:strRef>
          </c:tx>
          <c:spPr>
            <a:solidFill>
              <a:srgbClr val="66BCDB"/>
            </a:solidFill>
            <a:ln>
              <a:solidFill>
                <a:srgbClr val="66BCDB"/>
              </a:solidFill>
            </a:ln>
            <a:effectLst/>
          </c:spPr>
          <c:invertIfNegative val="0"/>
          <c:cat>
            <c:strRef>
              <c:f>Returns!$G$2:$O$2</c:f>
              <c:strCache>
                <c:ptCount val="9"/>
                <c:pt idx="0">
                  <c:v>NSW</c:v>
                </c:pt>
                <c:pt idx="1">
                  <c:v>Vic</c:v>
                </c:pt>
                <c:pt idx="2">
                  <c:v>Qld</c:v>
                </c:pt>
                <c:pt idx="3">
                  <c:v>WA</c:v>
                </c:pt>
                <c:pt idx="4">
                  <c:v>SA</c:v>
                </c:pt>
                <c:pt idx="5">
                  <c:v>Tas</c:v>
                </c:pt>
                <c:pt idx="6">
                  <c:v>ACT</c:v>
                </c:pt>
                <c:pt idx="7">
                  <c:v>NT</c:v>
                </c:pt>
                <c:pt idx="8">
                  <c:v>Aust</c:v>
                </c:pt>
              </c:strCache>
            </c:strRef>
          </c:cat>
          <c:val>
            <c:numRef>
              <c:f>Returns!$G$10:$O$10</c:f>
              <c:numCache>
                <c:formatCode>0.0</c:formatCode>
                <c:ptCount val="9"/>
                <c:pt idx="0">
                  <c:v>50.98</c:v>
                </c:pt>
                <c:pt idx="1">
                  <c:v>53.25</c:v>
                </c:pt>
                <c:pt idx="2">
                  <c:v>60.51</c:v>
                </c:pt>
                <c:pt idx="3">
                  <c:v>56.63</c:v>
                </c:pt>
                <c:pt idx="4">
                  <c:v>56.76</c:v>
                </c:pt>
                <c:pt idx="5">
                  <c:v>54.17</c:v>
                </c:pt>
                <c:pt idx="6">
                  <c:v>36.67</c:v>
                </c:pt>
                <c:pt idx="7">
                  <c:v>65.58</c:v>
                </c:pt>
                <c:pt idx="8">
                  <c:v>56.63</c:v>
                </c:pt>
              </c:numCache>
            </c:numRef>
          </c:val>
          <c:extLst>
            <c:ext xmlns:c16="http://schemas.microsoft.com/office/drawing/2014/chart" uri="{C3380CC4-5D6E-409C-BE32-E72D297353CC}">
              <c16:uniqueId val="{00000001-E9E3-48CB-B7C1-57977A0DA679}"/>
            </c:ext>
          </c:extLst>
        </c:ser>
        <c:ser>
          <c:idx val="5"/>
          <c:order val="5"/>
          <c:tx>
            <c:strRef>
              <c:f>Returns!$F$9</c:f>
              <c:strCache>
                <c:ptCount val="1"/>
              </c:strCache>
            </c:strRef>
          </c:tx>
          <c:spPr>
            <a:solidFill>
              <a:srgbClr val="66BCDB"/>
            </a:solidFill>
            <a:ln>
              <a:solidFill>
                <a:srgbClr val="66BCDB"/>
              </a:solidFill>
            </a:ln>
            <a:effectLst/>
          </c:spPr>
          <c:invertIfNegative val="0"/>
          <c:val>
            <c:numRef>
              <c:f>Returns!$G$8:$O$8</c:f>
              <c:numCache>
                <c:formatCode>0.0</c:formatCode>
                <c:ptCount val="9"/>
                <c:pt idx="0">
                  <c:v>49.51</c:v>
                </c:pt>
                <c:pt idx="1">
                  <c:v>55.36</c:v>
                </c:pt>
                <c:pt idx="2">
                  <c:v>59.35</c:v>
                </c:pt>
                <c:pt idx="3">
                  <c:v>59.26</c:v>
                </c:pt>
                <c:pt idx="4">
                  <c:v>56.61</c:v>
                </c:pt>
                <c:pt idx="5">
                  <c:v>57.69</c:v>
                </c:pt>
                <c:pt idx="6">
                  <c:v>31.03</c:v>
                </c:pt>
                <c:pt idx="7">
                  <c:v>63.53</c:v>
                </c:pt>
                <c:pt idx="8">
                  <c:v>56.42</c:v>
                </c:pt>
              </c:numCache>
            </c:numRef>
          </c:val>
          <c:extLst>
            <c:ext xmlns:c16="http://schemas.microsoft.com/office/drawing/2014/chart" uri="{C3380CC4-5D6E-409C-BE32-E72D297353CC}">
              <c16:uniqueId val="{00000002-E9E3-48CB-B7C1-57977A0DA679}"/>
            </c:ext>
          </c:extLst>
        </c:ser>
        <c:ser>
          <c:idx val="6"/>
          <c:order val="6"/>
          <c:tx>
            <c:strRef>
              <c:f>Returns!$F$3</c:f>
              <c:strCache>
                <c:ptCount val="1"/>
              </c:strCache>
            </c:strRef>
          </c:tx>
          <c:spPr>
            <a:solidFill>
              <a:srgbClr val="66BCDB"/>
            </a:solidFill>
            <a:ln>
              <a:solidFill>
                <a:srgbClr val="66BCDB"/>
              </a:solidFill>
            </a:ln>
            <a:effectLst/>
          </c:spPr>
          <c:invertIfNegative val="0"/>
          <c:val>
            <c:numRef>
              <c:f>Returns!$G$6:$O$6</c:f>
              <c:numCache>
                <c:formatCode>0.0</c:formatCode>
                <c:ptCount val="9"/>
                <c:pt idx="0">
                  <c:v>48.26</c:v>
                </c:pt>
                <c:pt idx="1">
                  <c:v>60.51</c:v>
                </c:pt>
                <c:pt idx="2">
                  <c:v>61.06</c:v>
                </c:pt>
                <c:pt idx="3">
                  <c:v>56.09</c:v>
                </c:pt>
                <c:pt idx="4">
                  <c:v>58.97</c:v>
                </c:pt>
                <c:pt idx="5">
                  <c:v>51.79</c:v>
                </c:pt>
                <c:pt idx="6">
                  <c:v>31.03</c:v>
                </c:pt>
                <c:pt idx="7">
                  <c:v>64.239999999999995</c:v>
                </c:pt>
                <c:pt idx="8">
                  <c:v>56.68</c:v>
                </c:pt>
              </c:numCache>
            </c:numRef>
          </c:val>
          <c:extLst>
            <c:ext xmlns:c16="http://schemas.microsoft.com/office/drawing/2014/chart" uri="{C3380CC4-5D6E-409C-BE32-E72D297353CC}">
              <c16:uniqueId val="{00000003-E9E3-48CB-B7C1-57977A0DA679}"/>
            </c:ext>
          </c:extLst>
        </c:ser>
        <c:ser>
          <c:idx val="7"/>
          <c:order val="7"/>
          <c:tx>
            <c:v>2017-18</c:v>
          </c:tx>
          <c:spPr>
            <a:solidFill>
              <a:srgbClr val="265A9A"/>
            </a:solidFill>
            <a:ln>
              <a:solidFill>
                <a:srgbClr val="265A9A"/>
              </a:solidFill>
            </a:ln>
            <a:effectLst/>
          </c:spPr>
          <c:invertIfNegative val="0"/>
          <c:val>
            <c:numRef>
              <c:f>Returns!$G$4:$O$4</c:f>
              <c:numCache>
                <c:formatCode>0.0</c:formatCode>
                <c:ptCount val="9"/>
                <c:pt idx="0">
                  <c:v>52.93</c:v>
                </c:pt>
                <c:pt idx="1">
                  <c:v>60.08</c:v>
                </c:pt>
                <c:pt idx="2">
                  <c:v>65.540000000000006</c:v>
                </c:pt>
                <c:pt idx="3">
                  <c:v>55.79</c:v>
                </c:pt>
                <c:pt idx="4">
                  <c:v>48.54</c:v>
                </c:pt>
                <c:pt idx="5">
                  <c:v>58.33</c:v>
                </c:pt>
                <c:pt idx="6">
                  <c:v>39.29</c:v>
                </c:pt>
                <c:pt idx="7">
                  <c:v>62.61</c:v>
                </c:pt>
                <c:pt idx="8">
                  <c:v>58.71</c:v>
                </c:pt>
              </c:numCache>
            </c:numRef>
          </c:val>
          <c:extLst>
            <c:ext xmlns:c16="http://schemas.microsoft.com/office/drawing/2014/chart" uri="{C3380CC4-5D6E-409C-BE32-E72D297353CC}">
              <c16:uniqueId val="{00000004-E9E3-48CB-B7C1-57977A0DA679}"/>
            </c:ext>
          </c:extLst>
        </c:ser>
        <c:dLbls>
          <c:showLegendKey val="0"/>
          <c:showVal val="0"/>
          <c:showCatName val="0"/>
          <c:showSerName val="0"/>
          <c:showPercent val="0"/>
          <c:showBubbleSize val="0"/>
        </c:dLbls>
        <c:gapWidth val="219"/>
        <c:axId val="522018496"/>
        <c:axId val="522013792"/>
        <c:extLst>
          <c:ext xmlns:c15="http://schemas.microsoft.com/office/drawing/2012/chart" uri="{02D57815-91ED-43cb-92C2-25804820EDAC}">
            <c15:filteredBarSeries>
              <c15:ser>
                <c:idx val="0"/>
                <c:order val="0"/>
                <c:tx>
                  <c:v>Series1</c:v>
                </c:tx>
                <c:spPr>
                  <a:solidFill>
                    <a:schemeClr val="accent1"/>
                  </a:solidFill>
                  <a:ln>
                    <a:noFill/>
                  </a:ln>
                  <a:effectLst/>
                </c:spPr>
                <c:invertIfNegative val="0"/>
                <c:cat>
                  <c:strRef>
                    <c:extLst>
                      <c:ex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c:ext uri="{02D57815-91ED-43cb-92C2-25804820EDAC}">
                        <c15:formulaRef>
                          <c15:sqref>Returns!$G$7:$O$7</c15:sqref>
                        </c15:formulaRef>
                      </c:ext>
                    </c:extLst>
                    <c:numCache>
                      <c:formatCode>General</c:formatCode>
                      <c:ptCount val="9"/>
                    </c:numCache>
                  </c:numRef>
                </c:val>
                <c:extLst>
                  <c:ext xmlns:c16="http://schemas.microsoft.com/office/drawing/2014/chart" uri="{C3380CC4-5D6E-409C-BE32-E72D297353CC}">
                    <c16:uniqueId val="{00000005-E9E3-48CB-B7C1-57977A0DA679}"/>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Returns!$G$9:$O$9</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6-E9E3-48CB-B7C1-57977A0DA679}"/>
                  </c:ext>
                </c:extLst>
              </c15:ser>
            </c15:filteredBarSeries>
            <c15:filteredBarSeries>
              <c15:ser>
                <c:idx val="3"/>
                <c:order val="4"/>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Returns!$G$11:$O$11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7-E9E3-48CB-B7C1-57977A0DA679}"/>
                  </c:ext>
                </c:extLst>
              </c15:ser>
            </c15:filteredBarSeries>
          </c:ext>
        </c:extLst>
      </c:barChart>
      <c:catAx>
        <c:axId val="522018496"/>
        <c:scaling>
          <c:orientation val="minMax"/>
        </c:scaling>
        <c:delete val="0"/>
        <c:axPos val="b"/>
        <c:numFmt formatCode="General" sourceLinked="1"/>
        <c:majorTickMark val="none"/>
        <c:minorTickMark val="none"/>
        <c:tickLblPos val="nextTo"/>
        <c:spPr>
          <a:noFill/>
          <a:ln w="9525" cap="flat" cmpd="sng" algn="ctr">
            <a:solidFill>
              <a:srgbClr val="BFBFBF"/>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a:ea typeface="Arial"/>
                <a:cs typeface="Arial"/>
              </a:defRPr>
            </a:pPr>
            <a:endParaRPr lang="en-US"/>
          </a:p>
        </c:txPr>
        <c:crossAx val="522013792"/>
        <c:crosses val="autoZero"/>
        <c:auto val="1"/>
        <c:lblAlgn val="ctr"/>
        <c:lblOffset val="100"/>
        <c:noMultiLvlLbl val="0"/>
      </c:catAx>
      <c:valAx>
        <c:axId val="522013792"/>
        <c:scaling>
          <c:orientation val="minMax"/>
        </c:scaling>
        <c:delete val="0"/>
        <c:axPos val="l"/>
        <c:majorGridlines>
          <c:spPr>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r>
                  <a:rPr lang="en-US"/>
                  <a:t>Per cent</a:t>
                </a:r>
              </a:p>
            </c:rich>
          </c:tx>
          <c:layout>
            <c:manualLayout>
              <c:xMode val="edge"/>
              <c:yMode val="edge"/>
              <c:x val="3.0555555555555555E-2"/>
              <c:y val="0.3369338728492271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endParaRPr lang="en-US"/>
            </a:p>
          </c:txPr>
        </c:title>
        <c:numFmt formatCode="#\ ##0" sourceLinked="0"/>
        <c:majorTickMark val="out"/>
        <c:minorTickMark val="none"/>
        <c:tickLblPos val="nextTo"/>
        <c:spPr>
          <a:noFill/>
          <a:ln>
            <a:solidFill>
              <a:srgbClr val="BFBFBF"/>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522018496"/>
        <c:crosses val="autoZero"/>
        <c:crossBetween val="between"/>
      </c:valAx>
      <c:spPr>
        <a:noFill/>
        <a:ln>
          <a:noFill/>
        </a:ln>
        <a:effectLst/>
        <a:extLst>
          <a:ext uri="{91240B29-F687-4F45-9708-019B960494DF}">
            <a14:hiddenLine xmlns:a14="http://schemas.microsoft.com/office/drawing/2010/main">
              <a:noFill/>
            </a14:hiddenLine>
          </a:ext>
        </a:extLst>
      </c:spPr>
    </c:plotArea>
    <c:legend>
      <c:legendPos val="b"/>
      <c:legendEntry>
        <c:idx val="1"/>
        <c:delete val="1"/>
      </c:legendEntry>
      <c:legendEntry>
        <c:idx val="2"/>
        <c:delete val="1"/>
      </c:legendEntry>
      <c:legendEntry>
        <c:idx val="3"/>
        <c:delete val="1"/>
      </c:legendEntry>
      <c:overlay val="0"/>
      <c:spPr>
        <a:noFill/>
        <a:ln>
          <a:noFill/>
        </a:ln>
        <a:effectLst/>
        <a:extLst>
          <a:ext uri="{91240B29-F687-4F45-9708-019B960494DF}">
            <a14:hiddenLine xmlns:a14="http://schemas.microsoft.com/office/drawing/2010/main">
              <a:noFill/>
            </a14:hiddenLine>
          </a:ext>
        </a:ex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89568345323741"/>
          <c:y val="4.2698888888888883E-2"/>
          <c:w val="0.83780468936856523"/>
          <c:h val="0.67911827569510108"/>
        </c:manualLayout>
      </c:layout>
      <c:barChart>
        <c:barDir val="col"/>
        <c:grouping val="clustered"/>
        <c:varyColors val="0"/>
        <c:ser>
          <c:idx val="0"/>
          <c:order val="0"/>
          <c:tx>
            <c:strRef>
              <c:f>'Average daily per person'!$B$5</c:f>
              <c:strCache>
                <c:ptCount val="1"/>
                <c:pt idx="0">
                  <c:v>Detention</c:v>
                </c:pt>
              </c:strCache>
            </c:strRef>
          </c:tx>
          <c:spPr>
            <a:solidFill>
              <a:srgbClr val="66BCDB"/>
            </a:solidFill>
            <a:ln>
              <a:solidFill>
                <a:srgbClr val="66BCDB"/>
              </a:solidFill>
            </a:ln>
          </c:spPr>
          <c:invertIfNegative val="0"/>
          <c:dPt>
            <c:idx val="4"/>
            <c:invertIfNegative val="0"/>
            <c:bubble3D val="0"/>
            <c:extLst>
              <c:ext xmlns:c16="http://schemas.microsoft.com/office/drawing/2014/chart" uri="{C3380CC4-5D6E-409C-BE32-E72D297353CC}">
                <c16:uniqueId val="{00000001-2EC7-4DBA-98AA-6C53124B1C79}"/>
              </c:ext>
            </c:extLst>
          </c:dPt>
          <c:dPt>
            <c:idx val="5"/>
            <c:invertIfNegative val="0"/>
            <c:bubble3D val="0"/>
            <c:spPr>
              <a:solidFill>
                <a:srgbClr val="265A9A"/>
              </a:solidFill>
              <a:ln>
                <a:solidFill>
                  <a:srgbClr val="265A9A"/>
                </a:solidFill>
              </a:ln>
            </c:spPr>
            <c:extLst>
              <c:ext xmlns:c16="http://schemas.microsoft.com/office/drawing/2014/chart" uri="{C3380CC4-5D6E-409C-BE32-E72D297353CC}">
                <c16:uniqueId val="{00000002-D8D2-48DE-9484-CCC8CFDDE11E}"/>
              </c:ext>
            </c:extLst>
          </c:dPt>
          <c:dPt>
            <c:idx val="10"/>
            <c:invertIfNegative val="0"/>
            <c:bubble3D val="0"/>
            <c:extLst>
              <c:ext xmlns:c16="http://schemas.microsoft.com/office/drawing/2014/chart" uri="{C3380CC4-5D6E-409C-BE32-E72D297353CC}">
                <c16:uniqueId val="{00000003-2EC7-4DBA-98AA-6C53124B1C79}"/>
              </c:ext>
            </c:extLst>
          </c:dPt>
          <c:dPt>
            <c:idx val="12"/>
            <c:invertIfNegative val="0"/>
            <c:bubble3D val="0"/>
            <c:spPr>
              <a:solidFill>
                <a:srgbClr val="265A9A"/>
              </a:solidFill>
              <a:ln>
                <a:solidFill>
                  <a:srgbClr val="265A9A"/>
                </a:solidFill>
              </a:ln>
            </c:spPr>
            <c:extLst>
              <c:ext xmlns:c16="http://schemas.microsoft.com/office/drawing/2014/chart" uri="{C3380CC4-5D6E-409C-BE32-E72D297353CC}">
                <c16:uniqueId val="{00000005-D8D2-48DE-9484-CCC8CFDDE11E}"/>
              </c:ext>
            </c:extLst>
          </c:dPt>
          <c:dPt>
            <c:idx val="16"/>
            <c:invertIfNegative val="0"/>
            <c:bubble3D val="0"/>
            <c:extLst>
              <c:ext xmlns:c16="http://schemas.microsoft.com/office/drawing/2014/chart" uri="{C3380CC4-5D6E-409C-BE32-E72D297353CC}">
                <c16:uniqueId val="{00000005-2EC7-4DBA-98AA-6C53124B1C79}"/>
              </c:ext>
            </c:extLst>
          </c:dPt>
          <c:dPt>
            <c:idx val="19"/>
            <c:invertIfNegative val="0"/>
            <c:bubble3D val="0"/>
            <c:spPr>
              <a:solidFill>
                <a:srgbClr val="265A9A"/>
              </a:solidFill>
              <a:ln>
                <a:solidFill>
                  <a:srgbClr val="265A9A"/>
                </a:solidFill>
              </a:ln>
            </c:spPr>
            <c:extLst>
              <c:ext xmlns:c16="http://schemas.microsoft.com/office/drawing/2014/chart" uri="{C3380CC4-5D6E-409C-BE32-E72D297353CC}">
                <c16:uniqueId val="{00000008-D8D2-48DE-9484-CCC8CFDDE11E}"/>
              </c:ext>
            </c:extLst>
          </c:dPt>
          <c:dPt>
            <c:idx val="22"/>
            <c:invertIfNegative val="0"/>
            <c:bubble3D val="0"/>
            <c:extLst>
              <c:ext xmlns:c16="http://schemas.microsoft.com/office/drawing/2014/chart" uri="{C3380CC4-5D6E-409C-BE32-E72D297353CC}">
                <c16:uniqueId val="{00000007-2EC7-4DBA-98AA-6C53124B1C79}"/>
              </c:ext>
            </c:extLst>
          </c:dPt>
          <c:dPt>
            <c:idx val="26"/>
            <c:invertIfNegative val="0"/>
            <c:bubble3D val="0"/>
            <c:spPr>
              <a:solidFill>
                <a:srgbClr val="265A9A"/>
              </a:solidFill>
              <a:ln>
                <a:solidFill>
                  <a:srgbClr val="265A9A"/>
                </a:solidFill>
              </a:ln>
            </c:spPr>
            <c:extLst>
              <c:ext xmlns:c16="http://schemas.microsoft.com/office/drawing/2014/chart" uri="{C3380CC4-5D6E-409C-BE32-E72D297353CC}">
                <c16:uniqueId val="{0000000B-D8D2-48DE-9484-CCC8CFDDE11E}"/>
              </c:ext>
            </c:extLst>
          </c:dPt>
          <c:dPt>
            <c:idx val="28"/>
            <c:invertIfNegative val="0"/>
            <c:bubble3D val="0"/>
            <c:extLst>
              <c:ext xmlns:c16="http://schemas.microsoft.com/office/drawing/2014/chart" uri="{C3380CC4-5D6E-409C-BE32-E72D297353CC}">
                <c16:uniqueId val="{00000009-2EC7-4DBA-98AA-6C53124B1C79}"/>
              </c:ext>
            </c:extLst>
          </c:dPt>
          <c:dPt>
            <c:idx val="33"/>
            <c:invertIfNegative val="0"/>
            <c:bubble3D val="0"/>
            <c:spPr>
              <a:solidFill>
                <a:srgbClr val="265A9A"/>
              </a:solidFill>
              <a:ln>
                <a:solidFill>
                  <a:srgbClr val="265A9A"/>
                </a:solidFill>
              </a:ln>
            </c:spPr>
            <c:extLst>
              <c:ext xmlns:c16="http://schemas.microsoft.com/office/drawing/2014/chart" uri="{C3380CC4-5D6E-409C-BE32-E72D297353CC}">
                <c16:uniqueId val="{0000000E-D8D2-48DE-9484-CCC8CFDDE11E}"/>
              </c:ext>
            </c:extLst>
          </c:dPt>
          <c:dPt>
            <c:idx val="34"/>
            <c:invertIfNegative val="0"/>
            <c:bubble3D val="0"/>
            <c:extLst>
              <c:ext xmlns:c16="http://schemas.microsoft.com/office/drawing/2014/chart" uri="{C3380CC4-5D6E-409C-BE32-E72D297353CC}">
                <c16:uniqueId val="{0000000B-2EC7-4DBA-98AA-6C53124B1C79}"/>
              </c:ext>
            </c:extLst>
          </c:dPt>
          <c:dPt>
            <c:idx val="40"/>
            <c:invertIfNegative val="0"/>
            <c:bubble3D val="0"/>
            <c:spPr>
              <a:solidFill>
                <a:srgbClr val="265A9A"/>
              </a:solidFill>
              <a:ln>
                <a:solidFill>
                  <a:srgbClr val="265A9A"/>
                </a:solidFill>
              </a:ln>
            </c:spPr>
            <c:extLst>
              <c:ext xmlns:c16="http://schemas.microsoft.com/office/drawing/2014/chart" uri="{C3380CC4-5D6E-409C-BE32-E72D297353CC}">
                <c16:uniqueId val="{0000000D-2EC7-4DBA-98AA-6C53124B1C79}"/>
              </c:ext>
            </c:extLst>
          </c:dPt>
          <c:dPt>
            <c:idx val="46"/>
            <c:invertIfNegative val="0"/>
            <c:bubble3D val="0"/>
            <c:extLst>
              <c:ext xmlns:c16="http://schemas.microsoft.com/office/drawing/2014/chart" uri="{C3380CC4-5D6E-409C-BE32-E72D297353CC}">
                <c16:uniqueId val="{0000000F-2EC7-4DBA-98AA-6C53124B1C79}"/>
              </c:ext>
            </c:extLst>
          </c:dPt>
          <c:dPt>
            <c:idx val="47"/>
            <c:invertIfNegative val="0"/>
            <c:bubble3D val="0"/>
            <c:spPr>
              <a:solidFill>
                <a:srgbClr val="265A9A"/>
              </a:solidFill>
              <a:ln>
                <a:solidFill>
                  <a:srgbClr val="265A9A"/>
                </a:solidFill>
              </a:ln>
            </c:spPr>
            <c:extLst>
              <c:ext xmlns:c16="http://schemas.microsoft.com/office/drawing/2014/chart" uri="{C3380CC4-5D6E-409C-BE32-E72D297353CC}">
                <c16:uniqueId val="{00000014-D8D2-48DE-9484-CCC8CFDDE11E}"/>
              </c:ext>
            </c:extLst>
          </c:dPt>
          <c:dPt>
            <c:idx val="52"/>
            <c:invertIfNegative val="0"/>
            <c:bubble3D val="0"/>
            <c:extLst>
              <c:ext xmlns:c16="http://schemas.microsoft.com/office/drawing/2014/chart" uri="{C3380CC4-5D6E-409C-BE32-E72D297353CC}">
                <c16:uniqueId val="{00000011-2EC7-4DBA-98AA-6C53124B1C79}"/>
              </c:ext>
            </c:extLst>
          </c:dPt>
          <c:dPt>
            <c:idx val="53"/>
            <c:invertIfNegative val="0"/>
            <c:bubble3D val="0"/>
            <c:extLst>
              <c:ext xmlns:c16="http://schemas.microsoft.com/office/drawing/2014/chart" uri="{C3380CC4-5D6E-409C-BE32-E72D297353CC}">
                <c16:uniqueId val="{00000012-2EC7-4DBA-98AA-6C53124B1C79}"/>
              </c:ext>
            </c:extLst>
          </c:dPt>
          <c:dPt>
            <c:idx val="54"/>
            <c:invertIfNegative val="0"/>
            <c:bubble3D val="0"/>
            <c:spPr>
              <a:solidFill>
                <a:srgbClr val="265A9A"/>
              </a:solidFill>
              <a:ln>
                <a:solidFill>
                  <a:srgbClr val="265A9A"/>
                </a:solidFill>
              </a:ln>
            </c:spPr>
            <c:extLst>
              <c:ext xmlns:c16="http://schemas.microsoft.com/office/drawing/2014/chart" uri="{C3380CC4-5D6E-409C-BE32-E72D297353CC}">
                <c16:uniqueId val="{00000018-D8D2-48DE-9484-CCC8CFDDE11E}"/>
              </c:ext>
            </c:extLst>
          </c:dPt>
          <c:dPt>
            <c:idx val="61"/>
            <c:invertIfNegative val="0"/>
            <c:bubble3D val="0"/>
            <c:spPr>
              <a:solidFill>
                <a:srgbClr val="265A9A"/>
              </a:solidFill>
              <a:ln>
                <a:solidFill>
                  <a:srgbClr val="265A9A"/>
                </a:solidFill>
              </a:ln>
            </c:spPr>
            <c:extLst>
              <c:ext xmlns:c16="http://schemas.microsoft.com/office/drawing/2014/chart" uri="{C3380CC4-5D6E-409C-BE32-E72D297353CC}">
                <c16:uniqueId val="{0000001A-D8D2-48DE-9484-CCC8CFDDE11E}"/>
              </c:ext>
            </c:extLst>
          </c:dPt>
          <c:cat>
            <c:multiLvlStrRef>
              <c:f>'Average daily per person'!$C$2:$BL$3</c:f>
              <c:multiLvlStrCache>
                <c:ptCount val="62"/>
                <c:lvl>
                  <c:pt idx="0">
                    <c:v>2014-15</c:v>
                  </c:pt>
                  <c:pt idx="1">
                    <c:v>2015-16</c:v>
                  </c:pt>
                  <c:pt idx="2">
                    <c:v>2016-17</c:v>
                  </c:pt>
                  <c:pt idx="3">
                    <c:v>2017-18</c:v>
                  </c:pt>
                  <c:pt idx="4">
                    <c:v>2018-19</c:v>
                  </c:pt>
                  <c:pt idx="5">
                    <c:v>2019-20</c:v>
                  </c:pt>
                  <c:pt idx="7">
                    <c:v>2014-15</c:v>
                  </c:pt>
                  <c:pt idx="8">
                    <c:v>2015-16</c:v>
                  </c:pt>
                  <c:pt idx="9">
                    <c:v>2016-17</c:v>
                  </c:pt>
                  <c:pt idx="10">
                    <c:v>2017-18</c:v>
                  </c:pt>
                  <c:pt idx="11">
                    <c:v>2018-19</c:v>
                  </c:pt>
                  <c:pt idx="12">
                    <c:v>2019-20</c:v>
                  </c:pt>
                  <c:pt idx="14">
                    <c:v>2014-15</c:v>
                  </c:pt>
                  <c:pt idx="15">
                    <c:v>2015-16</c:v>
                  </c:pt>
                  <c:pt idx="16">
                    <c:v>2016-17</c:v>
                  </c:pt>
                  <c:pt idx="17">
                    <c:v>2017-18</c:v>
                  </c:pt>
                  <c:pt idx="18">
                    <c:v>2018-19</c:v>
                  </c:pt>
                  <c:pt idx="19">
                    <c:v>2019-20</c:v>
                  </c:pt>
                  <c:pt idx="21">
                    <c:v>2014-15</c:v>
                  </c:pt>
                  <c:pt idx="22">
                    <c:v>2015-16</c:v>
                  </c:pt>
                  <c:pt idx="23">
                    <c:v>2016-17</c:v>
                  </c:pt>
                  <c:pt idx="24">
                    <c:v>2017-18</c:v>
                  </c:pt>
                  <c:pt idx="25">
                    <c:v>2018-19</c:v>
                  </c:pt>
                  <c:pt idx="26">
                    <c:v>2019-20</c:v>
                  </c:pt>
                  <c:pt idx="28">
                    <c:v>2014-15</c:v>
                  </c:pt>
                  <c:pt idx="29">
                    <c:v>2015-16</c:v>
                  </c:pt>
                  <c:pt idx="30">
                    <c:v>2016-17</c:v>
                  </c:pt>
                  <c:pt idx="31">
                    <c:v>2017-18</c:v>
                  </c:pt>
                  <c:pt idx="32">
                    <c:v>2018-19</c:v>
                  </c:pt>
                  <c:pt idx="33">
                    <c:v>2019-20</c:v>
                  </c:pt>
                  <c:pt idx="35">
                    <c:v>2014-15</c:v>
                  </c:pt>
                  <c:pt idx="36">
                    <c:v>2015-16</c:v>
                  </c:pt>
                  <c:pt idx="37">
                    <c:v>2016-17</c:v>
                  </c:pt>
                  <c:pt idx="38">
                    <c:v>2017-18</c:v>
                  </c:pt>
                  <c:pt idx="39">
                    <c:v>2018-19</c:v>
                  </c:pt>
                  <c:pt idx="40">
                    <c:v>2019-20</c:v>
                  </c:pt>
                  <c:pt idx="42">
                    <c:v>2014-15</c:v>
                  </c:pt>
                  <c:pt idx="43">
                    <c:v>2015-16</c:v>
                  </c:pt>
                  <c:pt idx="44">
                    <c:v>2016-17</c:v>
                  </c:pt>
                  <c:pt idx="45">
                    <c:v>2017-18</c:v>
                  </c:pt>
                  <c:pt idx="46">
                    <c:v>2018-19</c:v>
                  </c:pt>
                  <c:pt idx="47">
                    <c:v>2019-20</c:v>
                  </c:pt>
                  <c:pt idx="49">
                    <c:v>2014-15</c:v>
                  </c:pt>
                  <c:pt idx="50">
                    <c:v>2015-16</c:v>
                  </c:pt>
                  <c:pt idx="51">
                    <c:v>2016-17</c:v>
                  </c:pt>
                  <c:pt idx="52">
                    <c:v>2017-18</c:v>
                  </c:pt>
                  <c:pt idx="53">
                    <c:v>2018-19</c:v>
                  </c:pt>
                  <c:pt idx="54">
                    <c:v>2019-20</c:v>
                  </c:pt>
                  <c:pt idx="56">
                    <c:v>2014-15</c:v>
                  </c:pt>
                  <c:pt idx="57">
                    <c:v>2015-16</c:v>
                  </c:pt>
                  <c:pt idx="58">
                    <c:v>2016-17</c:v>
                  </c:pt>
                  <c:pt idx="59">
                    <c:v>2017-18</c:v>
                  </c:pt>
                  <c:pt idx="60">
                    <c:v>2018-19</c:v>
                  </c:pt>
                  <c:pt idx="61">
                    <c:v>2019-20</c:v>
                  </c:pt>
                </c:lvl>
                <c:lvl>
                  <c:pt idx="0">
                    <c:v>NSW</c:v>
                  </c:pt>
                  <c:pt idx="7">
                    <c:v>Vic</c:v>
                  </c:pt>
                  <c:pt idx="14">
                    <c:v>Qld</c:v>
                  </c:pt>
                  <c:pt idx="21">
                    <c:v>WA</c:v>
                  </c:pt>
                  <c:pt idx="28">
                    <c:v>SA</c:v>
                  </c:pt>
                  <c:pt idx="35">
                    <c:v>Tas</c:v>
                  </c:pt>
                  <c:pt idx="42">
                    <c:v>ACT</c:v>
                  </c:pt>
                  <c:pt idx="49">
                    <c:v>NT</c:v>
                  </c:pt>
                  <c:pt idx="56">
                    <c:v>Aust</c:v>
                  </c:pt>
                </c:lvl>
              </c:multiLvlStrCache>
            </c:multiLvlStrRef>
          </c:cat>
          <c:val>
            <c:numRef>
              <c:f>'Average daily per person'!$C$5:$BL$5</c:f>
              <c:numCache>
                <c:formatCode>0.0</c:formatCode>
                <c:ptCount val="62"/>
                <c:pt idx="0">
                  <c:v>3.3610831020852601</c:v>
                </c:pt>
                <c:pt idx="1">
                  <c:v>3.4627519634907302</c:v>
                </c:pt>
                <c:pt idx="2">
                  <c:v>3.2801968662550767</c:v>
                </c:pt>
                <c:pt idx="3">
                  <c:v>3.391084530488933</c:v>
                </c:pt>
                <c:pt idx="4">
                  <c:v>3.008967515028341</c:v>
                </c:pt>
                <c:pt idx="5">
                  <c:v>2.4384802560923093</c:v>
                </c:pt>
                <c:pt idx="7">
                  <c:v>1.4838003383788576</c:v>
                </c:pt>
                <c:pt idx="8">
                  <c:v>1.8364818001087626</c:v>
                </c:pt>
                <c:pt idx="9">
                  <c:v>2.1668585967493628</c:v>
                </c:pt>
                <c:pt idx="10">
                  <c:v>2.1885729136744771</c:v>
                </c:pt>
                <c:pt idx="11">
                  <c:v>2.041933275645929</c:v>
                </c:pt>
                <c:pt idx="12">
                  <c:v>1.9402786594418535</c:v>
                </c:pt>
                <c:pt idx="14">
                  <c:v>3.591357491613246</c:v>
                </c:pt>
                <c:pt idx="15">
                  <c:v>3.8679864455879236</c:v>
                </c:pt>
                <c:pt idx="16">
                  <c:v>3.6533330103867687</c:v>
                </c:pt>
                <c:pt idx="17">
                  <c:v>4.123695067547704</c:v>
                </c:pt>
                <c:pt idx="18">
                  <c:v>4.8465609691577223</c:v>
                </c:pt>
                <c:pt idx="19">
                  <c:v>3.5331082472571178</c:v>
                </c:pt>
                <c:pt idx="21">
                  <c:v>6.1565992587454499</c:v>
                </c:pt>
                <c:pt idx="22">
                  <c:v>5.3540629572410632</c:v>
                </c:pt>
                <c:pt idx="23">
                  <c:v>5.57850738545869</c:v>
                </c:pt>
                <c:pt idx="24">
                  <c:v>5.8596319194479989</c:v>
                </c:pt>
                <c:pt idx="25">
                  <c:v>5.2174254163152423</c:v>
                </c:pt>
                <c:pt idx="26">
                  <c:v>3.8044452712784778</c:v>
                </c:pt>
                <c:pt idx="28">
                  <c:v>2.9096061278835146</c:v>
                </c:pt>
                <c:pt idx="29">
                  <c:v>3.477425187939025</c:v>
                </c:pt>
                <c:pt idx="30">
                  <c:v>3.0856423173803527</c:v>
                </c:pt>
                <c:pt idx="31">
                  <c:v>2.80925180260324</c:v>
                </c:pt>
                <c:pt idx="32">
                  <c:v>2.4087455994070783</c:v>
                </c:pt>
                <c:pt idx="33">
                  <c:v>1.5823747793804395</c:v>
                </c:pt>
                <c:pt idx="35">
                  <c:v>1.7922574478253943</c:v>
                </c:pt>
                <c:pt idx="36">
                  <c:v>1.6021789633902106</c:v>
                </c:pt>
                <c:pt idx="37">
                  <c:v>1.9860973187686197</c:v>
                </c:pt>
                <c:pt idx="38">
                  <c:v>1.9826321424322932</c:v>
                </c:pt>
                <c:pt idx="39">
                  <c:v>2.3517422490495044</c:v>
                </c:pt>
                <c:pt idx="40">
                  <c:v>2.7812108920114893</c:v>
                </c:pt>
                <c:pt idx="42">
                  <c:v>2.274665908444697</c:v>
                </c:pt>
                <c:pt idx="43">
                  <c:v>1.9726645061293504</c:v>
                </c:pt>
                <c:pt idx="44">
                  <c:v>2.7707738771438861</c:v>
                </c:pt>
                <c:pt idx="45">
                  <c:v>3.2515038205169891</c:v>
                </c:pt>
                <c:pt idx="46">
                  <c:v>1.5791551519936833</c:v>
                </c:pt>
                <c:pt idx="47">
                  <c:v>3.5775432499425039</c:v>
                </c:pt>
                <c:pt idx="49">
                  <c:v>15.849744422871181</c:v>
                </c:pt>
                <c:pt idx="50">
                  <c:v>18.684901009779757</c:v>
                </c:pt>
                <c:pt idx="51">
                  <c:v>15.084153699587171</c:v>
                </c:pt>
                <c:pt idx="52">
                  <c:v>14.887948597398527</c:v>
                </c:pt>
                <c:pt idx="53">
                  <c:v>13.552758954501453</c:v>
                </c:pt>
                <c:pt idx="54">
                  <c:v>9.2854102990675891</c:v>
                </c:pt>
                <c:pt idx="56">
                  <c:v>3.3039827328304283</c:v>
                </c:pt>
                <c:pt idx="57">
                  <c:v>3.4523617830114048</c:v>
                </c:pt>
                <c:pt idx="58">
                  <c:v>3.4085894731036004</c:v>
                </c:pt>
                <c:pt idx="59">
                  <c:v>3.5688914591304775</c:v>
                </c:pt>
                <c:pt idx="60">
                  <c:v>3.4342358388703111</c:v>
                </c:pt>
                <c:pt idx="61">
                  <c:v>2.7349730678106776</c:v>
                </c:pt>
              </c:numCache>
            </c:numRef>
          </c:val>
          <c:extLst>
            <c:ext xmlns:c16="http://schemas.microsoft.com/office/drawing/2014/chart" uri="{C3380CC4-5D6E-409C-BE32-E72D297353CC}">
              <c16:uniqueId val="{00000013-2EC7-4DBA-98AA-6C53124B1C79}"/>
            </c:ext>
          </c:extLst>
        </c:ser>
        <c:dLbls>
          <c:showLegendKey val="0"/>
          <c:showVal val="0"/>
          <c:showCatName val="0"/>
          <c:showSerName val="0"/>
          <c:showPercent val="0"/>
          <c:showBubbleSize val="0"/>
        </c:dLbls>
        <c:gapWidth val="0"/>
        <c:overlap val="100"/>
        <c:axId val="520771944"/>
        <c:axId val="520772728"/>
      </c:barChart>
      <c:catAx>
        <c:axId val="520771944"/>
        <c:scaling>
          <c:orientation val="minMax"/>
        </c:scaling>
        <c:delete val="0"/>
        <c:axPos val="b"/>
        <c:numFmt formatCode="General" sourceLinked="1"/>
        <c:majorTickMark val="none"/>
        <c:minorTickMark val="none"/>
        <c:tickLblPos val="nextTo"/>
        <c:spPr>
          <a:ln>
            <a:solidFill>
              <a:srgbClr val="BFBFBF"/>
            </a:solidFill>
          </a:ln>
        </c:spPr>
        <c:txPr>
          <a:bodyPr/>
          <a:lstStyle/>
          <a:p>
            <a:pPr>
              <a:defRPr sz="550" b="0" i="0" baseline="0">
                <a:latin typeface="Arial"/>
                <a:ea typeface="Arial"/>
                <a:cs typeface="Arial"/>
              </a:defRPr>
            </a:pPr>
            <a:endParaRPr lang="en-US"/>
          </a:p>
        </c:txPr>
        <c:crossAx val="520772728"/>
        <c:crosses val="autoZero"/>
        <c:auto val="1"/>
        <c:lblAlgn val="ctr"/>
        <c:lblOffset val="100"/>
        <c:noMultiLvlLbl val="0"/>
      </c:catAx>
      <c:valAx>
        <c:axId val="520772728"/>
        <c:scaling>
          <c:orientation val="minMax"/>
          <c:max val="2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Detention supervision /10 000 </a:t>
                </a:r>
                <a:br>
                  <a:rPr lang="en-AU"/>
                </a:br>
                <a:r>
                  <a:rPr lang="en-AU"/>
                  <a:t>young people</a:t>
                </a:r>
              </a:p>
            </c:rich>
          </c:tx>
          <c:layout>
            <c:manualLayout>
              <c:xMode val="edge"/>
              <c:yMode val="edge"/>
              <c:x val="1.4150683312258648E-2"/>
              <c:y val="0.19342612320157282"/>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20771944"/>
        <c:crosses val="autoZero"/>
        <c:crossBetween val="between"/>
        <c:majorUnit val="4"/>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77349639384418"/>
          <c:y val="4.8506944444444443E-2"/>
          <c:w val="0.85635625945444549"/>
          <c:h val="0.68051458333333326"/>
        </c:manualLayout>
      </c:layout>
      <c:barChart>
        <c:barDir val="col"/>
        <c:grouping val="clustered"/>
        <c:varyColors val="0"/>
        <c:ser>
          <c:idx val="0"/>
          <c:order val="0"/>
          <c:tx>
            <c:strRef>
              <c:f>'Average daily per person'!$B$4</c:f>
              <c:strCache>
                <c:ptCount val="1"/>
                <c:pt idx="0">
                  <c:v>Community</c:v>
                </c:pt>
              </c:strCache>
            </c:strRef>
          </c:tx>
          <c:spPr>
            <a:solidFill>
              <a:srgbClr val="66BCDB"/>
            </a:solidFill>
            <a:ln w="3175">
              <a:solidFill>
                <a:srgbClr val="66BCDB"/>
              </a:solidFill>
            </a:ln>
          </c:spPr>
          <c:invertIfNegative val="0"/>
          <c:dPt>
            <c:idx val="4"/>
            <c:invertIfNegative val="0"/>
            <c:bubble3D val="0"/>
            <c:extLst>
              <c:ext xmlns:c16="http://schemas.microsoft.com/office/drawing/2014/chart" uri="{C3380CC4-5D6E-409C-BE32-E72D297353CC}">
                <c16:uniqueId val="{00000001-8B01-423D-BEDF-2A356EC081C0}"/>
              </c:ext>
            </c:extLst>
          </c:dPt>
          <c:dPt>
            <c:idx val="5"/>
            <c:invertIfNegative val="0"/>
            <c:bubble3D val="0"/>
            <c:spPr>
              <a:solidFill>
                <a:srgbClr val="265A9A"/>
              </a:solidFill>
              <a:ln w="3175">
                <a:solidFill>
                  <a:srgbClr val="265A9A"/>
                </a:solidFill>
              </a:ln>
            </c:spPr>
            <c:extLst>
              <c:ext xmlns:c16="http://schemas.microsoft.com/office/drawing/2014/chart" uri="{C3380CC4-5D6E-409C-BE32-E72D297353CC}">
                <c16:uniqueId val="{00000002-52AE-49E1-8F35-F80AEE31DAA9}"/>
              </c:ext>
            </c:extLst>
          </c:dPt>
          <c:dPt>
            <c:idx val="10"/>
            <c:invertIfNegative val="0"/>
            <c:bubble3D val="0"/>
            <c:extLst>
              <c:ext xmlns:c16="http://schemas.microsoft.com/office/drawing/2014/chart" uri="{C3380CC4-5D6E-409C-BE32-E72D297353CC}">
                <c16:uniqueId val="{00000003-8B01-423D-BEDF-2A356EC081C0}"/>
              </c:ext>
            </c:extLst>
          </c:dPt>
          <c:dPt>
            <c:idx val="12"/>
            <c:invertIfNegative val="0"/>
            <c:bubble3D val="0"/>
            <c:spPr>
              <a:solidFill>
                <a:srgbClr val="265A9A"/>
              </a:solidFill>
              <a:ln w="3175">
                <a:solidFill>
                  <a:srgbClr val="265A9A"/>
                </a:solidFill>
              </a:ln>
            </c:spPr>
            <c:extLst>
              <c:ext xmlns:c16="http://schemas.microsoft.com/office/drawing/2014/chart" uri="{C3380CC4-5D6E-409C-BE32-E72D297353CC}">
                <c16:uniqueId val="{00000005-52AE-49E1-8F35-F80AEE31DAA9}"/>
              </c:ext>
            </c:extLst>
          </c:dPt>
          <c:dPt>
            <c:idx val="16"/>
            <c:invertIfNegative val="0"/>
            <c:bubble3D val="0"/>
            <c:extLst>
              <c:ext xmlns:c16="http://schemas.microsoft.com/office/drawing/2014/chart" uri="{C3380CC4-5D6E-409C-BE32-E72D297353CC}">
                <c16:uniqueId val="{00000005-8B01-423D-BEDF-2A356EC081C0}"/>
              </c:ext>
            </c:extLst>
          </c:dPt>
          <c:dPt>
            <c:idx val="19"/>
            <c:invertIfNegative val="0"/>
            <c:bubble3D val="0"/>
            <c:spPr>
              <a:solidFill>
                <a:srgbClr val="265A9A"/>
              </a:solidFill>
              <a:ln w="3175">
                <a:solidFill>
                  <a:srgbClr val="265A9A"/>
                </a:solidFill>
              </a:ln>
            </c:spPr>
            <c:extLst>
              <c:ext xmlns:c16="http://schemas.microsoft.com/office/drawing/2014/chart" uri="{C3380CC4-5D6E-409C-BE32-E72D297353CC}">
                <c16:uniqueId val="{00000008-52AE-49E1-8F35-F80AEE31DAA9}"/>
              </c:ext>
            </c:extLst>
          </c:dPt>
          <c:dPt>
            <c:idx val="22"/>
            <c:invertIfNegative val="0"/>
            <c:bubble3D val="0"/>
            <c:extLst>
              <c:ext xmlns:c16="http://schemas.microsoft.com/office/drawing/2014/chart" uri="{C3380CC4-5D6E-409C-BE32-E72D297353CC}">
                <c16:uniqueId val="{00000007-8B01-423D-BEDF-2A356EC081C0}"/>
              </c:ext>
            </c:extLst>
          </c:dPt>
          <c:dPt>
            <c:idx val="26"/>
            <c:invertIfNegative val="0"/>
            <c:bubble3D val="0"/>
            <c:spPr>
              <a:solidFill>
                <a:srgbClr val="265A9A"/>
              </a:solidFill>
              <a:ln w="3175">
                <a:solidFill>
                  <a:srgbClr val="265A9A"/>
                </a:solidFill>
              </a:ln>
            </c:spPr>
            <c:extLst>
              <c:ext xmlns:c16="http://schemas.microsoft.com/office/drawing/2014/chart" uri="{C3380CC4-5D6E-409C-BE32-E72D297353CC}">
                <c16:uniqueId val="{0000000B-52AE-49E1-8F35-F80AEE31DAA9}"/>
              </c:ext>
            </c:extLst>
          </c:dPt>
          <c:dPt>
            <c:idx val="28"/>
            <c:invertIfNegative val="0"/>
            <c:bubble3D val="0"/>
            <c:extLst>
              <c:ext xmlns:c16="http://schemas.microsoft.com/office/drawing/2014/chart" uri="{C3380CC4-5D6E-409C-BE32-E72D297353CC}">
                <c16:uniqueId val="{00000009-8B01-423D-BEDF-2A356EC081C0}"/>
              </c:ext>
            </c:extLst>
          </c:dPt>
          <c:dPt>
            <c:idx val="33"/>
            <c:invertIfNegative val="0"/>
            <c:bubble3D val="0"/>
            <c:spPr>
              <a:solidFill>
                <a:srgbClr val="265A9A"/>
              </a:solidFill>
              <a:ln w="3175">
                <a:solidFill>
                  <a:srgbClr val="265A9A"/>
                </a:solidFill>
              </a:ln>
            </c:spPr>
            <c:extLst>
              <c:ext xmlns:c16="http://schemas.microsoft.com/office/drawing/2014/chart" uri="{C3380CC4-5D6E-409C-BE32-E72D297353CC}">
                <c16:uniqueId val="{0000000E-52AE-49E1-8F35-F80AEE31DAA9}"/>
              </c:ext>
            </c:extLst>
          </c:dPt>
          <c:dPt>
            <c:idx val="34"/>
            <c:invertIfNegative val="0"/>
            <c:bubble3D val="0"/>
            <c:extLst>
              <c:ext xmlns:c16="http://schemas.microsoft.com/office/drawing/2014/chart" uri="{C3380CC4-5D6E-409C-BE32-E72D297353CC}">
                <c16:uniqueId val="{0000000B-8B01-423D-BEDF-2A356EC081C0}"/>
              </c:ext>
            </c:extLst>
          </c:dPt>
          <c:dPt>
            <c:idx val="40"/>
            <c:invertIfNegative val="0"/>
            <c:bubble3D val="0"/>
            <c:spPr>
              <a:solidFill>
                <a:srgbClr val="265A9A"/>
              </a:solidFill>
              <a:ln w="3175">
                <a:solidFill>
                  <a:srgbClr val="265A9A"/>
                </a:solidFill>
              </a:ln>
            </c:spPr>
            <c:extLst>
              <c:ext xmlns:c16="http://schemas.microsoft.com/office/drawing/2014/chart" uri="{C3380CC4-5D6E-409C-BE32-E72D297353CC}">
                <c16:uniqueId val="{0000000D-8B01-423D-BEDF-2A356EC081C0}"/>
              </c:ext>
            </c:extLst>
          </c:dPt>
          <c:dPt>
            <c:idx val="46"/>
            <c:invertIfNegative val="0"/>
            <c:bubble3D val="0"/>
            <c:extLst>
              <c:ext xmlns:c16="http://schemas.microsoft.com/office/drawing/2014/chart" uri="{C3380CC4-5D6E-409C-BE32-E72D297353CC}">
                <c16:uniqueId val="{0000000F-8B01-423D-BEDF-2A356EC081C0}"/>
              </c:ext>
            </c:extLst>
          </c:dPt>
          <c:dPt>
            <c:idx val="47"/>
            <c:invertIfNegative val="0"/>
            <c:bubble3D val="0"/>
            <c:spPr>
              <a:solidFill>
                <a:srgbClr val="265A9A"/>
              </a:solidFill>
              <a:ln w="3175">
                <a:solidFill>
                  <a:srgbClr val="265A9A"/>
                </a:solidFill>
              </a:ln>
            </c:spPr>
            <c:extLst>
              <c:ext xmlns:c16="http://schemas.microsoft.com/office/drawing/2014/chart" uri="{C3380CC4-5D6E-409C-BE32-E72D297353CC}">
                <c16:uniqueId val="{00000014-52AE-49E1-8F35-F80AEE31DAA9}"/>
              </c:ext>
            </c:extLst>
          </c:dPt>
          <c:dPt>
            <c:idx val="52"/>
            <c:invertIfNegative val="0"/>
            <c:bubble3D val="0"/>
            <c:extLst>
              <c:ext xmlns:c16="http://schemas.microsoft.com/office/drawing/2014/chart" uri="{C3380CC4-5D6E-409C-BE32-E72D297353CC}">
                <c16:uniqueId val="{00000011-8B01-423D-BEDF-2A356EC081C0}"/>
              </c:ext>
            </c:extLst>
          </c:dPt>
          <c:dPt>
            <c:idx val="53"/>
            <c:invertIfNegative val="0"/>
            <c:bubble3D val="0"/>
            <c:extLst>
              <c:ext xmlns:c16="http://schemas.microsoft.com/office/drawing/2014/chart" uri="{C3380CC4-5D6E-409C-BE32-E72D297353CC}">
                <c16:uniqueId val="{00000012-8B01-423D-BEDF-2A356EC081C0}"/>
              </c:ext>
            </c:extLst>
          </c:dPt>
          <c:dPt>
            <c:idx val="54"/>
            <c:invertIfNegative val="0"/>
            <c:bubble3D val="0"/>
            <c:spPr>
              <a:solidFill>
                <a:srgbClr val="265A9A"/>
              </a:solidFill>
              <a:ln w="3175">
                <a:solidFill>
                  <a:srgbClr val="265A9A"/>
                </a:solidFill>
              </a:ln>
            </c:spPr>
            <c:extLst>
              <c:ext xmlns:c16="http://schemas.microsoft.com/office/drawing/2014/chart" uri="{C3380CC4-5D6E-409C-BE32-E72D297353CC}">
                <c16:uniqueId val="{00000018-52AE-49E1-8F35-F80AEE31DAA9}"/>
              </c:ext>
            </c:extLst>
          </c:dPt>
          <c:dPt>
            <c:idx val="61"/>
            <c:invertIfNegative val="0"/>
            <c:bubble3D val="0"/>
            <c:spPr>
              <a:solidFill>
                <a:srgbClr val="265A9A"/>
              </a:solidFill>
              <a:ln w="3175">
                <a:solidFill>
                  <a:srgbClr val="265A9A"/>
                </a:solidFill>
              </a:ln>
            </c:spPr>
            <c:extLst>
              <c:ext xmlns:c16="http://schemas.microsoft.com/office/drawing/2014/chart" uri="{C3380CC4-5D6E-409C-BE32-E72D297353CC}">
                <c16:uniqueId val="{0000001A-52AE-49E1-8F35-F80AEE31DAA9}"/>
              </c:ext>
            </c:extLst>
          </c:dPt>
          <c:cat>
            <c:multiLvlStrRef>
              <c:f>'Average daily per person'!$C$2:$BL$3</c:f>
              <c:multiLvlStrCache>
                <c:ptCount val="62"/>
                <c:lvl>
                  <c:pt idx="0">
                    <c:v>2014-15</c:v>
                  </c:pt>
                  <c:pt idx="1">
                    <c:v>2015-16</c:v>
                  </c:pt>
                  <c:pt idx="2">
                    <c:v>2016-17</c:v>
                  </c:pt>
                  <c:pt idx="3">
                    <c:v>2017-18</c:v>
                  </c:pt>
                  <c:pt idx="4">
                    <c:v>2018-19</c:v>
                  </c:pt>
                  <c:pt idx="5">
                    <c:v>2019-20</c:v>
                  </c:pt>
                  <c:pt idx="7">
                    <c:v>2014-15</c:v>
                  </c:pt>
                  <c:pt idx="8">
                    <c:v>2015-16</c:v>
                  </c:pt>
                  <c:pt idx="9">
                    <c:v>2016-17</c:v>
                  </c:pt>
                  <c:pt idx="10">
                    <c:v>2017-18</c:v>
                  </c:pt>
                  <c:pt idx="11">
                    <c:v>2018-19</c:v>
                  </c:pt>
                  <c:pt idx="12">
                    <c:v>2019-20</c:v>
                  </c:pt>
                  <c:pt idx="14">
                    <c:v>2014-15</c:v>
                  </c:pt>
                  <c:pt idx="15">
                    <c:v>2015-16</c:v>
                  </c:pt>
                  <c:pt idx="16">
                    <c:v>2016-17</c:v>
                  </c:pt>
                  <c:pt idx="17">
                    <c:v>2017-18</c:v>
                  </c:pt>
                  <c:pt idx="18">
                    <c:v>2018-19</c:v>
                  </c:pt>
                  <c:pt idx="19">
                    <c:v>2019-20</c:v>
                  </c:pt>
                  <c:pt idx="21">
                    <c:v>2014-15</c:v>
                  </c:pt>
                  <c:pt idx="22">
                    <c:v>2015-16</c:v>
                  </c:pt>
                  <c:pt idx="23">
                    <c:v>2016-17</c:v>
                  </c:pt>
                  <c:pt idx="24">
                    <c:v>2017-18</c:v>
                  </c:pt>
                  <c:pt idx="25">
                    <c:v>2018-19</c:v>
                  </c:pt>
                  <c:pt idx="26">
                    <c:v>2019-20</c:v>
                  </c:pt>
                  <c:pt idx="28">
                    <c:v>2014-15</c:v>
                  </c:pt>
                  <c:pt idx="29">
                    <c:v>2015-16</c:v>
                  </c:pt>
                  <c:pt idx="30">
                    <c:v>2016-17</c:v>
                  </c:pt>
                  <c:pt idx="31">
                    <c:v>2017-18</c:v>
                  </c:pt>
                  <c:pt idx="32">
                    <c:v>2018-19</c:v>
                  </c:pt>
                  <c:pt idx="33">
                    <c:v>2019-20</c:v>
                  </c:pt>
                  <c:pt idx="35">
                    <c:v>2014-15</c:v>
                  </c:pt>
                  <c:pt idx="36">
                    <c:v>2015-16</c:v>
                  </c:pt>
                  <c:pt idx="37">
                    <c:v>2016-17</c:v>
                  </c:pt>
                  <c:pt idx="38">
                    <c:v>2017-18</c:v>
                  </c:pt>
                  <c:pt idx="39">
                    <c:v>2018-19</c:v>
                  </c:pt>
                  <c:pt idx="40">
                    <c:v>2019-20</c:v>
                  </c:pt>
                  <c:pt idx="42">
                    <c:v>2014-15</c:v>
                  </c:pt>
                  <c:pt idx="43">
                    <c:v>2015-16</c:v>
                  </c:pt>
                  <c:pt idx="44">
                    <c:v>2016-17</c:v>
                  </c:pt>
                  <c:pt idx="45">
                    <c:v>2017-18</c:v>
                  </c:pt>
                  <c:pt idx="46">
                    <c:v>2018-19</c:v>
                  </c:pt>
                  <c:pt idx="47">
                    <c:v>2019-20</c:v>
                  </c:pt>
                  <c:pt idx="49">
                    <c:v>2014-15</c:v>
                  </c:pt>
                  <c:pt idx="50">
                    <c:v>2015-16</c:v>
                  </c:pt>
                  <c:pt idx="51">
                    <c:v>2016-17</c:v>
                  </c:pt>
                  <c:pt idx="52">
                    <c:v>2017-18</c:v>
                  </c:pt>
                  <c:pt idx="53">
                    <c:v>2018-19</c:v>
                  </c:pt>
                  <c:pt idx="54">
                    <c:v>2019-20</c:v>
                  </c:pt>
                  <c:pt idx="56">
                    <c:v>2014-15</c:v>
                  </c:pt>
                  <c:pt idx="57">
                    <c:v>2015-16</c:v>
                  </c:pt>
                  <c:pt idx="58">
                    <c:v>2016-17</c:v>
                  </c:pt>
                  <c:pt idx="59">
                    <c:v>2017-18</c:v>
                  </c:pt>
                  <c:pt idx="60">
                    <c:v>2018-19</c:v>
                  </c:pt>
                  <c:pt idx="61">
                    <c:v>2019-20</c:v>
                  </c:pt>
                </c:lvl>
                <c:lvl>
                  <c:pt idx="0">
                    <c:v>NSW</c:v>
                  </c:pt>
                  <c:pt idx="7">
                    <c:v>Vic</c:v>
                  </c:pt>
                  <c:pt idx="14">
                    <c:v>Qld</c:v>
                  </c:pt>
                  <c:pt idx="21">
                    <c:v>WA</c:v>
                  </c:pt>
                  <c:pt idx="28">
                    <c:v>SA</c:v>
                  </c:pt>
                  <c:pt idx="35">
                    <c:v>Tas</c:v>
                  </c:pt>
                  <c:pt idx="42">
                    <c:v>ACT</c:v>
                  </c:pt>
                  <c:pt idx="49">
                    <c:v>NT</c:v>
                  </c:pt>
                  <c:pt idx="56">
                    <c:v>Aust</c:v>
                  </c:pt>
                </c:lvl>
              </c:multiLvlStrCache>
            </c:multiLvlStrRef>
          </c:cat>
          <c:val>
            <c:numRef>
              <c:f>'Average daily per person'!$C$4:$BL$4</c:f>
              <c:numCache>
                <c:formatCode>0.0</c:formatCode>
                <c:ptCount val="62"/>
                <c:pt idx="0">
                  <c:v>15.666536112199067</c:v>
                </c:pt>
                <c:pt idx="1">
                  <c:v>16.08593143199279</c:v>
                </c:pt>
                <c:pt idx="2">
                  <c:v>14.672415858186609</c:v>
                </c:pt>
                <c:pt idx="3">
                  <c:v>13.8190045491466</c:v>
                </c:pt>
                <c:pt idx="4">
                  <c:v>13.923073369977629</c:v>
                </c:pt>
                <c:pt idx="5">
                  <c:v>13.35975884986744</c:v>
                </c:pt>
                <c:pt idx="7">
                  <c:v>12.612302876220289</c:v>
                </c:pt>
                <c:pt idx="8">
                  <c:v>11.660767934671172</c:v>
                </c:pt>
                <c:pt idx="9">
                  <c:v>10.432375663382011</c:v>
                </c:pt>
                <c:pt idx="10">
                  <c:v>9.8485781115351489</c:v>
                </c:pt>
                <c:pt idx="11">
                  <c:v>9.0548024764298969</c:v>
                </c:pt>
                <c:pt idx="12">
                  <c:v>7.8636413334946607</c:v>
                </c:pt>
                <c:pt idx="14">
                  <c:v>26.551134287707178</c:v>
                </c:pt>
                <c:pt idx="15">
                  <c:v>24.257212868873204</c:v>
                </c:pt>
                <c:pt idx="16">
                  <c:v>23.191600159858549</c:v>
                </c:pt>
                <c:pt idx="17">
                  <c:v>25.965467506664009</c:v>
                </c:pt>
                <c:pt idx="18">
                  <c:v>27.438100148100087</c:v>
                </c:pt>
                <c:pt idx="19">
                  <c:v>20.329542641971436</c:v>
                </c:pt>
                <c:pt idx="21">
                  <c:v>24.95474899544822</c:v>
                </c:pt>
                <c:pt idx="22">
                  <c:v>24.849391435134098</c:v>
                </c:pt>
                <c:pt idx="23">
                  <c:v>24.092684070531739</c:v>
                </c:pt>
                <c:pt idx="24">
                  <c:v>23.677696327565382</c:v>
                </c:pt>
                <c:pt idx="25">
                  <c:v>23.14496989192476</c:v>
                </c:pt>
                <c:pt idx="26">
                  <c:v>20.40385562324057</c:v>
                </c:pt>
                <c:pt idx="28">
                  <c:v>15.749824474847721</c:v>
                </c:pt>
                <c:pt idx="29">
                  <c:v>14.162604401788029</c:v>
                </c:pt>
                <c:pt idx="30">
                  <c:v>14.483627204030228</c:v>
                </c:pt>
                <c:pt idx="31">
                  <c:v>12.48556356712551</c:v>
                </c:pt>
                <c:pt idx="32">
                  <c:v>10.437897597430672</c:v>
                </c:pt>
                <c:pt idx="33">
                  <c:v>11.015762887225367</c:v>
                </c:pt>
                <c:pt idx="35">
                  <c:v>19.117412776804205</c:v>
                </c:pt>
                <c:pt idx="36">
                  <c:v>17.623968597292318</c:v>
                </c:pt>
                <c:pt idx="37">
                  <c:v>18.073485600794438</c:v>
                </c:pt>
                <c:pt idx="38">
                  <c:v>20.024584638566161</c:v>
                </c:pt>
                <c:pt idx="39">
                  <c:v>23.321443969740915</c:v>
                </c:pt>
                <c:pt idx="40">
                  <c:v>19.47272725331884</c:v>
                </c:pt>
                <c:pt idx="42">
                  <c:v>19.618993460335513</c:v>
                </c:pt>
                <c:pt idx="43">
                  <c:v>17.190362124841482</c:v>
                </c:pt>
                <c:pt idx="44">
                  <c:v>16.624643262863316</c:v>
                </c:pt>
                <c:pt idx="45">
                  <c:v>22.489568091909174</c:v>
                </c:pt>
                <c:pt idx="46">
                  <c:v>15.791551519936833</c:v>
                </c:pt>
                <c:pt idx="47">
                  <c:v>14.054634196202693</c:v>
                </c:pt>
                <c:pt idx="49">
                  <c:v>42.398066331180409</c:v>
                </c:pt>
                <c:pt idx="50">
                  <c:v>44.128170469905385</c:v>
                </c:pt>
                <c:pt idx="51">
                  <c:v>47.634169577643696</c:v>
                </c:pt>
                <c:pt idx="52">
                  <c:v>41.529540824322204</c:v>
                </c:pt>
                <c:pt idx="53">
                  <c:v>46.853823814133591</c:v>
                </c:pt>
                <c:pt idx="54">
                  <c:v>72.348821913568301</c:v>
                </c:pt>
                <c:pt idx="56">
                  <c:v>18.663752927377224</c:v>
                </c:pt>
                <c:pt idx="57">
                  <c:v>17.89627337454581</c:v>
                </c:pt>
                <c:pt idx="58">
                  <c:v>16.900743253492188</c:v>
                </c:pt>
                <c:pt idx="59">
                  <c:v>16.963876722106551</c:v>
                </c:pt>
                <c:pt idx="60">
                  <c:v>16.950822657474887</c:v>
                </c:pt>
                <c:pt idx="61">
                  <c:v>14.841588991832456</c:v>
                </c:pt>
              </c:numCache>
            </c:numRef>
          </c:val>
          <c:extLst>
            <c:ext xmlns:c16="http://schemas.microsoft.com/office/drawing/2014/chart" uri="{C3380CC4-5D6E-409C-BE32-E72D297353CC}">
              <c16:uniqueId val="{00000013-8B01-423D-BEDF-2A356EC081C0}"/>
            </c:ext>
          </c:extLst>
        </c:ser>
        <c:dLbls>
          <c:showLegendKey val="0"/>
          <c:showVal val="0"/>
          <c:showCatName val="0"/>
          <c:showSerName val="0"/>
          <c:showPercent val="0"/>
          <c:showBubbleSize val="0"/>
        </c:dLbls>
        <c:gapWidth val="0"/>
        <c:overlap val="100"/>
        <c:axId val="260372040"/>
        <c:axId val="260372432"/>
      </c:barChart>
      <c:catAx>
        <c:axId val="260372040"/>
        <c:scaling>
          <c:orientation val="minMax"/>
        </c:scaling>
        <c:delete val="0"/>
        <c:axPos val="b"/>
        <c:numFmt formatCode="General" sourceLinked="1"/>
        <c:majorTickMark val="none"/>
        <c:minorTickMark val="none"/>
        <c:tickLblPos val="nextTo"/>
        <c:spPr>
          <a:ln>
            <a:solidFill>
              <a:srgbClr val="BFBFBF"/>
            </a:solidFill>
          </a:ln>
        </c:spPr>
        <c:txPr>
          <a:bodyPr/>
          <a:lstStyle/>
          <a:p>
            <a:pPr>
              <a:defRPr sz="550" b="0" i="0">
                <a:latin typeface="Arial"/>
                <a:ea typeface="Arial"/>
                <a:cs typeface="Arial"/>
              </a:defRPr>
            </a:pPr>
            <a:endParaRPr lang="en-US"/>
          </a:p>
        </c:txPr>
        <c:crossAx val="260372432"/>
        <c:crosses val="autoZero"/>
        <c:auto val="1"/>
        <c:lblAlgn val="ctr"/>
        <c:lblOffset val="100"/>
        <c:noMultiLvlLbl val="0"/>
      </c:catAx>
      <c:valAx>
        <c:axId val="260372432"/>
        <c:scaling>
          <c:orientation val="minMax"/>
          <c:max val="8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Community supervision/10 000 young people</a:t>
                </a:r>
              </a:p>
            </c:rich>
          </c:tx>
          <c:layout>
            <c:manualLayout>
              <c:xMode val="edge"/>
              <c:yMode val="edge"/>
              <c:x val="9.221166808828337E-3"/>
              <c:y val="6.2759850854916949E-2"/>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60372040"/>
        <c:crosses val="autoZero"/>
        <c:crossBetween val="between"/>
        <c:majorUnit val="15"/>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'Detention Indigenous'!$B$14</c:f>
              <c:strCache>
                <c:ptCount val="1"/>
                <c:pt idx="0">
                  <c:v>Aboriginal and Torres Strait Islander young people</c:v>
                </c:pt>
              </c:strCache>
            </c:strRef>
          </c:tx>
          <c:spPr>
            <a:solidFill>
              <a:srgbClr val="66BCDB"/>
            </a:solidFill>
            <a:ln>
              <a:solidFill>
                <a:srgbClr val="66BCDB"/>
              </a:solidFill>
            </a:ln>
          </c:spPr>
          <c:invertIfNegative val="0"/>
          <c:cat>
            <c:strRef>
              <c:f>'Detention Indigenous'!$C$13:$K$13</c:f>
              <c:strCache>
                <c:ptCount val="9"/>
                <c:pt idx="0">
                  <c:v>NSW</c:v>
                </c:pt>
                <c:pt idx="1">
                  <c:v>Vic</c:v>
                </c:pt>
                <c:pt idx="2">
                  <c:v>Qld</c:v>
                </c:pt>
                <c:pt idx="3">
                  <c:v>WA</c:v>
                </c:pt>
                <c:pt idx="4">
                  <c:v>SA</c:v>
                </c:pt>
                <c:pt idx="5">
                  <c:v>Tas</c:v>
                </c:pt>
                <c:pt idx="6">
                  <c:v>ACT</c:v>
                </c:pt>
                <c:pt idx="7">
                  <c:v>NT</c:v>
                </c:pt>
                <c:pt idx="8">
                  <c:v>Aust</c:v>
                </c:pt>
              </c:strCache>
            </c:strRef>
          </c:cat>
          <c:val>
            <c:numRef>
              <c:f>'Detention Indigenous'!$C$14:$K$14</c:f>
              <c:numCache>
                <c:formatCode>0.0</c:formatCode>
                <c:ptCount val="9"/>
                <c:pt idx="0">
                  <c:v>18.05035426413685</c:v>
                </c:pt>
                <c:pt idx="1">
                  <c:v>15.329975716034271</c:v>
                </c:pt>
                <c:pt idx="2">
                  <c:v>31.75581202455151</c:v>
                </c:pt>
                <c:pt idx="3">
                  <c:v>40.922790257180935</c:v>
                </c:pt>
                <c:pt idx="4">
                  <c:v>18.184179763605663</c:v>
                </c:pt>
                <c:pt idx="5">
                  <c:v>10.78649417558481</c:v>
                </c:pt>
                <c:pt idx="6">
                  <c:v>42.73504273504274</c:v>
                </c:pt>
                <c:pt idx="7">
                  <c:v>20.344980097302081</c:v>
                </c:pt>
                <c:pt idx="8">
                  <c:v>24.804003958770348</c:v>
                </c:pt>
              </c:numCache>
            </c:numRef>
          </c:val>
          <c:extLst>
            <c:ext xmlns:c16="http://schemas.microsoft.com/office/drawing/2014/chart" uri="{C3380CC4-5D6E-409C-BE32-E72D297353CC}">
              <c16:uniqueId val="{00000000-A7CA-4234-A4FA-EFD4C2C40D24}"/>
            </c:ext>
          </c:extLst>
        </c:ser>
        <c:ser>
          <c:idx val="1"/>
          <c:order val="1"/>
          <c:tx>
            <c:strRef>
              <c:f>'Detention Indigenous'!$B$15</c:f>
              <c:strCache>
                <c:ptCount val="1"/>
                <c:pt idx="0">
                  <c:v>Non-Indigenous young people</c:v>
                </c:pt>
              </c:strCache>
            </c:strRef>
          </c:tx>
          <c:spPr>
            <a:solidFill>
              <a:srgbClr val="265A9A"/>
            </a:solidFill>
            <a:ln>
              <a:solidFill>
                <a:srgbClr val="265A9A"/>
              </a:solidFill>
            </a:ln>
          </c:spPr>
          <c:invertIfNegative val="0"/>
          <c:cat>
            <c:strRef>
              <c:f>'Detention Indigenous'!$C$13:$K$13</c:f>
              <c:strCache>
                <c:ptCount val="9"/>
                <c:pt idx="0">
                  <c:v>NSW</c:v>
                </c:pt>
                <c:pt idx="1">
                  <c:v>Vic</c:v>
                </c:pt>
                <c:pt idx="2">
                  <c:v>Qld</c:v>
                </c:pt>
                <c:pt idx="3">
                  <c:v>WA</c:v>
                </c:pt>
                <c:pt idx="4">
                  <c:v>SA</c:v>
                </c:pt>
                <c:pt idx="5">
                  <c:v>Tas</c:v>
                </c:pt>
                <c:pt idx="6">
                  <c:v>ACT</c:v>
                </c:pt>
                <c:pt idx="7">
                  <c:v>NT</c:v>
                </c:pt>
                <c:pt idx="8">
                  <c:v>Aust</c:v>
                </c:pt>
              </c:strCache>
            </c:strRef>
          </c:cat>
          <c:val>
            <c:numRef>
              <c:f>'Detention Indigenous'!$C$15:$K$15</c:f>
              <c:numCache>
                <c:formatCode>0.0</c:formatCode>
                <c:ptCount val="9"/>
                <c:pt idx="0">
                  <c:v>1.3697237101249562</c:v>
                </c:pt>
                <c:pt idx="1">
                  <c:v>1.7127174257358242</c:v>
                </c:pt>
                <c:pt idx="2">
                  <c:v>1.0881124738750354</c:v>
                </c:pt>
                <c:pt idx="3">
                  <c:v>1.10419284678489</c:v>
                </c:pt>
                <c:pt idx="4">
                  <c:v>0.83008217813563545</c:v>
                </c:pt>
                <c:pt idx="5">
                  <c:v>1.8625519791542777</c:v>
                </c:pt>
                <c:pt idx="6">
                  <c:v>2.3707293944103469</c:v>
                </c:pt>
                <c:pt idx="7">
                  <c:v>0.68766332003850905</c:v>
                </c:pt>
                <c:pt idx="8">
                  <c:v>1.3569729086761992</c:v>
                </c:pt>
              </c:numCache>
            </c:numRef>
          </c:val>
          <c:extLst>
            <c:ext xmlns:c16="http://schemas.microsoft.com/office/drawing/2014/chart" uri="{C3380CC4-5D6E-409C-BE32-E72D297353CC}">
              <c16:uniqueId val="{00000001-A7CA-4234-A4FA-EFD4C2C40D24}"/>
            </c:ext>
          </c:extLst>
        </c:ser>
        <c:dLbls>
          <c:showLegendKey val="0"/>
          <c:showVal val="0"/>
          <c:showCatName val="0"/>
          <c:showSerName val="0"/>
          <c:showPercent val="0"/>
          <c:showBubbleSize val="0"/>
        </c:dLbls>
        <c:gapWidth val="150"/>
        <c:axId val="260374392"/>
        <c:axId val="260375176"/>
      </c:barChart>
      <c:catAx>
        <c:axId val="260374392"/>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60375176"/>
        <c:crosses val="autoZero"/>
        <c:auto val="1"/>
        <c:lblAlgn val="ctr"/>
        <c:lblOffset val="100"/>
        <c:noMultiLvlLbl val="0"/>
      </c:catAx>
      <c:valAx>
        <c:axId val="260375176"/>
        <c:scaling>
          <c:orientation val="minMax"/>
          <c:max val="5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Detentions/10 000 young people</a:t>
                </a:r>
              </a:p>
            </c:rich>
          </c:tx>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60374392"/>
        <c:crosses val="autoZero"/>
        <c:crossBetween val="between"/>
        <c:majorUnit val="1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863277777777779"/>
          <c:y val="5.0396825396825398E-2"/>
          <c:w val="0.81784870370370366"/>
          <c:h val="0.72317261904761909"/>
        </c:manualLayout>
      </c:layout>
      <c:barChart>
        <c:barDir val="col"/>
        <c:grouping val="clustered"/>
        <c:varyColors val="0"/>
        <c:ser>
          <c:idx val="0"/>
          <c:order val="0"/>
          <c:tx>
            <c:strRef>
              <c:f>'Community_Indigenous data'!$B$14</c:f>
              <c:strCache>
                <c:ptCount val="1"/>
                <c:pt idx="0">
                  <c:v>Aboriginal and Torres Strait Islander young people</c:v>
                </c:pt>
              </c:strCache>
            </c:strRef>
          </c:tx>
          <c:spPr>
            <a:solidFill>
              <a:srgbClr val="66BCDB"/>
            </a:solidFill>
            <a:ln>
              <a:solidFill>
                <a:srgbClr val="66BCDB"/>
              </a:solidFill>
            </a:ln>
          </c:spPr>
          <c:invertIfNegative val="0"/>
          <c:cat>
            <c:strRef>
              <c:f>'Community_Indigenous data'!$C$13:$K$13</c:f>
              <c:strCache>
                <c:ptCount val="9"/>
                <c:pt idx="0">
                  <c:v>NSW</c:v>
                </c:pt>
                <c:pt idx="1">
                  <c:v>Vic</c:v>
                </c:pt>
                <c:pt idx="2">
                  <c:v>Qld</c:v>
                </c:pt>
                <c:pt idx="3">
                  <c:v>WA</c:v>
                </c:pt>
                <c:pt idx="4">
                  <c:v>SA</c:v>
                </c:pt>
                <c:pt idx="5">
                  <c:v>Tas</c:v>
                </c:pt>
                <c:pt idx="6">
                  <c:v>ACT</c:v>
                </c:pt>
                <c:pt idx="7">
                  <c:v>NT</c:v>
                </c:pt>
                <c:pt idx="8">
                  <c:v>Aust</c:v>
                </c:pt>
              </c:strCache>
            </c:strRef>
          </c:cat>
          <c:val>
            <c:numRef>
              <c:f>'Community_Indigenous data'!$C$14:$K$14</c:f>
              <c:numCache>
                <c:formatCode>0.0</c:formatCode>
                <c:ptCount val="9"/>
                <c:pt idx="0">
                  <c:v>96.061080739027148</c:v>
                </c:pt>
                <c:pt idx="1">
                  <c:v>70.707840881272944</c:v>
                </c:pt>
                <c:pt idx="2">
                  <c:v>159.01604379458257</c:v>
                </c:pt>
                <c:pt idx="3">
                  <c:v>172.82677766750786</c:v>
                </c:pt>
                <c:pt idx="4">
                  <c:v>114.30055851409274</c:v>
                </c:pt>
                <c:pt idx="5">
                  <c:v>60.233235723079837</c:v>
                </c:pt>
                <c:pt idx="6">
                  <c:v>102.56410256410257</c:v>
                </c:pt>
                <c:pt idx="7">
                  <c:v>155.68332596196373</c:v>
                </c:pt>
                <c:pt idx="8">
                  <c:v>126.53904103832494</c:v>
                </c:pt>
              </c:numCache>
            </c:numRef>
          </c:val>
          <c:extLst>
            <c:ext xmlns:c16="http://schemas.microsoft.com/office/drawing/2014/chart" uri="{C3380CC4-5D6E-409C-BE32-E72D297353CC}">
              <c16:uniqueId val="{00000000-AEE1-4E91-80D3-C23D9CA20DA7}"/>
            </c:ext>
          </c:extLst>
        </c:ser>
        <c:ser>
          <c:idx val="1"/>
          <c:order val="1"/>
          <c:tx>
            <c:strRef>
              <c:f>'Community_Indigenous data'!$B$15</c:f>
              <c:strCache>
                <c:ptCount val="1"/>
                <c:pt idx="0">
                  <c:v>Non-Indigenous young people</c:v>
                </c:pt>
              </c:strCache>
            </c:strRef>
          </c:tx>
          <c:spPr>
            <a:solidFill>
              <a:srgbClr val="265A9A"/>
            </a:solidFill>
            <a:ln>
              <a:solidFill>
                <a:srgbClr val="265A9A"/>
              </a:solidFill>
            </a:ln>
          </c:spPr>
          <c:invertIfNegative val="0"/>
          <c:cat>
            <c:strRef>
              <c:f>'Community_Indigenous data'!$C$13:$K$13</c:f>
              <c:strCache>
                <c:ptCount val="9"/>
                <c:pt idx="0">
                  <c:v>NSW</c:v>
                </c:pt>
                <c:pt idx="1">
                  <c:v>Vic</c:v>
                </c:pt>
                <c:pt idx="2">
                  <c:v>Qld</c:v>
                </c:pt>
                <c:pt idx="3">
                  <c:v>WA</c:v>
                </c:pt>
                <c:pt idx="4">
                  <c:v>SA</c:v>
                </c:pt>
                <c:pt idx="5">
                  <c:v>Tas</c:v>
                </c:pt>
                <c:pt idx="6">
                  <c:v>ACT</c:v>
                </c:pt>
                <c:pt idx="7">
                  <c:v>NT</c:v>
                </c:pt>
                <c:pt idx="8">
                  <c:v>Aust</c:v>
                </c:pt>
              </c:strCache>
            </c:strRef>
          </c:cat>
          <c:val>
            <c:numRef>
              <c:f>'Community_Indigenous data'!$C$15:$K$15</c:f>
              <c:numCache>
                <c:formatCode>0.0</c:formatCode>
                <c:ptCount val="9"/>
                <c:pt idx="0">
                  <c:v>7.2083439694454761</c:v>
                </c:pt>
                <c:pt idx="1">
                  <c:v>6.7824482364414722</c:v>
                </c:pt>
                <c:pt idx="2">
                  <c:v>8.3148217343281008</c:v>
                </c:pt>
                <c:pt idx="3">
                  <c:v>8.1659096431643459</c:v>
                </c:pt>
                <c:pt idx="4">
                  <c:v>5.9382801974318529</c:v>
                </c:pt>
                <c:pt idx="5">
                  <c:v>12.140334137032511</c:v>
                </c:pt>
                <c:pt idx="6">
                  <c:v>11.326818217738323</c:v>
                </c:pt>
                <c:pt idx="7">
                  <c:v>7.5642965204236008</c:v>
                </c:pt>
                <c:pt idx="8">
                  <c:v>7.5126457395180761</c:v>
                </c:pt>
              </c:numCache>
            </c:numRef>
          </c:val>
          <c:extLst>
            <c:ext xmlns:c16="http://schemas.microsoft.com/office/drawing/2014/chart" uri="{C3380CC4-5D6E-409C-BE32-E72D297353CC}">
              <c16:uniqueId val="{00000001-AEE1-4E91-80D3-C23D9CA20DA7}"/>
            </c:ext>
          </c:extLst>
        </c:ser>
        <c:dLbls>
          <c:showLegendKey val="0"/>
          <c:showVal val="0"/>
          <c:showCatName val="0"/>
          <c:showSerName val="0"/>
          <c:showPercent val="0"/>
          <c:showBubbleSize val="0"/>
        </c:dLbls>
        <c:gapWidth val="150"/>
        <c:axId val="358327608"/>
        <c:axId val="280000856"/>
      </c:barChart>
      <c:catAx>
        <c:axId val="358327608"/>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0000856"/>
        <c:crosses val="autoZero"/>
        <c:auto val="1"/>
        <c:lblAlgn val="ctr"/>
        <c:lblOffset val="100"/>
        <c:noMultiLvlLbl val="0"/>
      </c:catAx>
      <c:valAx>
        <c:axId val="280000856"/>
        <c:scaling>
          <c:orientation val="minMax"/>
          <c:max val="25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Community supervision/</a:t>
                </a:r>
              </a:p>
              <a:p>
                <a:pPr>
                  <a:defRPr sz="900">
                    <a:latin typeface="arial"/>
                    <a:ea typeface="arial"/>
                    <a:cs typeface="arial"/>
                  </a:defRPr>
                </a:pPr>
                <a:r>
                  <a:rPr lang="en-AU"/>
                  <a:t>10 000 young people</a:t>
                </a:r>
              </a:p>
            </c:rich>
          </c:tx>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58327608"/>
        <c:crosses val="autoZero"/>
        <c:crossBetween val="between"/>
        <c:minorUnit val="20"/>
      </c:valAx>
      <c:spPr>
        <a:noFill/>
        <a:ln>
          <a:noFill/>
          <a:round/>
        </a:ln>
        <a:effec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46476510067115"/>
          <c:y val="4.1463325271624683E-2"/>
          <c:w val="0.84351584638329624"/>
          <c:h val="0.7469376813113584"/>
        </c:manualLayout>
      </c:layout>
      <c:barChart>
        <c:barDir val="col"/>
        <c:grouping val="stacked"/>
        <c:varyColors val="0"/>
        <c:ser>
          <c:idx val="0"/>
          <c:order val="0"/>
          <c:tx>
            <c:strRef>
              <c:f>'Expenditure per child'!$B$14</c:f>
              <c:strCache>
                <c:ptCount val="1"/>
                <c:pt idx="0">
                  <c:v>Detention</c:v>
                </c:pt>
              </c:strCache>
            </c:strRef>
          </c:tx>
          <c:spPr>
            <a:solidFill>
              <a:srgbClr val="66BCDB"/>
            </a:solidFill>
            <a:ln>
              <a:solidFill>
                <a:srgbClr val="66BCDB"/>
              </a:solidFill>
            </a:ln>
          </c:spPr>
          <c:invertIfNegative val="0"/>
          <c:cat>
            <c:strRef>
              <c:f>'Expenditure per child'!$C$13:$K$13</c:f>
              <c:strCache>
                <c:ptCount val="9"/>
                <c:pt idx="0">
                  <c:v>NSW</c:v>
                </c:pt>
                <c:pt idx="1">
                  <c:v>Vic</c:v>
                </c:pt>
                <c:pt idx="2">
                  <c:v>Qld</c:v>
                </c:pt>
                <c:pt idx="3">
                  <c:v>WA</c:v>
                </c:pt>
                <c:pt idx="4">
                  <c:v>SA</c:v>
                </c:pt>
                <c:pt idx="5">
                  <c:v>Tas</c:v>
                </c:pt>
                <c:pt idx="6">
                  <c:v>ACT</c:v>
                </c:pt>
                <c:pt idx="7">
                  <c:v>NT</c:v>
                </c:pt>
                <c:pt idx="8">
                  <c:v>Aust</c:v>
                </c:pt>
              </c:strCache>
            </c:strRef>
          </c:cat>
          <c:val>
            <c:numRef>
              <c:f>'Expenditure per child'!$C$14:$K$14</c:f>
              <c:numCache>
                <c:formatCode>0.0</c:formatCode>
                <c:ptCount val="9"/>
                <c:pt idx="0">
                  <c:v>190.01779571761361</c:v>
                </c:pt>
                <c:pt idx="1">
                  <c:v>271.03976481206547</c:v>
                </c:pt>
                <c:pt idx="2">
                  <c:v>236.60821874285585</c:v>
                </c:pt>
                <c:pt idx="3">
                  <c:v>123.13481625055763</c:v>
                </c:pt>
                <c:pt idx="4">
                  <c:v>242.84157994035664</c:v>
                </c:pt>
                <c:pt idx="5">
                  <c:v>305.74295473953885</c:v>
                </c:pt>
                <c:pt idx="6">
                  <c:v>484.97942912631282</c:v>
                </c:pt>
                <c:pt idx="7">
                  <c:v>1560.3624357760668</c:v>
                </c:pt>
                <c:pt idx="8">
                  <c:v>238.30142561307363</c:v>
                </c:pt>
              </c:numCache>
            </c:numRef>
          </c:val>
          <c:extLst>
            <c:ext xmlns:c16="http://schemas.microsoft.com/office/drawing/2014/chart" uri="{C3380CC4-5D6E-409C-BE32-E72D297353CC}">
              <c16:uniqueId val="{00000000-7669-4E12-9511-90E823B9E051}"/>
            </c:ext>
          </c:extLst>
        </c:ser>
        <c:ser>
          <c:idx val="1"/>
          <c:order val="1"/>
          <c:tx>
            <c:strRef>
              <c:f>'Expenditure per child'!$B$15</c:f>
              <c:strCache>
                <c:ptCount val="1"/>
                <c:pt idx="0">
                  <c:v>Community</c:v>
                </c:pt>
              </c:strCache>
            </c:strRef>
          </c:tx>
          <c:spPr>
            <a:solidFill>
              <a:srgbClr val="265A9A"/>
            </a:solidFill>
            <a:ln>
              <a:solidFill>
                <a:srgbClr val="265A9A"/>
              </a:solidFill>
            </a:ln>
          </c:spPr>
          <c:invertIfNegative val="0"/>
          <c:cat>
            <c:strRef>
              <c:f>'Expenditure per child'!$C$13:$K$13</c:f>
              <c:strCache>
                <c:ptCount val="9"/>
                <c:pt idx="0">
                  <c:v>NSW</c:v>
                </c:pt>
                <c:pt idx="1">
                  <c:v>Vic</c:v>
                </c:pt>
                <c:pt idx="2">
                  <c:v>Qld</c:v>
                </c:pt>
                <c:pt idx="3">
                  <c:v>WA</c:v>
                </c:pt>
                <c:pt idx="4">
                  <c:v>SA</c:v>
                </c:pt>
                <c:pt idx="5">
                  <c:v>Tas</c:v>
                </c:pt>
                <c:pt idx="6">
                  <c:v>ACT</c:v>
                </c:pt>
                <c:pt idx="7">
                  <c:v>NT</c:v>
                </c:pt>
                <c:pt idx="8">
                  <c:v>Aust</c:v>
                </c:pt>
              </c:strCache>
            </c:strRef>
          </c:cat>
          <c:val>
            <c:numRef>
              <c:f>'Expenditure per child'!$C$15:$K$15</c:f>
              <c:numCache>
                <c:formatCode>0.0</c:formatCode>
                <c:ptCount val="9"/>
                <c:pt idx="0">
                  <c:v>96.827770658337784</c:v>
                </c:pt>
                <c:pt idx="1">
                  <c:v>130.07361068417714</c:v>
                </c:pt>
                <c:pt idx="2">
                  <c:v>284.15655204230666</c:v>
                </c:pt>
                <c:pt idx="3">
                  <c:v>78.654991000969133</c:v>
                </c:pt>
                <c:pt idx="4">
                  <c:v>49.815592477633743</c:v>
                </c:pt>
                <c:pt idx="5">
                  <c:v>149.85831845353621</c:v>
                </c:pt>
                <c:pt idx="6">
                  <c:v>126.1620627092224</c:v>
                </c:pt>
                <c:pt idx="7">
                  <c:v>1345.464042063257</c:v>
                </c:pt>
                <c:pt idx="8">
                  <c:v>155.20696052520682</c:v>
                </c:pt>
              </c:numCache>
            </c:numRef>
          </c:val>
          <c:extLst>
            <c:ext xmlns:c16="http://schemas.microsoft.com/office/drawing/2014/chart" uri="{C3380CC4-5D6E-409C-BE32-E72D297353CC}">
              <c16:uniqueId val="{00000001-7669-4E12-9511-90E823B9E051}"/>
            </c:ext>
          </c:extLst>
        </c:ser>
        <c:ser>
          <c:idx val="2"/>
          <c:order val="2"/>
          <c:tx>
            <c:strRef>
              <c:f>'Expenditure per child'!$B$16</c:f>
              <c:strCache>
                <c:ptCount val="1"/>
                <c:pt idx="0">
                  <c:v>Group conferencing</c:v>
                </c:pt>
              </c:strCache>
            </c:strRef>
          </c:tx>
          <c:spPr>
            <a:solidFill>
              <a:srgbClr val="78A22F"/>
            </a:solidFill>
            <a:ln>
              <a:solidFill>
                <a:srgbClr val="78A22F"/>
              </a:solidFill>
            </a:ln>
          </c:spPr>
          <c:invertIfNegative val="0"/>
          <c:cat>
            <c:strRef>
              <c:f>'Expenditure per child'!$C$13:$K$13</c:f>
              <c:strCache>
                <c:ptCount val="9"/>
                <c:pt idx="0">
                  <c:v>NSW</c:v>
                </c:pt>
                <c:pt idx="1">
                  <c:v>Vic</c:v>
                </c:pt>
                <c:pt idx="2">
                  <c:v>Qld</c:v>
                </c:pt>
                <c:pt idx="3">
                  <c:v>WA</c:v>
                </c:pt>
                <c:pt idx="4">
                  <c:v>SA</c:v>
                </c:pt>
                <c:pt idx="5">
                  <c:v>Tas</c:v>
                </c:pt>
                <c:pt idx="6">
                  <c:v>ACT</c:v>
                </c:pt>
                <c:pt idx="7">
                  <c:v>NT</c:v>
                </c:pt>
                <c:pt idx="8">
                  <c:v>Aust</c:v>
                </c:pt>
              </c:strCache>
            </c:strRef>
          </c:cat>
          <c:val>
            <c:numRef>
              <c:f>'Expenditure per child'!$C$16:$K$16</c:f>
              <c:numCache>
                <c:formatCode>0.0</c:formatCode>
                <c:ptCount val="9"/>
                <c:pt idx="0">
                  <c:v>1.3318252802955231</c:v>
                </c:pt>
                <c:pt idx="1">
                  <c:v>4.0665733588839688</c:v>
                </c:pt>
                <c:pt idx="2">
                  <c:v>15.127395097859541</c:v>
                </c:pt>
                <c:pt idx="3">
                  <c:v>75.966818957958367</c:v>
                </c:pt>
                <c:pt idx="4">
                  <c:v>10.97737204065486</c:v>
                </c:pt>
                <c:pt idx="5">
                  <c:v>1.4764418523406568</c:v>
                </c:pt>
                <c:pt idx="6">
                  <c:v>22.819615158561827</c:v>
                </c:pt>
                <c:pt idx="7">
                  <c:v>283.82558904321587</c:v>
                </c:pt>
                <c:pt idx="8">
                  <c:v>16.872427258409036</c:v>
                </c:pt>
              </c:numCache>
            </c:numRef>
          </c:val>
          <c:extLst>
            <c:ext xmlns:c16="http://schemas.microsoft.com/office/drawing/2014/chart" uri="{C3380CC4-5D6E-409C-BE32-E72D297353CC}">
              <c16:uniqueId val="{00000002-7669-4E12-9511-90E823B9E051}"/>
            </c:ext>
          </c:extLst>
        </c:ser>
        <c:dLbls>
          <c:showLegendKey val="0"/>
          <c:showVal val="0"/>
          <c:showCatName val="0"/>
          <c:showSerName val="0"/>
          <c:showPercent val="0"/>
          <c:showBubbleSize val="0"/>
        </c:dLbls>
        <c:gapWidth val="150"/>
        <c:overlap val="100"/>
        <c:axId val="509683616"/>
        <c:axId val="509682048"/>
      </c:barChart>
      <c:catAx>
        <c:axId val="509683616"/>
        <c:scaling>
          <c:orientation val="minMax"/>
        </c:scaling>
        <c:delete val="0"/>
        <c:axPos val="b"/>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09682048"/>
        <c:crosses val="autoZero"/>
        <c:auto val="1"/>
        <c:lblAlgn val="ctr"/>
        <c:lblOffset val="100"/>
        <c:noMultiLvlLbl val="0"/>
      </c:catAx>
      <c:valAx>
        <c:axId val="509682048"/>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$/young</a:t>
                </a:r>
                <a:r>
                  <a:rPr lang="en-AU" baseline="0"/>
                  <a:t> person aged</a:t>
                </a:r>
                <a:r>
                  <a:rPr lang="en-AU"/>
                  <a:t> 10-17 years</a:t>
                </a:r>
              </a:p>
            </c:rich>
          </c:tx>
          <c:layout>
            <c:manualLayout>
              <c:xMode val="edge"/>
              <c:yMode val="edge"/>
              <c:x val="1.6475527074267887E-2"/>
              <c:y val="8.4371311720873976E-2"/>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09683616"/>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70894175417674"/>
          <c:y val="6.5360075518713909E-2"/>
          <c:w val="0.84789978733756932"/>
          <c:h val="0.7084924658550924"/>
        </c:manualLayout>
      </c:layout>
      <c:barChart>
        <c:barDir val="col"/>
        <c:grouping val="clustered"/>
        <c:varyColors val="0"/>
        <c:ser>
          <c:idx val="5"/>
          <c:order val="0"/>
          <c:tx>
            <c:strRef>
              <c:f>'GC time series'!$C$7</c:f>
              <c:strCache>
                <c:ptCount val="1"/>
              </c:strCache>
            </c:strRef>
          </c:tx>
          <c:spPr>
            <a:solidFill>
              <a:srgbClr val="66BCDB"/>
            </a:solidFill>
            <a:ln>
              <a:solidFill>
                <a:srgbClr val="66BCDB"/>
              </a:solidFill>
            </a:ln>
          </c:spPr>
          <c:invertIfNegative val="0"/>
          <c:val>
            <c:numRef>
              <c:f>'GC time series'!$D$7:$L$7</c:f>
              <c:numCache>
                <c:formatCode>0.0</c:formatCode>
                <c:ptCount val="9"/>
                <c:pt idx="0">
                  <c:v>99.486740804106077</c:v>
                </c:pt>
                <c:pt idx="1">
                  <c:v>100</c:v>
                </c:pt>
                <c:pt idx="2">
                  <c:v>97.932053175775479</c:v>
                </c:pt>
                <c:pt idx="3">
                  <c:v>90.140186915887853</c:v>
                </c:pt>
                <c:pt idx="4">
                  <c:v>88.282387190684133</c:v>
                </c:pt>
                <c:pt idx="5">
                  <c:v>92.857142857142861</c:v>
                </c:pt>
                <c:pt idx="6">
                  <c:v>98.245614035087712</c:v>
                </c:pt>
                <c:pt idx="7">
                  <c:v>100</c:v>
                </c:pt>
                <c:pt idx="8">
                  <c:v>93.423816448537735</c:v>
                </c:pt>
              </c:numCache>
            </c:numRef>
          </c:val>
          <c:extLst>
            <c:ext xmlns:c16="http://schemas.microsoft.com/office/drawing/2014/chart" uri="{C3380CC4-5D6E-409C-BE32-E72D297353CC}">
              <c16:uniqueId val="{00000000-417C-4500-830C-B3DE0B938648}"/>
            </c:ext>
          </c:extLst>
        </c:ser>
        <c:ser>
          <c:idx val="4"/>
          <c:order val="1"/>
          <c:tx>
            <c:strRef>
              <c:f>'GC time series'!$C$6</c:f>
              <c:strCache>
                <c:ptCount val="1"/>
              </c:strCache>
            </c:strRef>
          </c:tx>
          <c:spPr>
            <a:solidFill>
              <a:srgbClr val="66BCDB"/>
            </a:solidFill>
            <a:ln>
              <a:solidFill>
                <a:srgbClr val="66BCDB"/>
              </a:solidFill>
            </a:ln>
          </c:spPr>
          <c:invertIfNegative val="0"/>
          <c:cat>
            <c:strRef>
              <c:f>'GC time series'!$D$1:$L$1</c:f>
              <c:strCache>
                <c:ptCount val="9"/>
                <c:pt idx="0">
                  <c:v>NSW</c:v>
                </c:pt>
                <c:pt idx="1">
                  <c:v>Vic</c:v>
                </c:pt>
                <c:pt idx="2">
                  <c:v>Qld</c:v>
                </c:pt>
                <c:pt idx="3">
                  <c:v>WA</c:v>
                </c:pt>
                <c:pt idx="4">
                  <c:v>SA</c:v>
                </c:pt>
                <c:pt idx="5">
                  <c:v>Tas</c:v>
                </c:pt>
                <c:pt idx="6">
                  <c:v>ACT</c:v>
                </c:pt>
                <c:pt idx="7">
                  <c:v>NT</c:v>
                </c:pt>
                <c:pt idx="8">
                  <c:v>Aust</c:v>
                </c:pt>
              </c:strCache>
            </c:strRef>
          </c:cat>
          <c:val>
            <c:numRef>
              <c:f>'GC time series'!$D$6:$L$6</c:f>
              <c:numCache>
                <c:formatCode>0.0</c:formatCode>
                <c:ptCount val="9"/>
                <c:pt idx="0">
                  <c:v>99.090157154673292</c:v>
                </c:pt>
                <c:pt idx="1">
                  <c:v>100</c:v>
                </c:pt>
                <c:pt idx="2">
                  <c:v>97.740963855421697</c:v>
                </c:pt>
                <c:pt idx="3">
                  <c:v>85.176686553464904</c:v>
                </c:pt>
                <c:pt idx="4">
                  <c:v>88.433734939759034</c:v>
                </c:pt>
                <c:pt idx="5">
                  <c:v>91.803278688524586</c:v>
                </c:pt>
                <c:pt idx="6">
                  <c:v>100</c:v>
                </c:pt>
                <c:pt idx="7">
                  <c:v>100</c:v>
                </c:pt>
                <c:pt idx="8">
                  <c:v>91.905672402804342</c:v>
                </c:pt>
              </c:numCache>
            </c:numRef>
          </c:val>
          <c:extLst>
            <c:ext xmlns:c16="http://schemas.microsoft.com/office/drawing/2014/chart" uri="{C3380CC4-5D6E-409C-BE32-E72D297353CC}">
              <c16:uniqueId val="{00000001-417C-4500-830C-B3DE0B938648}"/>
            </c:ext>
          </c:extLst>
        </c:ser>
        <c:ser>
          <c:idx val="3"/>
          <c:order val="2"/>
          <c:tx>
            <c:strRef>
              <c:f>'GC time series'!$C$5</c:f>
              <c:strCache>
                <c:ptCount val="1"/>
              </c:strCache>
            </c:strRef>
          </c:tx>
          <c:spPr>
            <a:solidFill>
              <a:srgbClr val="66BCDB"/>
            </a:solidFill>
            <a:ln>
              <a:solidFill>
                <a:srgbClr val="66BCDB"/>
              </a:solidFill>
            </a:ln>
          </c:spPr>
          <c:invertIfNegative val="0"/>
          <c:cat>
            <c:strRef>
              <c:f>'GC time series'!$D$1:$L$1</c:f>
              <c:strCache>
                <c:ptCount val="9"/>
                <c:pt idx="0">
                  <c:v>NSW</c:v>
                </c:pt>
                <c:pt idx="1">
                  <c:v>Vic</c:v>
                </c:pt>
                <c:pt idx="2">
                  <c:v>Qld</c:v>
                </c:pt>
                <c:pt idx="3">
                  <c:v>WA</c:v>
                </c:pt>
                <c:pt idx="4">
                  <c:v>SA</c:v>
                </c:pt>
                <c:pt idx="5">
                  <c:v>Tas</c:v>
                </c:pt>
                <c:pt idx="6">
                  <c:v>ACT</c:v>
                </c:pt>
                <c:pt idx="7">
                  <c:v>NT</c:v>
                </c:pt>
                <c:pt idx="8">
                  <c:v>Aust</c:v>
                </c:pt>
              </c:strCache>
            </c:strRef>
          </c:cat>
          <c:val>
            <c:numRef>
              <c:f>'GC time series'!$D$5:$L$5</c:f>
              <c:numCache>
                <c:formatCode>0.0</c:formatCode>
                <c:ptCount val="9"/>
                <c:pt idx="0">
                  <c:v>98.825831702544036</c:v>
                </c:pt>
                <c:pt idx="1">
                  <c:v>100</c:v>
                </c:pt>
                <c:pt idx="2">
                  <c:v>95.853658536585357</c:v>
                </c:pt>
                <c:pt idx="3">
                  <c:v>86.185925282363158</c:v>
                </c:pt>
                <c:pt idx="4">
                  <c:v>85.489635453895644</c:v>
                </c:pt>
                <c:pt idx="5">
                  <c:v>89.705882352941174</c:v>
                </c:pt>
                <c:pt idx="6">
                  <c:v>98.387096774193552</c:v>
                </c:pt>
                <c:pt idx="7">
                  <c:v>100</c:v>
                </c:pt>
                <c:pt idx="8">
                  <c:v>91.150834687546165</c:v>
                </c:pt>
              </c:numCache>
            </c:numRef>
          </c:val>
          <c:extLst>
            <c:ext xmlns:c16="http://schemas.microsoft.com/office/drawing/2014/chart" uri="{C3380CC4-5D6E-409C-BE32-E72D297353CC}">
              <c16:uniqueId val="{00000002-417C-4500-830C-B3DE0B938648}"/>
            </c:ext>
          </c:extLst>
        </c:ser>
        <c:ser>
          <c:idx val="2"/>
          <c:order val="3"/>
          <c:tx>
            <c:strRef>
              <c:f>'GC time series'!$C$4</c:f>
              <c:strCache>
                <c:ptCount val="1"/>
              </c:strCache>
            </c:strRef>
          </c:tx>
          <c:spPr>
            <a:solidFill>
              <a:srgbClr val="66BCDB"/>
            </a:solidFill>
            <a:ln>
              <a:solidFill>
                <a:srgbClr val="66BCDB"/>
              </a:solidFill>
            </a:ln>
          </c:spPr>
          <c:invertIfNegative val="0"/>
          <c:cat>
            <c:strRef>
              <c:f>'GC time series'!$D$1:$L$1</c:f>
              <c:strCache>
                <c:ptCount val="9"/>
                <c:pt idx="0">
                  <c:v>NSW</c:v>
                </c:pt>
                <c:pt idx="1">
                  <c:v>Vic</c:v>
                </c:pt>
                <c:pt idx="2">
                  <c:v>Qld</c:v>
                </c:pt>
                <c:pt idx="3">
                  <c:v>WA</c:v>
                </c:pt>
                <c:pt idx="4">
                  <c:v>SA</c:v>
                </c:pt>
                <c:pt idx="5">
                  <c:v>Tas</c:v>
                </c:pt>
                <c:pt idx="6">
                  <c:v>ACT</c:v>
                </c:pt>
                <c:pt idx="7">
                  <c:v>NT</c:v>
                </c:pt>
                <c:pt idx="8">
                  <c:v>Aust</c:v>
                </c:pt>
              </c:strCache>
            </c:strRef>
          </c:cat>
          <c:val>
            <c:numRef>
              <c:f>'GC time series'!$D$4:$L$4</c:f>
              <c:numCache>
                <c:formatCode>0.0</c:formatCode>
                <c:ptCount val="9"/>
                <c:pt idx="0">
                  <c:v>99.122807017543863</c:v>
                </c:pt>
                <c:pt idx="1">
                  <c:v>100</c:v>
                </c:pt>
                <c:pt idx="2">
                  <c:v>97.845117845117841</c:v>
                </c:pt>
                <c:pt idx="3">
                  <c:v>86.911213005418915</c:v>
                </c:pt>
                <c:pt idx="4">
                  <c:v>91.311612364243942</c:v>
                </c:pt>
                <c:pt idx="5">
                  <c:v>95.199999999999989</c:v>
                </c:pt>
                <c:pt idx="6">
                  <c:v>98.113207547169807</c:v>
                </c:pt>
                <c:pt idx="7">
                  <c:v>100</c:v>
                </c:pt>
                <c:pt idx="8">
                  <c:v>93.494009473390918</c:v>
                </c:pt>
              </c:numCache>
            </c:numRef>
          </c:val>
          <c:extLst>
            <c:ext xmlns:c16="http://schemas.microsoft.com/office/drawing/2014/chart" uri="{C3380CC4-5D6E-409C-BE32-E72D297353CC}">
              <c16:uniqueId val="{00000003-417C-4500-830C-B3DE0B938648}"/>
            </c:ext>
          </c:extLst>
        </c:ser>
        <c:ser>
          <c:idx val="1"/>
          <c:order val="4"/>
          <c:tx>
            <c:strRef>
              <c:f>'GC time series'!$C$3</c:f>
              <c:strCache>
                <c:ptCount val="1"/>
                <c:pt idx="0">
                  <c:v>2014-15 to 2018-19</c:v>
                </c:pt>
              </c:strCache>
            </c:strRef>
          </c:tx>
          <c:spPr>
            <a:solidFill>
              <a:srgbClr val="66BCDB"/>
            </a:solidFill>
            <a:ln>
              <a:solidFill>
                <a:srgbClr val="66BCDB"/>
              </a:solidFill>
            </a:ln>
          </c:spPr>
          <c:invertIfNegative val="0"/>
          <c:cat>
            <c:strRef>
              <c:f>'GC time series'!$D$1:$L$1</c:f>
              <c:strCache>
                <c:ptCount val="9"/>
                <c:pt idx="0">
                  <c:v>NSW</c:v>
                </c:pt>
                <c:pt idx="1">
                  <c:v>Vic</c:v>
                </c:pt>
                <c:pt idx="2">
                  <c:v>Qld</c:v>
                </c:pt>
                <c:pt idx="3">
                  <c:v>WA</c:v>
                </c:pt>
                <c:pt idx="4">
                  <c:v>SA</c:v>
                </c:pt>
                <c:pt idx="5">
                  <c:v>Tas</c:v>
                </c:pt>
                <c:pt idx="6">
                  <c:v>ACT</c:v>
                </c:pt>
                <c:pt idx="7">
                  <c:v>NT</c:v>
                </c:pt>
                <c:pt idx="8">
                  <c:v>Aust</c:v>
                </c:pt>
              </c:strCache>
            </c:strRef>
          </c:cat>
          <c:val>
            <c:numRef>
              <c:f>'GC time series'!$D$3:$L$3</c:f>
              <c:numCache>
                <c:formatCode>0.0</c:formatCode>
                <c:ptCount val="9"/>
                <c:pt idx="0">
                  <c:v>99.411269974768715</c:v>
                </c:pt>
                <c:pt idx="1">
                  <c:v>100</c:v>
                </c:pt>
                <c:pt idx="2">
                  <c:v>97.082379862700236</c:v>
                </c:pt>
                <c:pt idx="3">
                  <c:v>87.405223251895535</c:v>
                </c:pt>
                <c:pt idx="4">
                  <c:v>89.63515754560531</c:v>
                </c:pt>
                <c:pt idx="5">
                  <c:v>94.871794871794862</c:v>
                </c:pt>
                <c:pt idx="6">
                  <c:v>93.75</c:v>
                </c:pt>
                <c:pt idx="7">
                  <c:v>100</c:v>
                </c:pt>
                <c:pt idx="8">
                  <c:v>93.497549993378357</c:v>
                </c:pt>
              </c:numCache>
            </c:numRef>
          </c:val>
          <c:extLst>
            <c:ext xmlns:c16="http://schemas.microsoft.com/office/drawing/2014/chart" uri="{C3380CC4-5D6E-409C-BE32-E72D297353CC}">
              <c16:uniqueId val="{00000004-417C-4500-830C-B3DE0B938648}"/>
            </c:ext>
          </c:extLst>
        </c:ser>
        <c:ser>
          <c:idx val="0"/>
          <c:order val="5"/>
          <c:tx>
            <c:strRef>
              <c:f>'GC time series'!$C$2</c:f>
              <c:strCache>
                <c:ptCount val="1"/>
                <c:pt idx="0">
                  <c:v>2019-20</c:v>
                </c:pt>
              </c:strCache>
            </c:strRef>
          </c:tx>
          <c:spPr>
            <a:solidFill>
              <a:srgbClr val="265A9A"/>
            </a:solidFill>
            <a:ln>
              <a:solidFill>
                <a:srgbClr val="265A9A"/>
              </a:solidFill>
            </a:ln>
          </c:spPr>
          <c:invertIfNegative val="0"/>
          <c:cat>
            <c:strRef>
              <c:f>'GC time series'!$D$1:$L$1</c:f>
              <c:strCache>
                <c:ptCount val="9"/>
                <c:pt idx="0">
                  <c:v>NSW</c:v>
                </c:pt>
                <c:pt idx="1">
                  <c:v>Vic</c:v>
                </c:pt>
                <c:pt idx="2">
                  <c:v>Qld</c:v>
                </c:pt>
                <c:pt idx="3">
                  <c:v>WA</c:v>
                </c:pt>
                <c:pt idx="4">
                  <c:v>SA</c:v>
                </c:pt>
                <c:pt idx="5">
                  <c:v>Tas</c:v>
                </c:pt>
                <c:pt idx="6">
                  <c:v>ACT</c:v>
                </c:pt>
                <c:pt idx="7">
                  <c:v>NT</c:v>
                </c:pt>
                <c:pt idx="8">
                  <c:v>Aust</c:v>
                </c:pt>
              </c:strCache>
            </c:strRef>
          </c:cat>
          <c:val>
            <c:numRef>
              <c:f>'GC time series'!$D$2:$L$2</c:f>
              <c:numCache>
                <c:formatCode>0.0</c:formatCode>
                <c:ptCount val="9"/>
                <c:pt idx="0">
                  <c:v>98.728428701180746</c:v>
                </c:pt>
                <c:pt idx="1">
                  <c:v>100</c:v>
                </c:pt>
                <c:pt idx="2">
                  <c:v>98.086606243705944</c:v>
                </c:pt>
                <c:pt idx="3">
                  <c:v>88.181401740723771</c:v>
                </c:pt>
                <c:pt idx="4">
                  <c:v>85.74162679425838</c:v>
                </c:pt>
                <c:pt idx="5">
                  <c:v>94.285714285714278</c:v>
                </c:pt>
                <c:pt idx="6">
                  <c:v>96.15384615384616</c:v>
                </c:pt>
                <c:pt idx="7">
                  <c:v>100</c:v>
                </c:pt>
                <c:pt idx="8">
                  <c:v>93.173512644350239</c:v>
                </c:pt>
              </c:numCache>
            </c:numRef>
          </c:val>
          <c:extLst>
            <c:ext xmlns:c16="http://schemas.microsoft.com/office/drawing/2014/chart" uri="{C3380CC4-5D6E-409C-BE32-E72D297353CC}">
              <c16:uniqueId val="{00000005-417C-4500-830C-B3DE0B938648}"/>
            </c:ext>
          </c:extLst>
        </c:ser>
        <c:dLbls>
          <c:showLegendKey val="0"/>
          <c:showVal val="0"/>
          <c:showCatName val="0"/>
          <c:showSerName val="0"/>
          <c:showPercent val="0"/>
          <c:showBubbleSize val="0"/>
        </c:dLbls>
        <c:gapWidth val="150"/>
        <c:axId val="520770768"/>
        <c:axId val="279999680"/>
      </c:barChart>
      <c:catAx>
        <c:axId val="520770768"/>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79999680"/>
        <c:crosses val="autoZero"/>
        <c:auto val="1"/>
        <c:lblAlgn val="ctr"/>
        <c:lblOffset val="100"/>
        <c:noMultiLvlLbl val="0"/>
      </c:catAx>
      <c:valAx>
        <c:axId val="279999680"/>
        <c:scaling>
          <c:orientation val="minMax"/>
          <c:max val="1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20770768"/>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0"/>
        <c:delete val="1"/>
      </c:legendEntry>
      <c:legendEntry>
        <c:idx val="1"/>
        <c:delete val="1"/>
      </c:legendEntry>
      <c:legendEntry>
        <c:idx val="2"/>
        <c:delete val="1"/>
      </c:legendEntry>
      <c:legendEntry>
        <c:idx val="3"/>
        <c:delete val="1"/>
      </c:legendEntry>
      <c:layout>
        <c:manualLayout>
          <c:xMode val="edge"/>
          <c:yMode val="edge"/>
          <c:x val="0.27660953192889565"/>
          <c:y val="0.89313682644830861"/>
          <c:w val="0.39523758777735402"/>
          <c:h val="7.7651654552703411E-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 prepared data'!$N$11</c:f>
              <c:strCache>
                <c:ptCount val="1"/>
                <c:pt idx="0">
                  <c:v>Aboriginal and Torres Strait Islander young people</c:v>
                </c:pt>
              </c:strCache>
            </c:strRef>
          </c:tx>
          <c:spPr>
            <a:solidFill>
              <a:srgbClr val="66BCDB"/>
            </a:solidFill>
            <a:ln>
              <a:solidFill>
                <a:srgbClr val="66BCDB"/>
              </a:solidFill>
            </a:ln>
          </c:spPr>
          <c:invertIfNegative val="0"/>
          <c:cat>
            <c:strRef>
              <c:f>'Case plans prepared data'!$O$10:$W$10</c:f>
              <c:strCache>
                <c:ptCount val="9"/>
                <c:pt idx="0">
                  <c:v>NSW</c:v>
                </c:pt>
                <c:pt idx="1">
                  <c:v>Vic</c:v>
                </c:pt>
                <c:pt idx="2">
                  <c:v>Qld</c:v>
                </c:pt>
                <c:pt idx="3">
                  <c:v>WA</c:v>
                </c:pt>
                <c:pt idx="4">
                  <c:v>SA</c:v>
                </c:pt>
                <c:pt idx="5">
                  <c:v>Tas</c:v>
                </c:pt>
                <c:pt idx="6">
                  <c:v>ACT</c:v>
                </c:pt>
                <c:pt idx="7">
                  <c:v>NT</c:v>
                </c:pt>
                <c:pt idx="8">
                  <c:v>Aust</c:v>
                </c:pt>
              </c:strCache>
            </c:strRef>
          </c:cat>
          <c:val>
            <c:numRef>
              <c:f>'Case plans prepared data'!$O$11:$W$11</c:f>
              <c:numCache>
                <c:formatCode>###\ ###\ ##0.0;\-###\ ###\ ##0.0;"–"</c:formatCode>
                <c:ptCount val="9"/>
                <c:pt idx="0">
                  <c:v>96.913580246913583</c:v>
                </c:pt>
                <c:pt idx="1">
                  <c:v>60.655737704918032</c:v>
                </c:pt>
                <c:pt idx="2">
                  <c:v>82.341269841269835</c:v>
                </c:pt>
                <c:pt idx="3">
                  <c:v>0</c:v>
                </c:pt>
                <c:pt idx="4">
                  <c:v>82.5</c:v>
                </c:pt>
                <c:pt idx="5">
                  <c:v>56.000000000000007</c:v>
                </c:pt>
                <c:pt idx="6">
                  <c:v>71.428571428571431</c:v>
                </c:pt>
                <c:pt idx="7">
                  <c:v>0</c:v>
                </c:pt>
                <c:pt idx="8">
                  <c:v>86.725663716814154</c:v>
                </c:pt>
              </c:numCache>
            </c:numRef>
          </c:val>
          <c:extLst>
            <c:ext xmlns:c16="http://schemas.microsoft.com/office/drawing/2014/chart" uri="{C3380CC4-5D6E-409C-BE32-E72D297353CC}">
              <c16:uniqueId val="{00000000-1EE3-484E-86B1-5D7937993F56}"/>
            </c:ext>
          </c:extLst>
        </c:ser>
        <c:ser>
          <c:idx val="1"/>
          <c:order val="1"/>
          <c:tx>
            <c:strRef>
              <c:f>'Case plans prepared data'!$N$12</c:f>
              <c:strCache>
                <c:ptCount val="1"/>
                <c:pt idx="0">
                  <c:v>Non-Indigenous young people</c:v>
                </c:pt>
              </c:strCache>
            </c:strRef>
          </c:tx>
          <c:spPr>
            <a:solidFill>
              <a:srgbClr val="265A9A"/>
            </a:solidFill>
            <a:ln>
              <a:solidFill>
                <a:srgbClr val="265A9A"/>
              </a:solidFill>
            </a:ln>
          </c:spPr>
          <c:invertIfNegative val="0"/>
          <c:cat>
            <c:strRef>
              <c:f>'Case plans prepared data'!$O$10:$W$10</c:f>
              <c:strCache>
                <c:ptCount val="9"/>
                <c:pt idx="0">
                  <c:v>NSW</c:v>
                </c:pt>
                <c:pt idx="1">
                  <c:v>Vic</c:v>
                </c:pt>
                <c:pt idx="2">
                  <c:v>Qld</c:v>
                </c:pt>
                <c:pt idx="3">
                  <c:v>WA</c:v>
                </c:pt>
                <c:pt idx="4">
                  <c:v>SA</c:v>
                </c:pt>
                <c:pt idx="5">
                  <c:v>Tas</c:v>
                </c:pt>
                <c:pt idx="6">
                  <c:v>ACT</c:v>
                </c:pt>
                <c:pt idx="7">
                  <c:v>NT</c:v>
                </c:pt>
                <c:pt idx="8">
                  <c:v>Aust</c:v>
                </c:pt>
              </c:strCache>
            </c:strRef>
          </c:cat>
          <c:val>
            <c:numRef>
              <c:f>'Case plans prepared data'!$O$12:$W$12</c:f>
              <c:numCache>
                <c:formatCode>###\ ###\ ##0.0;\-###\ ###\ ##0.0;"–"</c:formatCode>
                <c:ptCount val="9"/>
                <c:pt idx="0">
                  <c:v>94.711538461538453</c:v>
                </c:pt>
                <c:pt idx="1">
                  <c:v>57.692307692307686</c:v>
                </c:pt>
                <c:pt idx="2">
                  <c:v>75.581395348837205</c:v>
                </c:pt>
                <c:pt idx="3">
                  <c:v>0</c:v>
                </c:pt>
                <c:pt idx="4">
                  <c:v>75.510204081632651</c:v>
                </c:pt>
                <c:pt idx="5">
                  <c:v>40.909090909090914</c:v>
                </c:pt>
                <c:pt idx="6">
                  <c:v>83.333333333333343</c:v>
                </c:pt>
                <c:pt idx="7">
                  <c:v>0</c:v>
                </c:pt>
                <c:pt idx="8">
                  <c:v>78.319435535599752</c:v>
                </c:pt>
              </c:numCache>
            </c:numRef>
          </c:val>
          <c:extLst>
            <c:ext xmlns:c16="http://schemas.microsoft.com/office/drawing/2014/chart" uri="{C3380CC4-5D6E-409C-BE32-E72D297353CC}">
              <c16:uniqueId val="{00000001-1EE3-484E-86B1-5D7937993F56}"/>
            </c:ext>
          </c:extLst>
        </c:ser>
        <c:ser>
          <c:idx val="2"/>
          <c:order val="2"/>
          <c:tx>
            <c:strRef>
              <c:f>'Case plans prepared data'!$N$13</c:f>
              <c:strCache>
                <c:ptCount val="1"/>
                <c:pt idx="0">
                  <c:v>Total</c:v>
                </c:pt>
              </c:strCache>
            </c:strRef>
          </c:tx>
          <c:spPr>
            <a:solidFill>
              <a:srgbClr val="78A22F"/>
            </a:solidFill>
            <a:ln>
              <a:solidFill>
                <a:srgbClr val="78A22F"/>
              </a:solidFill>
            </a:ln>
          </c:spPr>
          <c:invertIfNegative val="0"/>
          <c:cat>
            <c:strRef>
              <c:f>'Case plans prepared data'!$O$10:$W$10</c:f>
              <c:strCache>
                <c:ptCount val="9"/>
                <c:pt idx="0">
                  <c:v>NSW</c:v>
                </c:pt>
                <c:pt idx="1">
                  <c:v>Vic</c:v>
                </c:pt>
                <c:pt idx="2">
                  <c:v>Qld</c:v>
                </c:pt>
                <c:pt idx="3">
                  <c:v>WA</c:v>
                </c:pt>
                <c:pt idx="4">
                  <c:v>SA</c:v>
                </c:pt>
                <c:pt idx="5">
                  <c:v>Tas</c:v>
                </c:pt>
                <c:pt idx="6">
                  <c:v>ACT</c:v>
                </c:pt>
                <c:pt idx="7">
                  <c:v>NT</c:v>
                </c:pt>
                <c:pt idx="8">
                  <c:v>Aust</c:v>
                </c:pt>
              </c:strCache>
            </c:strRef>
          </c:cat>
          <c:val>
            <c:numRef>
              <c:f>'Case plans prepared data'!$O$13:$W$13</c:f>
              <c:numCache>
                <c:formatCode>###\ ###\ ##0.0;\-###\ ###\ ##0.0;"–"</c:formatCode>
                <c:ptCount val="9"/>
                <c:pt idx="0">
                  <c:v>94.970662196144175</c:v>
                </c:pt>
                <c:pt idx="1">
                  <c:v>58.117647058823529</c:v>
                </c:pt>
                <c:pt idx="2">
                  <c:v>79.047619047619051</c:v>
                </c:pt>
                <c:pt idx="3">
                  <c:v>0</c:v>
                </c:pt>
                <c:pt idx="4">
                  <c:v>78.651685393258433</c:v>
                </c:pt>
                <c:pt idx="5">
                  <c:v>47.727272727272727</c:v>
                </c:pt>
                <c:pt idx="6">
                  <c:v>80.645161290322577</c:v>
                </c:pt>
                <c:pt idx="7">
                  <c:v>0</c:v>
                </c:pt>
                <c:pt idx="8">
                  <c:v>81.691648822269798</c:v>
                </c:pt>
              </c:numCache>
            </c:numRef>
          </c:val>
          <c:extLst>
            <c:ext xmlns:c16="http://schemas.microsoft.com/office/drawing/2014/chart" uri="{C3380CC4-5D6E-409C-BE32-E72D297353CC}">
              <c16:uniqueId val="{00000002-1EE3-484E-86B1-5D7937993F56}"/>
            </c:ext>
          </c:extLst>
        </c:ser>
        <c:dLbls>
          <c:showLegendKey val="0"/>
          <c:showVal val="0"/>
          <c:showCatName val="0"/>
          <c:showSerName val="0"/>
          <c:showPercent val="0"/>
          <c:showBubbleSize val="0"/>
        </c:dLbls>
        <c:gapWidth val="150"/>
        <c:axId val="522015360"/>
        <c:axId val="522014576"/>
      </c:barChart>
      <c:catAx>
        <c:axId val="522015360"/>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22014576"/>
        <c:crosses val="autoZero"/>
        <c:auto val="1"/>
        <c:lblAlgn val="ctr"/>
        <c:lblOffset val="100"/>
        <c:noMultiLvlLbl val="0"/>
      </c:catAx>
      <c:valAx>
        <c:axId val="522014576"/>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22015360"/>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 prepared data'!$N$24</c:f>
              <c:strCache>
                <c:ptCount val="1"/>
                <c:pt idx="0">
                  <c:v>Aboriginal and Torres Strait Islander young people</c:v>
                </c:pt>
              </c:strCache>
            </c:strRef>
          </c:tx>
          <c:spPr>
            <a:solidFill>
              <a:srgbClr val="66BCDB"/>
            </a:solidFill>
            <a:ln>
              <a:solidFill>
                <a:srgbClr val="66BCDB"/>
              </a:solidFill>
            </a:ln>
          </c:spPr>
          <c:invertIfNegative val="0"/>
          <c:cat>
            <c:strRef>
              <c:f>'Case plans prepared data'!$O$23:$W$23</c:f>
              <c:strCache>
                <c:ptCount val="9"/>
                <c:pt idx="0">
                  <c:v>NSW</c:v>
                </c:pt>
                <c:pt idx="1">
                  <c:v>Vic</c:v>
                </c:pt>
                <c:pt idx="2">
                  <c:v>Qld</c:v>
                </c:pt>
                <c:pt idx="3">
                  <c:v>WA</c:v>
                </c:pt>
                <c:pt idx="4">
                  <c:v>SA</c:v>
                </c:pt>
                <c:pt idx="5">
                  <c:v>Tas</c:v>
                </c:pt>
                <c:pt idx="6">
                  <c:v>ACT</c:v>
                </c:pt>
                <c:pt idx="7">
                  <c:v>NT</c:v>
                </c:pt>
                <c:pt idx="8">
                  <c:v>Aust</c:v>
                </c:pt>
              </c:strCache>
            </c:strRef>
          </c:cat>
          <c:val>
            <c:numRef>
              <c:f>'Case plans prepared data'!$O$24:$W$24</c:f>
              <c:numCache>
                <c:formatCode>###\ ###\ ##0.0;\-###\ ###\ ##0.0;"–"</c:formatCode>
                <c:ptCount val="9"/>
                <c:pt idx="0">
                  <c:v>99.047619047619051</c:v>
                </c:pt>
                <c:pt idx="1">
                  <c:v>63.636363636363633</c:v>
                </c:pt>
                <c:pt idx="2">
                  <c:v>91.666666666666657</c:v>
                </c:pt>
                <c:pt idx="3">
                  <c:v>100</c:v>
                </c:pt>
                <c:pt idx="4">
                  <c:v>100</c:v>
                </c:pt>
                <c:pt idx="5">
                  <c:v>100</c:v>
                </c:pt>
                <c:pt idx="6">
                  <c:v>100</c:v>
                </c:pt>
                <c:pt idx="7">
                  <c:v>0</c:v>
                </c:pt>
                <c:pt idx="8">
                  <c:v>96.25</c:v>
                </c:pt>
              </c:numCache>
            </c:numRef>
          </c:val>
          <c:extLst>
            <c:ext xmlns:c16="http://schemas.microsoft.com/office/drawing/2014/chart" uri="{C3380CC4-5D6E-409C-BE32-E72D297353CC}">
              <c16:uniqueId val="{00000000-3ACB-48D9-ADBB-1265BD8799DB}"/>
            </c:ext>
          </c:extLst>
        </c:ser>
        <c:ser>
          <c:idx val="1"/>
          <c:order val="1"/>
          <c:tx>
            <c:strRef>
              <c:f>'Case plans prepared data'!$N$25</c:f>
              <c:strCache>
                <c:ptCount val="1"/>
                <c:pt idx="0">
                  <c:v>Non-Indigenous young people</c:v>
                </c:pt>
              </c:strCache>
            </c:strRef>
          </c:tx>
          <c:spPr>
            <a:solidFill>
              <a:srgbClr val="265A9A"/>
            </a:solidFill>
            <a:ln>
              <a:solidFill>
                <a:srgbClr val="265A9A"/>
              </a:solidFill>
            </a:ln>
          </c:spPr>
          <c:invertIfNegative val="0"/>
          <c:cat>
            <c:strRef>
              <c:f>'Case plans prepared data'!$O$23:$W$23</c:f>
              <c:strCache>
                <c:ptCount val="9"/>
                <c:pt idx="0">
                  <c:v>NSW</c:v>
                </c:pt>
                <c:pt idx="1">
                  <c:v>Vic</c:v>
                </c:pt>
                <c:pt idx="2">
                  <c:v>Qld</c:v>
                </c:pt>
                <c:pt idx="3">
                  <c:v>WA</c:v>
                </c:pt>
                <c:pt idx="4">
                  <c:v>SA</c:v>
                </c:pt>
                <c:pt idx="5">
                  <c:v>Tas</c:v>
                </c:pt>
                <c:pt idx="6">
                  <c:v>ACT</c:v>
                </c:pt>
                <c:pt idx="7">
                  <c:v>NT</c:v>
                </c:pt>
                <c:pt idx="8">
                  <c:v>Aust</c:v>
                </c:pt>
              </c:strCache>
            </c:strRef>
          </c:cat>
          <c:val>
            <c:numRef>
              <c:f>'Case plans prepared data'!$O$25:$W$25</c:f>
              <c:numCache>
                <c:formatCode>###\ ###\ ##0.0;\-###\ ###\ ##0.0;"–"</c:formatCode>
                <c:ptCount val="9"/>
                <c:pt idx="0">
                  <c:v>100</c:v>
                </c:pt>
                <c:pt idx="1">
                  <c:v>41.025641025641022</c:v>
                </c:pt>
                <c:pt idx="2">
                  <c:v>83.333333333333343</c:v>
                </c:pt>
                <c:pt idx="3">
                  <c:v>100</c:v>
                </c:pt>
                <c:pt idx="4">
                  <c:v>50</c:v>
                </c:pt>
                <c:pt idx="5">
                  <c:v>100</c:v>
                </c:pt>
                <c:pt idx="6">
                  <c:v>100</c:v>
                </c:pt>
                <c:pt idx="7">
                  <c:v>0</c:v>
                </c:pt>
                <c:pt idx="8">
                  <c:v>87.555555555555557</c:v>
                </c:pt>
              </c:numCache>
            </c:numRef>
          </c:val>
          <c:extLst>
            <c:ext xmlns:c16="http://schemas.microsoft.com/office/drawing/2014/chart" uri="{C3380CC4-5D6E-409C-BE32-E72D297353CC}">
              <c16:uniqueId val="{00000001-3ACB-48D9-ADBB-1265BD8799DB}"/>
            </c:ext>
          </c:extLst>
        </c:ser>
        <c:ser>
          <c:idx val="2"/>
          <c:order val="2"/>
          <c:tx>
            <c:strRef>
              <c:f>'Case plans prepared data'!$N$26</c:f>
              <c:strCache>
                <c:ptCount val="1"/>
                <c:pt idx="0">
                  <c:v>Total</c:v>
                </c:pt>
              </c:strCache>
            </c:strRef>
          </c:tx>
          <c:spPr>
            <a:solidFill>
              <a:srgbClr val="78A22F"/>
            </a:solidFill>
            <a:ln>
              <a:solidFill>
                <a:srgbClr val="78A22F"/>
              </a:solidFill>
            </a:ln>
          </c:spPr>
          <c:invertIfNegative val="0"/>
          <c:cat>
            <c:strRef>
              <c:f>'Case plans prepared data'!$O$23:$W$23</c:f>
              <c:strCache>
                <c:ptCount val="9"/>
                <c:pt idx="0">
                  <c:v>NSW</c:v>
                </c:pt>
                <c:pt idx="1">
                  <c:v>Vic</c:v>
                </c:pt>
                <c:pt idx="2">
                  <c:v>Qld</c:v>
                </c:pt>
                <c:pt idx="3">
                  <c:v>WA</c:v>
                </c:pt>
                <c:pt idx="4">
                  <c:v>SA</c:v>
                </c:pt>
                <c:pt idx="5">
                  <c:v>Tas</c:v>
                </c:pt>
                <c:pt idx="6">
                  <c:v>ACT</c:v>
                </c:pt>
                <c:pt idx="7">
                  <c:v>NT</c:v>
                </c:pt>
                <c:pt idx="8">
                  <c:v>Aust</c:v>
                </c:pt>
              </c:strCache>
            </c:strRef>
          </c:cat>
          <c:val>
            <c:numRef>
              <c:f>'Case plans prepared data'!$O$26:$W$26</c:f>
              <c:numCache>
                <c:formatCode>###\ ###\ ##0.0;\-###\ ###\ ##0.0;"–"</c:formatCode>
                <c:ptCount val="9"/>
                <c:pt idx="0">
                  <c:v>99.539170506912441</c:v>
                </c:pt>
                <c:pt idx="1">
                  <c:v>46</c:v>
                </c:pt>
                <c:pt idx="2">
                  <c:v>88.888888888888886</c:v>
                </c:pt>
                <c:pt idx="3">
                  <c:v>100</c:v>
                </c:pt>
                <c:pt idx="4">
                  <c:v>66.666666666666657</c:v>
                </c:pt>
                <c:pt idx="5">
                  <c:v>100</c:v>
                </c:pt>
                <c:pt idx="6">
                  <c:v>100</c:v>
                </c:pt>
                <c:pt idx="7">
                  <c:v>0</c:v>
                </c:pt>
                <c:pt idx="8">
                  <c:v>92.09401709401709</c:v>
                </c:pt>
              </c:numCache>
            </c:numRef>
          </c:val>
          <c:extLst>
            <c:ext xmlns:c16="http://schemas.microsoft.com/office/drawing/2014/chart" uri="{C3380CC4-5D6E-409C-BE32-E72D297353CC}">
              <c16:uniqueId val="{00000002-3ACB-48D9-ADBB-1265BD8799DB}"/>
            </c:ext>
          </c:extLst>
        </c:ser>
        <c:dLbls>
          <c:showLegendKey val="0"/>
          <c:showVal val="0"/>
          <c:showCatName val="0"/>
          <c:showSerName val="0"/>
          <c:showPercent val="0"/>
          <c:showBubbleSize val="0"/>
        </c:dLbls>
        <c:gapWidth val="150"/>
        <c:axId val="522015752"/>
        <c:axId val="522014968"/>
      </c:barChart>
      <c:catAx>
        <c:axId val="522015752"/>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22014968"/>
        <c:crosses val="autoZero"/>
        <c:auto val="1"/>
        <c:lblAlgn val="ctr"/>
        <c:lblOffset val="100"/>
        <c:noMultiLvlLbl val="0"/>
      </c:catAx>
      <c:valAx>
        <c:axId val="52201496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22015752"/>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604F0-061B-444C-A041-F79A40C6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TotalTime>
  <Pages>35</Pages>
  <Words>8313</Words>
  <Characters>48115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Section 17 Youth justice services - Report on Government Services 2021</vt:lpstr>
    </vt:vector>
  </TitlesOfParts>
  <Company>Productivity Commission</Company>
  <LinksUpToDate>false</LinksUpToDate>
  <CharactersWithSpaces>56316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 Youth justice services - Report on Government Services 2021</dc:title>
  <dc:subject/>
  <dc:creator>Steering Committee for the Review of Government Service Provision</dc:creator>
  <cp:keywords/>
  <dc:description/>
  <cp:lastModifiedBy>Munce, Melissa</cp:lastModifiedBy>
  <cp:revision>4</cp:revision>
  <cp:lastPrinted>2021-01-05T00:31:00Z</cp:lastPrinted>
  <dcterms:created xsi:type="dcterms:W3CDTF">2021-01-05T04:55:00Z</dcterms:created>
  <dcterms:modified xsi:type="dcterms:W3CDTF">2021-01-06T00:37:00Z</dcterms:modified>
</cp:coreProperties>
</file>